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890F1" w14:textId="77777777" w:rsidR="00640D34" w:rsidRDefault="00640D34" w:rsidP="00D445C7">
      <w:pPr>
        <w:spacing w:after="120"/>
        <w:rPr>
          <w:rFonts w:cs="Times New Roman"/>
          <w:b/>
          <w:szCs w:val="24"/>
        </w:rPr>
      </w:pPr>
    </w:p>
    <w:p w14:paraId="4D7D522E" w14:textId="77777777" w:rsidR="00505248" w:rsidRDefault="00505248" w:rsidP="00505248">
      <w:pPr>
        <w:jc w:val="center"/>
        <w:rPr>
          <w:b/>
          <w:sz w:val="40"/>
        </w:rPr>
      </w:pPr>
    </w:p>
    <w:p w14:paraId="5BC68660" w14:textId="77777777" w:rsidR="00505248" w:rsidRDefault="00505248" w:rsidP="00505248">
      <w:pPr>
        <w:jc w:val="center"/>
        <w:rPr>
          <w:b/>
          <w:sz w:val="40"/>
        </w:rPr>
      </w:pPr>
    </w:p>
    <w:p w14:paraId="6A1DFEA5" w14:textId="77777777" w:rsidR="00505248" w:rsidRDefault="00505248" w:rsidP="00505248">
      <w:pPr>
        <w:jc w:val="center"/>
        <w:rPr>
          <w:b/>
          <w:sz w:val="40"/>
        </w:rPr>
      </w:pPr>
    </w:p>
    <w:p w14:paraId="1BBEDDC1" w14:textId="77777777" w:rsidR="00505248" w:rsidRDefault="00505248" w:rsidP="00505248">
      <w:pPr>
        <w:jc w:val="center"/>
        <w:rPr>
          <w:b/>
          <w:sz w:val="40"/>
        </w:rPr>
      </w:pPr>
    </w:p>
    <w:p w14:paraId="044DF87A" w14:textId="77777777" w:rsidR="00505248" w:rsidRDefault="00505248" w:rsidP="00505248">
      <w:pPr>
        <w:jc w:val="center"/>
        <w:rPr>
          <w:b/>
          <w:sz w:val="40"/>
        </w:rPr>
      </w:pPr>
    </w:p>
    <w:p w14:paraId="3E421F1C" w14:textId="77777777" w:rsidR="00505248" w:rsidRDefault="00505248" w:rsidP="00505248">
      <w:pPr>
        <w:jc w:val="center"/>
        <w:rPr>
          <w:b/>
          <w:sz w:val="40"/>
        </w:rPr>
      </w:pPr>
    </w:p>
    <w:p w14:paraId="09B05742" w14:textId="77777777" w:rsidR="00505248" w:rsidRDefault="00505248" w:rsidP="00505248">
      <w:pPr>
        <w:jc w:val="center"/>
        <w:rPr>
          <w:b/>
          <w:sz w:val="40"/>
        </w:rPr>
      </w:pPr>
    </w:p>
    <w:p w14:paraId="4D102989" w14:textId="77777777" w:rsidR="00BF2DC1" w:rsidRPr="004C1CC2" w:rsidRDefault="00BF2DC1" w:rsidP="00BF2DC1">
      <w:pPr>
        <w:jc w:val="center"/>
        <w:rPr>
          <w:b/>
          <w:sz w:val="40"/>
          <w:szCs w:val="36"/>
        </w:rPr>
      </w:pPr>
      <w:r w:rsidRPr="004C1CC2">
        <w:rPr>
          <w:b/>
          <w:sz w:val="40"/>
          <w:szCs w:val="36"/>
        </w:rPr>
        <w:t>INFORMATĪVAIS ZIŅOJUMS</w:t>
      </w:r>
    </w:p>
    <w:p w14:paraId="00164D35" w14:textId="77777777" w:rsidR="00505248" w:rsidRDefault="00505248" w:rsidP="00505248">
      <w:pPr>
        <w:jc w:val="center"/>
        <w:rPr>
          <w:b/>
          <w:sz w:val="40"/>
        </w:rPr>
      </w:pPr>
    </w:p>
    <w:p w14:paraId="7C0B8FBC" w14:textId="59E252F7" w:rsidR="00BF2DC1" w:rsidRPr="00E02C9A" w:rsidRDefault="00E02C9A" w:rsidP="00BF2DC1">
      <w:pPr>
        <w:jc w:val="center"/>
        <w:rPr>
          <w:b/>
          <w:bCs/>
          <w:sz w:val="40"/>
          <w:szCs w:val="40"/>
        </w:rPr>
      </w:pPr>
      <w:r w:rsidRPr="00E02C9A">
        <w:rPr>
          <w:rFonts w:eastAsia="Times New Roman"/>
          <w:b/>
          <w:bCs/>
          <w:sz w:val="40"/>
          <w:szCs w:val="40"/>
        </w:rPr>
        <w:t xml:space="preserve">Par </w:t>
      </w:r>
      <w:r w:rsidR="007C3CBB" w:rsidRPr="00A468EA">
        <w:rPr>
          <w:rFonts w:eastAsia="Times New Roman"/>
          <w:b/>
          <w:bCs/>
          <w:sz w:val="40"/>
          <w:szCs w:val="40"/>
        </w:rPr>
        <w:t>valsts budžeta ieņēmumu un</w:t>
      </w:r>
      <w:r w:rsidR="007C3CBB">
        <w:rPr>
          <w:rFonts w:eastAsia="Times New Roman"/>
          <w:b/>
          <w:bCs/>
          <w:sz w:val="40"/>
          <w:szCs w:val="40"/>
        </w:rPr>
        <w:t xml:space="preserve"> </w:t>
      </w:r>
      <w:r w:rsidRPr="00E02C9A">
        <w:rPr>
          <w:rFonts w:eastAsia="Times New Roman"/>
          <w:b/>
          <w:bCs/>
          <w:sz w:val="40"/>
          <w:szCs w:val="40"/>
        </w:rPr>
        <w:t xml:space="preserve">nodokļu </w:t>
      </w:r>
      <w:r w:rsidR="006E1DD5">
        <w:rPr>
          <w:rFonts w:eastAsia="Times New Roman"/>
          <w:b/>
          <w:bCs/>
          <w:sz w:val="40"/>
          <w:szCs w:val="40"/>
        </w:rPr>
        <w:t xml:space="preserve">politikas </w:t>
      </w:r>
      <w:r w:rsidR="008C7A64">
        <w:rPr>
          <w:rFonts w:eastAsia="Times New Roman"/>
          <w:b/>
          <w:bCs/>
          <w:sz w:val="40"/>
          <w:szCs w:val="40"/>
        </w:rPr>
        <w:t>pārskatīšanu</w:t>
      </w:r>
      <w:r w:rsidRPr="00E02C9A">
        <w:rPr>
          <w:rFonts w:eastAsia="Times New Roman"/>
          <w:b/>
          <w:bCs/>
          <w:sz w:val="40"/>
          <w:szCs w:val="40"/>
        </w:rPr>
        <w:t xml:space="preserve"> 202</w:t>
      </w:r>
      <w:r w:rsidR="00D60EDC">
        <w:rPr>
          <w:rFonts w:eastAsia="Times New Roman"/>
          <w:b/>
          <w:bCs/>
          <w:sz w:val="40"/>
          <w:szCs w:val="40"/>
        </w:rPr>
        <w:t>5</w:t>
      </w:r>
      <w:r w:rsidRPr="00E02C9A">
        <w:rPr>
          <w:rFonts w:eastAsia="Times New Roman"/>
          <w:b/>
          <w:bCs/>
          <w:sz w:val="40"/>
          <w:szCs w:val="40"/>
        </w:rPr>
        <w:t>.</w:t>
      </w:r>
      <w:r w:rsidR="00432057">
        <w:rPr>
          <w:rFonts w:eastAsia="Times New Roman"/>
          <w:b/>
          <w:bCs/>
          <w:sz w:val="40"/>
          <w:szCs w:val="40"/>
        </w:rPr>
        <w:t> </w:t>
      </w:r>
      <w:r w:rsidRPr="00E02C9A">
        <w:rPr>
          <w:rFonts w:eastAsia="Times New Roman"/>
          <w:b/>
          <w:bCs/>
          <w:sz w:val="40"/>
          <w:szCs w:val="40"/>
        </w:rPr>
        <w:t>–</w:t>
      </w:r>
      <w:r w:rsidR="00432057">
        <w:rPr>
          <w:rFonts w:eastAsia="Times New Roman"/>
          <w:b/>
          <w:bCs/>
          <w:sz w:val="40"/>
          <w:szCs w:val="40"/>
        </w:rPr>
        <w:t> </w:t>
      </w:r>
      <w:r w:rsidRPr="00E02C9A">
        <w:rPr>
          <w:rFonts w:eastAsia="Times New Roman"/>
          <w:b/>
          <w:bCs/>
          <w:sz w:val="40"/>
          <w:szCs w:val="40"/>
        </w:rPr>
        <w:t>2027.</w:t>
      </w:r>
      <w:r w:rsidR="00432057">
        <w:rPr>
          <w:rFonts w:eastAsia="Times New Roman"/>
          <w:b/>
          <w:bCs/>
          <w:sz w:val="40"/>
          <w:szCs w:val="40"/>
        </w:rPr>
        <w:t> </w:t>
      </w:r>
      <w:r w:rsidRPr="00E02C9A">
        <w:rPr>
          <w:rFonts w:eastAsia="Times New Roman"/>
          <w:b/>
          <w:bCs/>
          <w:sz w:val="40"/>
          <w:szCs w:val="40"/>
        </w:rPr>
        <w:t>gad</w:t>
      </w:r>
      <w:r w:rsidR="008C7A64">
        <w:rPr>
          <w:rFonts w:eastAsia="Times New Roman"/>
          <w:b/>
          <w:bCs/>
          <w:sz w:val="40"/>
          <w:szCs w:val="40"/>
        </w:rPr>
        <w:t>ā</w:t>
      </w:r>
    </w:p>
    <w:p w14:paraId="62961C33" w14:textId="77777777" w:rsidR="00BF2DC1" w:rsidRPr="00E02C9A" w:rsidRDefault="00BF2DC1" w:rsidP="00BF2DC1">
      <w:pPr>
        <w:jc w:val="center"/>
        <w:rPr>
          <w:b/>
          <w:bCs/>
          <w:sz w:val="44"/>
          <w:szCs w:val="44"/>
        </w:rPr>
      </w:pPr>
    </w:p>
    <w:p w14:paraId="33C4C8F0" w14:textId="77777777" w:rsidR="00BF2DC1" w:rsidRDefault="00BF2DC1" w:rsidP="00BF2DC1">
      <w:pPr>
        <w:jc w:val="center"/>
        <w:rPr>
          <w:b/>
          <w:sz w:val="26"/>
          <w:szCs w:val="26"/>
        </w:rPr>
      </w:pPr>
    </w:p>
    <w:p w14:paraId="1F5D750F" w14:textId="77777777" w:rsidR="00BF2DC1" w:rsidRDefault="00BF2DC1" w:rsidP="00BF2DC1">
      <w:pPr>
        <w:jc w:val="center"/>
        <w:rPr>
          <w:b/>
          <w:sz w:val="26"/>
          <w:szCs w:val="26"/>
        </w:rPr>
      </w:pPr>
    </w:p>
    <w:p w14:paraId="5F607A11" w14:textId="77777777" w:rsidR="00BF2DC1" w:rsidRDefault="00BF2DC1" w:rsidP="00BF2DC1">
      <w:pPr>
        <w:jc w:val="center"/>
        <w:rPr>
          <w:b/>
          <w:sz w:val="26"/>
          <w:szCs w:val="26"/>
        </w:rPr>
      </w:pPr>
    </w:p>
    <w:p w14:paraId="1337D22B" w14:textId="77777777" w:rsidR="00BF2DC1" w:rsidRDefault="00BF2DC1" w:rsidP="00BF2DC1">
      <w:pPr>
        <w:jc w:val="center"/>
        <w:rPr>
          <w:b/>
          <w:sz w:val="26"/>
          <w:szCs w:val="26"/>
        </w:rPr>
      </w:pPr>
    </w:p>
    <w:p w14:paraId="5F8675FD" w14:textId="77777777" w:rsidR="00BF2DC1" w:rsidRDefault="00BF2DC1" w:rsidP="00BF2DC1">
      <w:pPr>
        <w:jc w:val="center"/>
        <w:rPr>
          <w:b/>
          <w:sz w:val="26"/>
          <w:szCs w:val="26"/>
        </w:rPr>
      </w:pPr>
    </w:p>
    <w:p w14:paraId="446957DB" w14:textId="77777777" w:rsidR="00BF2DC1" w:rsidRDefault="00BF2DC1" w:rsidP="00BF2DC1">
      <w:pPr>
        <w:jc w:val="center"/>
        <w:rPr>
          <w:b/>
          <w:sz w:val="26"/>
          <w:szCs w:val="26"/>
        </w:rPr>
      </w:pPr>
    </w:p>
    <w:p w14:paraId="185C4A72" w14:textId="77777777" w:rsidR="00BF2DC1" w:rsidRDefault="00BF2DC1" w:rsidP="00BF2DC1">
      <w:pPr>
        <w:jc w:val="center"/>
        <w:rPr>
          <w:b/>
          <w:sz w:val="26"/>
          <w:szCs w:val="26"/>
        </w:rPr>
      </w:pPr>
    </w:p>
    <w:p w14:paraId="27A0C1BF" w14:textId="77777777" w:rsidR="00BF2DC1" w:rsidRDefault="00BF2DC1" w:rsidP="00BF2DC1">
      <w:pPr>
        <w:jc w:val="center"/>
        <w:rPr>
          <w:b/>
          <w:sz w:val="26"/>
          <w:szCs w:val="26"/>
        </w:rPr>
      </w:pPr>
    </w:p>
    <w:p w14:paraId="5D35770E" w14:textId="77777777" w:rsidR="00BF2DC1" w:rsidRDefault="00BF2DC1" w:rsidP="00BF2DC1">
      <w:pPr>
        <w:jc w:val="center"/>
        <w:rPr>
          <w:b/>
          <w:sz w:val="26"/>
          <w:szCs w:val="26"/>
        </w:rPr>
      </w:pPr>
    </w:p>
    <w:p w14:paraId="6725368A" w14:textId="77777777" w:rsidR="00BF2DC1" w:rsidRDefault="00BF2DC1" w:rsidP="00BF2DC1">
      <w:pPr>
        <w:jc w:val="center"/>
        <w:rPr>
          <w:b/>
          <w:sz w:val="26"/>
          <w:szCs w:val="26"/>
        </w:rPr>
      </w:pPr>
    </w:p>
    <w:p w14:paraId="19AA3FE6" w14:textId="77777777" w:rsidR="00BF2DC1" w:rsidRDefault="00BF2DC1" w:rsidP="00BF2DC1">
      <w:pPr>
        <w:jc w:val="center"/>
        <w:rPr>
          <w:b/>
          <w:sz w:val="26"/>
          <w:szCs w:val="26"/>
        </w:rPr>
      </w:pPr>
    </w:p>
    <w:p w14:paraId="33622662" w14:textId="77777777" w:rsidR="00BF2DC1" w:rsidRDefault="00BF2DC1" w:rsidP="00BF2DC1">
      <w:pPr>
        <w:jc w:val="center"/>
        <w:rPr>
          <w:b/>
          <w:sz w:val="26"/>
          <w:szCs w:val="26"/>
        </w:rPr>
      </w:pPr>
    </w:p>
    <w:p w14:paraId="5767508C" w14:textId="77777777" w:rsidR="00BF2DC1" w:rsidRDefault="00BF2DC1" w:rsidP="00BF2DC1">
      <w:pPr>
        <w:jc w:val="center"/>
        <w:rPr>
          <w:b/>
          <w:sz w:val="26"/>
          <w:szCs w:val="26"/>
        </w:rPr>
      </w:pPr>
    </w:p>
    <w:p w14:paraId="3189E79F" w14:textId="77777777" w:rsidR="00BF2DC1" w:rsidRDefault="00BF2DC1" w:rsidP="00BF2DC1">
      <w:pPr>
        <w:jc w:val="center"/>
        <w:rPr>
          <w:b/>
          <w:sz w:val="26"/>
          <w:szCs w:val="26"/>
        </w:rPr>
      </w:pPr>
    </w:p>
    <w:p w14:paraId="128793A9" w14:textId="77777777" w:rsidR="00BF2DC1" w:rsidRDefault="00BF2DC1" w:rsidP="00BF2DC1">
      <w:pPr>
        <w:jc w:val="center"/>
        <w:rPr>
          <w:b/>
          <w:sz w:val="26"/>
          <w:szCs w:val="26"/>
        </w:rPr>
      </w:pPr>
    </w:p>
    <w:p w14:paraId="76386626" w14:textId="77777777" w:rsidR="00BF2DC1" w:rsidRDefault="00BF2DC1" w:rsidP="00BF2DC1">
      <w:pPr>
        <w:jc w:val="center"/>
        <w:rPr>
          <w:b/>
          <w:sz w:val="26"/>
          <w:szCs w:val="26"/>
        </w:rPr>
      </w:pPr>
    </w:p>
    <w:p w14:paraId="6CB3C300" w14:textId="77777777" w:rsidR="00BF2DC1" w:rsidRDefault="00BF2DC1" w:rsidP="00BF2DC1">
      <w:pPr>
        <w:jc w:val="center"/>
        <w:rPr>
          <w:b/>
          <w:sz w:val="26"/>
          <w:szCs w:val="26"/>
        </w:rPr>
      </w:pPr>
    </w:p>
    <w:p w14:paraId="474CD94D" w14:textId="77777777" w:rsidR="00BF2DC1" w:rsidRDefault="00BF2DC1" w:rsidP="00BF2DC1">
      <w:pPr>
        <w:jc w:val="center"/>
        <w:rPr>
          <w:b/>
          <w:sz w:val="26"/>
          <w:szCs w:val="26"/>
        </w:rPr>
      </w:pPr>
    </w:p>
    <w:p w14:paraId="6A393404" w14:textId="77777777" w:rsidR="00BF2DC1" w:rsidRDefault="00BF2DC1" w:rsidP="00BF2DC1">
      <w:pPr>
        <w:jc w:val="center"/>
        <w:rPr>
          <w:b/>
          <w:sz w:val="26"/>
          <w:szCs w:val="26"/>
        </w:rPr>
      </w:pPr>
    </w:p>
    <w:p w14:paraId="2F8D5D83" w14:textId="77777777" w:rsidR="00BF2DC1" w:rsidRPr="00F519AB" w:rsidRDefault="00BF2DC1" w:rsidP="00BF2DC1">
      <w:pPr>
        <w:jc w:val="center"/>
        <w:rPr>
          <w:b/>
          <w:sz w:val="26"/>
          <w:szCs w:val="26"/>
        </w:rPr>
      </w:pPr>
      <w:r w:rsidRPr="00F519AB">
        <w:rPr>
          <w:b/>
          <w:sz w:val="26"/>
          <w:szCs w:val="26"/>
        </w:rPr>
        <w:t>Finanšu ministrija</w:t>
      </w:r>
    </w:p>
    <w:p w14:paraId="5D493F2F" w14:textId="0BEADCDB" w:rsidR="00BF2DC1" w:rsidRPr="00F519AB" w:rsidRDefault="00BF2DC1" w:rsidP="00BF2DC1">
      <w:pPr>
        <w:jc w:val="center"/>
        <w:rPr>
          <w:b/>
          <w:sz w:val="26"/>
          <w:szCs w:val="26"/>
        </w:rPr>
      </w:pPr>
      <w:r w:rsidRPr="00F519AB">
        <w:rPr>
          <w:b/>
          <w:sz w:val="26"/>
          <w:szCs w:val="26"/>
        </w:rPr>
        <w:t>202</w:t>
      </w:r>
      <w:r w:rsidR="008C7A64">
        <w:rPr>
          <w:b/>
          <w:sz w:val="26"/>
          <w:szCs w:val="26"/>
        </w:rPr>
        <w:t>4</w:t>
      </w:r>
      <w:r w:rsidRPr="00F519AB">
        <w:rPr>
          <w:b/>
          <w:sz w:val="26"/>
          <w:szCs w:val="26"/>
        </w:rPr>
        <w:t>.</w:t>
      </w:r>
      <w:r w:rsidR="00432057">
        <w:rPr>
          <w:b/>
          <w:sz w:val="26"/>
          <w:szCs w:val="26"/>
        </w:rPr>
        <w:t> </w:t>
      </w:r>
      <w:r w:rsidRPr="00F519AB">
        <w:rPr>
          <w:b/>
          <w:sz w:val="26"/>
          <w:szCs w:val="26"/>
        </w:rPr>
        <w:t xml:space="preserve">gada </w:t>
      </w:r>
      <w:r w:rsidR="00A470D1">
        <w:rPr>
          <w:b/>
          <w:sz w:val="26"/>
          <w:szCs w:val="26"/>
        </w:rPr>
        <w:t>septembris</w:t>
      </w:r>
    </w:p>
    <w:p w14:paraId="5E09CAAF" w14:textId="77777777" w:rsidR="0046420E" w:rsidRDefault="0046420E">
      <w:pPr>
        <w:rPr>
          <w:rFonts w:cs="Times New Roman"/>
          <w:b/>
          <w:szCs w:val="24"/>
        </w:rPr>
      </w:pPr>
      <w:r>
        <w:rPr>
          <w:rFonts w:cs="Times New Roman"/>
          <w:b/>
          <w:szCs w:val="24"/>
        </w:rPr>
        <w:br w:type="page"/>
      </w:r>
    </w:p>
    <w:p w14:paraId="38B188E5" w14:textId="77777777" w:rsidR="00BF2DC1" w:rsidRDefault="00BF2DC1">
      <w:pPr>
        <w:rPr>
          <w:rFonts w:cs="Times New Roman"/>
          <w:b/>
          <w:szCs w:val="24"/>
        </w:rPr>
      </w:pPr>
    </w:p>
    <w:p w14:paraId="0DDD938F" w14:textId="77777777" w:rsidR="00BF2DC1" w:rsidRDefault="00BF2DC1">
      <w:pPr>
        <w:rPr>
          <w:rFonts w:cs="Times New Roman"/>
          <w:b/>
          <w:szCs w:val="24"/>
        </w:rPr>
      </w:pPr>
    </w:p>
    <w:p w14:paraId="08728AAD" w14:textId="77777777" w:rsidR="00505248" w:rsidRDefault="00505248" w:rsidP="00505248">
      <w:pPr>
        <w:jc w:val="center"/>
        <w:rPr>
          <w:b/>
          <w:sz w:val="32"/>
        </w:rPr>
      </w:pPr>
    </w:p>
    <w:p w14:paraId="2D3ECB64" w14:textId="77777777" w:rsidR="0046420E" w:rsidRDefault="007A08F5" w:rsidP="00505248">
      <w:pPr>
        <w:jc w:val="center"/>
        <w:rPr>
          <w:b/>
          <w:sz w:val="32"/>
        </w:rPr>
      </w:pPr>
      <w:r w:rsidRPr="004C1CC2">
        <w:rPr>
          <w:b/>
          <w:sz w:val="40"/>
        </w:rPr>
        <w:t>Saturs</w:t>
      </w:r>
    </w:p>
    <w:p w14:paraId="5D0D8C2D" w14:textId="77777777" w:rsidR="00505248" w:rsidRPr="00864E0D" w:rsidRDefault="00505248" w:rsidP="00505248">
      <w:pPr>
        <w:jc w:val="center"/>
        <w:rPr>
          <w:b/>
          <w:sz w:val="18"/>
        </w:rPr>
      </w:pPr>
    </w:p>
    <w:sdt>
      <w:sdtPr>
        <w:rPr>
          <w:noProof w:val="0"/>
        </w:rPr>
        <w:id w:val="-886095326"/>
        <w:docPartObj>
          <w:docPartGallery w:val="Table of Contents"/>
          <w:docPartUnique/>
        </w:docPartObj>
      </w:sdtPr>
      <w:sdtEndPr>
        <w:rPr>
          <w:noProof/>
        </w:rPr>
      </w:sdtEndPr>
      <w:sdtContent>
        <w:p w14:paraId="17429B1B" w14:textId="2F619A22" w:rsidR="006F630B" w:rsidRDefault="00D063CB">
          <w:pPr>
            <w:pStyle w:val="TOC1"/>
            <w:rPr>
              <w:rFonts w:asciiTheme="minorHAnsi" w:eastAsiaTheme="minorEastAsia" w:hAnsiTheme="minorHAnsi"/>
              <w:b w:val="0"/>
              <w:kern w:val="2"/>
              <w:szCs w:val="24"/>
              <w:lang w:eastAsia="lv-LV"/>
              <w14:ligatures w14:val="standardContextual"/>
            </w:rPr>
          </w:pPr>
          <w:r>
            <w:fldChar w:fldCharType="begin"/>
          </w:r>
          <w:r>
            <w:instrText xml:space="preserve"> TOC \o "1-3" \h \z \u </w:instrText>
          </w:r>
          <w:r>
            <w:fldChar w:fldCharType="separate"/>
          </w:r>
          <w:hyperlink w:anchor="_Toc177627689" w:history="1">
            <w:r w:rsidR="006F630B" w:rsidRPr="00141611">
              <w:rPr>
                <w:rStyle w:val="Hyperlink"/>
              </w:rPr>
              <w:t>Saīsinājumu saraksts</w:t>
            </w:r>
            <w:r w:rsidR="006F630B">
              <w:rPr>
                <w:webHidden/>
              </w:rPr>
              <w:tab/>
            </w:r>
            <w:r w:rsidR="006F630B">
              <w:rPr>
                <w:webHidden/>
              </w:rPr>
              <w:fldChar w:fldCharType="begin"/>
            </w:r>
            <w:r w:rsidR="006F630B">
              <w:rPr>
                <w:webHidden/>
              </w:rPr>
              <w:instrText xml:space="preserve"> PAGEREF _Toc177627689 \h </w:instrText>
            </w:r>
            <w:r w:rsidR="006F630B">
              <w:rPr>
                <w:webHidden/>
              </w:rPr>
            </w:r>
            <w:r w:rsidR="006F630B">
              <w:rPr>
                <w:webHidden/>
              </w:rPr>
              <w:fldChar w:fldCharType="separate"/>
            </w:r>
            <w:r w:rsidR="006F630B">
              <w:rPr>
                <w:webHidden/>
              </w:rPr>
              <w:t>4</w:t>
            </w:r>
            <w:r w:rsidR="006F630B">
              <w:rPr>
                <w:webHidden/>
              </w:rPr>
              <w:fldChar w:fldCharType="end"/>
            </w:r>
          </w:hyperlink>
        </w:p>
        <w:p w14:paraId="71450E95" w14:textId="4CC6C29C" w:rsidR="006F630B" w:rsidRDefault="006F630B">
          <w:pPr>
            <w:pStyle w:val="TOC1"/>
            <w:rPr>
              <w:rFonts w:asciiTheme="minorHAnsi" w:eastAsiaTheme="minorEastAsia" w:hAnsiTheme="minorHAnsi"/>
              <w:b w:val="0"/>
              <w:kern w:val="2"/>
              <w:szCs w:val="24"/>
              <w:lang w:eastAsia="lv-LV"/>
              <w14:ligatures w14:val="standardContextual"/>
            </w:rPr>
          </w:pPr>
          <w:hyperlink w:anchor="_Toc177627690" w:history="1">
            <w:r w:rsidRPr="00141611">
              <w:rPr>
                <w:rStyle w:val="Hyperlink"/>
              </w:rPr>
              <w:t>Ievads</w:t>
            </w:r>
            <w:r>
              <w:rPr>
                <w:webHidden/>
              </w:rPr>
              <w:tab/>
            </w:r>
            <w:r>
              <w:rPr>
                <w:webHidden/>
              </w:rPr>
              <w:fldChar w:fldCharType="begin"/>
            </w:r>
            <w:r>
              <w:rPr>
                <w:webHidden/>
              </w:rPr>
              <w:instrText xml:space="preserve"> PAGEREF _Toc177627690 \h </w:instrText>
            </w:r>
            <w:r>
              <w:rPr>
                <w:webHidden/>
              </w:rPr>
            </w:r>
            <w:r>
              <w:rPr>
                <w:webHidden/>
              </w:rPr>
              <w:fldChar w:fldCharType="separate"/>
            </w:r>
            <w:r>
              <w:rPr>
                <w:webHidden/>
              </w:rPr>
              <w:t>5</w:t>
            </w:r>
            <w:r>
              <w:rPr>
                <w:webHidden/>
              </w:rPr>
              <w:fldChar w:fldCharType="end"/>
            </w:r>
          </w:hyperlink>
        </w:p>
        <w:p w14:paraId="014D57AE" w14:textId="11370105" w:rsidR="006F630B" w:rsidRDefault="006F630B">
          <w:pPr>
            <w:pStyle w:val="TOC1"/>
            <w:rPr>
              <w:rFonts w:asciiTheme="minorHAnsi" w:eastAsiaTheme="minorEastAsia" w:hAnsiTheme="minorHAnsi"/>
              <w:b w:val="0"/>
              <w:kern w:val="2"/>
              <w:szCs w:val="24"/>
              <w:lang w:eastAsia="lv-LV"/>
              <w14:ligatures w14:val="standardContextual"/>
            </w:rPr>
          </w:pPr>
          <w:hyperlink w:anchor="_Toc177627691" w:history="1">
            <w:r w:rsidRPr="00141611">
              <w:rPr>
                <w:rStyle w:val="Hyperlink"/>
              </w:rPr>
              <w:t>1.</w:t>
            </w:r>
            <w:r>
              <w:rPr>
                <w:rFonts w:asciiTheme="minorHAnsi" w:eastAsiaTheme="minorEastAsia" w:hAnsiTheme="minorHAnsi"/>
                <w:b w:val="0"/>
                <w:kern w:val="2"/>
                <w:szCs w:val="24"/>
                <w:lang w:eastAsia="lv-LV"/>
                <w14:ligatures w14:val="standardContextual"/>
              </w:rPr>
              <w:tab/>
            </w:r>
            <w:r w:rsidRPr="00141611">
              <w:rPr>
                <w:rStyle w:val="Hyperlink"/>
              </w:rPr>
              <w:t>Darbaspēka nodokļu sloga mazināšanas scenārijs</w:t>
            </w:r>
            <w:r>
              <w:rPr>
                <w:webHidden/>
              </w:rPr>
              <w:tab/>
            </w:r>
            <w:r>
              <w:rPr>
                <w:webHidden/>
              </w:rPr>
              <w:fldChar w:fldCharType="begin"/>
            </w:r>
            <w:r>
              <w:rPr>
                <w:webHidden/>
              </w:rPr>
              <w:instrText xml:space="preserve"> PAGEREF _Toc177627691 \h </w:instrText>
            </w:r>
            <w:r>
              <w:rPr>
                <w:webHidden/>
              </w:rPr>
            </w:r>
            <w:r>
              <w:rPr>
                <w:webHidden/>
              </w:rPr>
              <w:fldChar w:fldCharType="separate"/>
            </w:r>
            <w:r>
              <w:rPr>
                <w:webHidden/>
              </w:rPr>
              <w:t>7</w:t>
            </w:r>
            <w:r>
              <w:rPr>
                <w:webHidden/>
              </w:rPr>
              <w:fldChar w:fldCharType="end"/>
            </w:r>
          </w:hyperlink>
        </w:p>
        <w:p w14:paraId="0F2950E8" w14:textId="6D770821" w:rsidR="006F630B" w:rsidRDefault="006F630B">
          <w:pPr>
            <w:pStyle w:val="TOC2"/>
            <w:rPr>
              <w:rFonts w:asciiTheme="minorHAnsi" w:eastAsiaTheme="minorEastAsia" w:hAnsiTheme="minorHAnsi"/>
              <w:kern w:val="2"/>
              <w:szCs w:val="24"/>
              <w:lang w:eastAsia="lv-LV"/>
              <w14:ligatures w14:val="standardContextual"/>
            </w:rPr>
          </w:pPr>
          <w:hyperlink w:anchor="_Toc177627692" w:history="1">
            <w:r w:rsidRPr="00141611">
              <w:rPr>
                <w:rStyle w:val="Hyperlink"/>
              </w:rPr>
              <w:t>1.1. Iedzīvotāju ienākuma nodokļa izmaiņas</w:t>
            </w:r>
            <w:r>
              <w:rPr>
                <w:webHidden/>
              </w:rPr>
              <w:tab/>
            </w:r>
            <w:r>
              <w:rPr>
                <w:webHidden/>
              </w:rPr>
              <w:fldChar w:fldCharType="begin"/>
            </w:r>
            <w:r>
              <w:rPr>
                <w:webHidden/>
              </w:rPr>
              <w:instrText xml:space="preserve"> PAGEREF _Toc177627692 \h </w:instrText>
            </w:r>
            <w:r>
              <w:rPr>
                <w:webHidden/>
              </w:rPr>
            </w:r>
            <w:r>
              <w:rPr>
                <w:webHidden/>
              </w:rPr>
              <w:fldChar w:fldCharType="separate"/>
            </w:r>
            <w:r>
              <w:rPr>
                <w:webHidden/>
              </w:rPr>
              <w:t>7</w:t>
            </w:r>
            <w:r>
              <w:rPr>
                <w:webHidden/>
              </w:rPr>
              <w:fldChar w:fldCharType="end"/>
            </w:r>
          </w:hyperlink>
        </w:p>
        <w:p w14:paraId="3F118B94" w14:textId="53784BF7" w:rsidR="006F630B" w:rsidRDefault="006F630B">
          <w:pPr>
            <w:pStyle w:val="TOC3"/>
            <w:rPr>
              <w:rFonts w:asciiTheme="minorHAnsi" w:eastAsiaTheme="minorEastAsia" w:hAnsiTheme="minorHAnsi"/>
              <w:i w:val="0"/>
              <w:kern w:val="2"/>
              <w:szCs w:val="24"/>
              <w:lang w:eastAsia="lv-LV"/>
              <w14:ligatures w14:val="standardContextual"/>
            </w:rPr>
          </w:pPr>
          <w:hyperlink w:anchor="_Toc177627693" w:history="1">
            <w:r w:rsidRPr="00141611">
              <w:rPr>
                <w:rStyle w:val="Hyperlink"/>
              </w:rPr>
              <w:t>1.1.1. Situācijas apraksts</w:t>
            </w:r>
            <w:r>
              <w:rPr>
                <w:webHidden/>
              </w:rPr>
              <w:tab/>
            </w:r>
            <w:r>
              <w:rPr>
                <w:webHidden/>
              </w:rPr>
              <w:fldChar w:fldCharType="begin"/>
            </w:r>
            <w:r>
              <w:rPr>
                <w:webHidden/>
              </w:rPr>
              <w:instrText xml:space="preserve"> PAGEREF _Toc177627693 \h </w:instrText>
            </w:r>
            <w:r>
              <w:rPr>
                <w:webHidden/>
              </w:rPr>
            </w:r>
            <w:r>
              <w:rPr>
                <w:webHidden/>
              </w:rPr>
              <w:fldChar w:fldCharType="separate"/>
            </w:r>
            <w:r>
              <w:rPr>
                <w:webHidden/>
              </w:rPr>
              <w:t>7</w:t>
            </w:r>
            <w:r>
              <w:rPr>
                <w:webHidden/>
              </w:rPr>
              <w:fldChar w:fldCharType="end"/>
            </w:r>
          </w:hyperlink>
        </w:p>
        <w:p w14:paraId="1F24940E" w14:textId="387F993C" w:rsidR="006F630B" w:rsidRDefault="006F630B">
          <w:pPr>
            <w:pStyle w:val="TOC3"/>
            <w:rPr>
              <w:rFonts w:asciiTheme="minorHAnsi" w:eastAsiaTheme="minorEastAsia" w:hAnsiTheme="minorHAnsi"/>
              <w:i w:val="0"/>
              <w:kern w:val="2"/>
              <w:szCs w:val="24"/>
              <w:lang w:eastAsia="lv-LV"/>
              <w14:ligatures w14:val="standardContextual"/>
            </w:rPr>
          </w:pPr>
          <w:hyperlink w:anchor="_Toc177627694" w:history="1">
            <w:r w:rsidRPr="00141611">
              <w:rPr>
                <w:rStyle w:val="Hyperlink"/>
                <w:rFonts w:cs="Times New Roman"/>
              </w:rPr>
              <w:t>1.</w:t>
            </w:r>
            <w:r w:rsidRPr="00141611">
              <w:rPr>
                <w:rStyle w:val="Hyperlink"/>
                <w:rFonts w:cs="Times New Roman"/>
                <w:bCs/>
              </w:rPr>
              <w:t>1.2.</w:t>
            </w:r>
            <w:r w:rsidRPr="00141611">
              <w:rPr>
                <w:rStyle w:val="Hyperlink"/>
                <w:rFonts w:cs="Times New Roman"/>
              </w:rPr>
              <w:t xml:space="preserve"> Piedāvātais risinājums</w:t>
            </w:r>
            <w:r>
              <w:rPr>
                <w:webHidden/>
              </w:rPr>
              <w:tab/>
            </w:r>
            <w:r>
              <w:rPr>
                <w:webHidden/>
              </w:rPr>
              <w:fldChar w:fldCharType="begin"/>
            </w:r>
            <w:r>
              <w:rPr>
                <w:webHidden/>
              </w:rPr>
              <w:instrText xml:space="preserve"> PAGEREF _Toc177627694 \h </w:instrText>
            </w:r>
            <w:r>
              <w:rPr>
                <w:webHidden/>
              </w:rPr>
            </w:r>
            <w:r>
              <w:rPr>
                <w:webHidden/>
              </w:rPr>
              <w:fldChar w:fldCharType="separate"/>
            </w:r>
            <w:r>
              <w:rPr>
                <w:webHidden/>
              </w:rPr>
              <w:t>9</w:t>
            </w:r>
            <w:r>
              <w:rPr>
                <w:webHidden/>
              </w:rPr>
              <w:fldChar w:fldCharType="end"/>
            </w:r>
          </w:hyperlink>
        </w:p>
        <w:p w14:paraId="5950B2CD" w14:textId="77D6A565" w:rsidR="006F630B" w:rsidRDefault="006F630B">
          <w:pPr>
            <w:pStyle w:val="TOC3"/>
            <w:rPr>
              <w:rFonts w:asciiTheme="minorHAnsi" w:eastAsiaTheme="minorEastAsia" w:hAnsiTheme="minorHAnsi"/>
              <w:i w:val="0"/>
              <w:kern w:val="2"/>
              <w:szCs w:val="24"/>
              <w:lang w:eastAsia="lv-LV"/>
              <w14:ligatures w14:val="standardContextual"/>
            </w:rPr>
          </w:pPr>
          <w:hyperlink w:anchor="_Toc177627695" w:history="1">
            <w:r w:rsidRPr="00141611">
              <w:rPr>
                <w:rStyle w:val="Hyperlink"/>
              </w:rPr>
              <w:t>1.1.3. Piedāvātā risinājuma ietekme uz darba devēja izmaksām un strādājošo atalgojumu</w:t>
            </w:r>
            <w:r>
              <w:rPr>
                <w:webHidden/>
              </w:rPr>
              <w:tab/>
            </w:r>
            <w:r>
              <w:rPr>
                <w:webHidden/>
              </w:rPr>
              <w:fldChar w:fldCharType="begin"/>
            </w:r>
            <w:r>
              <w:rPr>
                <w:webHidden/>
              </w:rPr>
              <w:instrText xml:space="preserve"> PAGEREF _Toc177627695 \h </w:instrText>
            </w:r>
            <w:r>
              <w:rPr>
                <w:webHidden/>
              </w:rPr>
            </w:r>
            <w:r>
              <w:rPr>
                <w:webHidden/>
              </w:rPr>
              <w:fldChar w:fldCharType="separate"/>
            </w:r>
            <w:r>
              <w:rPr>
                <w:webHidden/>
              </w:rPr>
              <w:t>10</w:t>
            </w:r>
            <w:r>
              <w:rPr>
                <w:webHidden/>
              </w:rPr>
              <w:fldChar w:fldCharType="end"/>
            </w:r>
          </w:hyperlink>
        </w:p>
        <w:p w14:paraId="07E85AE3" w14:textId="18F3133D" w:rsidR="006F630B" w:rsidRDefault="006F630B">
          <w:pPr>
            <w:pStyle w:val="TOC3"/>
            <w:rPr>
              <w:rFonts w:asciiTheme="minorHAnsi" w:eastAsiaTheme="minorEastAsia" w:hAnsiTheme="minorHAnsi"/>
              <w:i w:val="0"/>
              <w:kern w:val="2"/>
              <w:szCs w:val="24"/>
              <w:lang w:eastAsia="lv-LV"/>
              <w14:ligatures w14:val="standardContextual"/>
            </w:rPr>
          </w:pPr>
          <w:hyperlink w:anchor="_Toc177627696" w:history="1">
            <w:r w:rsidRPr="00141611">
              <w:rPr>
                <w:rStyle w:val="Hyperlink"/>
              </w:rPr>
              <w:t>1.1.4. Piedāvātā risinājuma ietekme uz pensiju saņēmējiem</w:t>
            </w:r>
            <w:r>
              <w:rPr>
                <w:webHidden/>
              </w:rPr>
              <w:tab/>
            </w:r>
            <w:r>
              <w:rPr>
                <w:webHidden/>
              </w:rPr>
              <w:fldChar w:fldCharType="begin"/>
            </w:r>
            <w:r>
              <w:rPr>
                <w:webHidden/>
              </w:rPr>
              <w:instrText xml:space="preserve"> PAGEREF _Toc177627696 \h </w:instrText>
            </w:r>
            <w:r>
              <w:rPr>
                <w:webHidden/>
              </w:rPr>
            </w:r>
            <w:r>
              <w:rPr>
                <w:webHidden/>
              </w:rPr>
              <w:fldChar w:fldCharType="separate"/>
            </w:r>
            <w:r>
              <w:rPr>
                <w:webHidden/>
              </w:rPr>
              <w:t>13</w:t>
            </w:r>
            <w:r>
              <w:rPr>
                <w:webHidden/>
              </w:rPr>
              <w:fldChar w:fldCharType="end"/>
            </w:r>
          </w:hyperlink>
        </w:p>
        <w:p w14:paraId="77F365F7" w14:textId="2335CF87" w:rsidR="006F630B" w:rsidRDefault="006F630B">
          <w:pPr>
            <w:pStyle w:val="TOC2"/>
            <w:rPr>
              <w:rFonts w:asciiTheme="minorHAnsi" w:eastAsiaTheme="minorEastAsia" w:hAnsiTheme="minorHAnsi"/>
              <w:kern w:val="2"/>
              <w:szCs w:val="24"/>
              <w:lang w:eastAsia="lv-LV"/>
              <w14:ligatures w14:val="standardContextual"/>
            </w:rPr>
          </w:pPr>
          <w:hyperlink w:anchor="_Toc177627697" w:history="1">
            <w:r w:rsidRPr="00141611">
              <w:rPr>
                <w:rStyle w:val="Hyperlink"/>
                <w:rFonts w:eastAsia="Calibri" w:cs="Times New Roman"/>
              </w:rPr>
              <w:t>1.2.</w:t>
            </w:r>
            <w:r>
              <w:rPr>
                <w:rFonts w:asciiTheme="minorHAnsi" w:eastAsiaTheme="minorEastAsia" w:hAnsiTheme="minorHAnsi"/>
                <w:kern w:val="2"/>
                <w:szCs w:val="24"/>
                <w:lang w:eastAsia="lv-LV"/>
                <w14:ligatures w14:val="standardContextual"/>
              </w:rPr>
              <w:tab/>
            </w:r>
            <w:r w:rsidRPr="00141611">
              <w:rPr>
                <w:rStyle w:val="Hyperlink"/>
              </w:rPr>
              <w:t>Fondēto pensiju shēmas (II līmeņa) pārnešana uz pensiju pirmo</w:t>
            </w:r>
            <w:r>
              <w:rPr>
                <w:webHidden/>
              </w:rPr>
              <w:tab/>
            </w:r>
            <w:r>
              <w:rPr>
                <w:webHidden/>
              </w:rPr>
              <w:fldChar w:fldCharType="begin"/>
            </w:r>
            <w:r>
              <w:rPr>
                <w:webHidden/>
              </w:rPr>
              <w:instrText xml:space="preserve"> PAGEREF _Toc177627697 \h </w:instrText>
            </w:r>
            <w:r>
              <w:rPr>
                <w:webHidden/>
              </w:rPr>
            </w:r>
            <w:r>
              <w:rPr>
                <w:webHidden/>
              </w:rPr>
              <w:fldChar w:fldCharType="separate"/>
            </w:r>
            <w:r>
              <w:rPr>
                <w:webHidden/>
              </w:rPr>
              <w:t>14</w:t>
            </w:r>
            <w:r>
              <w:rPr>
                <w:webHidden/>
              </w:rPr>
              <w:fldChar w:fldCharType="end"/>
            </w:r>
          </w:hyperlink>
        </w:p>
        <w:p w14:paraId="4F9BBB14" w14:textId="1619EEA1" w:rsidR="006F630B" w:rsidRDefault="006F630B">
          <w:pPr>
            <w:pStyle w:val="TOC2"/>
            <w:rPr>
              <w:rFonts w:asciiTheme="minorHAnsi" w:eastAsiaTheme="minorEastAsia" w:hAnsiTheme="minorHAnsi"/>
              <w:kern w:val="2"/>
              <w:szCs w:val="24"/>
              <w:lang w:eastAsia="lv-LV"/>
              <w14:ligatures w14:val="standardContextual"/>
            </w:rPr>
          </w:pPr>
          <w:hyperlink w:anchor="_Toc177627698" w:history="1">
            <w:r w:rsidRPr="00141611">
              <w:rPr>
                <w:rStyle w:val="Hyperlink"/>
              </w:rPr>
              <w:t>1.3.</w:t>
            </w:r>
            <w:r>
              <w:rPr>
                <w:rFonts w:asciiTheme="minorHAnsi" w:eastAsiaTheme="minorEastAsia" w:hAnsiTheme="minorHAnsi"/>
                <w:kern w:val="2"/>
                <w:szCs w:val="24"/>
                <w:lang w:eastAsia="lv-LV"/>
                <w14:ligatures w14:val="standardContextual"/>
              </w:rPr>
              <w:tab/>
            </w:r>
            <w:r w:rsidRPr="00141611">
              <w:rPr>
                <w:rStyle w:val="Hyperlink"/>
                <w:bCs/>
              </w:rPr>
              <w:t>I</w:t>
            </w:r>
            <w:r w:rsidRPr="00141611">
              <w:rPr>
                <w:rStyle w:val="Hyperlink"/>
              </w:rPr>
              <w:t>edzīvotāju ienākuma nodokļa papildu likmes ieviešana</w:t>
            </w:r>
            <w:r>
              <w:rPr>
                <w:webHidden/>
              </w:rPr>
              <w:tab/>
            </w:r>
            <w:r>
              <w:rPr>
                <w:webHidden/>
              </w:rPr>
              <w:fldChar w:fldCharType="begin"/>
            </w:r>
            <w:r>
              <w:rPr>
                <w:webHidden/>
              </w:rPr>
              <w:instrText xml:space="preserve"> PAGEREF _Toc177627698 \h </w:instrText>
            </w:r>
            <w:r>
              <w:rPr>
                <w:webHidden/>
              </w:rPr>
            </w:r>
            <w:r>
              <w:rPr>
                <w:webHidden/>
              </w:rPr>
              <w:fldChar w:fldCharType="separate"/>
            </w:r>
            <w:r>
              <w:rPr>
                <w:webHidden/>
              </w:rPr>
              <w:t>14</w:t>
            </w:r>
            <w:r>
              <w:rPr>
                <w:webHidden/>
              </w:rPr>
              <w:fldChar w:fldCharType="end"/>
            </w:r>
          </w:hyperlink>
        </w:p>
        <w:p w14:paraId="2464BBF8" w14:textId="7572E267" w:rsidR="006F630B" w:rsidRDefault="006F630B">
          <w:pPr>
            <w:pStyle w:val="TOC2"/>
            <w:rPr>
              <w:rFonts w:asciiTheme="minorHAnsi" w:eastAsiaTheme="minorEastAsia" w:hAnsiTheme="minorHAnsi"/>
              <w:kern w:val="2"/>
              <w:szCs w:val="24"/>
              <w:lang w:eastAsia="lv-LV"/>
              <w14:ligatures w14:val="standardContextual"/>
            </w:rPr>
          </w:pPr>
          <w:hyperlink w:anchor="_Toc177627699" w:history="1">
            <w:r w:rsidRPr="00141611">
              <w:rPr>
                <w:rStyle w:val="Hyperlink"/>
                <w:bCs/>
              </w:rPr>
              <w:t>1.4.</w:t>
            </w:r>
            <w:r>
              <w:rPr>
                <w:rFonts w:asciiTheme="minorHAnsi" w:eastAsiaTheme="minorEastAsia" w:hAnsiTheme="minorHAnsi"/>
                <w:kern w:val="2"/>
                <w:szCs w:val="24"/>
                <w:lang w:eastAsia="lv-LV"/>
                <w14:ligatures w14:val="standardContextual"/>
              </w:rPr>
              <w:tab/>
            </w:r>
            <w:r w:rsidRPr="00141611">
              <w:rPr>
                <w:rStyle w:val="Hyperlink"/>
                <w:bCs/>
              </w:rPr>
              <w:t>Valsts sociālās apdrošināšanas obligāto iemaksu un brīvprātīgo apdrošināšanas iemaksu objekta maksimālā apmēra palielināšana</w:t>
            </w:r>
            <w:r>
              <w:rPr>
                <w:webHidden/>
              </w:rPr>
              <w:tab/>
            </w:r>
            <w:r>
              <w:rPr>
                <w:webHidden/>
              </w:rPr>
              <w:fldChar w:fldCharType="begin"/>
            </w:r>
            <w:r>
              <w:rPr>
                <w:webHidden/>
              </w:rPr>
              <w:instrText xml:space="preserve"> PAGEREF _Toc177627699 \h </w:instrText>
            </w:r>
            <w:r>
              <w:rPr>
                <w:webHidden/>
              </w:rPr>
            </w:r>
            <w:r>
              <w:rPr>
                <w:webHidden/>
              </w:rPr>
              <w:fldChar w:fldCharType="separate"/>
            </w:r>
            <w:r>
              <w:rPr>
                <w:webHidden/>
              </w:rPr>
              <w:t>15</w:t>
            </w:r>
            <w:r>
              <w:rPr>
                <w:webHidden/>
              </w:rPr>
              <w:fldChar w:fldCharType="end"/>
            </w:r>
          </w:hyperlink>
        </w:p>
        <w:p w14:paraId="478BDA6E" w14:textId="052BA63C" w:rsidR="006F630B" w:rsidRDefault="006F630B">
          <w:pPr>
            <w:pStyle w:val="TOC1"/>
            <w:rPr>
              <w:rFonts w:asciiTheme="minorHAnsi" w:eastAsiaTheme="minorEastAsia" w:hAnsiTheme="minorHAnsi"/>
              <w:b w:val="0"/>
              <w:kern w:val="2"/>
              <w:szCs w:val="24"/>
              <w:lang w:eastAsia="lv-LV"/>
              <w14:ligatures w14:val="standardContextual"/>
            </w:rPr>
          </w:pPr>
          <w:hyperlink w:anchor="_Toc177627700" w:history="1">
            <w:r w:rsidRPr="00141611">
              <w:rPr>
                <w:rStyle w:val="Hyperlink"/>
              </w:rPr>
              <w:t>2.</w:t>
            </w:r>
            <w:r>
              <w:rPr>
                <w:rFonts w:asciiTheme="minorHAnsi" w:eastAsiaTheme="minorEastAsia" w:hAnsiTheme="minorHAnsi"/>
                <w:b w:val="0"/>
                <w:kern w:val="2"/>
                <w:szCs w:val="24"/>
                <w:lang w:eastAsia="lv-LV"/>
                <w14:ligatures w14:val="standardContextual"/>
              </w:rPr>
              <w:tab/>
            </w:r>
            <w:r w:rsidRPr="00141611">
              <w:rPr>
                <w:rStyle w:val="Hyperlink"/>
              </w:rPr>
              <w:t>Citi pasākumi</w:t>
            </w:r>
            <w:r>
              <w:rPr>
                <w:webHidden/>
              </w:rPr>
              <w:tab/>
            </w:r>
            <w:r>
              <w:rPr>
                <w:webHidden/>
              </w:rPr>
              <w:fldChar w:fldCharType="begin"/>
            </w:r>
            <w:r>
              <w:rPr>
                <w:webHidden/>
              </w:rPr>
              <w:instrText xml:space="preserve"> PAGEREF _Toc177627700 \h </w:instrText>
            </w:r>
            <w:r>
              <w:rPr>
                <w:webHidden/>
              </w:rPr>
            </w:r>
            <w:r>
              <w:rPr>
                <w:webHidden/>
              </w:rPr>
              <w:fldChar w:fldCharType="separate"/>
            </w:r>
            <w:r>
              <w:rPr>
                <w:webHidden/>
              </w:rPr>
              <w:t>17</w:t>
            </w:r>
            <w:r>
              <w:rPr>
                <w:webHidden/>
              </w:rPr>
              <w:fldChar w:fldCharType="end"/>
            </w:r>
          </w:hyperlink>
        </w:p>
        <w:p w14:paraId="5B4796C9" w14:textId="20D0428E" w:rsidR="006F630B" w:rsidRDefault="006F630B">
          <w:pPr>
            <w:pStyle w:val="TOC2"/>
            <w:rPr>
              <w:rFonts w:asciiTheme="minorHAnsi" w:eastAsiaTheme="minorEastAsia" w:hAnsiTheme="minorHAnsi"/>
              <w:kern w:val="2"/>
              <w:szCs w:val="24"/>
              <w:lang w:eastAsia="lv-LV"/>
              <w14:ligatures w14:val="standardContextual"/>
            </w:rPr>
          </w:pPr>
          <w:hyperlink w:anchor="_Toc177627701" w:history="1">
            <w:r w:rsidRPr="00141611">
              <w:rPr>
                <w:rStyle w:val="Hyperlink"/>
              </w:rPr>
              <w:t>2.1.</w:t>
            </w:r>
            <w:r w:rsidRPr="00141611">
              <w:rPr>
                <w:rStyle w:val="Hyperlink"/>
                <w:rFonts w:ascii="Verdana" w:eastAsia="Verdana" w:hAnsi="Verdana"/>
                <w:lang w:eastAsia="lv-LV"/>
              </w:rPr>
              <w:t xml:space="preserve"> </w:t>
            </w:r>
            <w:r>
              <w:rPr>
                <w:rFonts w:asciiTheme="minorHAnsi" w:eastAsiaTheme="minorEastAsia" w:hAnsiTheme="minorHAnsi"/>
                <w:kern w:val="2"/>
                <w:szCs w:val="24"/>
                <w:lang w:eastAsia="lv-LV"/>
                <w14:ligatures w14:val="standardContextual"/>
              </w:rPr>
              <w:tab/>
            </w:r>
            <w:r w:rsidRPr="00141611">
              <w:rPr>
                <w:rStyle w:val="Hyperlink"/>
              </w:rPr>
              <w:t>Pievienotās vērtības nodokļa samazinātās likmes piemērošana arī turpmāk svaigiem augļiem, ogām un dārzeņiem</w:t>
            </w:r>
            <w:r>
              <w:rPr>
                <w:webHidden/>
              </w:rPr>
              <w:tab/>
            </w:r>
            <w:r>
              <w:rPr>
                <w:webHidden/>
              </w:rPr>
              <w:fldChar w:fldCharType="begin"/>
            </w:r>
            <w:r>
              <w:rPr>
                <w:webHidden/>
              </w:rPr>
              <w:instrText xml:space="preserve"> PAGEREF _Toc177627701 \h </w:instrText>
            </w:r>
            <w:r>
              <w:rPr>
                <w:webHidden/>
              </w:rPr>
            </w:r>
            <w:r>
              <w:rPr>
                <w:webHidden/>
              </w:rPr>
              <w:fldChar w:fldCharType="separate"/>
            </w:r>
            <w:r>
              <w:rPr>
                <w:webHidden/>
              </w:rPr>
              <w:t>17</w:t>
            </w:r>
            <w:r>
              <w:rPr>
                <w:webHidden/>
              </w:rPr>
              <w:fldChar w:fldCharType="end"/>
            </w:r>
          </w:hyperlink>
        </w:p>
        <w:p w14:paraId="64707B47" w14:textId="33AAD0F1" w:rsidR="006F630B" w:rsidRDefault="006F630B">
          <w:pPr>
            <w:pStyle w:val="TOC2"/>
            <w:rPr>
              <w:rFonts w:asciiTheme="minorHAnsi" w:eastAsiaTheme="minorEastAsia" w:hAnsiTheme="minorHAnsi"/>
              <w:kern w:val="2"/>
              <w:szCs w:val="24"/>
              <w:lang w:eastAsia="lv-LV"/>
              <w14:ligatures w14:val="standardContextual"/>
            </w:rPr>
          </w:pPr>
          <w:hyperlink w:anchor="_Toc177627702" w:history="1">
            <w:r w:rsidRPr="00141611">
              <w:rPr>
                <w:rStyle w:val="Hyperlink"/>
              </w:rPr>
              <w:t xml:space="preserve">2.2. </w:t>
            </w:r>
            <w:r>
              <w:rPr>
                <w:rFonts w:asciiTheme="minorHAnsi" w:eastAsiaTheme="minorEastAsia" w:hAnsiTheme="minorHAnsi"/>
                <w:kern w:val="2"/>
                <w:szCs w:val="24"/>
                <w:lang w:eastAsia="lv-LV"/>
                <w14:ligatures w14:val="standardContextual"/>
              </w:rPr>
              <w:tab/>
            </w:r>
            <w:r w:rsidRPr="00141611">
              <w:rPr>
                <w:rStyle w:val="Hyperlink"/>
              </w:rPr>
              <w:t xml:space="preserve">Lauksaimnieku saņemtās atbalsta summas arī turpmāka neaplikšana ar </w:t>
            </w:r>
            <w:r w:rsidRPr="00141611">
              <w:rPr>
                <w:rStyle w:val="Hyperlink"/>
                <w:rFonts w:eastAsia="Calibri"/>
              </w:rPr>
              <w:t>iedzīvotāju ienākuma nodokli</w:t>
            </w:r>
            <w:r>
              <w:rPr>
                <w:webHidden/>
              </w:rPr>
              <w:tab/>
            </w:r>
            <w:r>
              <w:rPr>
                <w:webHidden/>
              </w:rPr>
              <w:fldChar w:fldCharType="begin"/>
            </w:r>
            <w:r>
              <w:rPr>
                <w:webHidden/>
              </w:rPr>
              <w:instrText xml:space="preserve"> PAGEREF _Toc177627702 \h </w:instrText>
            </w:r>
            <w:r>
              <w:rPr>
                <w:webHidden/>
              </w:rPr>
            </w:r>
            <w:r>
              <w:rPr>
                <w:webHidden/>
              </w:rPr>
              <w:fldChar w:fldCharType="separate"/>
            </w:r>
            <w:r>
              <w:rPr>
                <w:webHidden/>
              </w:rPr>
              <w:t>17</w:t>
            </w:r>
            <w:r>
              <w:rPr>
                <w:webHidden/>
              </w:rPr>
              <w:fldChar w:fldCharType="end"/>
            </w:r>
          </w:hyperlink>
        </w:p>
        <w:p w14:paraId="4A363FF7" w14:textId="7BD4AD45" w:rsidR="006F630B" w:rsidRDefault="006F630B">
          <w:pPr>
            <w:pStyle w:val="TOC2"/>
            <w:rPr>
              <w:rFonts w:asciiTheme="minorHAnsi" w:eastAsiaTheme="minorEastAsia" w:hAnsiTheme="minorHAnsi"/>
              <w:kern w:val="2"/>
              <w:szCs w:val="24"/>
              <w:lang w:eastAsia="lv-LV"/>
              <w14:ligatures w14:val="standardContextual"/>
            </w:rPr>
          </w:pPr>
          <w:hyperlink w:anchor="_Toc177627703" w:history="1">
            <w:r w:rsidRPr="00141611">
              <w:rPr>
                <w:rStyle w:val="Hyperlink"/>
              </w:rPr>
              <w:t xml:space="preserve">2.3. </w:t>
            </w:r>
            <w:r>
              <w:rPr>
                <w:rFonts w:asciiTheme="minorHAnsi" w:eastAsiaTheme="minorEastAsia" w:hAnsiTheme="minorHAnsi"/>
                <w:kern w:val="2"/>
                <w:szCs w:val="24"/>
                <w:lang w:eastAsia="lv-LV"/>
                <w14:ligatures w14:val="standardContextual"/>
              </w:rPr>
              <w:tab/>
            </w:r>
            <w:r w:rsidRPr="00141611">
              <w:rPr>
                <w:rStyle w:val="Hyperlink"/>
              </w:rPr>
              <w:t xml:space="preserve">Lauksaimniecības zemes neaplikšana ar </w:t>
            </w:r>
            <w:r w:rsidRPr="00141611">
              <w:rPr>
                <w:rStyle w:val="Hyperlink"/>
                <w:rFonts w:eastAsia="Calibri"/>
              </w:rPr>
              <w:t>iedzīvotāju ienākuma nodokli</w:t>
            </w:r>
            <w:r>
              <w:rPr>
                <w:webHidden/>
              </w:rPr>
              <w:tab/>
            </w:r>
            <w:r>
              <w:rPr>
                <w:webHidden/>
              </w:rPr>
              <w:fldChar w:fldCharType="begin"/>
            </w:r>
            <w:r>
              <w:rPr>
                <w:webHidden/>
              </w:rPr>
              <w:instrText xml:space="preserve"> PAGEREF _Toc177627703 \h </w:instrText>
            </w:r>
            <w:r>
              <w:rPr>
                <w:webHidden/>
              </w:rPr>
            </w:r>
            <w:r>
              <w:rPr>
                <w:webHidden/>
              </w:rPr>
              <w:fldChar w:fldCharType="separate"/>
            </w:r>
            <w:r>
              <w:rPr>
                <w:webHidden/>
              </w:rPr>
              <w:t>17</w:t>
            </w:r>
            <w:r>
              <w:rPr>
                <w:webHidden/>
              </w:rPr>
              <w:fldChar w:fldCharType="end"/>
            </w:r>
          </w:hyperlink>
        </w:p>
        <w:p w14:paraId="1E40B329" w14:textId="69BBB152" w:rsidR="006F630B" w:rsidRDefault="006F630B">
          <w:pPr>
            <w:pStyle w:val="TOC2"/>
            <w:rPr>
              <w:rFonts w:asciiTheme="minorHAnsi" w:eastAsiaTheme="minorEastAsia" w:hAnsiTheme="minorHAnsi"/>
              <w:kern w:val="2"/>
              <w:szCs w:val="24"/>
              <w:lang w:eastAsia="lv-LV"/>
              <w14:ligatures w14:val="standardContextual"/>
            </w:rPr>
          </w:pPr>
          <w:hyperlink w:anchor="_Toc177627704" w:history="1">
            <w:r w:rsidRPr="00141611">
              <w:rPr>
                <w:rStyle w:val="Hyperlink"/>
              </w:rPr>
              <w:t xml:space="preserve">2.4. </w:t>
            </w:r>
            <w:r>
              <w:rPr>
                <w:rFonts w:asciiTheme="minorHAnsi" w:eastAsiaTheme="minorEastAsia" w:hAnsiTheme="minorHAnsi"/>
                <w:kern w:val="2"/>
                <w:szCs w:val="24"/>
                <w:lang w:eastAsia="lv-LV"/>
                <w14:ligatures w14:val="standardContextual"/>
              </w:rPr>
              <w:tab/>
            </w:r>
            <w:r w:rsidRPr="00141611">
              <w:rPr>
                <w:rStyle w:val="Hyperlink"/>
                <w:rFonts w:eastAsia="Calibri"/>
              </w:rPr>
              <w:t xml:space="preserve">Iedzīvotāju ienākuma nodokļa </w:t>
            </w:r>
            <w:r w:rsidRPr="00141611">
              <w:rPr>
                <w:rStyle w:val="Hyperlink"/>
              </w:rPr>
              <w:t>atvieglojuma koplīgumiem paplašināšana un limita paaugstināšana</w:t>
            </w:r>
            <w:r>
              <w:rPr>
                <w:webHidden/>
              </w:rPr>
              <w:tab/>
            </w:r>
            <w:r>
              <w:rPr>
                <w:webHidden/>
              </w:rPr>
              <w:fldChar w:fldCharType="begin"/>
            </w:r>
            <w:r>
              <w:rPr>
                <w:webHidden/>
              </w:rPr>
              <w:instrText xml:space="preserve"> PAGEREF _Toc177627704 \h </w:instrText>
            </w:r>
            <w:r>
              <w:rPr>
                <w:webHidden/>
              </w:rPr>
            </w:r>
            <w:r>
              <w:rPr>
                <w:webHidden/>
              </w:rPr>
              <w:fldChar w:fldCharType="separate"/>
            </w:r>
            <w:r>
              <w:rPr>
                <w:webHidden/>
              </w:rPr>
              <w:t>19</w:t>
            </w:r>
            <w:r>
              <w:rPr>
                <w:webHidden/>
              </w:rPr>
              <w:fldChar w:fldCharType="end"/>
            </w:r>
          </w:hyperlink>
        </w:p>
        <w:p w14:paraId="3325E9DD" w14:textId="658FAE4C" w:rsidR="006F630B" w:rsidRDefault="006F630B">
          <w:pPr>
            <w:pStyle w:val="TOC2"/>
            <w:rPr>
              <w:rFonts w:asciiTheme="minorHAnsi" w:eastAsiaTheme="minorEastAsia" w:hAnsiTheme="minorHAnsi"/>
              <w:kern w:val="2"/>
              <w:szCs w:val="24"/>
              <w:lang w:eastAsia="lv-LV"/>
              <w14:ligatures w14:val="standardContextual"/>
            </w:rPr>
          </w:pPr>
          <w:hyperlink w:anchor="_Toc177627705" w:history="1">
            <w:r w:rsidRPr="00141611">
              <w:rPr>
                <w:rStyle w:val="Hyperlink"/>
              </w:rPr>
              <w:t xml:space="preserve">2.5. </w:t>
            </w:r>
            <w:r>
              <w:rPr>
                <w:rFonts w:asciiTheme="minorHAnsi" w:eastAsiaTheme="minorEastAsia" w:hAnsiTheme="minorHAnsi"/>
                <w:kern w:val="2"/>
                <w:szCs w:val="24"/>
                <w:lang w:eastAsia="lv-LV"/>
                <w14:ligatures w14:val="standardContextual"/>
              </w:rPr>
              <w:tab/>
            </w:r>
            <w:r w:rsidRPr="00141611">
              <w:rPr>
                <w:rStyle w:val="Hyperlink"/>
              </w:rPr>
              <w:t xml:space="preserve">No </w:t>
            </w:r>
            <w:r w:rsidRPr="00141611">
              <w:rPr>
                <w:rStyle w:val="Hyperlink"/>
                <w:rFonts w:eastAsia="Calibri"/>
              </w:rPr>
              <w:t xml:space="preserve">iedzīvotāju ienākuma nodokļa </w:t>
            </w:r>
            <w:r w:rsidRPr="00141611">
              <w:rPr>
                <w:rStyle w:val="Hyperlink"/>
              </w:rPr>
              <w:t xml:space="preserve">atbrīvojamās summas paaugstināšana darba devēja izmaksātajam bēru pabalstam un bērna piedzimšanas pabalstam, kā arī </w:t>
            </w:r>
            <w:r w:rsidRPr="00141611">
              <w:rPr>
                <w:rStyle w:val="Hyperlink"/>
                <w:bCs/>
              </w:rPr>
              <w:t>darba devēja dāvanām</w:t>
            </w:r>
            <w:r>
              <w:rPr>
                <w:webHidden/>
              </w:rPr>
              <w:tab/>
            </w:r>
            <w:r>
              <w:rPr>
                <w:webHidden/>
              </w:rPr>
              <w:fldChar w:fldCharType="begin"/>
            </w:r>
            <w:r>
              <w:rPr>
                <w:webHidden/>
              </w:rPr>
              <w:instrText xml:space="preserve"> PAGEREF _Toc177627705 \h </w:instrText>
            </w:r>
            <w:r>
              <w:rPr>
                <w:webHidden/>
              </w:rPr>
            </w:r>
            <w:r>
              <w:rPr>
                <w:webHidden/>
              </w:rPr>
              <w:fldChar w:fldCharType="separate"/>
            </w:r>
            <w:r>
              <w:rPr>
                <w:webHidden/>
              </w:rPr>
              <w:t>19</w:t>
            </w:r>
            <w:r>
              <w:rPr>
                <w:webHidden/>
              </w:rPr>
              <w:fldChar w:fldCharType="end"/>
            </w:r>
          </w:hyperlink>
        </w:p>
        <w:p w14:paraId="50897F14" w14:textId="381FC453" w:rsidR="006F630B" w:rsidRDefault="006F630B">
          <w:pPr>
            <w:pStyle w:val="TOC2"/>
            <w:rPr>
              <w:rFonts w:asciiTheme="minorHAnsi" w:eastAsiaTheme="minorEastAsia" w:hAnsiTheme="minorHAnsi"/>
              <w:kern w:val="2"/>
              <w:szCs w:val="24"/>
              <w:lang w:eastAsia="lv-LV"/>
              <w14:ligatures w14:val="standardContextual"/>
            </w:rPr>
          </w:pPr>
          <w:hyperlink w:anchor="_Toc177627706" w:history="1">
            <w:r w:rsidRPr="00141611">
              <w:rPr>
                <w:rStyle w:val="Hyperlink"/>
              </w:rPr>
              <w:t xml:space="preserve">2.6. </w:t>
            </w:r>
            <w:r>
              <w:rPr>
                <w:rFonts w:asciiTheme="minorHAnsi" w:eastAsiaTheme="minorEastAsia" w:hAnsiTheme="minorHAnsi"/>
                <w:kern w:val="2"/>
                <w:szCs w:val="24"/>
                <w:lang w:eastAsia="lv-LV"/>
                <w14:ligatures w14:val="standardContextual"/>
              </w:rPr>
              <w:tab/>
            </w:r>
            <w:r w:rsidRPr="00141611">
              <w:rPr>
                <w:rStyle w:val="Hyperlink"/>
                <w:rFonts w:eastAsia="Calibri"/>
              </w:rPr>
              <w:t xml:space="preserve">Iedzīvotāju ienākuma nodokļa </w:t>
            </w:r>
            <w:r w:rsidRPr="00141611">
              <w:rPr>
                <w:rStyle w:val="Hyperlink"/>
              </w:rPr>
              <w:t xml:space="preserve">atbrīvojuma </w:t>
            </w:r>
            <w:r w:rsidRPr="00141611">
              <w:rPr>
                <w:rStyle w:val="Hyperlink"/>
                <w:bCs/>
              </w:rPr>
              <w:t>konkursos un sacensībās saņemtajām mantiskajām un naudas balvām (prēmijām) vienādošana</w:t>
            </w:r>
            <w:r w:rsidRPr="00141611">
              <w:rPr>
                <w:rStyle w:val="Hyperlink"/>
              </w:rPr>
              <w:t>, nosakot vienotu limita apmēru visām konkursos un sacensībās saņemtajām mantiskajām un naudas balvām</w:t>
            </w:r>
            <w:r>
              <w:rPr>
                <w:webHidden/>
              </w:rPr>
              <w:tab/>
            </w:r>
            <w:r>
              <w:rPr>
                <w:webHidden/>
              </w:rPr>
              <w:tab/>
            </w:r>
            <w:r>
              <w:rPr>
                <w:webHidden/>
              </w:rPr>
              <w:tab/>
            </w:r>
            <w:r>
              <w:rPr>
                <w:webHidden/>
              </w:rPr>
              <w:fldChar w:fldCharType="begin"/>
            </w:r>
            <w:r>
              <w:rPr>
                <w:webHidden/>
              </w:rPr>
              <w:instrText xml:space="preserve"> PAGEREF _Toc177627706 \h </w:instrText>
            </w:r>
            <w:r>
              <w:rPr>
                <w:webHidden/>
              </w:rPr>
            </w:r>
            <w:r>
              <w:rPr>
                <w:webHidden/>
              </w:rPr>
              <w:fldChar w:fldCharType="separate"/>
            </w:r>
            <w:r>
              <w:rPr>
                <w:webHidden/>
              </w:rPr>
              <w:t>20</w:t>
            </w:r>
            <w:r>
              <w:rPr>
                <w:webHidden/>
              </w:rPr>
              <w:fldChar w:fldCharType="end"/>
            </w:r>
          </w:hyperlink>
        </w:p>
        <w:p w14:paraId="45DCFA28" w14:textId="08F9240C" w:rsidR="006F630B" w:rsidRDefault="006F630B">
          <w:pPr>
            <w:pStyle w:val="TOC2"/>
            <w:rPr>
              <w:rFonts w:asciiTheme="minorHAnsi" w:eastAsiaTheme="minorEastAsia" w:hAnsiTheme="minorHAnsi"/>
              <w:kern w:val="2"/>
              <w:szCs w:val="24"/>
              <w:lang w:eastAsia="lv-LV"/>
              <w14:ligatures w14:val="standardContextual"/>
            </w:rPr>
          </w:pPr>
          <w:hyperlink w:anchor="_Toc177627707" w:history="1">
            <w:r w:rsidRPr="00141611">
              <w:rPr>
                <w:rStyle w:val="Hyperlink"/>
              </w:rPr>
              <w:t xml:space="preserve">2.7. </w:t>
            </w:r>
            <w:r>
              <w:rPr>
                <w:rFonts w:asciiTheme="minorHAnsi" w:eastAsiaTheme="minorEastAsia" w:hAnsiTheme="minorHAnsi"/>
                <w:kern w:val="2"/>
                <w:szCs w:val="24"/>
                <w:lang w:eastAsia="lv-LV"/>
                <w14:ligatures w14:val="standardContextual"/>
              </w:rPr>
              <w:tab/>
            </w:r>
            <w:r w:rsidRPr="00141611">
              <w:rPr>
                <w:rStyle w:val="Hyperlink"/>
                <w:rFonts w:cs="Times New Roman"/>
                <w:bCs/>
              </w:rPr>
              <w:t>Mikrouzņēmumu nodokļa vienkāršošana</w:t>
            </w:r>
            <w:r>
              <w:rPr>
                <w:webHidden/>
              </w:rPr>
              <w:tab/>
            </w:r>
            <w:r>
              <w:rPr>
                <w:webHidden/>
              </w:rPr>
              <w:fldChar w:fldCharType="begin"/>
            </w:r>
            <w:r>
              <w:rPr>
                <w:webHidden/>
              </w:rPr>
              <w:instrText xml:space="preserve"> PAGEREF _Toc177627707 \h </w:instrText>
            </w:r>
            <w:r>
              <w:rPr>
                <w:webHidden/>
              </w:rPr>
            </w:r>
            <w:r>
              <w:rPr>
                <w:webHidden/>
              </w:rPr>
              <w:fldChar w:fldCharType="separate"/>
            </w:r>
            <w:r>
              <w:rPr>
                <w:webHidden/>
              </w:rPr>
              <w:t>21</w:t>
            </w:r>
            <w:r>
              <w:rPr>
                <w:webHidden/>
              </w:rPr>
              <w:fldChar w:fldCharType="end"/>
            </w:r>
          </w:hyperlink>
        </w:p>
        <w:p w14:paraId="4975ACD8" w14:textId="4FF56157" w:rsidR="006F630B" w:rsidRDefault="006F630B">
          <w:pPr>
            <w:pStyle w:val="TOC2"/>
            <w:rPr>
              <w:rFonts w:asciiTheme="minorHAnsi" w:eastAsiaTheme="minorEastAsia" w:hAnsiTheme="minorHAnsi"/>
              <w:kern w:val="2"/>
              <w:szCs w:val="24"/>
              <w:lang w:eastAsia="lv-LV"/>
              <w14:ligatures w14:val="standardContextual"/>
            </w:rPr>
          </w:pPr>
          <w:hyperlink w:anchor="_Toc177627708" w:history="1">
            <w:r w:rsidRPr="00141611">
              <w:rPr>
                <w:rStyle w:val="Hyperlink"/>
              </w:rPr>
              <w:t xml:space="preserve">2.8. </w:t>
            </w:r>
            <w:r>
              <w:rPr>
                <w:rFonts w:asciiTheme="minorHAnsi" w:eastAsiaTheme="minorEastAsia" w:hAnsiTheme="minorHAnsi"/>
                <w:kern w:val="2"/>
                <w:szCs w:val="24"/>
                <w:lang w:eastAsia="lv-LV"/>
                <w14:ligatures w14:val="standardContextual"/>
              </w:rPr>
              <w:tab/>
            </w:r>
            <w:r w:rsidRPr="00141611">
              <w:rPr>
                <w:rStyle w:val="Hyperlink"/>
              </w:rPr>
              <w:t>Vecāku pabalsta noteikšana 2025.g. 75% apmērā no piešķirtā vecāku pabalsta strādājošiem pabalsta saņēmējiem</w:t>
            </w:r>
            <w:r>
              <w:rPr>
                <w:webHidden/>
              </w:rPr>
              <w:tab/>
            </w:r>
            <w:r>
              <w:rPr>
                <w:webHidden/>
              </w:rPr>
              <w:fldChar w:fldCharType="begin"/>
            </w:r>
            <w:r>
              <w:rPr>
                <w:webHidden/>
              </w:rPr>
              <w:instrText xml:space="preserve"> PAGEREF _Toc177627708 \h </w:instrText>
            </w:r>
            <w:r>
              <w:rPr>
                <w:webHidden/>
              </w:rPr>
            </w:r>
            <w:r>
              <w:rPr>
                <w:webHidden/>
              </w:rPr>
              <w:fldChar w:fldCharType="separate"/>
            </w:r>
            <w:r>
              <w:rPr>
                <w:webHidden/>
              </w:rPr>
              <w:t>21</w:t>
            </w:r>
            <w:r>
              <w:rPr>
                <w:webHidden/>
              </w:rPr>
              <w:fldChar w:fldCharType="end"/>
            </w:r>
          </w:hyperlink>
        </w:p>
        <w:p w14:paraId="4274ABEA" w14:textId="6411866C" w:rsidR="006F630B" w:rsidRDefault="006F630B">
          <w:pPr>
            <w:pStyle w:val="TOC2"/>
            <w:rPr>
              <w:rFonts w:asciiTheme="minorHAnsi" w:eastAsiaTheme="minorEastAsia" w:hAnsiTheme="minorHAnsi"/>
              <w:kern w:val="2"/>
              <w:szCs w:val="24"/>
              <w:lang w:eastAsia="lv-LV"/>
              <w14:ligatures w14:val="standardContextual"/>
            </w:rPr>
          </w:pPr>
          <w:hyperlink w:anchor="_Toc177627709" w:history="1">
            <w:r w:rsidRPr="00141611">
              <w:rPr>
                <w:rStyle w:val="Hyperlink"/>
              </w:rPr>
              <w:t xml:space="preserve">2.9. </w:t>
            </w:r>
            <w:r>
              <w:rPr>
                <w:rFonts w:asciiTheme="minorHAnsi" w:eastAsiaTheme="minorEastAsia" w:hAnsiTheme="minorHAnsi"/>
                <w:kern w:val="2"/>
                <w:szCs w:val="24"/>
                <w:lang w:eastAsia="lv-LV"/>
                <w14:ligatures w14:val="standardContextual"/>
              </w:rPr>
              <w:tab/>
            </w:r>
            <w:r w:rsidRPr="00141611">
              <w:rPr>
                <w:rStyle w:val="Hyperlink"/>
              </w:rPr>
              <w:t>IIN attaisnoto izdevumu atmaksājamā apmēra pieaugums</w:t>
            </w:r>
            <w:r>
              <w:rPr>
                <w:webHidden/>
              </w:rPr>
              <w:tab/>
            </w:r>
            <w:r>
              <w:rPr>
                <w:webHidden/>
              </w:rPr>
              <w:fldChar w:fldCharType="begin"/>
            </w:r>
            <w:r>
              <w:rPr>
                <w:webHidden/>
              </w:rPr>
              <w:instrText xml:space="preserve"> PAGEREF _Toc177627709 \h </w:instrText>
            </w:r>
            <w:r>
              <w:rPr>
                <w:webHidden/>
              </w:rPr>
            </w:r>
            <w:r>
              <w:rPr>
                <w:webHidden/>
              </w:rPr>
              <w:fldChar w:fldCharType="separate"/>
            </w:r>
            <w:r>
              <w:rPr>
                <w:webHidden/>
              </w:rPr>
              <w:t>21</w:t>
            </w:r>
            <w:r>
              <w:rPr>
                <w:webHidden/>
              </w:rPr>
              <w:fldChar w:fldCharType="end"/>
            </w:r>
          </w:hyperlink>
        </w:p>
        <w:p w14:paraId="10F41ADC" w14:textId="111152E9" w:rsidR="006F630B" w:rsidRDefault="006F630B">
          <w:pPr>
            <w:pStyle w:val="TOC2"/>
            <w:rPr>
              <w:rFonts w:asciiTheme="minorHAnsi" w:eastAsiaTheme="minorEastAsia" w:hAnsiTheme="minorHAnsi"/>
              <w:kern w:val="2"/>
              <w:szCs w:val="24"/>
              <w:lang w:eastAsia="lv-LV"/>
              <w14:ligatures w14:val="standardContextual"/>
            </w:rPr>
          </w:pPr>
          <w:hyperlink w:anchor="_Toc177627710" w:history="1">
            <w:r w:rsidRPr="00141611">
              <w:rPr>
                <w:rStyle w:val="Hyperlink"/>
              </w:rPr>
              <w:t xml:space="preserve">2.10. </w:t>
            </w:r>
            <w:r>
              <w:rPr>
                <w:rFonts w:asciiTheme="minorHAnsi" w:eastAsiaTheme="minorEastAsia" w:hAnsiTheme="minorHAnsi"/>
                <w:kern w:val="2"/>
                <w:szCs w:val="24"/>
                <w:lang w:eastAsia="lv-LV"/>
                <w14:ligatures w14:val="standardContextual"/>
              </w:rPr>
              <w:tab/>
            </w:r>
            <w:r w:rsidRPr="00141611">
              <w:rPr>
                <w:rStyle w:val="Hyperlink"/>
              </w:rPr>
              <w:t>Īpašā IIN režīma autoratlīdzībām darbības pagarināšana</w:t>
            </w:r>
            <w:r>
              <w:rPr>
                <w:webHidden/>
              </w:rPr>
              <w:tab/>
            </w:r>
            <w:r>
              <w:rPr>
                <w:webHidden/>
              </w:rPr>
              <w:fldChar w:fldCharType="begin"/>
            </w:r>
            <w:r>
              <w:rPr>
                <w:webHidden/>
              </w:rPr>
              <w:instrText xml:space="preserve"> PAGEREF _Toc177627710 \h </w:instrText>
            </w:r>
            <w:r>
              <w:rPr>
                <w:webHidden/>
              </w:rPr>
            </w:r>
            <w:r>
              <w:rPr>
                <w:webHidden/>
              </w:rPr>
              <w:fldChar w:fldCharType="separate"/>
            </w:r>
            <w:r>
              <w:rPr>
                <w:webHidden/>
              </w:rPr>
              <w:t>22</w:t>
            </w:r>
            <w:r>
              <w:rPr>
                <w:webHidden/>
              </w:rPr>
              <w:fldChar w:fldCharType="end"/>
            </w:r>
          </w:hyperlink>
        </w:p>
        <w:p w14:paraId="7FB71E25" w14:textId="6CB350B9" w:rsidR="006F630B" w:rsidRDefault="006F630B">
          <w:pPr>
            <w:pStyle w:val="TOC1"/>
            <w:rPr>
              <w:rFonts w:asciiTheme="minorHAnsi" w:eastAsiaTheme="minorEastAsia" w:hAnsiTheme="minorHAnsi"/>
              <w:b w:val="0"/>
              <w:kern w:val="2"/>
              <w:szCs w:val="24"/>
              <w:lang w:eastAsia="lv-LV"/>
              <w14:ligatures w14:val="standardContextual"/>
            </w:rPr>
          </w:pPr>
          <w:hyperlink w:anchor="_Toc177627711" w:history="1">
            <w:r w:rsidRPr="00141611">
              <w:rPr>
                <w:rStyle w:val="Hyperlink"/>
              </w:rPr>
              <w:t>3.</w:t>
            </w:r>
            <w:r>
              <w:rPr>
                <w:rFonts w:asciiTheme="minorHAnsi" w:eastAsiaTheme="minorEastAsia" w:hAnsiTheme="minorHAnsi"/>
                <w:b w:val="0"/>
                <w:kern w:val="2"/>
                <w:szCs w:val="24"/>
                <w:lang w:eastAsia="lv-LV"/>
                <w14:ligatures w14:val="standardContextual"/>
              </w:rPr>
              <w:tab/>
            </w:r>
            <w:r w:rsidRPr="00141611">
              <w:rPr>
                <w:rStyle w:val="Hyperlink"/>
              </w:rPr>
              <w:t>Kompensējošie pasākumi</w:t>
            </w:r>
            <w:r>
              <w:rPr>
                <w:webHidden/>
              </w:rPr>
              <w:tab/>
            </w:r>
            <w:r>
              <w:rPr>
                <w:webHidden/>
              </w:rPr>
              <w:fldChar w:fldCharType="begin"/>
            </w:r>
            <w:r>
              <w:rPr>
                <w:webHidden/>
              </w:rPr>
              <w:instrText xml:space="preserve"> PAGEREF _Toc177627711 \h </w:instrText>
            </w:r>
            <w:r>
              <w:rPr>
                <w:webHidden/>
              </w:rPr>
            </w:r>
            <w:r>
              <w:rPr>
                <w:webHidden/>
              </w:rPr>
              <w:fldChar w:fldCharType="separate"/>
            </w:r>
            <w:r>
              <w:rPr>
                <w:webHidden/>
              </w:rPr>
              <w:t>23</w:t>
            </w:r>
            <w:r>
              <w:rPr>
                <w:webHidden/>
              </w:rPr>
              <w:fldChar w:fldCharType="end"/>
            </w:r>
          </w:hyperlink>
        </w:p>
        <w:p w14:paraId="2F0C626F" w14:textId="1147AC86" w:rsidR="006F630B" w:rsidRDefault="006F630B">
          <w:pPr>
            <w:pStyle w:val="TOC2"/>
            <w:rPr>
              <w:rFonts w:asciiTheme="minorHAnsi" w:eastAsiaTheme="minorEastAsia" w:hAnsiTheme="minorHAnsi"/>
              <w:kern w:val="2"/>
              <w:szCs w:val="24"/>
              <w:lang w:eastAsia="lv-LV"/>
              <w14:ligatures w14:val="standardContextual"/>
            </w:rPr>
          </w:pPr>
          <w:hyperlink w:anchor="_Toc177627712" w:history="1">
            <w:r w:rsidRPr="00141611">
              <w:rPr>
                <w:rStyle w:val="Hyperlink"/>
              </w:rPr>
              <w:t>3.1.</w:t>
            </w:r>
            <w:r>
              <w:rPr>
                <w:rFonts w:asciiTheme="minorHAnsi" w:eastAsiaTheme="minorEastAsia" w:hAnsiTheme="minorHAnsi"/>
                <w:kern w:val="2"/>
                <w:szCs w:val="24"/>
                <w:lang w:eastAsia="lv-LV"/>
                <w14:ligatures w14:val="standardContextual"/>
              </w:rPr>
              <w:tab/>
            </w:r>
            <w:r w:rsidRPr="00141611">
              <w:rPr>
                <w:rStyle w:val="Hyperlink"/>
              </w:rPr>
              <w:t>Akcīzes nodokļa likmju paaugstināšana degvielai, ietverot akcīzes nodoklī CO</w:t>
            </w:r>
            <w:r w:rsidRPr="00141611">
              <w:rPr>
                <w:rStyle w:val="Hyperlink"/>
                <w:vertAlign w:val="subscript"/>
              </w:rPr>
              <w:t>2</w:t>
            </w:r>
            <w:r w:rsidRPr="00141611">
              <w:rPr>
                <w:rStyle w:val="Hyperlink"/>
              </w:rPr>
              <w:t xml:space="preserve"> komponenti</w:t>
            </w:r>
            <w:r>
              <w:rPr>
                <w:webHidden/>
              </w:rPr>
              <w:tab/>
            </w:r>
            <w:r>
              <w:rPr>
                <w:webHidden/>
              </w:rPr>
              <w:fldChar w:fldCharType="begin"/>
            </w:r>
            <w:r>
              <w:rPr>
                <w:webHidden/>
              </w:rPr>
              <w:instrText xml:space="preserve"> PAGEREF _Toc177627712 \h </w:instrText>
            </w:r>
            <w:r>
              <w:rPr>
                <w:webHidden/>
              </w:rPr>
            </w:r>
            <w:r>
              <w:rPr>
                <w:webHidden/>
              </w:rPr>
              <w:fldChar w:fldCharType="separate"/>
            </w:r>
            <w:r>
              <w:rPr>
                <w:webHidden/>
              </w:rPr>
              <w:t>23</w:t>
            </w:r>
            <w:r>
              <w:rPr>
                <w:webHidden/>
              </w:rPr>
              <w:fldChar w:fldCharType="end"/>
            </w:r>
          </w:hyperlink>
        </w:p>
        <w:p w14:paraId="092912DF" w14:textId="49DD07F8" w:rsidR="006F630B" w:rsidRDefault="006F630B">
          <w:pPr>
            <w:pStyle w:val="TOC2"/>
            <w:rPr>
              <w:rFonts w:asciiTheme="minorHAnsi" w:eastAsiaTheme="minorEastAsia" w:hAnsiTheme="minorHAnsi"/>
              <w:kern w:val="2"/>
              <w:szCs w:val="24"/>
              <w:lang w:eastAsia="lv-LV"/>
              <w14:ligatures w14:val="standardContextual"/>
            </w:rPr>
          </w:pPr>
          <w:hyperlink w:anchor="_Toc177627713" w:history="1">
            <w:r w:rsidRPr="00141611">
              <w:rPr>
                <w:rStyle w:val="Hyperlink"/>
                <w:rFonts w:eastAsia="Calibri"/>
              </w:rPr>
              <w:t>3.2.</w:t>
            </w:r>
            <w:r>
              <w:rPr>
                <w:rFonts w:asciiTheme="minorHAnsi" w:eastAsiaTheme="minorEastAsia" w:hAnsiTheme="minorHAnsi"/>
                <w:kern w:val="2"/>
                <w:szCs w:val="24"/>
                <w:lang w:eastAsia="lv-LV"/>
                <w14:ligatures w14:val="standardContextual"/>
              </w:rPr>
              <w:tab/>
            </w:r>
            <w:r w:rsidRPr="00141611">
              <w:rPr>
                <w:rStyle w:val="Hyperlink"/>
                <w:rFonts w:eastAsia="Calibri"/>
              </w:rPr>
              <w:t>Akcīzes nodokļa likmju pakāpeniska paaugstināšana degvielai, dabasgāzei un naftas gāzēm, ko izmanto par kurināmo</w:t>
            </w:r>
            <w:r>
              <w:rPr>
                <w:webHidden/>
              </w:rPr>
              <w:tab/>
            </w:r>
            <w:r>
              <w:rPr>
                <w:webHidden/>
              </w:rPr>
              <w:fldChar w:fldCharType="begin"/>
            </w:r>
            <w:r>
              <w:rPr>
                <w:webHidden/>
              </w:rPr>
              <w:instrText xml:space="preserve"> PAGEREF _Toc177627713 \h </w:instrText>
            </w:r>
            <w:r>
              <w:rPr>
                <w:webHidden/>
              </w:rPr>
            </w:r>
            <w:r>
              <w:rPr>
                <w:webHidden/>
              </w:rPr>
              <w:fldChar w:fldCharType="separate"/>
            </w:r>
            <w:r>
              <w:rPr>
                <w:webHidden/>
              </w:rPr>
              <w:t>25</w:t>
            </w:r>
            <w:r>
              <w:rPr>
                <w:webHidden/>
              </w:rPr>
              <w:fldChar w:fldCharType="end"/>
            </w:r>
          </w:hyperlink>
        </w:p>
        <w:p w14:paraId="07C5A0A0" w14:textId="06FE4AEE" w:rsidR="006F630B" w:rsidRDefault="006F630B">
          <w:pPr>
            <w:pStyle w:val="TOC2"/>
            <w:rPr>
              <w:rFonts w:asciiTheme="minorHAnsi" w:eastAsiaTheme="minorEastAsia" w:hAnsiTheme="minorHAnsi"/>
              <w:kern w:val="2"/>
              <w:szCs w:val="24"/>
              <w:lang w:eastAsia="lv-LV"/>
              <w14:ligatures w14:val="standardContextual"/>
            </w:rPr>
          </w:pPr>
          <w:hyperlink w:anchor="_Toc177627714" w:history="1">
            <w:r w:rsidRPr="00141611">
              <w:rPr>
                <w:rStyle w:val="Hyperlink"/>
              </w:rPr>
              <w:t xml:space="preserve">3.3. </w:t>
            </w:r>
            <w:r>
              <w:rPr>
                <w:rFonts w:asciiTheme="minorHAnsi" w:eastAsiaTheme="minorEastAsia" w:hAnsiTheme="minorHAnsi"/>
                <w:kern w:val="2"/>
                <w:szCs w:val="24"/>
                <w:lang w:eastAsia="lv-LV"/>
                <w14:ligatures w14:val="standardContextual"/>
              </w:rPr>
              <w:tab/>
            </w:r>
            <w:r w:rsidRPr="00141611">
              <w:rPr>
                <w:rStyle w:val="Hyperlink"/>
              </w:rPr>
              <w:t>Akcīzes nodokļa atbrīvojuma atcelšana naftas produktiem, kurus izmanto elektroenerģijas ražošanā un koģenerācijā</w:t>
            </w:r>
            <w:r>
              <w:rPr>
                <w:webHidden/>
              </w:rPr>
              <w:tab/>
            </w:r>
            <w:r>
              <w:rPr>
                <w:webHidden/>
              </w:rPr>
              <w:fldChar w:fldCharType="begin"/>
            </w:r>
            <w:r>
              <w:rPr>
                <w:webHidden/>
              </w:rPr>
              <w:instrText xml:space="preserve"> PAGEREF _Toc177627714 \h </w:instrText>
            </w:r>
            <w:r>
              <w:rPr>
                <w:webHidden/>
              </w:rPr>
            </w:r>
            <w:r>
              <w:rPr>
                <w:webHidden/>
              </w:rPr>
              <w:fldChar w:fldCharType="separate"/>
            </w:r>
            <w:r>
              <w:rPr>
                <w:webHidden/>
              </w:rPr>
              <w:t>27</w:t>
            </w:r>
            <w:r>
              <w:rPr>
                <w:webHidden/>
              </w:rPr>
              <w:fldChar w:fldCharType="end"/>
            </w:r>
          </w:hyperlink>
        </w:p>
        <w:p w14:paraId="43AFC2A9" w14:textId="32259A37" w:rsidR="006F630B" w:rsidRDefault="006F630B">
          <w:pPr>
            <w:pStyle w:val="TOC2"/>
            <w:rPr>
              <w:rFonts w:asciiTheme="minorHAnsi" w:eastAsiaTheme="minorEastAsia" w:hAnsiTheme="minorHAnsi"/>
              <w:kern w:val="2"/>
              <w:szCs w:val="24"/>
              <w:lang w:eastAsia="lv-LV"/>
              <w14:ligatures w14:val="standardContextual"/>
            </w:rPr>
          </w:pPr>
          <w:hyperlink w:anchor="_Toc177627715" w:history="1">
            <w:r w:rsidRPr="00141611">
              <w:rPr>
                <w:rStyle w:val="Hyperlink"/>
                <w:bCs/>
              </w:rPr>
              <w:t>3.4.</w:t>
            </w:r>
            <w:r>
              <w:rPr>
                <w:rFonts w:asciiTheme="minorHAnsi" w:eastAsiaTheme="minorEastAsia" w:hAnsiTheme="minorHAnsi"/>
                <w:kern w:val="2"/>
                <w:szCs w:val="24"/>
                <w:lang w:eastAsia="lv-LV"/>
                <w14:ligatures w14:val="standardContextual"/>
              </w:rPr>
              <w:tab/>
            </w:r>
            <w:r w:rsidRPr="00141611">
              <w:rPr>
                <w:rStyle w:val="Hyperlink"/>
                <w:bCs/>
              </w:rPr>
              <w:t>Akcīzes nodokļa likmes paaugstināšana bezalkoholiskajiem dzērieniem</w:t>
            </w:r>
            <w:r>
              <w:rPr>
                <w:webHidden/>
              </w:rPr>
              <w:tab/>
            </w:r>
            <w:r>
              <w:rPr>
                <w:webHidden/>
              </w:rPr>
              <w:fldChar w:fldCharType="begin"/>
            </w:r>
            <w:r>
              <w:rPr>
                <w:webHidden/>
              </w:rPr>
              <w:instrText xml:space="preserve"> PAGEREF _Toc177627715 \h </w:instrText>
            </w:r>
            <w:r>
              <w:rPr>
                <w:webHidden/>
              </w:rPr>
            </w:r>
            <w:r>
              <w:rPr>
                <w:webHidden/>
              </w:rPr>
              <w:fldChar w:fldCharType="separate"/>
            </w:r>
            <w:r>
              <w:rPr>
                <w:webHidden/>
              </w:rPr>
              <w:t>28</w:t>
            </w:r>
            <w:r>
              <w:rPr>
                <w:webHidden/>
              </w:rPr>
              <w:fldChar w:fldCharType="end"/>
            </w:r>
          </w:hyperlink>
        </w:p>
        <w:p w14:paraId="48CBB180" w14:textId="73679BC1" w:rsidR="006F630B" w:rsidRDefault="006F630B">
          <w:pPr>
            <w:pStyle w:val="TOC2"/>
            <w:rPr>
              <w:rFonts w:asciiTheme="minorHAnsi" w:eastAsiaTheme="minorEastAsia" w:hAnsiTheme="minorHAnsi"/>
              <w:kern w:val="2"/>
              <w:szCs w:val="24"/>
              <w:lang w:eastAsia="lv-LV"/>
              <w14:ligatures w14:val="standardContextual"/>
            </w:rPr>
          </w:pPr>
          <w:hyperlink w:anchor="_Toc177627716" w:history="1">
            <w:r w:rsidRPr="00141611">
              <w:rPr>
                <w:rStyle w:val="Hyperlink"/>
                <w:bCs/>
              </w:rPr>
              <w:t xml:space="preserve">3.5. </w:t>
            </w:r>
            <w:r>
              <w:rPr>
                <w:rFonts w:asciiTheme="minorHAnsi" w:eastAsiaTheme="minorEastAsia" w:hAnsiTheme="minorHAnsi"/>
                <w:kern w:val="2"/>
                <w:szCs w:val="24"/>
                <w:lang w:eastAsia="lv-LV"/>
                <w14:ligatures w14:val="standardContextual"/>
              </w:rPr>
              <w:tab/>
            </w:r>
            <w:r w:rsidRPr="00141611">
              <w:rPr>
                <w:rStyle w:val="Hyperlink"/>
                <w:bCs/>
              </w:rPr>
              <w:t>Akcīzes nodokļa likmju paaugstināšana alkoholiskajiem dzērieniem no 2027. gada</w:t>
            </w:r>
            <w:r>
              <w:rPr>
                <w:webHidden/>
              </w:rPr>
              <w:tab/>
            </w:r>
            <w:r>
              <w:rPr>
                <w:webHidden/>
              </w:rPr>
              <w:tab/>
            </w:r>
            <w:r>
              <w:rPr>
                <w:webHidden/>
              </w:rPr>
              <w:tab/>
            </w:r>
            <w:r>
              <w:rPr>
                <w:webHidden/>
              </w:rPr>
              <w:fldChar w:fldCharType="begin"/>
            </w:r>
            <w:r>
              <w:rPr>
                <w:webHidden/>
              </w:rPr>
              <w:instrText xml:space="preserve"> PAGEREF _Toc177627716 \h </w:instrText>
            </w:r>
            <w:r>
              <w:rPr>
                <w:webHidden/>
              </w:rPr>
            </w:r>
            <w:r>
              <w:rPr>
                <w:webHidden/>
              </w:rPr>
              <w:fldChar w:fldCharType="separate"/>
            </w:r>
            <w:r>
              <w:rPr>
                <w:webHidden/>
              </w:rPr>
              <w:t>28</w:t>
            </w:r>
            <w:r>
              <w:rPr>
                <w:webHidden/>
              </w:rPr>
              <w:fldChar w:fldCharType="end"/>
            </w:r>
          </w:hyperlink>
        </w:p>
        <w:p w14:paraId="496548C0" w14:textId="7FAA0147" w:rsidR="006F630B" w:rsidRDefault="006F630B">
          <w:pPr>
            <w:pStyle w:val="TOC2"/>
            <w:rPr>
              <w:rFonts w:asciiTheme="minorHAnsi" w:eastAsiaTheme="minorEastAsia" w:hAnsiTheme="minorHAnsi"/>
              <w:kern w:val="2"/>
              <w:szCs w:val="24"/>
              <w:lang w:eastAsia="lv-LV"/>
              <w14:ligatures w14:val="standardContextual"/>
            </w:rPr>
          </w:pPr>
          <w:hyperlink w:anchor="_Toc177627717" w:history="1">
            <w:r w:rsidRPr="00141611">
              <w:rPr>
                <w:rStyle w:val="Hyperlink"/>
                <w:bCs/>
              </w:rPr>
              <w:t xml:space="preserve">3.6. </w:t>
            </w:r>
            <w:r>
              <w:rPr>
                <w:rFonts w:asciiTheme="minorHAnsi" w:eastAsiaTheme="minorEastAsia" w:hAnsiTheme="minorHAnsi"/>
                <w:kern w:val="2"/>
                <w:szCs w:val="24"/>
                <w:lang w:eastAsia="lv-LV"/>
                <w14:ligatures w14:val="standardContextual"/>
              </w:rPr>
              <w:tab/>
            </w:r>
            <w:r w:rsidRPr="00141611">
              <w:rPr>
                <w:rStyle w:val="Hyperlink"/>
                <w:bCs/>
              </w:rPr>
              <w:t xml:space="preserve">Akcīzes nodokļa likmju paaugstināšana tabakas izstrādājumiem </w:t>
            </w:r>
            <w:r w:rsidRPr="00141611">
              <w:rPr>
                <w:rStyle w:val="Hyperlink"/>
              </w:rPr>
              <w:t xml:space="preserve">un pēc izmantošanas mērķa līdzīgiem produktiem </w:t>
            </w:r>
            <w:r w:rsidRPr="00141611">
              <w:rPr>
                <w:rStyle w:val="Hyperlink"/>
                <w:bCs/>
              </w:rPr>
              <w:t>no 2027. gada</w:t>
            </w:r>
            <w:r>
              <w:rPr>
                <w:webHidden/>
              </w:rPr>
              <w:tab/>
            </w:r>
            <w:r>
              <w:rPr>
                <w:webHidden/>
              </w:rPr>
              <w:fldChar w:fldCharType="begin"/>
            </w:r>
            <w:r>
              <w:rPr>
                <w:webHidden/>
              </w:rPr>
              <w:instrText xml:space="preserve"> PAGEREF _Toc177627717 \h </w:instrText>
            </w:r>
            <w:r>
              <w:rPr>
                <w:webHidden/>
              </w:rPr>
            </w:r>
            <w:r>
              <w:rPr>
                <w:webHidden/>
              </w:rPr>
              <w:fldChar w:fldCharType="separate"/>
            </w:r>
            <w:r>
              <w:rPr>
                <w:webHidden/>
              </w:rPr>
              <w:t>29</w:t>
            </w:r>
            <w:r>
              <w:rPr>
                <w:webHidden/>
              </w:rPr>
              <w:fldChar w:fldCharType="end"/>
            </w:r>
          </w:hyperlink>
        </w:p>
        <w:p w14:paraId="4DA4D201" w14:textId="2DC839E8" w:rsidR="006F630B" w:rsidRDefault="006F630B">
          <w:pPr>
            <w:pStyle w:val="TOC2"/>
            <w:rPr>
              <w:rFonts w:asciiTheme="minorHAnsi" w:eastAsiaTheme="minorEastAsia" w:hAnsiTheme="minorHAnsi"/>
              <w:kern w:val="2"/>
              <w:szCs w:val="24"/>
              <w:lang w:eastAsia="lv-LV"/>
              <w14:ligatures w14:val="standardContextual"/>
            </w:rPr>
          </w:pPr>
          <w:hyperlink w:anchor="_Toc177627718" w:history="1">
            <w:r w:rsidRPr="00141611">
              <w:rPr>
                <w:rStyle w:val="Hyperlink"/>
                <w:bCs/>
              </w:rPr>
              <w:t xml:space="preserve">3.7. </w:t>
            </w:r>
            <w:r>
              <w:rPr>
                <w:rFonts w:asciiTheme="minorHAnsi" w:eastAsiaTheme="minorEastAsia" w:hAnsiTheme="minorHAnsi"/>
                <w:kern w:val="2"/>
                <w:szCs w:val="24"/>
                <w:lang w:eastAsia="lv-LV"/>
                <w14:ligatures w14:val="standardContextual"/>
              </w:rPr>
              <w:tab/>
            </w:r>
            <w:r w:rsidRPr="00141611">
              <w:rPr>
                <w:rStyle w:val="Hyperlink"/>
                <w:rFonts w:cs="Times New Roman"/>
              </w:rPr>
              <w:t xml:space="preserve">Transportlīdzekļa ekspluatācijas nodokļa </w:t>
            </w:r>
            <w:r w:rsidRPr="00141611">
              <w:rPr>
                <w:rStyle w:val="Hyperlink"/>
                <w:bCs/>
              </w:rPr>
              <w:t>likmju indeksēšana</w:t>
            </w:r>
            <w:r>
              <w:rPr>
                <w:webHidden/>
              </w:rPr>
              <w:tab/>
            </w:r>
            <w:r>
              <w:rPr>
                <w:webHidden/>
              </w:rPr>
              <w:fldChar w:fldCharType="begin"/>
            </w:r>
            <w:r>
              <w:rPr>
                <w:webHidden/>
              </w:rPr>
              <w:instrText xml:space="preserve"> PAGEREF _Toc177627718 \h </w:instrText>
            </w:r>
            <w:r>
              <w:rPr>
                <w:webHidden/>
              </w:rPr>
            </w:r>
            <w:r>
              <w:rPr>
                <w:webHidden/>
              </w:rPr>
              <w:fldChar w:fldCharType="separate"/>
            </w:r>
            <w:r>
              <w:rPr>
                <w:webHidden/>
              </w:rPr>
              <w:t>30</w:t>
            </w:r>
            <w:r>
              <w:rPr>
                <w:webHidden/>
              </w:rPr>
              <w:fldChar w:fldCharType="end"/>
            </w:r>
          </w:hyperlink>
        </w:p>
        <w:p w14:paraId="47194B8D" w14:textId="32B8EB3D" w:rsidR="006F630B" w:rsidRDefault="006F630B">
          <w:pPr>
            <w:pStyle w:val="TOC2"/>
            <w:rPr>
              <w:rFonts w:asciiTheme="minorHAnsi" w:eastAsiaTheme="minorEastAsia" w:hAnsiTheme="minorHAnsi"/>
              <w:kern w:val="2"/>
              <w:szCs w:val="24"/>
              <w:lang w:eastAsia="lv-LV"/>
              <w14:ligatures w14:val="standardContextual"/>
            </w:rPr>
          </w:pPr>
          <w:hyperlink w:anchor="_Toc177627719" w:history="1">
            <w:r w:rsidRPr="00141611">
              <w:rPr>
                <w:rStyle w:val="Hyperlink"/>
                <w:rFonts w:eastAsia="Calibri"/>
              </w:rPr>
              <w:t xml:space="preserve">3.8. </w:t>
            </w:r>
            <w:r>
              <w:rPr>
                <w:rFonts w:asciiTheme="minorHAnsi" w:eastAsiaTheme="minorEastAsia" w:hAnsiTheme="minorHAnsi"/>
                <w:kern w:val="2"/>
                <w:szCs w:val="24"/>
                <w:lang w:eastAsia="lv-LV"/>
                <w14:ligatures w14:val="standardContextual"/>
              </w:rPr>
              <w:tab/>
            </w:r>
            <w:r w:rsidRPr="00141611">
              <w:rPr>
                <w:rStyle w:val="Hyperlink"/>
                <w:rFonts w:eastAsia="Times New Roman" w:cs="Times New Roman"/>
                <w:lang w:eastAsia="lv-LV"/>
              </w:rPr>
              <w:t xml:space="preserve">Uzņēmumu vieglo transportlīdzekļu nodokļa </w:t>
            </w:r>
            <w:r w:rsidRPr="00141611">
              <w:rPr>
                <w:rStyle w:val="Hyperlink"/>
                <w:rFonts w:eastAsia="Calibri"/>
              </w:rPr>
              <w:t>likmju palielināšana</w:t>
            </w:r>
            <w:r>
              <w:rPr>
                <w:webHidden/>
              </w:rPr>
              <w:tab/>
            </w:r>
            <w:r>
              <w:rPr>
                <w:webHidden/>
              </w:rPr>
              <w:fldChar w:fldCharType="begin"/>
            </w:r>
            <w:r>
              <w:rPr>
                <w:webHidden/>
              </w:rPr>
              <w:instrText xml:space="preserve"> PAGEREF _Toc177627719 \h </w:instrText>
            </w:r>
            <w:r>
              <w:rPr>
                <w:webHidden/>
              </w:rPr>
            </w:r>
            <w:r>
              <w:rPr>
                <w:webHidden/>
              </w:rPr>
              <w:fldChar w:fldCharType="separate"/>
            </w:r>
            <w:r>
              <w:rPr>
                <w:webHidden/>
              </w:rPr>
              <w:t>30</w:t>
            </w:r>
            <w:r>
              <w:rPr>
                <w:webHidden/>
              </w:rPr>
              <w:fldChar w:fldCharType="end"/>
            </w:r>
          </w:hyperlink>
        </w:p>
        <w:p w14:paraId="30743C3C" w14:textId="46557BEC" w:rsidR="006F630B" w:rsidRDefault="006F630B">
          <w:pPr>
            <w:pStyle w:val="TOC2"/>
            <w:rPr>
              <w:rFonts w:asciiTheme="minorHAnsi" w:eastAsiaTheme="minorEastAsia" w:hAnsiTheme="minorHAnsi"/>
              <w:kern w:val="2"/>
              <w:szCs w:val="24"/>
              <w:lang w:eastAsia="lv-LV"/>
              <w14:ligatures w14:val="standardContextual"/>
            </w:rPr>
          </w:pPr>
          <w:hyperlink w:anchor="_Toc177627720" w:history="1">
            <w:r w:rsidRPr="00141611">
              <w:rPr>
                <w:rStyle w:val="Hyperlink"/>
              </w:rPr>
              <w:t xml:space="preserve">3.9. </w:t>
            </w:r>
            <w:r>
              <w:rPr>
                <w:rFonts w:asciiTheme="minorHAnsi" w:eastAsiaTheme="minorEastAsia" w:hAnsiTheme="minorHAnsi"/>
                <w:kern w:val="2"/>
                <w:szCs w:val="24"/>
                <w:lang w:eastAsia="lv-LV"/>
                <w14:ligatures w14:val="standardContextual"/>
              </w:rPr>
              <w:tab/>
            </w:r>
            <w:r w:rsidRPr="00141611">
              <w:rPr>
                <w:rStyle w:val="Hyperlink"/>
              </w:rPr>
              <w:t>Izložu nodokļa likmes palielināšana</w:t>
            </w:r>
            <w:r>
              <w:rPr>
                <w:webHidden/>
              </w:rPr>
              <w:tab/>
            </w:r>
            <w:r>
              <w:rPr>
                <w:webHidden/>
              </w:rPr>
              <w:fldChar w:fldCharType="begin"/>
            </w:r>
            <w:r>
              <w:rPr>
                <w:webHidden/>
              </w:rPr>
              <w:instrText xml:space="preserve"> PAGEREF _Toc177627720 \h </w:instrText>
            </w:r>
            <w:r>
              <w:rPr>
                <w:webHidden/>
              </w:rPr>
            </w:r>
            <w:r>
              <w:rPr>
                <w:webHidden/>
              </w:rPr>
              <w:fldChar w:fldCharType="separate"/>
            </w:r>
            <w:r>
              <w:rPr>
                <w:webHidden/>
              </w:rPr>
              <w:t>31</w:t>
            </w:r>
            <w:r>
              <w:rPr>
                <w:webHidden/>
              </w:rPr>
              <w:fldChar w:fldCharType="end"/>
            </w:r>
          </w:hyperlink>
        </w:p>
        <w:p w14:paraId="7637A5BB" w14:textId="7D1F61FC" w:rsidR="006F630B" w:rsidRDefault="006F630B">
          <w:pPr>
            <w:pStyle w:val="TOC2"/>
            <w:rPr>
              <w:rFonts w:asciiTheme="minorHAnsi" w:eastAsiaTheme="minorEastAsia" w:hAnsiTheme="minorHAnsi"/>
              <w:kern w:val="2"/>
              <w:szCs w:val="24"/>
              <w:lang w:eastAsia="lv-LV"/>
              <w14:ligatures w14:val="standardContextual"/>
            </w:rPr>
          </w:pPr>
          <w:hyperlink w:anchor="_Toc177627721" w:history="1">
            <w:r w:rsidRPr="00141611">
              <w:rPr>
                <w:rStyle w:val="Hyperlink"/>
              </w:rPr>
              <w:t xml:space="preserve">3.10. </w:t>
            </w:r>
            <w:r>
              <w:rPr>
                <w:rFonts w:asciiTheme="minorHAnsi" w:eastAsiaTheme="minorEastAsia" w:hAnsiTheme="minorHAnsi"/>
                <w:kern w:val="2"/>
                <w:szCs w:val="24"/>
                <w:lang w:eastAsia="lv-LV"/>
                <w14:ligatures w14:val="standardContextual"/>
              </w:rPr>
              <w:tab/>
            </w:r>
            <w:r w:rsidRPr="00141611">
              <w:rPr>
                <w:rStyle w:val="Hyperlink"/>
                <w:bCs/>
              </w:rPr>
              <w:t>Azartspēļu nodokļa likmju palielinājums</w:t>
            </w:r>
            <w:r>
              <w:rPr>
                <w:webHidden/>
              </w:rPr>
              <w:tab/>
            </w:r>
            <w:r>
              <w:rPr>
                <w:webHidden/>
              </w:rPr>
              <w:fldChar w:fldCharType="begin"/>
            </w:r>
            <w:r>
              <w:rPr>
                <w:webHidden/>
              </w:rPr>
              <w:instrText xml:space="preserve"> PAGEREF _Toc177627721 \h </w:instrText>
            </w:r>
            <w:r>
              <w:rPr>
                <w:webHidden/>
              </w:rPr>
            </w:r>
            <w:r>
              <w:rPr>
                <w:webHidden/>
              </w:rPr>
              <w:fldChar w:fldCharType="separate"/>
            </w:r>
            <w:r>
              <w:rPr>
                <w:webHidden/>
              </w:rPr>
              <w:t>31</w:t>
            </w:r>
            <w:r>
              <w:rPr>
                <w:webHidden/>
              </w:rPr>
              <w:fldChar w:fldCharType="end"/>
            </w:r>
          </w:hyperlink>
        </w:p>
        <w:p w14:paraId="4FDDF244" w14:textId="67B68DF6" w:rsidR="006F630B" w:rsidRDefault="006F630B">
          <w:pPr>
            <w:pStyle w:val="TOC2"/>
            <w:rPr>
              <w:rFonts w:asciiTheme="minorHAnsi" w:eastAsiaTheme="minorEastAsia" w:hAnsiTheme="minorHAnsi"/>
              <w:kern w:val="2"/>
              <w:szCs w:val="24"/>
              <w:lang w:eastAsia="lv-LV"/>
              <w14:ligatures w14:val="standardContextual"/>
            </w:rPr>
          </w:pPr>
          <w:hyperlink w:anchor="_Toc177627722" w:history="1">
            <w:r w:rsidRPr="00141611">
              <w:rPr>
                <w:rStyle w:val="Hyperlink"/>
              </w:rPr>
              <w:t xml:space="preserve">3.11. </w:t>
            </w:r>
            <w:r>
              <w:rPr>
                <w:rFonts w:asciiTheme="minorHAnsi" w:eastAsiaTheme="minorEastAsia" w:hAnsiTheme="minorHAnsi"/>
                <w:kern w:val="2"/>
                <w:szCs w:val="24"/>
                <w:lang w:eastAsia="lv-LV"/>
                <w14:ligatures w14:val="standardContextual"/>
              </w:rPr>
              <w:tab/>
            </w:r>
            <w:r w:rsidRPr="00141611">
              <w:rPr>
                <w:rStyle w:val="Hyperlink"/>
              </w:rPr>
              <w:t xml:space="preserve">Dabas resursu nodokļa </w:t>
            </w:r>
            <w:r w:rsidRPr="00141611">
              <w:rPr>
                <w:rStyle w:val="Hyperlink"/>
                <w:bCs/>
              </w:rPr>
              <w:t>likmes akmeņoglēm, koksam un lignītam palielināšana (EK priekšlikums - minimālais līmenis visiem fosilajiem kurināmajiem)</w:t>
            </w:r>
            <w:r>
              <w:rPr>
                <w:webHidden/>
              </w:rPr>
              <w:tab/>
            </w:r>
            <w:r>
              <w:rPr>
                <w:webHidden/>
              </w:rPr>
              <w:fldChar w:fldCharType="begin"/>
            </w:r>
            <w:r>
              <w:rPr>
                <w:webHidden/>
              </w:rPr>
              <w:instrText xml:space="preserve"> PAGEREF _Toc177627722 \h </w:instrText>
            </w:r>
            <w:r>
              <w:rPr>
                <w:webHidden/>
              </w:rPr>
            </w:r>
            <w:r>
              <w:rPr>
                <w:webHidden/>
              </w:rPr>
              <w:fldChar w:fldCharType="separate"/>
            </w:r>
            <w:r>
              <w:rPr>
                <w:webHidden/>
              </w:rPr>
              <w:t>32</w:t>
            </w:r>
            <w:r>
              <w:rPr>
                <w:webHidden/>
              </w:rPr>
              <w:fldChar w:fldCharType="end"/>
            </w:r>
          </w:hyperlink>
        </w:p>
        <w:p w14:paraId="10A3F3F2" w14:textId="37B526D1" w:rsidR="006F630B" w:rsidRDefault="006F630B">
          <w:pPr>
            <w:pStyle w:val="TOC2"/>
            <w:rPr>
              <w:rFonts w:asciiTheme="minorHAnsi" w:eastAsiaTheme="minorEastAsia" w:hAnsiTheme="minorHAnsi"/>
              <w:kern w:val="2"/>
              <w:szCs w:val="24"/>
              <w:lang w:eastAsia="lv-LV"/>
              <w14:ligatures w14:val="standardContextual"/>
            </w:rPr>
          </w:pPr>
          <w:hyperlink w:anchor="_Toc177627723" w:history="1">
            <w:r w:rsidRPr="00141611">
              <w:rPr>
                <w:rStyle w:val="Hyperlink"/>
              </w:rPr>
              <w:t xml:space="preserve">3.12. </w:t>
            </w:r>
            <w:r>
              <w:rPr>
                <w:rFonts w:asciiTheme="minorHAnsi" w:eastAsiaTheme="minorEastAsia" w:hAnsiTheme="minorHAnsi"/>
                <w:kern w:val="2"/>
                <w:szCs w:val="24"/>
                <w:lang w:eastAsia="lv-LV"/>
                <w14:ligatures w14:val="standardContextual"/>
              </w:rPr>
              <w:tab/>
            </w:r>
            <w:r w:rsidRPr="00141611">
              <w:rPr>
                <w:rStyle w:val="Hyperlink"/>
              </w:rPr>
              <w:t>Ieņēmumu no konfiscēto noziedzīgi iegūto līdzekļu realizācijas precizēšana</w:t>
            </w:r>
            <w:r>
              <w:rPr>
                <w:webHidden/>
              </w:rPr>
              <w:tab/>
            </w:r>
            <w:r>
              <w:rPr>
                <w:webHidden/>
              </w:rPr>
              <w:fldChar w:fldCharType="begin"/>
            </w:r>
            <w:r>
              <w:rPr>
                <w:webHidden/>
              </w:rPr>
              <w:instrText xml:space="preserve"> PAGEREF _Toc177627723 \h </w:instrText>
            </w:r>
            <w:r>
              <w:rPr>
                <w:webHidden/>
              </w:rPr>
            </w:r>
            <w:r>
              <w:rPr>
                <w:webHidden/>
              </w:rPr>
              <w:fldChar w:fldCharType="separate"/>
            </w:r>
            <w:r>
              <w:rPr>
                <w:webHidden/>
              </w:rPr>
              <w:t>33</w:t>
            </w:r>
            <w:r>
              <w:rPr>
                <w:webHidden/>
              </w:rPr>
              <w:fldChar w:fldCharType="end"/>
            </w:r>
          </w:hyperlink>
        </w:p>
        <w:p w14:paraId="7CD24B33" w14:textId="70F07B44" w:rsidR="006F630B" w:rsidRDefault="006F630B">
          <w:pPr>
            <w:pStyle w:val="TOC2"/>
            <w:rPr>
              <w:rFonts w:asciiTheme="minorHAnsi" w:eastAsiaTheme="minorEastAsia" w:hAnsiTheme="minorHAnsi"/>
              <w:kern w:val="2"/>
              <w:szCs w:val="24"/>
              <w:lang w:eastAsia="lv-LV"/>
              <w14:ligatures w14:val="standardContextual"/>
            </w:rPr>
          </w:pPr>
          <w:hyperlink w:anchor="_Toc177627724" w:history="1">
            <w:r w:rsidRPr="00141611">
              <w:rPr>
                <w:rStyle w:val="Hyperlink"/>
              </w:rPr>
              <w:t xml:space="preserve">3.13. </w:t>
            </w:r>
            <w:r>
              <w:rPr>
                <w:rFonts w:asciiTheme="minorHAnsi" w:eastAsiaTheme="minorEastAsia" w:hAnsiTheme="minorHAnsi"/>
                <w:kern w:val="2"/>
                <w:szCs w:val="24"/>
                <w:lang w:eastAsia="lv-LV"/>
                <w14:ligatures w14:val="standardContextual"/>
              </w:rPr>
              <w:tab/>
            </w:r>
            <w:r w:rsidRPr="00141611">
              <w:rPr>
                <w:rStyle w:val="Hyperlink"/>
              </w:rPr>
              <w:t>Iedzīvotāju ienākuma nodokļa likmes izlīdzināšana pārējiem ienākumiem</w:t>
            </w:r>
            <w:r>
              <w:rPr>
                <w:webHidden/>
              </w:rPr>
              <w:tab/>
            </w:r>
            <w:r>
              <w:rPr>
                <w:webHidden/>
              </w:rPr>
              <w:fldChar w:fldCharType="begin"/>
            </w:r>
            <w:r>
              <w:rPr>
                <w:webHidden/>
              </w:rPr>
              <w:instrText xml:space="preserve"> PAGEREF _Toc177627724 \h </w:instrText>
            </w:r>
            <w:r>
              <w:rPr>
                <w:webHidden/>
              </w:rPr>
            </w:r>
            <w:r>
              <w:rPr>
                <w:webHidden/>
              </w:rPr>
              <w:fldChar w:fldCharType="separate"/>
            </w:r>
            <w:r>
              <w:rPr>
                <w:webHidden/>
              </w:rPr>
              <w:t>34</w:t>
            </w:r>
            <w:r>
              <w:rPr>
                <w:webHidden/>
              </w:rPr>
              <w:fldChar w:fldCharType="end"/>
            </w:r>
          </w:hyperlink>
        </w:p>
        <w:p w14:paraId="2A9BDDE3" w14:textId="552C5A6B" w:rsidR="006F630B" w:rsidRDefault="006F630B">
          <w:pPr>
            <w:pStyle w:val="TOC1"/>
            <w:rPr>
              <w:rFonts w:asciiTheme="minorHAnsi" w:eastAsiaTheme="minorEastAsia" w:hAnsiTheme="minorHAnsi"/>
              <w:b w:val="0"/>
              <w:kern w:val="2"/>
              <w:szCs w:val="24"/>
              <w:lang w:eastAsia="lv-LV"/>
              <w14:ligatures w14:val="standardContextual"/>
            </w:rPr>
          </w:pPr>
          <w:hyperlink w:anchor="_Toc177627725" w:history="1">
            <w:r w:rsidRPr="00141611">
              <w:rPr>
                <w:rStyle w:val="Hyperlink"/>
              </w:rPr>
              <w:t>4.</w:t>
            </w:r>
            <w:r>
              <w:rPr>
                <w:rFonts w:asciiTheme="minorHAnsi" w:eastAsiaTheme="minorEastAsia" w:hAnsiTheme="minorHAnsi"/>
                <w:b w:val="0"/>
                <w:kern w:val="2"/>
                <w:szCs w:val="24"/>
                <w:lang w:eastAsia="lv-LV"/>
                <w14:ligatures w14:val="standardContextual"/>
              </w:rPr>
              <w:tab/>
            </w:r>
            <w:r w:rsidRPr="00141611">
              <w:rPr>
                <w:rStyle w:val="Hyperlink"/>
              </w:rPr>
              <w:t>Minimālās darba algas paaugstināšana</w:t>
            </w:r>
            <w:r>
              <w:rPr>
                <w:webHidden/>
              </w:rPr>
              <w:tab/>
            </w:r>
            <w:r>
              <w:rPr>
                <w:webHidden/>
              </w:rPr>
              <w:fldChar w:fldCharType="begin"/>
            </w:r>
            <w:r>
              <w:rPr>
                <w:webHidden/>
              </w:rPr>
              <w:instrText xml:space="preserve"> PAGEREF _Toc177627725 \h </w:instrText>
            </w:r>
            <w:r>
              <w:rPr>
                <w:webHidden/>
              </w:rPr>
            </w:r>
            <w:r>
              <w:rPr>
                <w:webHidden/>
              </w:rPr>
              <w:fldChar w:fldCharType="separate"/>
            </w:r>
            <w:r>
              <w:rPr>
                <w:webHidden/>
              </w:rPr>
              <w:t>35</w:t>
            </w:r>
            <w:r>
              <w:rPr>
                <w:webHidden/>
              </w:rPr>
              <w:fldChar w:fldCharType="end"/>
            </w:r>
          </w:hyperlink>
        </w:p>
        <w:p w14:paraId="389C18C5" w14:textId="03102B68" w:rsidR="006F630B" w:rsidRDefault="006F630B">
          <w:pPr>
            <w:pStyle w:val="TOC1"/>
            <w:rPr>
              <w:rFonts w:asciiTheme="minorHAnsi" w:eastAsiaTheme="minorEastAsia" w:hAnsiTheme="minorHAnsi"/>
              <w:b w:val="0"/>
              <w:kern w:val="2"/>
              <w:szCs w:val="24"/>
              <w:lang w:eastAsia="lv-LV"/>
              <w14:ligatures w14:val="standardContextual"/>
            </w:rPr>
          </w:pPr>
          <w:hyperlink w:anchor="_Toc177627726" w:history="1">
            <w:r w:rsidRPr="00141611">
              <w:rPr>
                <w:rStyle w:val="Hyperlink"/>
              </w:rPr>
              <w:t>5.</w:t>
            </w:r>
            <w:r>
              <w:rPr>
                <w:rFonts w:asciiTheme="minorHAnsi" w:eastAsiaTheme="minorEastAsia" w:hAnsiTheme="minorHAnsi"/>
                <w:b w:val="0"/>
                <w:kern w:val="2"/>
                <w:szCs w:val="24"/>
                <w:lang w:eastAsia="lv-LV"/>
                <w14:ligatures w14:val="standardContextual"/>
              </w:rPr>
              <w:tab/>
            </w:r>
            <w:r w:rsidRPr="00141611">
              <w:rPr>
                <w:rStyle w:val="Hyperlink"/>
              </w:rPr>
              <w:t>Kopējās fiskālās ietekmes</w:t>
            </w:r>
            <w:r>
              <w:rPr>
                <w:webHidden/>
              </w:rPr>
              <w:tab/>
            </w:r>
            <w:r>
              <w:rPr>
                <w:webHidden/>
              </w:rPr>
              <w:fldChar w:fldCharType="begin"/>
            </w:r>
            <w:r>
              <w:rPr>
                <w:webHidden/>
              </w:rPr>
              <w:instrText xml:space="preserve"> PAGEREF _Toc177627726 \h </w:instrText>
            </w:r>
            <w:r>
              <w:rPr>
                <w:webHidden/>
              </w:rPr>
            </w:r>
            <w:r>
              <w:rPr>
                <w:webHidden/>
              </w:rPr>
              <w:fldChar w:fldCharType="separate"/>
            </w:r>
            <w:r>
              <w:rPr>
                <w:webHidden/>
              </w:rPr>
              <w:t>36</w:t>
            </w:r>
            <w:r>
              <w:rPr>
                <w:webHidden/>
              </w:rPr>
              <w:fldChar w:fldCharType="end"/>
            </w:r>
          </w:hyperlink>
        </w:p>
        <w:p w14:paraId="3C2832EC" w14:textId="77777777" w:rsidR="00BF2DC1" w:rsidRDefault="00D063CB" w:rsidP="00507927">
          <w:pPr>
            <w:pStyle w:val="TOC1"/>
            <w:jc w:val="both"/>
          </w:pPr>
          <w:r>
            <w:fldChar w:fldCharType="end"/>
          </w:r>
        </w:p>
      </w:sdtContent>
    </w:sdt>
    <w:p w14:paraId="5B556A0C" w14:textId="77777777" w:rsidR="006F630B" w:rsidRPr="006F630B" w:rsidRDefault="006F630B" w:rsidP="006F630B"/>
    <w:p w14:paraId="775CFE32" w14:textId="77777777" w:rsidR="006F630B" w:rsidRPr="006F630B" w:rsidRDefault="006F630B" w:rsidP="006F630B"/>
    <w:p w14:paraId="5DBE9C69" w14:textId="77777777" w:rsidR="006F630B" w:rsidRPr="006F630B" w:rsidRDefault="006F630B" w:rsidP="006F630B"/>
    <w:p w14:paraId="6DF9AA83" w14:textId="77777777" w:rsidR="006F630B" w:rsidRPr="006F630B" w:rsidRDefault="006F630B" w:rsidP="006F630B"/>
    <w:p w14:paraId="4F8573B7" w14:textId="77777777" w:rsidR="006F630B" w:rsidRPr="006F630B" w:rsidRDefault="006F630B" w:rsidP="006F630B"/>
    <w:p w14:paraId="38D211AC" w14:textId="77777777" w:rsidR="006F630B" w:rsidRPr="006F630B" w:rsidRDefault="006F630B" w:rsidP="006F630B"/>
    <w:p w14:paraId="16E4D4C0" w14:textId="77777777" w:rsidR="006F630B" w:rsidRDefault="006F630B" w:rsidP="006F630B">
      <w:pPr>
        <w:rPr>
          <w:b/>
          <w:noProof/>
        </w:rPr>
      </w:pPr>
    </w:p>
    <w:p w14:paraId="28B31579" w14:textId="166A8996" w:rsidR="006F630B" w:rsidRDefault="006F630B" w:rsidP="006F630B">
      <w:pPr>
        <w:tabs>
          <w:tab w:val="left" w:pos="5604"/>
        </w:tabs>
        <w:rPr>
          <w:b/>
          <w:noProof/>
        </w:rPr>
      </w:pPr>
      <w:r>
        <w:rPr>
          <w:b/>
          <w:noProof/>
        </w:rPr>
        <w:tab/>
      </w:r>
    </w:p>
    <w:p w14:paraId="1DDCAC2F" w14:textId="36848EE4" w:rsidR="006F630B" w:rsidRPr="006F630B" w:rsidRDefault="006F630B" w:rsidP="006F630B">
      <w:pPr>
        <w:tabs>
          <w:tab w:val="left" w:pos="5604"/>
        </w:tabs>
        <w:sectPr w:rsidR="006F630B" w:rsidRPr="006F630B" w:rsidSect="00B065CC">
          <w:headerReference w:type="default" r:id="rId8"/>
          <w:footerReference w:type="default" r:id="rId9"/>
          <w:pgSz w:w="11906" w:h="16838"/>
          <w:pgMar w:top="1077" w:right="1418" w:bottom="1077" w:left="1701" w:header="709" w:footer="709" w:gutter="0"/>
          <w:cols w:space="708"/>
          <w:titlePg/>
          <w:docGrid w:linePitch="360"/>
        </w:sectPr>
      </w:pPr>
      <w:r>
        <w:tab/>
      </w:r>
    </w:p>
    <w:p w14:paraId="35C64989" w14:textId="77777777" w:rsidR="004C1CC2" w:rsidRPr="004C1CC2" w:rsidRDefault="004C1CC2" w:rsidP="004C1CC2">
      <w:pPr>
        <w:pStyle w:val="Heading1"/>
      </w:pPr>
      <w:bookmarkStart w:id="0" w:name="_Toc177627689"/>
      <w:r w:rsidRPr="004C1CC2">
        <w:lastRenderedPageBreak/>
        <w:t>Saīsinājumu saraksts</w:t>
      </w:r>
      <w:bookmarkEnd w:id="0"/>
    </w:p>
    <w:p w14:paraId="12FFEB08" w14:textId="77777777" w:rsidR="004C1CC2" w:rsidRPr="001515EC" w:rsidRDefault="004C1CC2" w:rsidP="004C1CC2">
      <w:pPr>
        <w:spacing w:after="80"/>
        <w:jc w:val="both"/>
        <w:rPr>
          <w:rFonts w:eastAsia="Calibri" w:cs="Times New Roman"/>
          <w:szCs w:val="24"/>
        </w:rPr>
      </w:pPr>
    </w:p>
    <w:p w14:paraId="18ACA6A0" w14:textId="77777777" w:rsidR="008C7A64" w:rsidRPr="00257ECD" w:rsidRDefault="008C7A64" w:rsidP="008C7A64">
      <w:pPr>
        <w:spacing w:before="120" w:after="120"/>
        <w:rPr>
          <w:szCs w:val="24"/>
        </w:rPr>
      </w:pPr>
      <w:r w:rsidRPr="00257ECD">
        <w:rPr>
          <w:b/>
          <w:szCs w:val="24"/>
        </w:rPr>
        <w:t xml:space="preserve">AN </w:t>
      </w:r>
      <w:r w:rsidRPr="00257ECD">
        <w:rPr>
          <w:szCs w:val="24"/>
        </w:rPr>
        <w:t>– akcīzes nodoklis</w:t>
      </w:r>
    </w:p>
    <w:p w14:paraId="3280F861" w14:textId="77777777" w:rsidR="008C7A64" w:rsidRDefault="008C7A64" w:rsidP="008C7A64">
      <w:pPr>
        <w:spacing w:before="120" w:after="120"/>
        <w:rPr>
          <w:szCs w:val="24"/>
        </w:rPr>
      </w:pPr>
      <w:r w:rsidRPr="00257ECD">
        <w:rPr>
          <w:b/>
          <w:szCs w:val="24"/>
        </w:rPr>
        <w:t>CSP</w:t>
      </w:r>
      <w:r w:rsidRPr="00257ECD">
        <w:rPr>
          <w:szCs w:val="24"/>
        </w:rPr>
        <w:t xml:space="preserve"> – Centrālā statistikas pārvalde </w:t>
      </w:r>
    </w:p>
    <w:p w14:paraId="5C20519E" w14:textId="44D880D7" w:rsidR="008928BC" w:rsidRPr="008928BC" w:rsidRDefault="008928BC" w:rsidP="008C7A64">
      <w:pPr>
        <w:spacing w:before="120" w:after="120"/>
        <w:rPr>
          <w:szCs w:val="24"/>
        </w:rPr>
      </w:pPr>
      <w:r>
        <w:rPr>
          <w:b/>
          <w:bCs/>
          <w:szCs w:val="24"/>
        </w:rPr>
        <w:t xml:space="preserve">CSDD – </w:t>
      </w:r>
      <w:r>
        <w:rPr>
          <w:szCs w:val="24"/>
        </w:rPr>
        <w:t>Ceļu satiksmes drošības direkcija</w:t>
      </w:r>
    </w:p>
    <w:p w14:paraId="18C57A2E" w14:textId="77777777" w:rsidR="008C7A64" w:rsidRPr="00257ECD" w:rsidRDefault="008C7A64" w:rsidP="008C7A64">
      <w:pPr>
        <w:spacing w:before="120" w:after="120"/>
        <w:rPr>
          <w:b/>
          <w:szCs w:val="24"/>
        </w:rPr>
      </w:pPr>
      <w:r w:rsidRPr="00257ECD">
        <w:rPr>
          <w:b/>
          <w:szCs w:val="24"/>
        </w:rPr>
        <w:t xml:space="preserve">DRN - </w:t>
      </w:r>
      <w:r w:rsidRPr="00257ECD">
        <w:rPr>
          <w:rFonts w:eastAsia="Times New Roman"/>
          <w:szCs w:val="24"/>
          <w:lang w:eastAsia="lv-LV"/>
        </w:rPr>
        <w:t>dabas resursu nodoklis</w:t>
      </w:r>
    </w:p>
    <w:p w14:paraId="6AED017D" w14:textId="77777777" w:rsidR="008C7A64" w:rsidRPr="00257ECD" w:rsidRDefault="008C7A64" w:rsidP="008C7A64">
      <w:pPr>
        <w:spacing w:before="120" w:after="120"/>
        <w:rPr>
          <w:szCs w:val="24"/>
        </w:rPr>
      </w:pPr>
      <w:r w:rsidRPr="00257ECD">
        <w:rPr>
          <w:b/>
          <w:szCs w:val="24"/>
        </w:rPr>
        <w:t xml:space="preserve">EEZ – </w:t>
      </w:r>
      <w:r w:rsidRPr="00257ECD">
        <w:rPr>
          <w:szCs w:val="24"/>
        </w:rPr>
        <w:t>Eiropas ekonomiskā zona</w:t>
      </w:r>
    </w:p>
    <w:p w14:paraId="215EFCE4" w14:textId="77777777" w:rsidR="008C7A64" w:rsidRPr="00257ECD" w:rsidRDefault="008C7A64" w:rsidP="008C7A64">
      <w:pPr>
        <w:spacing w:before="120" w:after="120"/>
        <w:rPr>
          <w:szCs w:val="24"/>
        </w:rPr>
      </w:pPr>
      <w:r w:rsidRPr="00257ECD">
        <w:rPr>
          <w:b/>
          <w:szCs w:val="24"/>
        </w:rPr>
        <w:t xml:space="preserve">EK – </w:t>
      </w:r>
      <w:r w:rsidRPr="00257ECD">
        <w:rPr>
          <w:szCs w:val="24"/>
        </w:rPr>
        <w:t>Eiropas Komisija</w:t>
      </w:r>
    </w:p>
    <w:p w14:paraId="541880A2" w14:textId="77777777" w:rsidR="008C7A64" w:rsidRDefault="008C7A64" w:rsidP="008C7A64">
      <w:pPr>
        <w:spacing w:before="120" w:after="120"/>
        <w:rPr>
          <w:szCs w:val="24"/>
        </w:rPr>
      </w:pPr>
      <w:r w:rsidRPr="00257ECD">
        <w:rPr>
          <w:b/>
          <w:szCs w:val="24"/>
        </w:rPr>
        <w:t>ES</w:t>
      </w:r>
      <w:r w:rsidRPr="00257ECD">
        <w:rPr>
          <w:szCs w:val="24"/>
        </w:rPr>
        <w:t xml:space="preserve"> – Eiropas Savienība</w:t>
      </w:r>
    </w:p>
    <w:p w14:paraId="5DB8A20C" w14:textId="2F87060E" w:rsidR="00262531" w:rsidRPr="00257ECD" w:rsidRDefault="00262531" w:rsidP="008C7A64">
      <w:pPr>
        <w:spacing w:before="120" w:after="120"/>
        <w:rPr>
          <w:szCs w:val="24"/>
        </w:rPr>
      </w:pPr>
      <w:r w:rsidRPr="00262531">
        <w:rPr>
          <w:b/>
          <w:bCs/>
          <w:szCs w:val="24"/>
        </w:rPr>
        <w:t>ETS</w:t>
      </w:r>
      <w:r>
        <w:rPr>
          <w:szCs w:val="24"/>
        </w:rPr>
        <w:t xml:space="preserve"> – </w:t>
      </w:r>
      <w:r w:rsidRPr="0045215A">
        <w:t>Emisijas kvotu tirdzniecības sistēm</w:t>
      </w:r>
      <w:r>
        <w:t>a</w:t>
      </w:r>
    </w:p>
    <w:p w14:paraId="4B0B9D78" w14:textId="77777777" w:rsidR="008C7A64" w:rsidRPr="00257ECD" w:rsidRDefault="008C7A64" w:rsidP="008C7A64">
      <w:pPr>
        <w:spacing w:before="120" w:after="120"/>
        <w:rPr>
          <w:szCs w:val="24"/>
        </w:rPr>
      </w:pPr>
      <w:r w:rsidRPr="00257ECD">
        <w:rPr>
          <w:b/>
          <w:szCs w:val="24"/>
        </w:rPr>
        <w:t>FM</w:t>
      </w:r>
      <w:r w:rsidRPr="00257ECD">
        <w:rPr>
          <w:szCs w:val="24"/>
        </w:rPr>
        <w:t xml:space="preserve"> – Finanšu ministrija</w:t>
      </w:r>
    </w:p>
    <w:p w14:paraId="17A4DD89" w14:textId="77777777" w:rsidR="008C7A64" w:rsidRPr="00257ECD" w:rsidRDefault="008C7A64" w:rsidP="008C7A64">
      <w:pPr>
        <w:spacing w:before="120" w:after="120"/>
        <w:rPr>
          <w:szCs w:val="24"/>
        </w:rPr>
      </w:pPr>
      <w:r w:rsidRPr="00257ECD">
        <w:rPr>
          <w:b/>
          <w:szCs w:val="24"/>
        </w:rPr>
        <w:t>IIN</w:t>
      </w:r>
      <w:r w:rsidRPr="00257ECD">
        <w:rPr>
          <w:szCs w:val="24"/>
        </w:rPr>
        <w:t xml:space="preserve"> – iedzīvotāju ienākuma nodoklis</w:t>
      </w:r>
    </w:p>
    <w:p w14:paraId="2AD39B8D" w14:textId="77777777" w:rsidR="008C7A64" w:rsidRPr="00257ECD" w:rsidRDefault="008C7A64" w:rsidP="008C7A64">
      <w:pPr>
        <w:spacing w:before="120" w:after="120"/>
        <w:rPr>
          <w:szCs w:val="24"/>
        </w:rPr>
      </w:pPr>
      <w:r w:rsidRPr="00257ECD">
        <w:rPr>
          <w:b/>
          <w:szCs w:val="24"/>
        </w:rPr>
        <w:t>IKP</w:t>
      </w:r>
      <w:r w:rsidRPr="00257ECD">
        <w:rPr>
          <w:szCs w:val="24"/>
        </w:rPr>
        <w:t xml:space="preserve"> – iekšzemes kopprodukts</w:t>
      </w:r>
    </w:p>
    <w:p w14:paraId="7ED27C52" w14:textId="7E6B633C" w:rsidR="00262531" w:rsidRDefault="00262531" w:rsidP="008C7A64">
      <w:pPr>
        <w:spacing w:before="120" w:after="120"/>
        <w:rPr>
          <w:b/>
          <w:szCs w:val="24"/>
        </w:rPr>
      </w:pPr>
      <w:r>
        <w:rPr>
          <w:b/>
          <w:szCs w:val="24"/>
        </w:rPr>
        <w:t xml:space="preserve">LIZ – </w:t>
      </w:r>
      <w:r w:rsidRPr="000B6BD9">
        <w:rPr>
          <w:rFonts w:eastAsia="Times New Roman" w:cs="Times New Roman"/>
          <w:shd w:val="clear" w:color="auto" w:fill="FFFFFF"/>
          <w:lang w:eastAsia="lv-LV"/>
        </w:rPr>
        <w:t>lauksaim</w:t>
      </w:r>
      <w:r w:rsidRPr="000B6BD9">
        <w:rPr>
          <w:rFonts w:eastAsia="Times New Roman" w:cs="Times New Roman"/>
          <w:shd w:val="clear" w:color="auto" w:fill="FFFFFF"/>
          <w:lang w:eastAsia="lv-LV"/>
        </w:rPr>
        <w:softHyphen/>
        <w:t>niecībā izmantojama zeme</w:t>
      </w:r>
    </w:p>
    <w:p w14:paraId="13032E57" w14:textId="5FA6031E" w:rsidR="008C7A64" w:rsidRPr="00257ECD" w:rsidRDefault="008C7A64" w:rsidP="008C7A64">
      <w:pPr>
        <w:spacing w:before="120" w:after="120"/>
        <w:rPr>
          <w:szCs w:val="24"/>
        </w:rPr>
      </w:pPr>
      <w:r w:rsidRPr="00257ECD">
        <w:rPr>
          <w:b/>
          <w:szCs w:val="24"/>
        </w:rPr>
        <w:t>MK</w:t>
      </w:r>
      <w:r w:rsidRPr="00257ECD">
        <w:rPr>
          <w:szCs w:val="24"/>
        </w:rPr>
        <w:t xml:space="preserve"> – Ministru kabinets</w:t>
      </w:r>
    </w:p>
    <w:p w14:paraId="7C158955" w14:textId="77777777" w:rsidR="008C7A64" w:rsidRPr="00257ECD" w:rsidRDefault="008C7A64" w:rsidP="008C7A64">
      <w:pPr>
        <w:spacing w:before="120" w:after="120"/>
        <w:rPr>
          <w:szCs w:val="24"/>
        </w:rPr>
      </w:pPr>
      <w:r w:rsidRPr="00257ECD">
        <w:rPr>
          <w:b/>
          <w:szCs w:val="24"/>
        </w:rPr>
        <w:t>MUN</w:t>
      </w:r>
      <w:r w:rsidRPr="00257ECD">
        <w:rPr>
          <w:szCs w:val="24"/>
        </w:rPr>
        <w:t xml:space="preserve"> – mikrouzņēmumu nodoklis</w:t>
      </w:r>
    </w:p>
    <w:p w14:paraId="614277E4" w14:textId="0EA14D74" w:rsidR="008C7A64" w:rsidRDefault="008C7A64" w:rsidP="008C7A64">
      <w:pPr>
        <w:spacing w:before="120" w:after="120"/>
        <w:rPr>
          <w:szCs w:val="24"/>
        </w:rPr>
      </w:pPr>
      <w:r w:rsidRPr="00257ECD">
        <w:rPr>
          <w:b/>
          <w:szCs w:val="24"/>
        </w:rPr>
        <w:t xml:space="preserve">NĪN – </w:t>
      </w:r>
      <w:r w:rsidRPr="00257ECD">
        <w:rPr>
          <w:szCs w:val="24"/>
        </w:rPr>
        <w:t>nekust</w:t>
      </w:r>
      <w:r w:rsidR="008928BC">
        <w:rPr>
          <w:szCs w:val="24"/>
        </w:rPr>
        <w:t>a</w:t>
      </w:r>
      <w:r w:rsidRPr="00257ECD">
        <w:rPr>
          <w:szCs w:val="24"/>
        </w:rPr>
        <w:t>mā īpašuma nodoklis</w:t>
      </w:r>
    </w:p>
    <w:p w14:paraId="71BFD44B" w14:textId="12989E6A" w:rsidR="008928BC" w:rsidRPr="008928BC" w:rsidRDefault="008928BC" w:rsidP="008C7A64">
      <w:pPr>
        <w:spacing w:before="120" w:after="120"/>
        <w:rPr>
          <w:szCs w:val="24"/>
        </w:rPr>
      </w:pPr>
      <w:r>
        <w:rPr>
          <w:b/>
          <w:bCs/>
          <w:szCs w:val="24"/>
        </w:rPr>
        <w:t>NM</w:t>
      </w:r>
      <w:r>
        <w:rPr>
          <w:szCs w:val="24"/>
        </w:rPr>
        <w:t xml:space="preserve"> – neapliekamais minimums</w:t>
      </w:r>
    </w:p>
    <w:p w14:paraId="4DFE42F7" w14:textId="77777777" w:rsidR="008C7A64" w:rsidRPr="00257ECD" w:rsidRDefault="008C7A64" w:rsidP="008928BC">
      <w:pPr>
        <w:spacing w:before="120" w:after="120"/>
        <w:jc w:val="both"/>
        <w:rPr>
          <w:szCs w:val="24"/>
        </w:rPr>
      </w:pPr>
      <w:r w:rsidRPr="00257ECD">
        <w:rPr>
          <w:b/>
          <w:szCs w:val="24"/>
        </w:rPr>
        <w:t xml:space="preserve">OECD - </w:t>
      </w:r>
      <w:r w:rsidRPr="00257ECD">
        <w:rPr>
          <w:i/>
          <w:szCs w:val="24"/>
        </w:rPr>
        <w:t xml:space="preserve">Organisation </w:t>
      </w:r>
      <w:proofErr w:type="spellStart"/>
      <w:r w:rsidRPr="00257ECD">
        <w:rPr>
          <w:i/>
          <w:szCs w:val="24"/>
        </w:rPr>
        <w:t>for</w:t>
      </w:r>
      <w:proofErr w:type="spellEnd"/>
      <w:r w:rsidRPr="00257ECD">
        <w:rPr>
          <w:i/>
          <w:szCs w:val="24"/>
        </w:rPr>
        <w:t xml:space="preserve"> </w:t>
      </w:r>
      <w:proofErr w:type="spellStart"/>
      <w:r w:rsidRPr="00257ECD">
        <w:rPr>
          <w:i/>
          <w:szCs w:val="24"/>
        </w:rPr>
        <w:t>Economic</w:t>
      </w:r>
      <w:proofErr w:type="spellEnd"/>
      <w:r w:rsidRPr="00257ECD">
        <w:rPr>
          <w:i/>
          <w:szCs w:val="24"/>
        </w:rPr>
        <w:t xml:space="preserve"> </w:t>
      </w:r>
      <w:proofErr w:type="spellStart"/>
      <w:r w:rsidRPr="00257ECD">
        <w:rPr>
          <w:i/>
          <w:szCs w:val="24"/>
        </w:rPr>
        <w:t>Co-operation</w:t>
      </w:r>
      <w:proofErr w:type="spellEnd"/>
      <w:r w:rsidRPr="00257ECD">
        <w:rPr>
          <w:i/>
          <w:szCs w:val="24"/>
        </w:rPr>
        <w:t xml:space="preserve"> </w:t>
      </w:r>
      <w:proofErr w:type="spellStart"/>
      <w:r w:rsidRPr="00257ECD">
        <w:rPr>
          <w:i/>
          <w:szCs w:val="24"/>
        </w:rPr>
        <w:t>and</w:t>
      </w:r>
      <w:proofErr w:type="spellEnd"/>
      <w:r w:rsidRPr="00257ECD">
        <w:rPr>
          <w:i/>
          <w:szCs w:val="24"/>
        </w:rPr>
        <w:t xml:space="preserve"> </w:t>
      </w:r>
      <w:proofErr w:type="spellStart"/>
      <w:r w:rsidRPr="00257ECD">
        <w:rPr>
          <w:i/>
          <w:szCs w:val="24"/>
        </w:rPr>
        <w:t>Development</w:t>
      </w:r>
      <w:proofErr w:type="spellEnd"/>
      <w:r w:rsidRPr="00257ECD">
        <w:rPr>
          <w:szCs w:val="24"/>
        </w:rPr>
        <w:t xml:space="preserve"> (Ekonomiskās sadarbības un attīstības organizācija)</w:t>
      </w:r>
    </w:p>
    <w:p w14:paraId="2E5BCF1B" w14:textId="77777777" w:rsidR="008C7A64" w:rsidRPr="00257ECD" w:rsidRDefault="008C7A64" w:rsidP="008C7A64">
      <w:pPr>
        <w:spacing w:before="120" w:after="120"/>
        <w:rPr>
          <w:szCs w:val="24"/>
        </w:rPr>
      </w:pPr>
      <w:r w:rsidRPr="00257ECD">
        <w:rPr>
          <w:b/>
          <w:szCs w:val="24"/>
        </w:rPr>
        <w:t>PVN</w:t>
      </w:r>
      <w:r w:rsidRPr="00257ECD">
        <w:rPr>
          <w:szCs w:val="24"/>
        </w:rPr>
        <w:t xml:space="preserve"> – pievienotās vērtības nodoklis</w:t>
      </w:r>
    </w:p>
    <w:p w14:paraId="1E2D2CF6" w14:textId="6317D842" w:rsidR="00262531" w:rsidRDefault="00262531" w:rsidP="008C7A64">
      <w:pPr>
        <w:spacing w:before="120" w:after="120"/>
        <w:rPr>
          <w:rFonts w:eastAsia="Times New Roman"/>
          <w:b/>
          <w:szCs w:val="24"/>
          <w:lang w:eastAsia="lv-LV"/>
        </w:rPr>
      </w:pPr>
      <w:r>
        <w:rPr>
          <w:rFonts w:eastAsia="Times New Roman"/>
          <w:b/>
          <w:szCs w:val="24"/>
          <w:lang w:eastAsia="lv-LV"/>
        </w:rPr>
        <w:t xml:space="preserve">SEG – </w:t>
      </w:r>
      <w:r w:rsidRPr="0045215A">
        <w:t>siltumnīcefekta gāzu</w:t>
      </w:r>
    </w:p>
    <w:p w14:paraId="1324FC54" w14:textId="17CFE913" w:rsidR="008C7A64" w:rsidRDefault="008C7A64" w:rsidP="008C7A64">
      <w:pPr>
        <w:spacing w:before="120" w:after="120"/>
        <w:rPr>
          <w:rFonts w:eastAsia="Times New Roman"/>
          <w:bCs/>
          <w:szCs w:val="24"/>
          <w:lang w:eastAsia="lv-LV"/>
        </w:rPr>
      </w:pPr>
      <w:r w:rsidRPr="00257ECD">
        <w:rPr>
          <w:rFonts w:eastAsia="Times New Roman"/>
          <w:b/>
          <w:szCs w:val="24"/>
          <w:lang w:eastAsia="lv-LV"/>
        </w:rPr>
        <w:t xml:space="preserve">SEZ </w:t>
      </w:r>
      <w:r w:rsidRPr="00257ECD">
        <w:rPr>
          <w:rFonts w:eastAsia="Times New Roman"/>
          <w:bCs/>
          <w:szCs w:val="24"/>
          <w:lang w:eastAsia="lv-LV"/>
        </w:rPr>
        <w:t>– speciālās ekonomiskās zonas</w:t>
      </w:r>
    </w:p>
    <w:p w14:paraId="37AD258E" w14:textId="1E6D94A5" w:rsidR="00262531" w:rsidRPr="00262531" w:rsidRDefault="00262531" w:rsidP="008C7A64">
      <w:pPr>
        <w:spacing w:before="120" w:after="120"/>
        <w:rPr>
          <w:rFonts w:eastAsia="Times New Roman"/>
          <w:b/>
          <w:szCs w:val="24"/>
          <w:lang w:eastAsia="lv-LV"/>
        </w:rPr>
      </w:pPr>
      <w:r w:rsidRPr="00262531">
        <w:rPr>
          <w:rFonts w:eastAsia="Times New Roman"/>
          <w:b/>
          <w:szCs w:val="24"/>
          <w:lang w:eastAsia="lv-LV"/>
        </w:rPr>
        <w:t>SI</w:t>
      </w:r>
      <w:r>
        <w:rPr>
          <w:rFonts w:eastAsia="Times New Roman"/>
          <w:b/>
          <w:szCs w:val="24"/>
          <w:lang w:eastAsia="lv-LV"/>
        </w:rPr>
        <w:t xml:space="preserve"> –</w:t>
      </w:r>
      <w:r w:rsidRPr="00262531">
        <w:t xml:space="preserve"> </w:t>
      </w:r>
      <w:r>
        <w:t>s</w:t>
      </w:r>
      <w:r w:rsidRPr="007211D5">
        <w:t>olidaritātes iemaksas</w:t>
      </w:r>
    </w:p>
    <w:p w14:paraId="0CF0DADD" w14:textId="77777777" w:rsidR="008C7A64" w:rsidRPr="00257ECD" w:rsidRDefault="008C7A64" w:rsidP="008C7A64">
      <w:pPr>
        <w:spacing w:before="120" w:after="120"/>
        <w:rPr>
          <w:rFonts w:eastAsia="Times New Roman"/>
          <w:b/>
          <w:szCs w:val="24"/>
          <w:lang w:eastAsia="lv-LV"/>
        </w:rPr>
      </w:pPr>
      <w:r w:rsidRPr="00257ECD">
        <w:rPr>
          <w:rFonts w:eastAsia="Times New Roman"/>
          <w:b/>
          <w:szCs w:val="24"/>
          <w:lang w:eastAsia="lv-LV"/>
        </w:rPr>
        <w:t xml:space="preserve">SVF </w:t>
      </w:r>
      <w:r w:rsidRPr="00257ECD">
        <w:rPr>
          <w:rFonts w:eastAsia="Times New Roman"/>
          <w:bCs/>
          <w:szCs w:val="24"/>
          <w:lang w:eastAsia="lv-LV"/>
        </w:rPr>
        <w:t>– Starptautiskais valūtas fonds</w:t>
      </w:r>
    </w:p>
    <w:p w14:paraId="0F091A8B" w14:textId="77777777" w:rsidR="008C7A64" w:rsidRPr="00257ECD" w:rsidRDefault="008C7A64" w:rsidP="008C7A64">
      <w:pPr>
        <w:spacing w:before="120" w:after="120"/>
        <w:rPr>
          <w:b/>
          <w:szCs w:val="24"/>
        </w:rPr>
      </w:pPr>
      <w:r w:rsidRPr="00257ECD">
        <w:rPr>
          <w:b/>
          <w:szCs w:val="24"/>
        </w:rPr>
        <w:t xml:space="preserve">TEN - </w:t>
      </w:r>
      <w:r w:rsidRPr="00257ECD">
        <w:rPr>
          <w:szCs w:val="24"/>
        </w:rPr>
        <w:t>transportlīdzekļa ekspluatācijas nodoklis</w:t>
      </w:r>
    </w:p>
    <w:p w14:paraId="6B4BFA32" w14:textId="77777777" w:rsidR="008C7A64" w:rsidRPr="00257ECD" w:rsidRDefault="008C7A64" w:rsidP="008C7A64">
      <w:pPr>
        <w:spacing w:before="120" w:after="120"/>
        <w:rPr>
          <w:szCs w:val="24"/>
        </w:rPr>
      </w:pPr>
      <w:r w:rsidRPr="00257ECD">
        <w:rPr>
          <w:b/>
          <w:szCs w:val="24"/>
        </w:rPr>
        <w:t>UIN</w:t>
      </w:r>
      <w:r w:rsidRPr="00257ECD">
        <w:rPr>
          <w:szCs w:val="24"/>
        </w:rPr>
        <w:t xml:space="preserve"> – uzņēmumu ienākuma nodoklis</w:t>
      </w:r>
    </w:p>
    <w:p w14:paraId="5CCA36BD" w14:textId="77777777" w:rsidR="008C7A64" w:rsidRPr="00257ECD" w:rsidRDefault="008C7A64" w:rsidP="008C7A64">
      <w:pPr>
        <w:spacing w:before="120" w:after="120"/>
        <w:rPr>
          <w:szCs w:val="24"/>
        </w:rPr>
      </w:pPr>
      <w:r w:rsidRPr="00257ECD">
        <w:rPr>
          <w:b/>
          <w:szCs w:val="24"/>
        </w:rPr>
        <w:t>UVTN</w:t>
      </w:r>
      <w:r w:rsidRPr="00257ECD">
        <w:rPr>
          <w:szCs w:val="24"/>
        </w:rPr>
        <w:t xml:space="preserve"> – uzņēmumu vieglo transportlīdzekļu nodoklis </w:t>
      </w:r>
    </w:p>
    <w:p w14:paraId="54A2E420" w14:textId="77777777" w:rsidR="008C7A64" w:rsidRPr="00257ECD" w:rsidRDefault="008C7A64" w:rsidP="008C7A64">
      <w:pPr>
        <w:spacing w:before="120" w:after="120"/>
        <w:rPr>
          <w:szCs w:val="24"/>
        </w:rPr>
      </w:pPr>
      <w:r w:rsidRPr="00257ECD">
        <w:rPr>
          <w:b/>
          <w:szCs w:val="24"/>
        </w:rPr>
        <w:t>VID</w:t>
      </w:r>
      <w:r w:rsidRPr="00257ECD">
        <w:rPr>
          <w:szCs w:val="24"/>
        </w:rPr>
        <w:t xml:space="preserve"> – Valsts ieņēmumu dienests</w:t>
      </w:r>
    </w:p>
    <w:p w14:paraId="6EB7EC64" w14:textId="77777777" w:rsidR="000D7DB8" w:rsidRPr="00262531" w:rsidRDefault="000D7DB8" w:rsidP="000D7DB8">
      <w:pPr>
        <w:spacing w:before="120" w:after="120"/>
        <w:rPr>
          <w:bCs/>
          <w:szCs w:val="24"/>
        </w:rPr>
      </w:pPr>
      <w:r>
        <w:rPr>
          <w:b/>
          <w:szCs w:val="24"/>
        </w:rPr>
        <w:t xml:space="preserve">VSAA – </w:t>
      </w:r>
      <w:r w:rsidRPr="00262531">
        <w:rPr>
          <w:bCs/>
          <w:szCs w:val="24"/>
        </w:rPr>
        <w:t>Valsts sociālās apdrošināšanas aģentūra</w:t>
      </w:r>
    </w:p>
    <w:p w14:paraId="081675F2" w14:textId="77777777" w:rsidR="008C7A64" w:rsidRPr="00C13A85" w:rsidRDefault="008C7A64" w:rsidP="008C7A64">
      <w:pPr>
        <w:spacing w:before="120" w:after="120"/>
        <w:rPr>
          <w:szCs w:val="24"/>
        </w:rPr>
      </w:pPr>
      <w:r w:rsidRPr="00257ECD">
        <w:rPr>
          <w:b/>
          <w:szCs w:val="24"/>
        </w:rPr>
        <w:t>VSAOI</w:t>
      </w:r>
      <w:r w:rsidRPr="00257ECD">
        <w:rPr>
          <w:szCs w:val="24"/>
        </w:rPr>
        <w:t xml:space="preserve"> – valsts sociālās apdrošināšanas obligātās iemaksas</w:t>
      </w:r>
    </w:p>
    <w:p w14:paraId="124FC105" w14:textId="77777777" w:rsidR="008C7A64" w:rsidRPr="00FC242A" w:rsidRDefault="008C7A64" w:rsidP="004C1CC2">
      <w:pPr>
        <w:spacing w:after="80"/>
        <w:jc w:val="both"/>
        <w:rPr>
          <w:rFonts w:eastAsia="Calibri" w:cs="Times New Roman"/>
          <w:sz w:val="26"/>
          <w:szCs w:val="26"/>
        </w:rPr>
      </w:pPr>
    </w:p>
    <w:p w14:paraId="37197593" w14:textId="77777777" w:rsidR="004C1CC2" w:rsidRDefault="004C1CC2" w:rsidP="00BF2DC1">
      <w:pPr>
        <w:pStyle w:val="Heading1"/>
      </w:pPr>
      <w:r>
        <w:br w:type="page"/>
      </w:r>
    </w:p>
    <w:p w14:paraId="66C05534" w14:textId="77777777" w:rsidR="00640D34" w:rsidRDefault="00BF2DC1" w:rsidP="00BF2DC1">
      <w:pPr>
        <w:pStyle w:val="Heading1"/>
      </w:pPr>
      <w:bookmarkStart w:id="1" w:name="_Toc177627690"/>
      <w:r>
        <w:lastRenderedPageBreak/>
        <w:t>Ievads</w:t>
      </w:r>
      <w:bookmarkEnd w:id="1"/>
    </w:p>
    <w:p w14:paraId="7B918CB2" w14:textId="77777777" w:rsidR="0005162B" w:rsidRPr="00EF3F07" w:rsidRDefault="0005162B" w:rsidP="0005162B">
      <w:pPr>
        <w:spacing w:after="120"/>
        <w:ind w:firstLine="709"/>
        <w:jc w:val="both"/>
        <w:rPr>
          <w:iCs/>
          <w:szCs w:val="24"/>
        </w:rPr>
      </w:pPr>
      <w:bookmarkStart w:id="2" w:name="_Toc477349859"/>
      <w:r w:rsidRPr="00EF3F07">
        <w:rPr>
          <w:iCs/>
          <w:szCs w:val="24"/>
        </w:rPr>
        <w:t>Nodokļu politikas stratēģisko virzienu skaidrība un stabilitāte ir būtiska gan uzņēmējdarbības, gan sabiedrisko pakalpojumu un investīciju efektīvai plānošanai. Svarīga ir arī to sasaiste ar valsts vispārējiem attīstības mērķiem.</w:t>
      </w:r>
    </w:p>
    <w:p w14:paraId="020AA9DD" w14:textId="77777777" w:rsidR="00ED51DB" w:rsidRPr="000B3CC6" w:rsidRDefault="00ED51DB" w:rsidP="00ED51DB">
      <w:pPr>
        <w:spacing w:after="80"/>
        <w:ind w:firstLine="709"/>
        <w:jc w:val="both"/>
      </w:pPr>
      <w:r w:rsidRPr="000B3CC6">
        <w:t>Nodokļu sistēmu Latvijā veido nodokļi, kuru ieņēmumi ir paredzēti valsts vai pašvaldību funkciju finansēšanai, lai nodrošinātu finansējumu tādiem valsts sniegtajiem pakal</w:t>
      </w:r>
      <w:r w:rsidRPr="000B3CC6">
        <w:softHyphen/>
        <w:t>pojumiem kā, piemēram, ceļu uzturēšana, sociālie pakalpojumi, izglītība un veselības aprūpe.</w:t>
      </w:r>
    </w:p>
    <w:p w14:paraId="6E232AEB" w14:textId="5BA339D3" w:rsidR="00ED51DB" w:rsidRPr="000B3CC6" w:rsidRDefault="00ED51DB" w:rsidP="00ED51DB">
      <w:pPr>
        <w:spacing w:after="80"/>
        <w:ind w:firstLine="709"/>
        <w:jc w:val="both"/>
      </w:pPr>
      <w:r w:rsidRPr="000B3CC6">
        <w:t>Daļa valsts iekasēto nodokļu</w:t>
      </w:r>
      <w:r>
        <w:t>, piemēram, valsts sociālās apdrošināšanas</w:t>
      </w:r>
      <w:r w:rsidR="008928BC">
        <w:t xml:space="preserve"> obligātās</w:t>
      </w:r>
      <w:r>
        <w:t xml:space="preserve"> iemaksas, </w:t>
      </w:r>
      <w:r w:rsidRPr="000B3CC6">
        <w:t>ir personalizēti un saistīti ar saņemamā pakalpojuma apjomu, piemēram, pensijas</w:t>
      </w:r>
      <w:r>
        <w:t xml:space="preserve"> un</w:t>
      </w:r>
      <w:r w:rsidRPr="000B3CC6">
        <w:t xml:space="preserve"> bezdarbnieku pabalsti.</w:t>
      </w:r>
    </w:p>
    <w:p w14:paraId="56327CF2" w14:textId="77777777" w:rsidR="00ED51DB" w:rsidRPr="000B3CC6" w:rsidRDefault="00ED51DB" w:rsidP="00ED51DB">
      <w:pPr>
        <w:spacing w:after="80"/>
        <w:ind w:firstLine="709"/>
        <w:jc w:val="both"/>
      </w:pPr>
      <w:r w:rsidRPr="000B3CC6">
        <w:t>Savukārt tādi publiskie pakalpojumi, no kuriem iegūst visi valsts iedzīvotāji, piemēram, valsts ārējā drošība (armija) un iekšējā drošība (valsts policija), valsts ugunsdzē</w:t>
      </w:r>
      <w:r>
        <w:t>sības</w:t>
      </w:r>
      <w:r w:rsidRPr="000B3CC6">
        <w:t xml:space="preserve"> un glābšanas dienest</w:t>
      </w:r>
      <w:r>
        <w:t>a darbība</w:t>
      </w:r>
      <w:r w:rsidRPr="0012104A">
        <w:t xml:space="preserve"> </w:t>
      </w:r>
      <w:r>
        <w:t>un skolotāju darba apmaksa</w:t>
      </w:r>
      <w:r w:rsidRPr="000B3CC6">
        <w:t>, tiek finansēti no kopējiem valsts budžeta ieņēmumiem.</w:t>
      </w:r>
    </w:p>
    <w:p w14:paraId="69F03F55" w14:textId="77777777" w:rsidR="00ED51DB" w:rsidRDefault="00ED51DB" w:rsidP="00ED51DB">
      <w:pPr>
        <w:spacing w:after="80"/>
        <w:ind w:firstLine="709"/>
        <w:jc w:val="both"/>
      </w:pPr>
      <w:r w:rsidRPr="000B3CC6">
        <w:rPr>
          <w:bCs/>
        </w:rPr>
        <w:t>Laika gaitā atbilstoši ekonomiskajai situācijai mainījušies nodokļu veidi, likmes, kā arī ar nodokļiem apliekamie objekti. Tomēr joprojām v</w:t>
      </w:r>
      <w:r w:rsidRPr="000B3CC6">
        <w:t xml:space="preserve">iens no būtiskiem valsts </w:t>
      </w:r>
      <w:r>
        <w:t xml:space="preserve">fiskālās politikas </w:t>
      </w:r>
      <w:r w:rsidRPr="000B3CC6">
        <w:t xml:space="preserve"> kvalitātes aspektiem ir stabilu un prognozējamu nodokļu ieņēmumu no</w:t>
      </w:r>
      <w:r w:rsidRPr="000B3CC6">
        <w:softHyphen/>
        <w:t>dro</w:t>
      </w:r>
      <w:r w:rsidRPr="000B3CC6">
        <w:softHyphen/>
        <w:t xml:space="preserve">šināšana budžetā valdības prioritāro </w:t>
      </w:r>
      <w:r>
        <w:t xml:space="preserve">drošības, </w:t>
      </w:r>
      <w:r w:rsidRPr="000B3CC6">
        <w:t>sociālo un ekonomisko pasākumu finansēšanai. Pie tam ir būtiski nodrošināt Latvijas nodokļu sistēmas konkurētspēju ar kaimiņvalstīm.</w:t>
      </w:r>
    </w:p>
    <w:p w14:paraId="33AEC338" w14:textId="77777777" w:rsidR="004A6D92" w:rsidRDefault="004A6D92" w:rsidP="004A6D92">
      <w:pPr>
        <w:autoSpaceDE w:val="0"/>
        <w:autoSpaceDN w:val="0"/>
        <w:spacing w:after="120"/>
        <w:ind w:firstLine="709"/>
        <w:jc w:val="both"/>
        <w:rPr>
          <w:szCs w:val="24"/>
        </w:rPr>
      </w:pPr>
      <w:r w:rsidRPr="0026031F">
        <w:rPr>
          <w:szCs w:val="24"/>
        </w:rPr>
        <w:t xml:space="preserve">Deklarācijas par Evikas Siliņas vadītā Ministru kabineta iecerēto darbību </w:t>
      </w:r>
      <w:r>
        <w:rPr>
          <w:szCs w:val="24"/>
        </w:rPr>
        <w:t>(</w:t>
      </w:r>
      <w:r w:rsidRPr="0099320C">
        <w:rPr>
          <w:i/>
          <w:iCs/>
          <w:szCs w:val="24"/>
        </w:rPr>
        <w:t xml:space="preserve">turpmāk tekstā </w:t>
      </w:r>
      <w:r>
        <w:rPr>
          <w:i/>
          <w:iCs/>
          <w:szCs w:val="24"/>
        </w:rPr>
        <w:t>–</w:t>
      </w:r>
      <w:r w:rsidRPr="0099320C">
        <w:rPr>
          <w:i/>
          <w:iCs/>
          <w:szCs w:val="24"/>
        </w:rPr>
        <w:t xml:space="preserve"> valdības deklarācija</w:t>
      </w:r>
      <w:r>
        <w:rPr>
          <w:szCs w:val="24"/>
        </w:rPr>
        <w:t>) 36. punkts nosaka, ka šīs valdības apņemšanās saistībā ar nodokļu politiku ir u</w:t>
      </w:r>
      <w:r w:rsidRPr="00F9624A">
        <w:rPr>
          <w:szCs w:val="24"/>
        </w:rPr>
        <w:t>zlabot ekonomikas konkur</w:t>
      </w:r>
      <w:r w:rsidRPr="00F9624A">
        <w:rPr>
          <w:rFonts w:hint="eastAsia"/>
          <w:szCs w:val="24"/>
        </w:rPr>
        <w:t>ē</w:t>
      </w:r>
      <w:r w:rsidRPr="00F9624A">
        <w:rPr>
          <w:szCs w:val="24"/>
        </w:rPr>
        <w:t>tsp</w:t>
      </w:r>
      <w:r w:rsidRPr="00F9624A">
        <w:rPr>
          <w:rFonts w:hint="eastAsia"/>
          <w:szCs w:val="24"/>
        </w:rPr>
        <w:t>ē</w:t>
      </w:r>
      <w:r w:rsidRPr="00F9624A">
        <w:rPr>
          <w:szCs w:val="24"/>
        </w:rPr>
        <w:t>ju, mazin</w:t>
      </w:r>
      <w:r w:rsidRPr="00F9624A">
        <w:rPr>
          <w:rFonts w:hint="eastAsia"/>
          <w:szCs w:val="24"/>
        </w:rPr>
        <w:t>ā</w:t>
      </w:r>
      <w:r w:rsidRPr="00F9624A">
        <w:rPr>
          <w:szCs w:val="24"/>
        </w:rPr>
        <w:t>t ien</w:t>
      </w:r>
      <w:r w:rsidRPr="00F9624A">
        <w:rPr>
          <w:rFonts w:hint="eastAsia"/>
          <w:szCs w:val="24"/>
        </w:rPr>
        <w:t>ā</w:t>
      </w:r>
      <w:r w:rsidRPr="00F9624A">
        <w:rPr>
          <w:szCs w:val="24"/>
        </w:rPr>
        <w:t>kumu nevienl</w:t>
      </w:r>
      <w:r w:rsidRPr="00F9624A">
        <w:rPr>
          <w:rFonts w:hint="eastAsia"/>
          <w:szCs w:val="24"/>
        </w:rPr>
        <w:t>ī</w:t>
      </w:r>
      <w:r w:rsidRPr="00F9624A">
        <w:rPr>
          <w:szCs w:val="24"/>
        </w:rPr>
        <w:t>dz</w:t>
      </w:r>
      <w:r w:rsidRPr="00F9624A">
        <w:rPr>
          <w:rFonts w:hint="eastAsia"/>
          <w:szCs w:val="24"/>
        </w:rPr>
        <w:t>ī</w:t>
      </w:r>
      <w:r w:rsidRPr="00F9624A">
        <w:rPr>
          <w:szCs w:val="24"/>
        </w:rPr>
        <w:t>bu un palielin</w:t>
      </w:r>
      <w:r w:rsidRPr="00F9624A">
        <w:rPr>
          <w:rFonts w:hint="eastAsia"/>
          <w:szCs w:val="24"/>
        </w:rPr>
        <w:t>ā</w:t>
      </w:r>
      <w:r w:rsidRPr="00F9624A">
        <w:rPr>
          <w:szCs w:val="24"/>
        </w:rPr>
        <w:t>t nodok</w:t>
      </w:r>
      <w:r w:rsidRPr="00F9624A">
        <w:rPr>
          <w:rFonts w:hint="eastAsia"/>
          <w:szCs w:val="24"/>
        </w:rPr>
        <w:t>ļ</w:t>
      </w:r>
      <w:r w:rsidRPr="00F9624A">
        <w:rPr>
          <w:szCs w:val="24"/>
        </w:rPr>
        <w:t>u ie</w:t>
      </w:r>
      <w:r w:rsidRPr="00F9624A">
        <w:rPr>
          <w:rFonts w:hint="eastAsia"/>
          <w:szCs w:val="24"/>
        </w:rPr>
        <w:t>ņē</w:t>
      </w:r>
      <w:r w:rsidRPr="00F9624A">
        <w:rPr>
          <w:szCs w:val="24"/>
        </w:rPr>
        <w:t>mumus, k</w:t>
      </w:r>
      <w:r w:rsidRPr="00F9624A">
        <w:rPr>
          <w:rFonts w:hint="eastAsia"/>
          <w:szCs w:val="24"/>
        </w:rPr>
        <w:t>ā</w:t>
      </w:r>
      <w:r w:rsidRPr="00F9624A">
        <w:rPr>
          <w:szCs w:val="24"/>
        </w:rPr>
        <w:t xml:space="preserve"> ar</w:t>
      </w:r>
      <w:r w:rsidRPr="00F9624A">
        <w:rPr>
          <w:rFonts w:hint="eastAsia"/>
          <w:szCs w:val="24"/>
        </w:rPr>
        <w:t>ī</w:t>
      </w:r>
      <w:r w:rsidRPr="00F9624A">
        <w:rPr>
          <w:szCs w:val="24"/>
        </w:rPr>
        <w:t xml:space="preserve"> samazin</w:t>
      </w:r>
      <w:r w:rsidRPr="00F9624A">
        <w:rPr>
          <w:rFonts w:hint="eastAsia"/>
          <w:szCs w:val="24"/>
        </w:rPr>
        <w:t>ā</w:t>
      </w:r>
      <w:r w:rsidRPr="00F9624A">
        <w:rPr>
          <w:szCs w:val="24"/>
        </w:rPr>
        <w:t xml:space="preserve">t </w:t>
      </w:r>
      <w:r w:rsidRPr="00F9624A">
        <w:rPr>
          <w:rFonts w:hint="eastAsia"/>
          <w:szCs w:val="24"/>
        </w:rPr>
        <w:t>ē</w:t>
      </w:r>
      <w:r w:rsidRPr="00F9624A">
        <w:rPr>
          <w:szCs w:val="24"/>
        </w:rPr>
        <w:t>nu ekonomiku un vienk</w:t>
      </w:r>
      <w:r w:rsidRPr="00F9624A">
        <w:rPr>
          <w:rFonts w:hint="eastAsia"/>
          <w:szCs w:val="24"/>
        </w:rPr>
        <w:t>ā</w:t>
      </w:r>
      <w:r w:rsidRPr="00F9624A">
        <w:rPr>
          <w:szCs w:val="24"/>
        </w:rPr>
        <w:t>r</w:t>
      </w:r>
      <w:r w:rsidRPr="00F9624A">
        <w:rPr>
          <w:rFonts w:hint="eastAsia"/>
          <w:szCs w:val="24"/>
        </w:rPr>
        <w:t>š</w:t>
      </w:r>
      <w:r w:rsidRPr="00F9624A">
        <w:rPr>
          <w:szCs w:val="24"/>
        </w:rPr>
        <w:t>ot nodok</w:t>
      </w:r>
      <w:r w:rsidRPr="00F9624A">
        <w:rPr>
          <w:rFonts w:hint="eastAsia"/>
          <w:szCs w:val="24"/>
        </w:rPr>
        <w:t>ļ</w:t>
      </w:r>
      <w:r w:rsidRPr="00F9624A">
        <w:rPr>
          <w:szCs w:val="24"/>
        </w:rPr>
        <w:t>u nomaksu, padarot to maz</w:t>
      </w:r>
      <w:r w:rsidRPr="00F9624A">
        <w:rPr>
          <w:rFonts w:hint="eastAsia"/>
          <w:szCs w:val="24"/>
        </w:rPr>
        <w:t>ā</w:t>
      </w:r>
      <w:r w:rsidRPr="00F9624A">
        <w:rPr>
          <w:szCs w:val="24"/>
        </w:rPr>
        <w:t>k resursu un laika ietilp</w:t>
      </w:r>
      <w:r w:rsidRPr="00F9624A">
        <w:rPr>
          <w:rFonts w:hint="eastAsia"/>
          <w:szCs w:val="24"/>
        </w:rPr>
        <w:t>ī</w:t>
      </w:r>
      <w:r w:rsidRPr="00F9624A">
        <w:rPr>
          <w:szCs w:val="24"/>
        </w:rPr>
        <w:t>gu.</w:t>
      </w:r>
    </w:p>
    <w:p w14:paraId="528411BC" w14:textId="3B0DD4EB" w:rsidR="004A6D92" w:rsidRDefault="004A6D92" w:rsidP="004A6D92">
      <w:pPr>
        <w:spacing w:after="80"/>
        <w:ind w:firstLine="709"/>
        <w:jc w:val="both"/>
        <w:rPr>
          <w:szCs w:val="24"/>
        </w:rPr>
      </w:pPr>
      <w:r w:rsidRPr="003B6A95">
        <w:rPr>
          <w:szCs w:val="24"/>
        </w:rPr>
        <w:t xml:space="preserve">Saskaņā ar </w:t>
      </w:r>
      <w:r>
        <w:rPr>
          <w:szCs w:val="24"/>
        </w:rPr>
        <w:t>v</w:t>
      </w:r>
      <w:r w:rsidRPr="003B6A95">
        <w:rPr>
          <w:szCs w:val="24"/>
        </w:rPr>
        <w:t>aldības rīcības plāna</w:t>
      </w:r>
      <w:r>
        <w:rPr>
          <w:rStyle w:val="FootnoteReference"/>
          <w:szCs w:val="24"/>
        </w:rPr>
        <w:footnoteReference w:id="1"/>
      </w:r>
      <w:r w:rsidRPr="003B6A95">
        <w:rPr>
          <w:szCs w:val="24"/>
        </w:rPr>
        <w:t xml:space="preserve">, kas apstiprināts ar </w:t>
      </w:r>
      <w:r>
        <w:rPr>
          <w:szCs w:val="24"/>
        </w:rPr>
        <w:t>MK</w:t>
      </w:r>
      <w:r w:rsidRPr="003B6A95">
        <w:rPr>
          <w:szCs w:val="24"/>
        </w:rPr>
        <w:t xml:space="preserve"> 2024. gada </w:t>
      </w:r>
      <w:r>
        <w:rPr>
          <w:szCs w:val="24"/>
        </w:rPr>
        <w:t>20</w:t>
      </w:r>
      <w:r w:rsidRPr="003B6A95">
        <w:rPr>
          <w:szCs w:val="24"/>
        </w:rPr>
        <w:t>. janvār</w:t>
      </w:r>
      <w:r w:rsidR="008928BC">
        <w:rPr>
          <w:szCs w:val="24"/>
        </w:rPr>
        <w:t>a</w:t>
      </w:r>
      <w:r w:rsidRPr="003B6A95">
        <w:rPr>
          <w:szCs w:val="24"/>
        </w:rPr>
        <w:t xml:space="preserve"> rīkojumu Nr.</w:t>
      </w:r>
      <w:r>
        <w:rPr>
          <w:szCs w:val="24"/>
        </w:rPr>
        <w:t xml:space="preserve"> 55 </w:t>
      </w:r>
      <w:r w:rsidRPr="00437723">
        <w:rPr>
          <w:i/>
          <w:iCs/>
          <w:szCs w:val="24"/>
        </w:rPr>
        <w:t>“Par Valdības rīcības plānu Deklarācijas par Evikas Siliņas vadītā Ministru kabineta iecerēto darbību īstenošanai”</w:t>
      </w:r>
      <w:r w:rsidRPr="003B6A95">
        <w:rPr>
          <w:szCs w:val="24"/>
        </w:rPr>
        <w:t xml:space="preserve"> </w:t>
      </w:r>
      <w:r>
        <w:rPr>
          <w:szCs w:val="24"/>
        </w:rPr>
        <w:t>(</w:t>
      </w:r>
      <w:r w:rsidRPr="009D2D0E">
        <w:rPr>
          <w:szCs w:val="24"/>
        </w:rPr>
        <w:t>TA-2869</w:t>
      </w:r>
      <w:r>
        <w:rPr>
          <w:szCs w:val="24"/>
        </w:rPr>
        <w:t>)</w:t>
      </w:r>
      <w:r w:rsidR="007C3CBB">
        <w:rPr>
          <w:szCs w:val="24"/>
        </w:rPr>
        <w:t>,</w:t>
      </w:r>
      <w:r w:rsidRPr="009D2D0E">
        <w:rPr>
          <w:szCs w:val="24"/>
        </w:rPr>
        <w:t xml:space="preserve"> </w:t>
      </w:r>
      <w:r w:rsidRPr="003B6A95">
        <w:rPr>
          <w:szCs w:val="24"/>
        </w:rPr>
        <w:t xml:space="preserve">36.1.punktu </w:t>
      </w:r>
      <w:r>
        <w:rPr>
          <w:szCs w:val="24"/>
        </w:rPr>
        <w:t>FM</w:t>
      </w:r>
      <w:r w:rsidRPr="003B6A95">
        <w:rPr>
          <w:szCs w:val="24"/>
        </w:rPr>
        <w:t xml:space="preserve"> sadarbībā ar valdības sociālajiem un sadarbības partneriem jāizstrādā </w:t>
      </w:r>
      <w:r>
        <w:rPr>
          <w:szCs w:val="24"/>
        </w:rPr>
        <w:t xml:space="preserve">un </w:t>
      </w:r>
      <w:r w:rsidRPr="003B6A95">
        <w:rPr>
          <w:szCs w:val="24"/>
        </w:rPr>
        <w:t>līdz 2024.</w:t>
      </w:r>
      <w:r w:rsidR="00D60EDC">
        <w:rPr>
          <w:szCs w:val="24"/>
        </w:rPr>
        <w:t> </w:t>
      </w:r>
      <w:r w:rsidRPr="003B6A95">
        <w:rPr>
          <w:szCs w:val="24"/>
        </w:rPr>
        <w:t>gada 31.</w:t>
      </w:r>
      <w:r w:rsidR="00D60EDC">
        <w:rPr>
          <w:szCs w:val="24"/>
        </w:rPr>
        <w:t> </w:t>
      </w:r>
      <w:r w:rsidRPr="003B6A95">
        <w:rPr>
          <w:szCs w:val="24"/>
        </w:rPr>
        <w:t xml:space="preserve">maijam </w:t>
      </w:r>
      <w:r>
        <w:rPr>
          <w:szCs w:val="24"/>
        </w:rPr>
        <w:t xml:space="preserve">MK jāiesniedz </w:t>
      </w:r>
      <w:r w:rsidRPr="003B6A95">
        <w:rPr>
          <w:szCs w:val="24"/>
        </w:rPr>
        <w:t>vidēja termiņa valsts nodokļu politikas pamatnostādnes</w:t>
      </w:r>
      <w:r>
        <w:rPr>
          <w:szCs w:val="24"/>
        </w:rPr>
        <w:t>, ņemot vērā valdības deklarācijas prioritātes – reģionālā konkurētspēja, nevienlīdzības mazināšana un nodokļu ieņēmumi attiecībā pret IKP</w:t>
      </w:r>
      <w:r w:rsidRPr="009B0DE6">
        <w:rPr>
          <w:szCs w:val="24"/>
        </w:rPr>
        <w:t xml:space="preserve">. </w:t>
      </w:r>
    </w:p>
    <w:p w14:paraId="506571FA" w14:textId="5202DCB8" w:rsidR="008C7A64" w:rsidRDefault="008C7A64" w:rsidP="008C7A64">
      <w:pPr>
        <w:autoSpaceDE w:val="0"/>
        <w:autoSpaceDN w:val="0"/>
        <w:spacing w:after="120"/>
        <w:ind w:firstLine="709"/>
        <w:jc w:val="both"/>
        <w:rPr>
          <w:szCs w:val="24"/>
        </w:rPr>
      </w:pPr>
      <w:r>
        <w:rPr>
          <w:szCs w:val="24"/>
        </w:rPr>
        <w:t>V</w:t>
      </w:r>
      <w:r w:rsidRPr="003B6A95">
        <w:rPr>
          <w:szCs w:val="24"/>
        </w:rPr>
        <w:t>alsts nodokļu politikas pamatnostād</w:t>
      </w:r>
      <w:r>
        <w:rPr>
          <w:szCs w:val="24"/>
        </w:rPr>
        <w:t>ņu izstrādei tika izveidota</w:t>
      </w:r>
      <w:r w:rsidRPr="009B0DE6">
        <w:rPr>
          <w:i/>
          <w:iCs/>
          <w:szCs w:val="24"/>
        </w:rPr>
        <w:t xml:space="preserve"> Nodokļu politikas pilnveidošanas koordinēšanas grupa</w:t>
      </w:r>
      <w:r>
        <w:rPr>
          <w:i/>
          <w:iCs/>
          <w:szCs w:val="24"/>
        </w:rPr>
        <w:t xml:space="preserve">, </w:t>
      </w:r>
      <w:r w:rsidRPr="003B6A95">
        <w:rPr>
          <w:szCs w:val="24"/>
        </w:rPr>
        <w:t>kurā piedal</w:t>
      </w:r>
      <w:r w:rsidR="008928BC">
        <w:rPr>
          <w:szCs w:val="24"/>
        </w:rPr>
        <w:t>ījā</w:t>
      </w:r>
      <w:r w:rsidRPr="003B6A95">
        <w:rPr>
          <w:szCs w:val="24"/>
        </w:rPr>
        <w:t xml:space="preserve">s </w:t>
      </w:r>
      <w:r>
        <w:rPr>
          <w:szCs w:val="24"/>
        </w:rPr>
        <w:t>v</w:t>
      </w:r>
      <w:r w:rsidRPr="003B6A95">
        <w:rPr>
          <w:szCs w:val="24"/>
        </w:rPr>
        <w:t xml:space="preserve">aldības koalīciju veidojošo partiju pārstāvji, </w:t>
      </w:r>
      <w:r>
        <w:rPr>
          <w:szCs w:val="24"/>
        </w:rPr>
        <w:t xml:space="preserve">kā </w:t>
      </w:r>
      <w:r w:rsidRPr="003B6A95">
        <w:rPr>
          <w:szCs w:val="24"/>
        </w:rPr>
        <w:t>arī sociāl</w:t>
      </w:r>
      <w:r>
        <w:rPr>
          <w:szCs w:val="24"/>
        </w:rPr>
        <w:t>o</w:t>
      </w:r>
      <w:r w:rsidRPr="003B6A95">
        <w:rPr>
          <w:szCs w:val="24"/>
        </w:rPr>
        <w:t xml:space="preserve"> un sadarbības partneru</w:t>
      </w:r>
      <w:r>
        <w:rPr>
          <w:szCs w:val="24"/>
        </w:rPr>
        <w:t xml:space="preserve"> pār</w:t>
      </w:r>
      <w:r w:rsidRPr="003B6A95">
        <w:rPr>
          <w:szCs w:val="24"/>
        </w:rPr>
        <w:t>s</w:t>
      </w:r>
      <w:r>
        <w:rPr>
          <w:szCs w:val="24"/>
        </w:rPr>
        <w:t>tāvji, pēc nepiecie</w:t>
      </w:r>
      <w:r>
        <w:rPr>
          <w:szCs w:val="24"/>
        </w:rPr>
        <w:softHyphen/>
        <w:t>ša</w:t>
      </w:r>
      <w:r>
        <w:rPr>
          <w:szCs w:val="24"/>
        </w:rPr>
        <w:softHyphen/>
        <w:t xml:space="preserve">mības pieaicinot speciālistus no citām ministrijām, Latvijas Bankas un citām organizācijām. </w:t>
      </w:r>
    </w:p>
    <w:p w14:paraId="4A56CBED" w14:textId="5D1BF91E" w:rsidR="008C7A64" w:rsidRPr="00581EDE" w:rsidRDefault="008C7A64" w:rsidP="00682828">
      <w:pPr>
        <w:spacing w:after="120"/>
        <w:ind w:firstLine="709"/>
        <w:jc w:val="both"/>
        <w:rPr>
          <w:szCs w:val="24"/>
        </w:rPr>
      </w:pPr>
      <w:r w:rsidRPr="00C81523">
        <w:rPr>
          <w:szCs w:val="24"/>
        </w:rPr>
        <w:t xml:space="preserve">Laikā no 2023. gada oktobra notika </w:t>
      </w:r>
      <w:r w:rsidR="00682828">
        <w:rPr>
          <w:szCs w:val="24"/>
        </w:rPr>
        <w:t xml:space="preserve">vairāk kā </w:t>
      </w:r>
      <w:r w:rsidRPr="00C81523">
        <w:rPr>
          <w:szCs w:val="24"/>
        </w:rPr>
        <w:t xml:space="preserve">30 </w:t>
      </w:r>
      <w:r w:rsidR="00262531" w:rsidRPr="009B0DE6">
        <w:rPr>
          <w:i/>
          <w:iCs/>
          <w:szCs w:val="24"/>
        </w:rPr>
        <w:t>Nodokļu politikas pilnveidošanas koordinēšanas grupa</w:t>
      </w:r>
      <w:r w:rsidR="00262531">
        <w:rPr>
          <w:i/>
          <w:iCs/>
          <w:szCs w:val="24"/>
        </w:rPr>
        <w:t>s</w:t>
      </w:r>
      <w:r w:rsidR="00262531" w:rsidRPr="00C81523">
        <w:rPr>
          <w:szCs w:val="24"/>
        </w:rPr>
        <w:t xml:space="preserve"> </w:t>
      </w:r>
      <w:r w:rsidRPr="00C81523">
        <w:rPr>
          <w:szCs w:val="24"/>
        </w:rPr>
        <w:t xml:space="preserve">sanāksmes, kurās tika diskutēts par </w:t>
      </w:r>
      <w:r>
        <w:rPr>
          <w:szCs w:val="24"/>
        </w:rPr>
        <w:t xml:space="preserve">ekonomiskās politikas un nodokļu politikas mērķu sasaisti, </w:t>
      </w:r>
      <w:r w:rsidRPr="00C81523">
        <w:rPr>
          <w:szCs w:val="24"/>
        </w:rPr>
        <w:t>uzņēmumu ienākuma nodokli, darbaspēka nodokļiem, nekustamā īpašuma nodokli, dabas resursu nodokli un klimata nodokļiem, netiešajiem nodokļiem (t.sk. akcīzes nodokli un pievienotās vērtības nodokli), ēnu ekonomiku un digitālajiem risinājumiem mazā biznesa īstermiņa nodarbinātībai,</w:t>
      </w:r>
      <w:r w:rsidR="008928BC">
        <w:rPr>
          <w:szCs w:val="24"/>
        </w:rPr>
        <w:t xml:space="preserve"> kā arī</w:t>
      </w:r>
      <w:r w:rsidRPr="00C81523">
        <w:rPr>
          <w:szCs w:val="24"/>
        </w:rPr>
        <w:t xml:space="preserve"> veselības finansēšanas modeli.</w:t>
      </w:r>
    </w:p>
    <w:p w14:paraId="7EDA0EB2" w14:textId="1A6122C2" w:rsidR="008C7A64" w:rsidRPr="00C0047B" w:rsidRDefault="008C7A64" w:rsidP="008C7A64">
      <w:pPr>
        <w:ind w:firstLine="709"/>
        <w:jc w:val="both"/>
      </w:pPr>
      <w:r w:rsidRPr="00C0047B">
        <w:lastRenderedPageBreak/>
        <w:t xml:space="preserve">Balstoties uz </w:t>
      </w:r>
      <w:r w:rsidR="00262531" w:rsidRPr="009B0DE6">
        <w:rPr>
          <w:i/>
          <w:iCs/>
          <w:szCs w:val="24"/>
        </w:rPr>
        <w:t>Nodokļu politikas pilnveidošanas koordinēšanas grupa</w:t>
      </w:r>
      <w:r w:rsidR="00262531">
        <w:rPr>
          <w:i/>
          <w:iCs/>
          <w:szCs w:val="24"/>
        </w:rPr>
        <w:t>s</w:t>
      </w:r>
      <w:r w:rsidR="00262531" w:rsidRPr="00C0047B">
        <w:t xml:space="preserve"> </w:t>
      </w:r>
      <w:r w:rsidRPr="00C0047B">
        <w:t>darbu, FM mājas lapā publicēti šādi materiāli</w:t>
      </w:r>
      <w:r w:rsidRPr="00C0047B">
        <w:rPr>
          <w:rStyle w:val="FootnoteReference"/>
        </w:rPr>
        <w:footnoteReference w:id="2"/>
      </w:r>
      <w:r w:rsidRPr="00C0047B">
        <w:t>, kas sniedz plašu, datos balstītu un izvērstu</w:t>
      </w:r>
      <w:r>
        <w:t xml:space="preserve"> </w:t>
      </w:r>
      <w:r w:rsidRPr="00C0047B">
        <w:t>analīzi</w:t>
      </w:r>
      <w:r w:rsidR="008928BC">
        <w:t xml:space="preserve">, </w:t>
      </w:r>
      <w:r>
        <w:t>un attiecīgi arī strukturēti nodokļu politikas pārskatīšanas priekšlikumi</w:t>
      </w:r>
      <w:r w:rsidRPr="00C0047B">
        <w:t xml:space="preserve">: </w:t>
      </w:r>
    </w:p>
    <w:p w14:paraId="0E72CD6F" w14:textId="77777777" w:rsidR="008C7A64" w:rsidRPr="00581EDE" w:rsidRDefault="008C7A64" w:rsidP="00FF31ED">
      <w:pPr>
        <w:pStyle w:val="ListParagraph"/>
        <w:numPr>
          <w:ilvl w:val="0"/>
          <w:numId w:val="2"/>
        </w:numPr>
        <w:spacing w:after="120"/>
      </w:pPr>
      <w:r w:rsidRPr="00581EDE">
        <w:rPr>
          <w:i/>
          <w:iCs/>
        </w:rPr>
        <w:t>Uzņēmumu ienākuma nodokļa reformas izvērtējums 2018-2023 un piedāvātais rīcības scenārijs;</w:t>
      </w:r>
    </w:p>
    <w:p w14:paraId="653FDE15" w14:textId="77777777" w:rsidR="008C7A64" w:rsidRPr="003561A8" w:rsidRDefault="008C7A64" w:rsidP="00FF31ED">
      <w:pPr>
        <w:pStyle w:val="ListParagraph"/>
        <w:numPr>
          <w:ilvl w:val="0"/>
          <w:numId w:val="2"/>
        </w:numPr>
        <w:spacing w:after="120"/>
      </w:pPr>
      <w:r w:rsidRPr="00581EDE">
        <w:rPr>
          <w:i/>
          <w:iCs/>
          <w:szCs w:val="24"/>
        </w:rPr>
        <w:t xml:space="preserve">Darbaspēka izmaksu esošās situācijas novērtējums un priekšlikumi </w:t>
      </w:r>
      <w:r>
        <w:rPr>
          <w:i/>
          <w:iCs/>
          <w:szCs w:val="24"/>
        </w:rPr>
        <w:t xml:space="preserve">tālākai </w:t>
      </w:r>
      <w:r w:rsidRPr="00581EDE">
        <w:rPr>
          <w:i/>
          <w:iCs/>
          <w:szCs w:val="24"/>
        </w:rPr>
        <w:t>rīcībai</w:t>
      </w:r>
      <w:r>
        <w:rPr>
          <w:i/>
          <w:iCs/>
          <w:szCs w:val="24"/>
        </w:rPr>
        <w:t>;</w:t>
      </w:r>
    </w:p>
    <w:p w14:paraId="5E37C5C3" w14:textId="77777777" w:rsidR="008C7A64" w:rsidRPr="003561A8" w:rsidRDefault="008C7A64" w:rsidP="00FF31ED">
      <w:pPr>
        <w:pStyle w:val="ListParagraph"/>
        <w:numPr>
          <w:ilvl w:val="0"/>
          <w:numId w:val="2"/>
        </w:numPr>
        <w:spacing w:after="120"/>
        <w:rPr>
          <w:i/>
          <w:iCs/>
        </w:rPr>
      </w:pPr>
      <w:r w:rsidRPr="003561A8">
        <w:rPr>
          <w:i/>
          <w:iCs/>
          <w:szCs w:val="24"/>
        </w:rPr>
        <w:t>Nekustamā īpašuma nodokļa objektu aplikšanas ar nodokli izvērtējums un tālākie rīcības scenāriji</w:t>
      </w:r>
      <w:r>
        <w:rPr>
          <w:i/>
          <w:iCs/>
          <w:szCs w:val="24"/>
        </w:rPr>
        <w:t>;</w:t>
      </w:r>
    </w:p>
    <w:p w14:paraId="1CAAA687" w14:textId="77777777" w:rsidR="008C7A64" w:rsidRPr="00C0047B" w:rsidRDefault="008C7A64" w:rsidP="00FF31ED">
      <w:pPr>
        <w:pStyle w:val="ListParagraph"/>
        <w:numPr>
          <w:ilvl w:val="0"/>
          <w:numId w:val="2"/>
        </w:numPr>
        <w:spacing w:after="120"/>
        <w:rPr>
          <w:i/>
          <w:iCs/>
        </w:rPr>
      </w:pPr>
      <w:r w:rsidRPr="003561A8">
        <w:rPr>
          <w:i/>
          <w:iCs/>
          <w:szCs w:val="24"/>
        </w:rPr>
        <w:t>Dabas resursu nodoklis un klimata nodokļi</w:t>
      </w:r>
      <w:r>
        <w:rPr>
          <w:i/>
          <w:iCs/>
          <w:szCs w:val="24"/>
        </w:rPr>
        <w:t>;</w:t>
      </w:r>
    </w:p>
    <w:p w14:paraId="59C356F8" w14:textId="77777777" w:rsidR="008C7A64" w:rsidRPr="003561A8" w:rsidRDefault="008C7A64" w:rsidP="00FF31ED">
      <w:pPr>
        <w:pStyle w:val="ListParagraph"/>
        <w:numPr>
          <w:ilvl w:val="0"/>
          <w:numId w:val="2"/>
        </w:numPr>
        <w:spacing w:after="120"/>
        <w:rPr>
          <w:i/>
          <w:iCs/>
        </w:rPr>
      </w:pPr>
      <w:r>
        <w:rPr>
          <w:i/>
          <w:iCs/>
          <w:szCs w:val="24"/>
        </w:rPr>
        <w:t>Mazo režīmu esošās situācijas novērtējums;</w:t>
      </w:r>
    </w:p>
    <w:p w14:paraId="50ADCE06" w14:textId="61621F4D" w:rsidR="00682828" w:rsidRPr="00682828" w:rsidRDefault="008C7A64" w:rsidP="00682828">
      <w:pPr>
        <w:pStyle w:val="ListParagraph"/>
        <w:numPr>
          <w:ilvl w:val="0"/>
          <w:numId w:val="2"/>
        </w:numPr>
        <w:rPr>
          <w:i/>
          <w:iCs/>
        </w:rPr>
      </w:pPr>
      <w:r w:rsidRPr="003561A8">
        <w:rPr>
          <w:i/>
          <w:iCs/>
          <w:szCs w:val="24"/>
        </w:rPr>
        <w:t>Pievienotās vērtības nodokļa izvērtējums</w:t>
      </w:r>
      <w:r w:rsidR="00262531">
        <w:rPr>
          <w:i/>
          <w:iCs/>
          <w:szCs w:val="24"/>
        </w:rPr>
        <w:t>;</w:t>
      </w:r>
    </w:p>
    <w:p w14:paraId="35EC3E56" w14:textId="5451CE3F" w:rsidR="008C7A64" w:rsidRPr="00262531" w:rsidRDefault="00262531" w:rsidP="00682828">
      <w:pPr>
        <w:pStyle w:val="ListParagraph"/>
        <w:numPr>
          <w:ilvl w:val="0"/>
          <w:numId w:val="2"/>
        </w:numPr>
        <w:rPr>
          <w:i/>
          <w:iCs/>
        </w:rPr>
      </w:pPr>
      <w:r w:rsidRPr="00262531">
        <w:rPr>
          <w:i/>
          <w:iCs/>
          <w:szCs w:val="24"/>
        </w:rPr>
        <w:t xml:space="preserve">Valsts nodokļu politikas izvērtējumu </w:t>
      </w:r>
      <w:r w:rsidR="00682828" w:rsidRPr="00262531">
        <w:rPr>
          <w:i/>
          <w:iCs/>
          <w:szCs w:val="24"/>
        </w:rPr>
        <w:t>kopsavilkums</w:t>
      </w:r>
      <w:r w:rsidR="008C7A64" w:rsidRPr="00262531">
        <w:rPr>
          <w:i/>
          <w:iCs/>
          <w:szCs w:val="24"/>
        </w:rPr>
        <w:t>.</w:t>
      </w:r>
    </w:p>
    <w:p w14:paraId="432045B4" w14:textId="77777777" w:rsidR="008C7A64" w:rsidRDefault="008C7A64" w:rsidP="00682828">
      <w:pPr>
        <w:ind w:firstLine="709"/>
        <w:jc w:val="both"/>
        <w:rPr>
          <w:szCs w:val="24"/>
        </w:rPr>
      </w:pPr>
    </w:p>
    <w:bookmarkEnd w:id="2"/>
    <w:p w14:paraId="5D233451" w14:textId="660E5151" w:rsidR="00BB137E" w:rsidRPr="00A33167" w:rsidRDefault="00262531" w:rsidP="00BB137E">
      <w:pPr>
        <w:spacing w:after="120"/>
        <w:ind w:firstLine="709"/>
        <w:jc w:val="both"/>
        <w:rPr>
          <w:iCs/>
          <w:szCs w:val="24"/>
        </w:rPr>
      </w:pPr>
      <w:r w:rsidRPr="009B0DE6">
        <w:rPr>
          <w:i/>
          <w:iCs/>
          <w:szCs w:val="24"/>
        </w:rPr>
        <w:t>Nodokļu politikas pilnveidošanas koordinēšanas grupa</w:t>
      </w:r>
      <w:r>
        <w:rPr>
          <w:rFonts w:eastAsia="Times New Roman"/>
          <w:color w:val="000000"/>
        </w:rPr>
        <w:t xml:space="preserve"> </w:t>
      </w:r>
      <w:r w:rsidR="00BB137E">
        <w:rPr>
          <w:rFonts w:eastAsia="Times New Roman"/>
          <w:color w:val="000000"/>
        </w:rPr>
        <w:t xml:space="preserve">nonāca pie secinājuma, ka nepieciešams </w:t>
      </w:r>
      <w:r w:rsidR="00BB137E" w:rsidRPr="00A33167">
        <w:rPr>
          <w:rFonts w:eastAsia="Times New Roman"/>
          <w:color w:val="000000"/>
        </w:rPr>
        <w:t xml:space="preserve">turpināt mazināt darbaspēka nodokļu slogu, lai tas būtu konkurētspējīgs ar pārējām Baltijas valstīm. Tāpat secināts, ka, lai arī darbaspēka nodokļu sloga mazināšana ir nepieciešama, tas ir fiskāli ietilpīgs un budžeta līdzekļus samazinošs nevis palielinošs pasākums. Tāpēc </w:t>
      </w:r>
      <w:r w:rsidR="00682828">
        <w:rPr>
          <w:rFonts w:eastAsia="Times New Roman"/>
          <w:color w:val="000000"/>
        </w:rPr>
        <w:t>nepieciešami risinājumi</w:t>
      </w:r>
      <w:r w:rsidR="00BB137E" w:rsidRPr="00A33167">
        <w:rPr>
          <w:rFonts w:eastAsia="Times New Roman"/>
          <w:color w:val="000000"/>
        </w:rPr>
        <w:t xml:space="preserve"> kā kompensēt gan iespējamo darbaspēka nodokļu samazinājumu, gan arī palielināt valsts budžeta līdzekļus, sevišķi pašreizējos apstākļos, kad kritiski ir nepieciešams finansējums </w:t>
      </w:r>
      <w:r w:rsidR="00682828" w:rsidRPr="00682828">
        <w:rPr>
          <w:szCs w:val="24"/>
        </w:rPr>
        <w:t>ārējai un iekšējai drošībai</w:t>
      </w:r>
      <w:r w:rsidR="00BB137E" w:rsidRPr="00682828">
        <w:rPr>
          <w:rFonts w:eastAsia="Times New Roman"/>
          <w:color w:val="000000"/>
        </w:rPr>
        <w:t xml:space="preserve"> </w:t>
      </w:r>
      <w:r w:rsidR="00682828" w:rsidRPr="00682828">
        <w:rPr>
          <w:rFonts w:eastAsia="Times New Roman"/>
          <w:color w:val="000000"/>
        </w:rPr>
        <w:t>u</w:t>
      </w:r>
      <w:r w:rsidR="00682828">
        <w:rPr>
          <w:rFonts w:eastAsia="Times New Roman"/>
          <w:color w:val="000000"/>
        </w:rPr>
        <w:t>.c. sabiedrībai būtiskiem pasākumiem</w:t>
      </w:r>
      <w:r w:rsidR="00BB137E" w:rsidRPr="00A33167">
        <w:rPr>
          <w:rFonts w:eastAsia="Times New Roman"/>
          <w:color w:val="000000"/>
        </w:rPr>
        <w:t>.</w:t>
      </w:r>
    </w:p>
    <w:p w14:paraId="44847980" w14:textId="7686AA7C" w:rsidR="00CE6055" w:rsidRDefault="007C3CBB" w:rsidP="00CE6055">
      <w:pPr>
        <w:spacing w:after="120"/>
        <w:ind w:firstLine="709"/>
        <w:jc w:val="both"/>
        <w:rPr>
          <w:szCs w:val="24"/>
        </w:rPr>
      </w:pPr>
      <w:r>
        <w:rPr>
          <w:szCs w:val="24"/>
        </w:rPr>
        <w:t xml:space="preserve">Informatīvais ziņojums “Par </w:t>
      </w:r>
      <w:r w:rsidRPr="00A468EA">
        <w:rPr>
          <w:szCs w:val="24"/>
        </w:rPr>
        <w:t>valsts budžeta ieņēmumu un</w:t>
      </w:r>
      <w:r>
        <w:rPr>
          <w:szCs w:val="24"/>
        </w:rPr>
        <w:t xml:space="preserve"> nodokļu politikas pārskatīšanu 2025.</w:t>
      </w:r>
      <w:r w:rsidR="008928BC">
        <w:rPr>
          <w:szCs w:val="24"/>
        </w:rPr>
        <w:t xml:space="preserve"> </w:t>
      </w:r>
      <w:r>
        <w:rPr>
          <w:szCs w:val="24"/>
        </w:rPr>
        <w:t>-</w:t>
      </w:r>
      <w:r w:rsidR="008928BC">
        <w:rPr>
          <w:szCs w:val="24"/>
        </w:rPr>
        <w:t xml:space="preserve"> </w:t>
      </w:r>
      <w:r>
        <w:rPr>
          <w:szCs w:val="24"/>
        </w:rPr>
        <w:t>2027.gadā”</w:t>
      </w:r>
      <w:r w:rsidRPr="003B3A4B">
        <w:rPr>
          <w:szCs w:val="24"/>
        </w:rPr>
        <w:t xml:space="preserve"> </w:t>
      </w:r>
      <w:r w:rsidRPr="008C7A64">
        <w:rPr>
          <w:i/>
          <w:iCs/>
          <w:szCs w:val="24"/>
        </w:rPr>
        <w:t>(turpmāk – informatīvas ziņojums)</w:t>
      </w:r>
      <w:r>
        <w:rPr>
          <w:szCs w:val="24"/>
        </w:rPr>
        <w:t xml:space="preserve"> </w:t>
      </w:r>
      <w:r w:rsidR="00262531">
        <w:rPr>
          <w:szCs w:val="24"/>
        </w:rPr>
        <w:t xml:space="preserve">sagatavots </w:t>
      </w:r>
      <w:r w:rsidR="00262531">
        <w:rPr>
          <w:rStyle w:val="spelle"/>
          <w:rFonts w:eastAsiaTheme="majorEastAsia"/>
          <w:szCs w:val="24"/>
        </w:rPr>
        <w:t xml:space="preserve">atbilstoši  </w:t>
      </w:r>
      <w:r w:rsidR="00262531" w:rsidRPr="000E38B8">
        <w:rPr>
          <w:szCs w:val="24"/>
        </w:rPr>
        <w:t>Nacionālā trīspusējās sadarbības padome</w:t>
      </w:r>
      <w:r w:rsidR="00262531">
        <w:rPr>
          <w:szCs w:val="24"/>
        </w:rPr>
        <w:t xml:space="preserve">s </w:t>
      </w:r>
      <w:r w:rsidR="00262531" w:rsidRPr="000E38B8">
        <w:rPr>
          <w:rStyle w:val="spelle"/>
          <w:rFonts w:eastAsiaTheme="majorEastAsia"/>
          <w:szCs w:val="24"/>
        </w:rPr>
        <w:t xml:space="preserve">2024. gada </w:t>
      </w:r>
      <w:r w:rsidR="00262531">
        <w:rPr>
          <w:rStyle w:val="spelle"/>
          <w:rFonts w:eastAsiaTheme="majorEastAsia"/>
          <w:szCs w:val="24"/>
        </w:rPr>
        <w:t>6. septembra sēdē konceptuāli atbalstītajam nodokļu pārskatīšanas scenārijam</w:t>
      </w:r>
      <w:r>
        <w:rPr>
          <w:szCs w:val="24"/>
        </w:rPr>
        <w:t>.</w:t>
      </w:r>
      <w:r w:rsidRPr="003B3A4B">
        <w:rPr>
          <w:szCs w:val="24"/>
        </w:rPr>
        <w:t xml:space="preserve"> </w:t>
      </w:r>
    </w:p>
    <w:p w14:paraId="25C2405B" w14:textId="0BF257E9" w:rsidR="006477FD" w:rsidRPr="00CE6055" w:rsidRDefault="006477FD" w:rsidP="00CE6055">
      <w:pPr>
        <w:spacing w:after="120"/>
        <w:ind w:firstLine="709"/>
        <w:jc w:val="both"/>
        <w:rPr>
          <w:szCs w:val="24"/>
        </w:rPr>
      </w:pPr>
      <w:r>
        <w:br w:type="page"/>
      </w:r>
    </w:p>
    <w:p w14:paraId="455059DA" w14:textId="582B41EA" w:rsidR="004F37DD" w:rsidRDefault="00ED51DB" w:rsidP="00FF31ED">
      <w:pPr>
        <w:pStyle w:val="Heading1"/>
        <w:numPr>
          <w:ilvl w:val="0"/>
          <w:numId w:val="4"/>
        </w:numPr>
        <w:spacing w:before="0" w:line="240" w:lineRule="auto"/>
      </w:pPr>
      <w:bookmarkStart w:id="3" w:name="_Toc177627691"/>
      <w:r>
        <w:lastRenderedPageBreak/>
        <w:t xml:space="preserve">Darbaspēka nodokļu </w:t>
      </w:r>
      <w:r w:rsidR="006477FD">
        <w:t xml:space="preserve">sloga </w:t>
      </w:r>
      <w:r>
        <w:t>mazināšanas scenārijs</w:t>
      </w:r>
      <w:bookmarkEnd w:id="3"/>
    </w:p>
    <w:p w14:paraId="3B183E57" w14:textId="3067EB04" w:rsidR="004D6B66" w:rsidRPr="00592B8C" w:rsidRDefault="004D6B66" w:rsidP="00592B8C">
      <w:pPr>
        <w:pStyle w:val="Heading2"/>
        <w:spacing w:before="100" w:beforeAutospacing="1" w:after="100" w:afterAutospacing="1"/>
        <w:rPr>
          <w:sz w:val="28"/>
          <w:szCs w:val="28"/>
        </w:rPr>
      </w:pPr>
      <w:bookmarkStart w:id="4" w:name="_Toc177627692"/>
      <w:r w:rsidRPr="00592B8C">
        <w:rPr>
          <w:sz w:val="28"/>
          <w:szCs w:val="28"/>
        </w:rPr>
        <w:t>1.1. Iedzīvotāju ienākuma nodokļa izmaiņas</w:t>
      </w:r>
      <w:bookmarkEnd w:id="4"/>
    </w:p>
    <w:p w14:paraId="4895AC95" w14:textId="56DC3280" w:rsidR="006477FD" w:rsidRDefault="006477FD" w:rsidP="00592B8C">
      <w:pPr>
        <w:pStyle w:val="Heading3"/>
      </w:pPr>
      <w:bookmarkStart w:id="5" w:name="_Toc177627693"/>
      <w:r>
        <w:t>1</w:t>
      </w:r>
      <w:r w:rsidR="00592B8C">
        <w:t>.1</w:t>
      </w:r>
      <w:r>
        <w:t>.</w:t>
      </w:r>
      <w:r w:rsidR="00592B8C">
        <w:t>1</w:t>
      </w:r>
      <w:r>
        <w:t>. Situācijas apraksts</w:t>
      </w:r>
      <w:bookmarkEnd w:id="5"/>
    </w:p>
    <w:p w14:paraId="42B75B72" w14:textId="77777777" w:rsidR="006477FD" w:rsidRPr="006477FD" w:rsidRDefault="006477FD" w:rsidP="006477FD">
      <w:pPr>
        <w:rPr>
          <w:color w:val="000000" w:themeColor="text1"/>
          <w:szCs w:val="24"/>
        </w:rPr>
      </w:pPr>
    </w:p>
    <w:p w14:paraId="61AD43D8" w14:textId="77777777" w:rsidR="00546202" w:rsidRDefault="00546202" w:rsidP="00546202">
      <w:pPr>
        <w:spacing w:after="120"/>
        <w:ind w:firstLine="709"/>
        <w:jc w:val="both"/>
        <w:rPr>
          <w:szCs w:val="24"/>
        </w:rPr>
      </w:pPr>
      <w:r w:rsidRPr="00200635">
        <w:rPr>
          <w:szCs w:val="24"/>
        </w:rPr>
        <w:t xml:space="preserve">Darbaspēka nodokļu slogu raksturo </w:t>
      </w:r>
      <w:r>
        <w:rPr>
          <w:szCs w:val="24"/>
        </w:rPr>
        <w:t xml:space="preserve">tāds </w:t>
      </w:r>
      <w:r w:rsidRPr="00200635">
        <w:rPr>
          <w:szCs w:val="24"/>
        </w:rPr>
        <w:t xml:space="preserve">rādītājs </w:t>
      </w:r>
      <w:r>
        <w:rPr>
          <w:szCs w:val="24"/>
        </w:rPr>
        <w:t>kā</w:t>
      </w:r>
      <w:r w:rsidRPr="00200635">
        <w:rPr>
          <w:b/>
          <w:szCs w:val="24"/>
        </w:rPr>
        <w:t xml:space="preserve"> nodokļu ķīlis </w:t>
      </w:r>
      <w:r w:rsidRPr="00200635">
        <w:rPr>
          <w:bCs/>
          <w:i/>
          <w:iCs/>
          <w:szCs w:val="24"/>
        </w:rPr>
        <w:t>(tax wedge).</w:t>
      </w:r>
      <w:r w:rsidRPr="00200635">
        <w:rPr>
          <w:szCs w:val="24"/>
        </w:rPr>
        <w:t xml:space="preserve"> Tas parāda, cik daudz darbinieks izmaksā darba devējam. </w:t>
      </w:r>
    </w:p>
    <w:p w14:paraId="4F10AFAD" w14:textId="77777777" w:rsidR="00546202" w:rsidRPr="00200635" w:rsidRDefault="00546202" w:rsidP="00546202">
      <w:pPr>
        <w:spacing w:after="120"/>
        <w:ind w:firstLine="709"/>
        <w:jc w:val="both"/>
        <w:rPr>
          <w:szCs w:val="24"/>
        </w:rPr>
      </w:pPr>
      <w:r>
        <w:rPr>
          <w:szCs w:val="24"/>
        </w:rPr>
        <w:t>Nodokļa ķīli</w:t>
      </w:r>
      <w:r w:rsidRPr="00200635">
        <w:rPr>
          <w:szCs w:val="24"/>
        </w:rPr>
        <w:t xml:space="preserve"> aprēķina kā par darbinieku samaksātās nodokļu summas (</w:t>
      </w:r>
      <w:r>
        <w:rPr>
          <w:szCs w:val="24"/>
        </w:rPr>
        <w:t xml:space="preserve">iedzīvotāju ienākuma nodokļa </w:t>
      </w:r>
      <w:r w:rsidRPr="004A6D92">
        <w:rPr>
          <w:i/>
          <w:iCs/>
          <w:szCs w:val="24"/>
        </w:rPr>
        <w:t>(turpmāk – IIN)</w:t>
      </w:r>
      <w:r w:rsidRPr="00200635">
        <w:rPr>
          <w:szCs w:val="24"/>
        </w:rPr>
        <w:t xml:space="preserve"> un </w:t>
      </w:r>
      <w:r>
        <w:rPr>
          <w:szCs w:val="24"/>
        </w:rPr>
        <w:t xml:space="preserve">kā darba devēja, tā arī darba ņēmēja valsts sociālās apdrošināšanas obligāto iemaksu </w:t>
      </w:r>
      <w:r w:rsidRPr="004A6D92">
        <w:rPr>
          <w:i/>
          <w:iCs/>
          <w:szCs w:val="24"/>
        </w:rPr>
        <w:t>(turpmāk – VSAOI)</w:t>
      </w:r>
      <w:r w:rsidRPr="00200635">
        <w:rPr>
          <w:szCs w:val="24"/>
        </w:rPr>
        <w:t>) attiecību pret darba devēja izmaksām (bruto darba algas un darba devēja VSAOI summ</w:t>
      </w:r>
      <w:r>
        <w:rPr>
          <w:szCs w:val="24"/>
        </w:rPr>
        <w:t>u</w:t>
      </w:r>
      <w:r w:rsidRPr="00200635">
        <w:rPr>
          <w:szCs w:val="24"/>
        </w:rPr>
        <w:t>).</w:t>
      </w:r>
    </w:p>
    <w:p w14:paraId="4E306380" w14:textId="77777777" w:rsidR="00546202" w:rsidRDefault="00546202" w:rsidP="00546202">
      <w:pPr>
        <w:spacing w:after="120"/>
        <w:ind w:firstLine="709"/>
        <w:jc w:val="both"/>
        <w:rPr>
          <w:szCs w:val="20"/>
        </w:rPr>
      </w:pPr>
      <w:r w:rsidRPr="00ED51DB">
        <w:rPr>
          <w:szCs w:val="20"/>
        </w:rPr>
        <w:t xml:space="preserve">Latvijai pēc pēdējos gados mērķtiecīgi veiktajām darbaspēka nodokļu izmaiņām izdevās ievērojami samazināt un pietuvināt </w:t>
      </w:r>
      <w:r w:rsidRPr="00ED51DB">
        <w:rPr>
          <w:szCs w:val="24"/>
        </w:rPr>
        <w:t xml:space="preserve">darbaspēka nodokļu slogu </w:t>
      </w:r>
      <w:r w:rsidRPr="00ED51DB">
        <w:rPr>
          <w:szCs w:val="20"/>
        </w:rPr>
        <w:t xml:space="preserve">zemu un vidēju ienākumu saņēmējiem (ar bruto ienākumiem līdz 2 100 </w:t>
      </w:r>
      <w:r w:rsidRPr="00ED51DB">
        <w:rPr>
          <w:i/>
          <w:iCs/>
          <w:szCs w:val="20"/>
        </w:rPr>
        <w:t>euro</w:t>
      </w:r>
      <w:r w:rsidRPr="00ED51DB">
        <w:rPr>
          <w:szCs w:val="20"/>
        </w:rPr>
        <w:t xml:space="preserve"> mēnesī, bez apgādībā esošām personām) pārējo Baltijas valstu rādītājiem. </w:t>
      </w:r>
    </w:p>
    <w:p w14:paraId="316615AB" w14:textId="7DF24F9A" w:rsidR="00546202" w:rsidRPr="005C172D" w:rsidRDefault="00546202" w:rsidP="00546202">
      <w:pPr>
        <w:spacing w:after="120"/>
        <w:jc w:val="center"/>
        <w:rPr>
          <w:rFonts w:cs="Times New Roman"/>
          <w:i/>
          <w:iCs/>
          <w:sz w:val="20"/>
          <w:szCs w:val="20"/>
        </w:rPr>
      </w:pPr>
      <w:r w:rsidRPr="00CD1EC4">
        <w:rPr>
          <w:rFonts w:cs="Times New Roman"/>
          <w:sz w:val="20"/>
          <w:szCs w:val="20"/>
        </w:rPr>
        <w:t>1.att.</w:t>
      </w:r>
      <w:r w:rsidRPr="005C172D">
        <w:rPr>
          <w:rFonts w:cs="Times New Roman"/>
          <w:b/>
          <w:bCs/>
          <w:sz w:val="20"/>
          <w:szCs w:val="20"/>
        </w:rPr>
        <w:t xml:space="preserve"> Darbaspēka nodokļu sloga izmaiņas zemo algu grupā strādājoša</w:t>
      </w:r>
      <w:r w:rsidR="008928BC">
        <w:rPr>
          <w:rFonts w:cs="Times New Roman"/>
          <w:b/>
          <w:bCs/>
          <w:sz w:val="20"/>
          <w:szCs w:val="20"/>
        </w:rPr>
        <w:t>ja</w:t>
      </w:r>
      <w:r w:rsidRPr="005C172D">
        <w:rPr>
          <w:rFonts w:cs="Times New Roman"/>
          <w:b/>
          <w:bCs/>
          <w:sz w:val="20"/>
          <w:szCs w:val="20"/>
        </w:rPr>
        <w:t>m (67% no vidējās darba algas, bez apgādībā esošām personām) Baltijā un ES vidēji 20</w:t>
      </w:r>
      <w:r>
        <w:rPr>
          <w:rFonts w:cs="Times New Roman"/>
          <w:b/>
          <w:bCs/>
          <w:sz w:val="20"/>
          <w:szCs w:val="20"/>
        </w:rPr>
        <w:t>14</w:t>
      </w:r>
      <w:r w:rsidRPr="005C172D">
        <w:rPr>
          <w:rFonts w:cs="Times New Roman"/>
          <w:b/>
          <w:bCs/>
          <w:sz w:val="20"/>
          <w:szCs w:val="20"/>
        </w:rPr>
        <w:t>.</w:t>
      </w:r>
      <w:r>
        <w:rPr>
          <w:rFonts w:cs="Times New Roman"/>
          <w:b/>
          <w:bCs/>
          <w:sz w:val="20"/>
          <w:szCs w:val="20"/>
        </w:rPr>
        <w:t> </w:t>
      </w:r>
      <w:r w:rsidRPr="005C172D">
        <w:rPr>
          <w:rFonts w:cs="Times New Roman"/>
          <w:b/>
          <w:bCs/>
          <w:sz w:val="20"/>
          <w:szCs w:val="20"/>
        </w:rPr>
        <w:t>-</w:t>
      </w:r>
      <w:r>
        <w:rPr>
          <w:rFonts w:cs="Times New Roman"/>
          <w:b/>
          <w:bCs/>
          <w:sz w:val="20"/>
          <w:szCs w:val="20"/>
        </w:rPr>
        <w:t> </w:t>
      </w:r>
      <w:r w:rsidRPr="005C172D">
        <w:rPr>
          <w:rFonts w:cs="Times New Roman"/>
          <w:b/>
          <w:bCs/>
          <w:sz w:val="20"/>
          <w:szCs w:val="20"/>
        </w:rPr>
        <w:t>202</w:t>
      </w:r>
      <w:r>
        <w:rPr>
          <w:rFonts w:cs="Times New Roman"/>
          <w:b/>
          <w:bCs/>
          <w:sz w:val="20"/>
          <w:szCs w:val="20"/>
        </w:rPr>
        <w:t>3</w:t>
      </w:r>
      <w:r w:rsidRPr="005C172D">
        <w:rPr>
          <w:rFonts w:cs="Times New Roman"/>
          <w:b/>
          <w:bCs/>
          <w:sz w:val="20"/>
          <w:szCs w:val="20"/>
        </w:rPr>
        <w:t>.</w:t>
      </w:r>
      <w:r>
        <w:rPr>
          <w:rFonts w:cs="Times New Roman"/>
          <w:b/>
          <w:bCs/>
          <w:sz w:val="20"/>
          <w:szCs w:val="20"/>
        </w:rPr>
        <w:t> </w:t>
      </w:r>
      <w:r w:rsidRPr="005C172D">
        <w:rPr>
          <w:rFonts w:cs="Times New Roman"/>
          <w:b/>
          <w:bCs/>
          <w:sz w:val="20"/>
          <w:szCs w:val="20"/>
        </w:rPr>
        <w:t>gadā,</w:t>
      </w:r>
      <w:r w:rsidRPr="005C172D">
        <w:rPr>
          <w:rFonts w:cs="Times New Roman"/>
          <w:i/>
          <w:iCs/>
          <w:sz w:val="20"/>
          <w:szCs w:val="20"/>
        </w:rPr>
        <w:t xml:space="preserve"> %</w:t>
      </w:r>
    </w:p>
    <w:p w14:paraId="345A17BD" w14:textId="77777777" w:rsidR="00546202" w:rsidRDefault="00546202" w:rsidP="00546202">
      <w:pPr>
        <w:spacing w:after="120"/>
        <w:rPr>
          <w:szCs w:val="20"/>
        </w:rPr>
      </w:pPr>
      <w:r>
        <w:rPr>
          <w:noProof/>
        </w:rPr>
        <w:drawing>
          <wp:inline distT="0" distB="0" distL="0" distR="0" wp14:anchorId="5CD94E56" wp14:editId="179F16D5">
            <wp:extent cx="5657850" cy="2743200"/>
            <wp:effectExtent l="0" t="0" r="0" b="0"/>
            <wp:docPr id="719886358" name="Chart 1">
              <a:extLst xmlns:a="http://schemas.openxmlformats.org/drawingml/2006/main">
                <a:ext uri="{FF2B5EF4-FFF2-40B4-BE49-F238E27FC236}">
                  <a16:creationId xmlns:a16="http://schemas.microsoft.com/office/drawing/2014/main" id="{90F043E1-E2F1-F785-0AE2-3B0D6751BF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4D8699" w14:textId="77777777" w:rsidR="00546202" w:rsidRPr="00AD7A5D" w:rsidRDefault="00546202" w:rsidP="00546202">
      <w:pPr>
        <w:jc w:val="both"/>
        <w:rPr>
          <w:sz w:val="18"/>
          <w:szCs w:val="18"/>
        </w:rPr>
      </w:pPr>
      <w:r w:rsidRPr="00AD7A5D">
        <w:rPr>
          <w:rFonts w:cs="Times New Roman"/>
          <w:b/>
          <w:bCs/>
          <w:i/>
          <w:iCs/>
          <w:sz w:val="18"/>
          <w:szCs w:val="18"/>
        </w:rPr>
        <w:t>Avots</w:t>
      </w:r>
      <w:r w:rsidRPr="00AD7A5D">
        <w:rPr>
          <w:rFonts w:cs="Times New Roman"/>
          <w:i/>
          <w:iCs/>
          <w:sz w:val="18"/>
          <w:szCs w:val="18"/>
        </w:rPr>
        <w:t xml:space="preserve">: Eurostat dati (pieejami: </w:t>
      </w:r>
      <w:hyperlink r:id="rId11" w:history="1">
        <w:r w:rsidRPr="00AD7A5D">
          <w:rPr>
            <w:rStyle w:val="Hyperlink"/>
            <w:rFonts w:cs="Times New Roman"/>
            <w:i/>
            <w:iCs/>
            <w:sz w:val="18"/>
            <w:szCs w:val="18"/>
            <w:lang w:val="en-GB"/>
          </w:rPr>
          <w:t>Tax wedge on labour costs</w:t>
        </w:r>
      </w:hyperlink>
      <w:r w:rsidRPr="00AD7A5D">
        <w:rPr>
          <w:rStyle w:val="Hyperlink"/>
          <w:rFonts w:cs="Times New Roman"/>
          <w:i/>
          <w:iCs/>
          <w:sz w:val="18"/>
          <w:szCs w:val="18"/>
          <w:lang w:val="en-GB"/>
        </w:rPr>
        <w:t>)</w:t>
      </w:r>
    </w:p>
    <w:p w14:paraId="5C318CB9" w14:textId="77777777" w:rsidR="00546202" w:rsidRDefault="00546202" w:rsidP="00546202">
      <w:pPr>
        <w:ind w:firstLine="709"/>
        <w:jc w:val="both"/>
        <w:rPr>
          <w:szCs w:val="20"/>
        </w:rPr>
      </w:pPr>
    </w:p>
    <w:p w14:paraId="73F079D5" w14:textId="4111874D" w:rsidR="00546202" w:rsidRDefault="00546202" w:rsidP="00546202">
      <w:pPr>
        <w:spacing w:after="120"/>
        <w:ind w:firstLine="709"/>
        <w:jc w:val="both"/>
        <w:rPr>
          <w:szCs w:val="20"/>
        </w:rPr>
      </w:pPr>
      <w:r w:rsidRPr="00ED51DB">
        <w:rPr>
          <w:szCs w:val="20"/>
        </w:rPr>
        <w:t>Tomēr jau no 2023. gada</w:t>
      </w:r>
      <w:r w:rsidR="00CE6055">
        <w:rPr>
          <w:szCs w:val="20"/>
        </w:rPr>
        <w:t>, pieaugot vidējai darba samaksai tautsaimniecībā,</w:t>
      </w:r>
      <w:r w:rsidRPr="00ED51DB">
        <w:rPr>
          <w:szCs w:val="20"/>
        </w:rPr>
        <w:t xml:space="preserve"> darbaspēka nodokļu slogs zemu un vidēju ienākumu saņēmējiem </w:t>
      </w:r>
      <w:r>
        <w:rPr>
          <w:szCs w:val="20"/>
        </w:rPr>
        <w:t>atkal</w:t>
      </w:r>
      <w:r w:rsidRPr="00ED51DB">
        <w:rPr>
          <w:szCs w:val="20"/>
        </w:rPr>
        <w:t xml:space="preserve"> </w:t>
      </w:r>
      <w:r>
        <w:rPr>
          <w:szCs w:val="20"/>
        </w:rPr>
        <w:t>sāk palielināties.</w:t>
      </w:r>
    </w:p>
    <w:p w14:paraId="6B7EDE68" w14:textId="77777777" w:rsidR="00546202" w:rsidRDefault="00546202" w:rsidP="00546202">
      <w:pPr>
        <w:rPr>
          <w:rFonts w:cs="Times New Roman"/>
          <w:b/>
          <w:bCs/>
          <w:sz w:val="20"/>
          <w:szCs w:val="20"/>
        </w:rPr>
      </w:pPr>
      <w:r>
        <w:rPr>
          <w:rFonts w:cs="Times New Roman"/>
          <w:b/>
          <w:bCs/>
          <w:sz w:val="20"/>
          <w:szCs w:val="20"/>
        </w:rPr>
        <w:br w:type="page"/>
      </w:r>
    </w:p>
    <w:p w14:paraId="7D2729B3" w14:textId="0C2E7DBE" w:rsidR="00546202" w:rsidRPr="00200635" w:rsidRDefault="00546202" w:rsidP="00546202">
      <w:pPr>
        <w:spacing w:after="120"/>
        <w:jc w:val="center"/>
        <w:rPr>
          <w:rFonts w:cs="Times New Roman"/>
          <w:i/>
          <w:iCs/>
          <w:sz w:val="20"/>
          <w:szCs w:val="20"/>
        </w:rPr>
      </w:pPr>
      <w:r w:rsidRPr="00CD1EC4">
        <w:rPr>
          <w:rFonts w:cs="Times New Roman"/>
          <w:sz w:val="20"/>
          <w:szCs w:val="20"/>
        </w:rPr>
        <w:lastRenderedPageBreak/>
        <w:t>2.att.</w:t>
      </w:r>
      <w:r w:rsidRPr="00200635">
        <w:rPr>
          <w:rFonts w:cs="Times New Roman"/>
          <w:b/>
          <w:bCs/>
          <w:sz w:val="20"/>
          <w:szCs w:val="20"/>
        </w:rPr>
        <w:t xml:space="preserve"> Darbaspēka nodokļu slog</w:t>
      </w:r>
      <w:r>
        <w:rPr>
          <w:rFonts w:cs="Times New Roman"/>
          <w:b/>
          <w:bCs/>
          <w:sz w:val="20"/>
          <w:szCs w:val="20"/>
        </w:rPr>
        <w:t>s</w:t>
      </w:r>
      <w:r w:rsidRPr="00200635">
        <w:rPr>
          <w:rFonts w:cs="Times New Roman"/>
          <w:b/>
          <w:bCs/>
          <w:sz w:val="20"/>
          <w:szCs w:val="20"/>
        </w:rPr>
        <w:t xml:space="preserve"> zemo algu grupā strādājoša</w:t>
      </w:r>
      <w:r w:rsidR="008928BC">
        <w:rPr>
          <w:rFonts w:cs="Times New Roman"/>
          <w:b/>
          <w:bCs/>
          <w:sz w:val="20"/>
          <w:szCs w:val="20"/>
        </w:rPr>
        <w:t>ja</w:t>
      </w:r>
      <w:r w:rsidRPr="00200635">
        <w:rPr>
          <w:rFonts w:cs="Times New Roman"/>
          <w:b/>
          <w:bCs/>
          <w:sz w:val="20"/>
          <w:szCs w:val="20"/>
        </w:rPr>
        <w:t>m (67% no vidējās darba algas, bez apgādībā esošām personām) ES 202</w:t>
      </w:r>
      <w:r>
        <w:rPr>
          <w:rFonts w:cs="Times New Roman"/>
          <w:b/>
          <w:bCs/>
          <w:sz w:val="20"/>
          <w:szCs w:val="20"/>
        </w:rPr>
        <w:t>3</w:t>
      </w:r>
      <w:r w:rsidRPr="00200635">
        <w:rPr>
          <w:rFonts w:cs="Times New Roman"/>
          <w:b/>
          <w:bCs/>
          <w:sz w:val="20"/>
          <w:szCs w:val="20"/>
        </w:rPr>
        <w:t>.</w:t>
      </w:r>
      <w:r>
        <w:rPr>
          <w:rFonts w:cs="Times New Roman"/>
          <w:b/>
          <w:bCs/>
          <w:sz w:val="20"/>
          <w:szCs w:val="20"/>
        </w:rPr>
        <w:t> </w:t>
      </w:r>
      <w:r w:rsidRPr="00200635">
        <w:rPr>
          <w:rFonts w:cs="Times New Roman"/>
          <w:b/>
          <w:bCs/>
          <w:sz w:val="20"/>
          <w:szCs w:val="20"/>
        </w:rPr>
        <w:t>gadā,</w:t>
      </w:r>
      <w:r w:rsidRPr="00200635">
        <w:rPr>
          <w:rFonts w:cs="Times New Roman"/>
          <w:i/>
          <w:iCs/>
          <w:sz w:val="20"/>
          <w:szCs w:val="20"/>
        </w:rPr>
        <w:t xml:space="preserve"> %</w:t>
      </w:r>
    </w:p>
    <w:p w14:paraId="6277A3D9" w14:textId="77777777" w:rsidR="00546202" w:rsidRDefault="00546202" w:rsidP="00546202">
      <w:pPr>
        <w:spacing w:after="120"/>
        <w:jc w:val="both"/>
        <w:rPr>
          <w:szCs w:val="20"/>
        </w:rPr>
      </w:pPr>
      <w:r>
        <w:rPr>
          <w:noProof/>
        </w:rPr>
        <w:drawing>
          <wp:inline distT="0" distB="0" distL="0" distR="0" wp14:anchorId="4D3B97D5" wp14:editId="495C347E">
            <wp:extent cx="5753100" cy="2616200"/>
            <wp:effectExtent l="0" t="0" r="0" b="12700"/>
            <wp:docPr id="1279652501" name="Chart 1">
              <a:extLst xmlns:a="http://schemas.openxmlformats.org/drawingml/2006/main">
                <a:ext uri="{FF2B5EF4-FFF2-40B4-BE49-F238E27FC236}">
                  <a16:creationId xmlns:a16="http://schemas.microsoft.com/office/drawing/2014/main" id="{2CA417BD-3C8F-9478-A0A6-4F4C3CA594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D5A45C" w14:textId="77777777" w:rsidR="00546202" w:rsidRPr="00AD7A5D" w:rsidRDefault="00546202" w:rsidP="00546202">
      <w:pPr>
        <w:jc w:val="both"/>
        <w:rPr>
          <w:sz w:val="18"/>
          <w:szCs w:val="18"/>
        </w:rPr>
      </w:pPr>
      <w:r w:rsidRPr="00AD7A5D">
        <w:rPr>
          <w:rFonts w:cs="Times New Roman"/>
          <w:b/>
          <w:bCs/>
          <w:i/>
          <w:iCs/>
          <w:sz w:val="18"/>
          <w:szCs w:val="18"/>
        </w:rPr>
        <w:t>Avots</w:t>
      </w:r>
      <w:r w:rsidRPr="00AD7A5D">
        <w:rPr>
          <w:rFonts w:cs="Times New Roman"/>
          <w:i/>
          <w:iCs/>
          <w:sz w:val="18"/>
          <w:szCs w:val="18"/>
        </w:rPr>
        <w:t xml:space="preserve">: Eurostat dati (pieejami: </w:t>
      </w:r>
      <w:hyperlink r:id="rId13" w:history="1">
        <w:r w:rsidRPr="00AD7A5D">
          <w:rPr>
            <w:rStyle w:val="Hyperlink"/>
            <w:rFonts w:cs="Times New Roman"/>
            <w:i/>
            <w:iCs/>
            <w:sz w:val="18"/>
            <w:szCs w:val="18"/>
            <w:lang w:val="en-GB"/>
          </w:rPr>
          <w:t>Tax wedge on labour costs</w:t>
        </w:r>
      </w:hyperlink>
      <w:r w:rsidRPr="00AD7A5D">
        <w:rPr>
          <w:rStyle w:val="Hyperlink"/>
          <w:rFonts w:cs="Times New Roman"/>
          <w:i/>
          <w:iCs/>
          <w:sz w:val="18"/>
          <w:szCs w:val="18"/>
          <w:lang w:val="en-GB"/>
        </w:rPr>
        <w:t>)</w:t>
      </w:r>
    </w:p>
    <w:p w14:paraId="790F1FCE" w14:textId="77777777" w:rsidR="00546202" w:rsidRPr="00376FB8" w:rsidRDefault="00546202" w:rsidP="00546202">
      <w:pPr>
        <w:ind w:firstLine="709"/>
        <w:jc w:val="both"/>
        <w:rPr>
          <w:sz w:val="12"/>
          <w:szCs w:val="12"/>
        </w:rPr>
      </w:pPr>
    </w:p>
    <w:p w14:paraId="54441F7D" w14:textId="43998C7F" w:rsidR="00546202" w:rsidRDefault="00546202" w:rsidP="00546202">
      <w:pPr>
        <w:ind w:firstLine="709"/>
        <w:jc w:val="both"/>
        <w:rPr>
          <w:szCs w:val="20"/>
        </w:rPr>
      </w:pPr>
      <w:r>
        <w:rPr>
          <w:szCs w:val="20"/>
        </w:rPr>
        <w:t>Tas skaidrojams ar to</w:t>
      </w:r>
      <w:r w:rsidRPr="00ED51DB">
        <w:rPr>
          <w:szCs w:val="20"/>
        </w:rPr>
        <w:t xml:space="preserve">, </w:t>
      </w:r>
      <w:r>
        <w:rPr>
          <w:szCs w:val="20"/>
        </w:rPr>
        <w:t>ka</w:t>
      </w:r>
      <w:r w:rsidRPr="00ED51DB">
        <w:rPr>
          <w:szCs w:val="20"/>
        </w:rPr>
        <w:t>, kamēr Latvijā netika veiktas papildu izmaiņas darbaspēka nodokļos, kaimiņvalstis turpināja mazināt darbaspēka nodokļu</w:t>
      </w:r>
      <w:r w:rsidR="00BD6BC5">
        <w:rPr>
          <w:szCs w:val="20"/>
        </w:rPr>
        <w:t xml:space="preserve"> slogu</w:t>
      </w:r>
      <w:r w:rsidRPr="00ED51DB">
        <w:rPr>
          <w:szCs w:val="20"/>
        </w:rPr>
        <w:t xml:space="preserve">. </w:t>
      </w:r>
    </w:p>
    <w:p w14:paraId="5478EFC7" w14:textId="77777777" w:rsidR="00546202" w:rsidRDefault="00546202" w:rsidP="00546202">
      <w:pPr>
        <w:ind w:firstLine="709"/>
        <w:jc w:val="both"/>
        <w:rPr>
          <w:szCs w:val="20"/>
        </w:rPr>
      </w:pPr>
    </w:p>
    <w:p w14:paraId="3E937850" w14:textId="77777777" w:rsidR="00546202" w:rsidRPr="00442E52" w:rsidRDefault="00546202" w:rsidP="00546202">
      <w:pPr>
        <w:spacing w:after="120"/>
        <w:jc w:val="center"/>
        <w:rPr>
          <w:b/>
          <w:bCs/>
          <w:sz w:val="20"/>
          <w:szCs w:val="20"/>
        </w:rPr>
      </w:pPr>
      <w:r w:rsidRPr="00CD1EC4">
        <w:rPr>
          <w:sz w:val="20"/>
          <w:szCs w:val="20"/>
        </w:rPr>
        <w:t>1.tab.</w:t>
      </w:r>
      <w:r w:rsidRPr="00442E52">
        <w:rPr>
          <w:b/>
          <w:bCs/>
          <w:sz w:val="20"/>
          <w:szCs w:val="20"/>
        </w:rPr>
        <w:t xml:space="preserve"> Darbaspēka nodokļu likmes un galvenie atvieglojumi Baltijas valstīs</w:t>
      </w:r>
    </w:p>
    <w:tbl>
      <w:tblPr>
        <w:tblW w:w="9067" w:type="dxa"/>
        <w:tblCellMar>
          <w:left w:w="0" w:type="dxa"/>
          <w:right w:w="0" w:type="dxa"/>
        </w:tblCellMar>
        <w:tblLook w:val="04A0" w:firstRow="1" w:lastRow="0" w:firstColumn="1" w:lastColumn="0" w:noHBand="0" w:noVBand="1"/>
      </w:tblPr>
      <w:tblGrid>
        <w:gridCol w:w="3501"/>
        <w:gridCol w:w="1095"/>
        <w:gridCol w:w="701"/>
        <w:gridCol w:w="1102"/>
        <w:gridCol w:w="701"/>
        <w:gridCol w:w="992"/>
        <w:gridCol w:w="975"/>
      </w:tblGrid>
      <w:tr w:rsidR="00546202" w:rsidRPr="00366146" w14:paraId="6C07D6FE" w14:textId="77777777" w:rsidTr="000803FC">
        <w:trPr>
          <w:trHeight w:val="50"/>
        </w:trPr>
        <w:tc>
          <w:tcPr>
            <w:tcW w:w="3681" w:type="dxa"/>
            <w:vMerge w:val="restart"/>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tcPr>
          <w:p w14:paraId="3A7B78CB" w14:textId="77777777" w:rsidR="00546202" w:rsidRPr="005C1FD5" w:rsidRDefault="00546202" w:rsidP="000803FC">
            <w:pPr>
              <w:ind w:firstLine="709"/>
              <w:jc w:val="both"/>
              <w:rPr>
                <w:rFonts w:cs="Times New Roman"/>
                <w:color w:val="FFFFFF" w:themeColor="background1"/>
                <w:sz w:val="20"/>
                <w:szCs w:val="20"/>
              </w:rPr>
            </w:pPr>
          </w:p>
        </w:tc>
        <w:tc>
          <w:tcPr>
            <w:tcW w:w="1843"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tcPr>
          <w:p w14:paraId="2DD5D485" w14:textId="77777777" w:rsidR="00546202" w:rsidRPr="005C1FD5" w:rsidRDefault="00546202" w:rsidP="008928BC">
            <w:pPr>
              <w:jc w:val="center"/>
              <w:rPr>
                <w:rFonts w:cs="Times New Roman"/>
                <w:b/>
                <w:bCs/>
                <w:color w:val="FFFFFF" w:themeColor="background1"/>
                <w:sz w:val="20"/>
                <w:szCs w:val="20"/>
              </w:rPr>
            </w:pPr>
            <w:r w:rsidRPr="005C1FD5">
              <w:rPr>
                <w:rFonts w:cs="Times New Roman"/>
                <w:b/>
                <w:bCs/>
                <w:color w:val="FFFFFF" w:themeColor="background1"/>
                <w:sz w:val="20"/>
                <w:szCs w:val="20"/>
              </w:rPr>
              <w:t>Latvija</w:t>
            </w:r>
          </w:p>
        </w:tc>
        <w:tc>
          <w:tcPr>
            <w:tcW w:w="1842"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tcPr>
          <w:p w14:paraId="7F46C4CF" w14:textId="77777777" w:rsidR="00546202" w:rsidRPr="005C1FD5" w:rsidRDefault="00546202" w:rsidP="000803FC">
            <w:pPr>
              <w:jc w:val="center"/>
              <w:rPr>
                <w:rFonts w:cs="Times New Roman"/>
                <w:b/>
                <w:bCs/>
                <w:color w:val="FFFFFF" w:themeColor="background1"/>
                <w:sz w:val="20"/>
                <w:szCs w:val="20"/>
              </w:rPr>
            </w:pPr>
            <w:r w:rsidRPr="005C1FD5">
              <w:rPr>
                <w:rFonts w:cs="Times New Roman"/>
                <w:b/>
                <w:bCs/>
                <w:color w:val="FFFFFF" w:themeColor="background1"/>
                <w:sz w:val="20"/>
                <w:szCs w:val="20"/>
              </w:rPr>
              <w:t>Lietuva</w:t>
            </w:r>
          </w:p>
        </w:tc>
        <w:tc>
          <w:tcPr>
            <w:tcW w:w="1701"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002060"/>
            <w:tcMar>
              <w:top w:w="15" w:type="dxa"/>
              <w:left w:w="108" w:type="dxa"/>
              <w:bottom w:w="0" w:type="dxa"/>
              <w:right w:w="108" w:type="dxa"/>
            </w:tcMar>
            <w:vAlign w:val="center"/>
          </w:tcPr>
          <w:p w14:paraId="58F938E0" w14:textId="77777777" w:rsidR="00546202" w:rsidRPr="005C1FD5" w:rsidRDefault="00546202" w:rsidP="000803FC">
            <w:pPr>
              <w:jc w:val="center"/>
              <w:rPr>
                <w:rFonts w:cs="Times New Roman"/>
                <w:b/>
                <w:bCs/>
                <w:color w:val="FFFFFF" w:themeColor="background1"/>
                <w:sz w:val="20"/>
                <w:szCs w:val="20"/>
              </w:rPr>
            </w:pPr>
            <w:r w:rsidRPr="005C1FD5">
              <w:rPr>
                <w:rFonts w:cs="Times New Roman"/>
                <w:b/>
                <w:bCs/>
                <w:color w:val="FFFFFF" w:themeColor="background1"/>
                <w:sz w:val="20"/>
                <w:szCs w:val="20"/>
              </w:rPr>
              <w:t>Igaunija</w:t>
            </w:r>
          </w:p>
        </w:tc>
      </w:tr>
      <w:tr w:rsidR="00546202" w:rsidRPr="00366146" w14:paraId="416CA022" w14:textId="77777777" w:rsidTr="000803FC">
        <w:trPr>
          <w:trHeight w:val="50"/>
        </w:trPr>
        <w:tc>
          <w:tcPr>
            <w:tcW w:w="3681" w:type="dxa"/>
            <w:vMerge/>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002060"/>
            <w:tcMar>
              <w:top w:w="15" w:type="dxa"/>
              <w:left w:w="108" w:type="dxa"/>
              <w:bottom w:w="0" w:type="dxa"/>
              <w:right w:w="108" w:type="dxa"/>
            </w:tcMar>
            <w:vAlign w:val="center"/>
            <w:hideMark/>
          </w:tcPr>
          <w:p w14:paraId="03CFC484" w14:textId="77777777" w:rsidR="00546202" w:rsidRPr="005C1FD5" w:rsidRDefault="00546202" w:rsidP="000803FC">
            <w:pPr>
              <w:ind w:firstLine="709"/>
              <w:jc w:val="both"/>
              <w:rPr>
                <w:rFonts w:cs="Times New Roman"/>
                <w:color w:val="FFFFFF" w:themeColor="background1"/>
                <w:sz w:val="20"/>
                <w:szCs w:val="20"/>
              </w:rPr>
            </w:pPr>
          </w:p>
        </w:tc>
        <w:tc>
          <w:tcPr>
            <w:tcW w:w="1843"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002060"/>
            <w:tcMar>
              <w:top w:w="15" w:type="dxa"/>
              <w:left w:w="108" w:type="dxa"/>
              <w:bottom w:w="0" w:type="dxa"/>
              <w:right w:w="108" w:type="dxa"/>
            </w:tcMar>
            <w:hideMark/>
          </w:tcPr>
          <w:p w14:paraId="54B2A157" w14:textId="77777777" w:rsidR="00546202" w:rsidRPr="005C1FD5" w:rsidRDefault="00546202" w:rsidP="008928BC">
            <w:pPr>
              <w:jc w:val="center"/>
              <w:rPr>
                <w:rFonts w:cs="Times New Roman"/>
                <w:color w:val="FFFFFF" w:themeColor="background1"/>
                <w:sz w:val="20"/>
                <w:szCs w:val="20"/>
              </w:rPr>
            </w:pPr>
            <w:r w:rsidRPr="005C1FD5">
              <w:rPr>
                <w:rFonts w:cs="Times New Roman"/>
                <w:b/>
                <w:bCs/>
                <w:color w:val="FFFFFF" w:themeColor="background1"/>
                <w:sz w:val="20"/>
                <w:szCs w:val="20"/>
              </w:rPr>
              <w:t>2024</w:t>
            </w:r>
          </w:p>
        </w:tc>
        <w:tc>
          <w:tcPr>
            <w:tcW w:w="1842"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002060"/>
            <w:tcMar>
              <w:top w:w="15" w:type="dxa"/>
              <w:left w:w="108" w:type="dxa"/>
              <w:bottom w:w="0" w:type="dxa"/>
              <w:right w:w="108" w:type="dxa"/>
            </w:tcMar>
            <w:vAlign w:val="center"/>
            <w:hideMark/>
          </w:tcPr>
          <w:p w14:paraId="63E478F2" w14:textId="77777777" w:rsidR="00546202" w:rsidRPr="005C1FD5" w:rsidRDefault="00546202" w:rsidP="000803FC">
            <w:pPr>
              <w:jc w:val="center"/>
              <w:rPr>
                <w:rFonts w:cs="Times New Roman"/>
                <w:color w:val="FFFFFF" w:themeColor="background1"/>
                <w:sz w:val="20"/>
                <w:szCs w:val="20"/>
              </w:rPr>
            </w:pPr>
            <w:r w:rsidRPr="005C1FD5">
              <w:rPr>
                <w:rFonts w:cs="Times New Roman"/>
                <w:b/>
                <w:bCs/>
                <w:color w:val="FFFFFF" w:themeColor="background1"/>
                <w:sz w:val="20"/>
                <w:szCs w:val="20"/>
              </w:rPr>
              <w:t>2024</w:t>
            </w:r>
          </w:p>
        </w:tc>
        <w:tc>
          <w:tcPr>
            <w:tcW w:w="99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002060"/>
            <w:tcMar>
              <w:top w:w="15" w:type="dxa"/>
              <w:left w:w="108" w:type="dxa"/>
              <w:bottom w:w="0" w:type="dxa"/>
              <w:right w:w="108" w:type="dxa"/>
            </w:tcMar>
            <w:vAlign w:val="center"/>
            <w:hideMark/>
          </w:tcPr>
          <w:p w14:paraId="4F00BCCC" w14:textId="77777777" w:rsidR="00546202" w:rsidRPr="005C1FD5" w:rsidRDefault="00546202" w:rsidP="000803FC">
            <w:pPr>
              <w:jc w:val="center"/>
              <w:rPr>
                <w:rFonts w:cs="Times New Roman"/>
                <w:color w:val="FFFFFF" w:themeColor="background1"/>
                <w:sz w:val="20"/>
                <w:szCs w:val="20"/>
              </w:rPr>
            </w:pPr>
            <w:r w:rsidRPr="005C1FD5">
              <w:rPr>
                <w:rFonts w:cs="Times New Roman"/>
                <w:b/>
                <w:bCs/>
                <w:color w:val="FFFFFF" w:themeColor="background1"/>
                <w:sz w:val="20"/>
                <w:szCs w:val="20"/>
              </w:rPr>
              <w:t>2024</w:t>
            </w:r>
          </w:p>
        </w:tc>
        <w:tc>
          <w:tcPr>
            <w:tcW w:w="708"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002060"/>
            <w:tcMar>
              <w:top w:w="15" w:type="dxa"/>
              <w:left w:w="108" w:type="dxa"/>
              <w:bottom w:w="0" w:type="dxa"/>
              <w:right w:w="108" w:type="dxa"/>
            </w:tcMar>
            <w:vAlign w:val="center"/>
            <w:hideMark/>
          </w:tcPr>
          <w:p w14:paraId="6A57B2A0" w14:textId="77777777" w:rsidR="00546202" w:rsidRPr="005C1FD5" w:rsidRDefault="00546202" w:rsidP="000803FC">
            <w:pPr>
              <w:jc w:val="center"/>
              <w:rPr>
                <w:rFonts w:cs="Times New Roman"/>
                <w:color w:val="FFFFFF" w:themeColor="background1"/>
                <w:sz w:val="20"/>
                <w:szCs w:val="20"/>
              </w:rPr>
            </w:pPr>
            <w:r w:rsidRPr="005C1FD5">
              <w:rPr>
                <w:rFonts w:cs="Times New Roman"/>
                <w:b/>
                <w:bCs/>
                <w:color w:val="FFFFFF" w:themeColor="background1"/>
                <w:sz w:val="20"/>
                <w:szCs w:val="20"/>
              </w:rPr>
              <w:t>2025</w:t>
            </w:r>
          </w:p>
        </w:tc>
      </w:tr>
      <w:tr w:rsidR="00546202" w:rsidRPr="00366146" w14:paraId="549D8DE6" w14:textId="77777777" w:rsidTr="000803FC">
        <w:trPr>
          <w:trHeight w:val="227"/>
        </w:trPr>
        <w:tc>
          <w:tcPr>
            <w:tcW w:w="3681" w:type="dxa"/>
            <w:tcBorders>
              <w:top w:val="single" w:sz="4" w:space="0" w:color="000000" w:themeColor="text1"/>
              <w:left w:val="single" w:sz="4" w:space="0" w:color="7F7F7F"/>
              <w:bottom w:val="single" w:sz="4" w:space="0" w:color="7F7F7F"/>
              <w:right w:val="single" w:sz="4" w:space="0" w:color="7F7F7F"/>
            </w:tcBorders>
            <w:shd w:val="clear" w:color="auto" w:fill="FFFFCC"/>
            <w:tcMar>
              <w:top w:w="15" w:type="dxa"/>
              <w:left w:w="108" w:type="dxa"/>
              <w:bottom w:w="0" w:type="dxa"/>
              <w:right w:w="108" w:type="dxa"/>
            </w:tcMar>
            <w:vAlign w:val="center"/>
            <w:hideMark/>
          </w:tcPr>
          <w:p w14:paraId="7F48036D" w14:textId="77777777" w:rsidR="00546202" w:rsidRPr="00366146" w:rsidRDefault="00546202" w:rsidP="000803FC">
            <w:pPr>
              <w:jc w:val="both"/>
              <w:rPr>
                <w:rFonts w:cs="Times New Roman"/>
                <w:sz w:val="20"/>
                <w:szCs w:val="20"/>
              </w:rPr>
            </w:pPr>
            <w:r w:rsidRPr="00366146">
              <w:rPr>
                <w:rFonts w:cs="Times New Roman"/>
                <w:b/>
                <w:bCs/>
                <w:sz w:val="20"/>
                <w:szCs w:val="20"/>
              </w:rPr>
              <w:t>VSAOI likme</w:t>
            </w:r>
            <w:r w:rsidRPr="007C4E11">
              <w:rPr>
                <w:rFonts w:cs="Times New Roman"/>
                <w:sz w:val="20"/>
                <w:szCs w:val="20"/>
                <w:vertAlign w:val="superscript"/>
              </w:rPr>
              <w:t>1</w:t>
            </w:r>
          </w:p>
        </w:tc>
        <w:tc>
          <w:tcPr>
            <w:tcW w:w="1843" w:type="dxa"/>
            <w:gridSpan w:val="2"/>
            <w:tcBorders>
              <w:top w:val="single" w:sz="4" w:space="0" w:color="000000" w:themeColor="text1"/>
              <w:left w:val="single" w:sz="4" w:space="0" w:color="7F7F7F"/>
              <w:bottom w:val="single" w:sz="4" w:space="0" w:color="7F7F7F"/>
              <w:right w:val="single" w:sz="4" w:space="0" w:color="7F7F7F"/>
            </w:tcBorders>
            <w:shd w:val="clear" w:color="auto" w:fill="FFFFCC"/>
            <w:tcMar>
              <w:top w:w="15" w:type="dxa"/>
              <w:left w:w="108" w:type="dxa"/>
              <w:bottom w:w="0" w:type="dxa"/>
              <w:right w:w="108" w:type="dxa"/>
            </w:tcMar>
            <w:vAlign w:val="center"/>
            <w:hideMark/>
          </w:tcPr>
          <w:p w14:paraId="08B86CF4" w14:textId="77777777" w:rsidR="00546202" w:rsidRPr="00366146" w:rsidRDefault="00546202" w:rsidP="000803FC">
            <w:pPr>
              <w:jc w:val="center"/>
              <w:rPr>
                <w:rFonts w:cs="Times New Roman"/>
                <w:color w:val="C00000"/>
                <w:sz w:val="20"/>
                <w:szCs w:val="20"/>
              </w:rPr>
            </w:pPr>
            <w:r w:rsidRPr="00366146">
              <w:rPr>
                <w:rFonts w:cs="Times New Roman"/>
                <w:b/>
                <w:bCs/>
                <w:color w:val="C00000"/>
                <w:sz w:val="20"/>
                <w:szCs w:val="20"/>
              </w:rPr>
              <w:t>34,09%</w:t>
            </w:r>
          </w:p>
        </w:tc>
        <w:tc>
          <w:tcPr>
            <w:tcW w:w="1842" w:type="dxa"/>
            <w:gridSpan w:val="2"/>
            <w:tcBorders>
              <w:top w:val="single" w:sz="4" w:space="0" w:color="000000" w:themeColor="text1"/>
              <w:left w:val="single" w:sz="4" w:space="0" w:color="7F7F7F"/>
              <w:bottom w:val="single" w:sz="4" w:space="0" w:color="7F7F7F"/>
              <w:right w:val="single" w:sz="4" w:space="0" w:color="7F7F7F"/>
            </w:tcBorders>
            <w:shd w:val="clear" w:color="auto" w:fill="FFFFCC"/>
            <w:tcMar>
              <w:top w:w="15" w:type="dxa"/>
              <w:left w:w="108" w:type="dxa"/>
              <w:bottom w:w="0" w:type="dxa"/>
              <w:right w:w="108" w:type="dxa"/>
            </w:tcMar>
            <w:vAlign w:val="center"/>
            <w:hideMark/>
          </w:tcPr>
          <w:p w14:paraId="263885F6" w14:textId="710A0B9E" w:rsidR="00546202" w:rsidRPr="00366146" w:rsidRDefault="00546202" w:rsidP="000803FC">
            <w:pPr>
              <w:jc w:val="center"/>
              <w:rPr>
                <w:rFonts w:cs="Times New Roman"/>
                <w:sz w:val="20"/>
                <w:szCs w:val="20"/>
              </w:rPr>
            </w:pPr>
            <w:r>
              <w:rPr>
                <w:b/>
                <w:bCs/>
                <w:color w:val="00B050"/>
                <w:sz w:val="20"/>
                <w:szCs w:val="20"/>
              </w:rPr>
              <w:t>2</w:t>
            </w:r>
            <w:r w:rsidR="000F1C68">
              <w:rPr>
                <w:b/>
                <w:bCs/>
                <w:color w:val="00B050"/>
                <w:sz w:val="20"/>
                <w:szCs w:val="20"/>
              </w:rPr>
              <w:t>4</w:t>
            </w:r>
            <w:r w:rsidRPr="006B0A8A">
              <w:rPr>
                <w:b/>
                <w:bCs/>
                <w:color w:val="00B050"/>
                <w:sz w:val="20"/>
                <w:szCs w:val="20"/>
              </w:rPr>
              <w:t>,</w:t>
            </w:r>
            <w:r>
              <w:rPr>
                <w:b/>
                <w:bCs/>
                <w:color w:val="00B050"/>
                <w:sz w:val="20"/>
                <w:szCs w:val="20"/>
              </w:rPr>
              <w:t>2</w:t>
            </w:r>
            <w:r w:rsidRPr="006B0A8A">
              <w:rPr>
                <w:b/>
                <w:bCs/>
                <w:color w:val="00B050"/>
                <w:sz w:val="20"/>
                <w:szCs w:val="20"/>
              </w:rPr>
              <w:t>9%</w:t>
            </w:r>
            <w:r>
              <w:rPr>
                <w:rFonts w:cs="Times New Roman"/>
                <w:sz w:val="20"/>
                <w:szCs w:val="20"/>
                <w:vertAlign w:val="superscript"/>
              </w:rPr>
              <w:t>2</w:t>
            </w:r>
          </w:p>
        </w:tc>
        <w:tc>
          <w:tcPr>
            <w:tcW w:w="1701" w:type="dxa"/>
            <w:gridSpan w:val="2"/>
            <w:tcBorders>
              <w:top w:val="single" w:sz="4" w:space="0" w:color="000000" w:themeColor="text1"/>
              <w:left w:val="single" w:sz="4" w:space="0" w:color="7F7F7F"/>
              <w:bottom w:val="single" w:sz="4" w:space="0" w:color="7F7F7F"/>
              <w:right w:val="single" w:sz="4" w:space="0" w:color="7F7F7F"/>
            </w:tcBorders>
            <w:shd w:val="clear" w:color="auto" w:fill="FFFFCC"/>
            <w:tcMar>
              <w:top w:w="15" w:type="dxa"/>
              <w:left w:w="108" w:type="dxa"/>
              <w:bottom w:w="0" w:type="dxa"/>
              <w:right w:w="108" w:type="dxa"/>
            </w:tcMar>
            <w:vAlign w:val="center"/>
            <w:hideMark/>
          </w:tcPr>
          <w:p w14:paraId="6178067B" w14:textId="4314FB61" w:rsidR="00546202" w:rsidRPr="00366146" w:rsidRDefault="00546202" w:rsidP="000803FC">
            <w:pPr>
              <w:jc w:val="center"/>
              <w:rPr>
                <w:rFonts w:cs="Times New Roman"/>
                <w:sz w:val="20"/>
                <w:szCs w:val="20"/>
              </w:rPr>
            </w:pPr>
            <w:r w:rsidRPr="002731D7">
              <w:rPr>
                <w:b/>
                <w:bCs/>
                <w:color w:val="0070C0"/>
                <w:sz w:val="20"/>
                <w:szCs w:val="20"/>
              </w:rPr>
              <w:t>3</w:t>
            </w:r>
            <w:r w:rsidR="000F1C68">
              <w:rPr>
                <w:b/>
                <w:bCs/>
                <w:color w:val="0070C0"/>
                <w:sz w:val="20"/>
                <w:szCs w:val="20"/>
              </w:rPr>
              <w:t>7</w:t>
            </w:r>
            <w:r w:rsidRPr="002731D7">
              <w:rPr>
                <w:b/>
                <w:bCs/>
                <w:color w:val="0070C0"/>
                <w:sz w:val="20"/>
                <w:szCs w:val="20"/>
              </w:rPr>
              <w:t>,</w:t>
            </w:r>
            <w:r>
              <w:rPr>
                <w:b/>
                <w:bCs/>
                <w:color w:val="0070C0"/>
                <w:sz w:val="20"/>
                <w:szCs w:val="20"/>
              </w:rPr>
              <w:t>4</w:t>
            </w:r>
            <w:r w:rsidRPr="002731D7">
              <w:rPr>
                <w:b/>
                <w:bCs/>
                <w:color w:val="0070C0"/>
                <w:sz w:val="20"/>
                <w:szCs w:val="20"/>
              </w:rPr>
              <w:t>%</w:t>
            </w:r>
            <w:r w:rsidRPr="00195346">
              <w:rPr>
                <w:rFonts w:eastAsia="Verdana" w:cstheme="minorHAnsi"/>
                <w:kern w:val="24"/>
                <w:sz w:val="20"/>
                <w:szCs w:val="20"/>
                <w:vertAlign w:val="superscript"/>
              </w:rPr>
              <w:t>3</w:t>
            </w:r>
            <w:r w:rsidR="009A4430">
              <w:rPr>
                <w:rFonts w:eastAsia="Verdana" w:cstheme="minorHAnsi"/>
                <w:kern w:val="24"/>
                <w:sz w:val="20"/>
                <w:szCs w:val="20"/>
                <w:vertAlign w:val="superscript"/>
              </w:rPr>
              <w:t xml:space="preserve">. </w:t>
            </w:r>
          </w:p>
        </w:tc>
      </w:tr>
      <w:tr w:rsidR="00546202" w:rsidRPr="00366146" w14:paraId="27E2A1F2" w14:textId="77777777" w:rsidTr="000803FC">
        <w:trPr>
          <w:trHeight w:val="227"/>
        </w:trPr>
        <w:tc>
          <w:tcPr>
            <w:tcW w:w="3681" w:type="dxa"/>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hideMark/>
          </w:tcPr>
          <w:p w14:paraId="3B599C01" w14:textId="77777777" w:rsidR="00546202" w:rsidRPr="00366146" w:rsidRDefault="00546202" w:rsidP="000803FC">
            <w:pPr>
              <w:jc w:val="both"/>
              <w:rPr>
                <w:rFonts w:cs="Times New Roman"/>
                <w:sz w:val="20"/>
                <w:szCs w:val="20"/>
              </w:rPr>
            </w:pPr>
            <w:r w:rsidRPr="00366146">
              <w:rPr>
                <w:rFonts w:cs="Times New Roman"/>
                <w:sz w:val="20"/>
                <w:szCs w:val="20"/>
              </w:rPr>
              <w:t>Darba devēja likme</w:t>
            </w:r>
          </w:p>
        </w:tc>
        <w:tc>
          <w:tcPr>
            <w:tcW w:w="1843" w:type="dxa"/>
            <w:gridSpan w:val="2"/>
            <w:tcBorders>
              <w:top w:val="single" w:sz="4" w:space="0" w:color="7F7F7F"/>
              <w:left w:val="single" w:sz="4" w:space="0" w:color="7F7F7F"/>
              <w:bottom w:val="single" w:sz="4" w:space="0" w:color="7F7F7F"/>
              <w:right w:val="single" w:sz="4" w:space="0" w:color="7F7F7F"/>
            </w:tcBorders>
            <w:shd w:val="clear" w:color="auto" w:fill="FFFFFF" w:themeFill="background1"/>
            <w:tcMar>
              <w:top w:w="15" w:type="dxa"/>
              <w:left w:w="108" w:type="dxa"/>
              <w:bottom w:w="0" w:type="dxa"/>
              <w:right w:w="108" w:type="dxa"/>
            </w:tcMar>
            <w:vAlign w:val="center"/>
            <w:hideMark/>
          </w:tcPr>
          <w:p w14:paraId="77C297F8" w14:textId="77777777" w:rsidR="00546202" w:rsidRPr="00366146" w:rsidRDefault="00546202" w:rsidP="000803FC">
            <w:pPr>
              <w:jc w:val="center"/>
              <w:rPr>
                <w:rFonts w:cs="Times New Roman"/>
                <w:color w:val="C00000"/>
                <w:sz w:val="20"/>
                <w:szCs w:val="20"/>
              </w:rPr>
            </w:pPr>
            <w:r w:rsidRPr="00366146">
              <w:rPr>
                <w:rFonts w:cs="Times New Roman"/>
                <w:color w:val="C00000"/>
                <w:sz w:val="20"/>
                <w:szCs w:val="20"/>
              </w:rPr>
              <w:t>23,59%</w:t>
            </w:r>
          </w:p>
        </w:tc>
        <w:tc>
          <w:tcPr>
            <w:tcW w:w="1842" w:type="dxa"/>
            <w:gridSpan w:val="2"/>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hideMark/>
          </w:tcPr>
          <w:p w14:paraId="7F4CFB7A" w14:textId="77777777" w:rsidR="00546202" w:rsidRPr="00366146" w:rsidRDefault="00546202" w:rsidP="000803FC">
            <w:pPr>
              <w:jc w:val="center"/>
              <w:rPr>
                <w:rFonts w:cs="Times New Roman"/>
                <w:sz w:val="20"/>
                <w:szCs w:val="20"/>
              </w:rPr>
            </w:pPr>
            <w:r w:rsidRPr="006B0A8A">
              <w:rPr>
                <w:color w:val="00B050"/>
                <w:sz w:val="20"/>
                <w:szCs w:val="20"/>
              </w:rPr>
              <w:t>1,</w:t>
            </w:r>
            <w:r>
              <w:rPr>
                <w:color w:val="00B050"/>
                <w:sz w:val="20"/>
                <w:szCs w:val="20"/>
              </w:rPr>
              <w:t>79</w:t>
            </w:r>
            <w:r w:rsidRPr="006B0A8A">
              <w:rPr>
                <w:color w:val="00B050"/>
                <w:sz w:val="20"/>
                <w:szCs w:val="20"/>
              </w:rPr>
              <w:t>%</w:t>
            </w:r>
            <w:r>
              <w:rPr>
                <w:rFonts w:cs="Times New Roman"/>
                <w:sz w:val="20"/>
                <w:szCs w:val="20"/>
                <w:vertAlign w:val="superscript"/>
              </w:rPr>
              <w:t>4</w:t>
            </w:r>
          </w:p>
        </w:tc>
        <w:tc>
          <w:tcPr>
            <w:tcW w:w="1701" w:type="dxa"/>
            <w:gridSpan w:val="2"/>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hideMark/>
          </w:tcPr>
          <w:p w14:paraId="47587739" w14:textId="77777777" w:rsidR="00546202" w:rsidRPr="00366146" w:rsidRDefault="00546202" w:rsidP="000803FC">
            <w:pPr>
              <w:jc w:val="center"/>
              <w:rPr>
                <w:rFonts w:cs="Times New Roman"/>
                <w:sz w:val="20"/>
                <w:szCs w:val="20"/>
              </w:rPr>
            </w:pPr>
            <w:r>
              <w:rPr>
                <w:color w:val="0070C0"/>
                <w:sz w:val="20"/>
                <w:szCs w:val="20"/>
              </w:rPr>
              <w:t>33</w:t>
            </w:r>
            <w:r w:rsidRPr="002731D7">
              <w:rPr>
                <w:color w:val="0070C0"/>
                <w:sz w:val="20"/>
                <w:szCs w:val="20"/>
              </w:rPr>
              <w:t>,</w:t>
            </w:r>
            <w:r>
              <w:rPr>
                <w:color w:val="0070C0"/>
                <w:sz w:val="20"/>
                <w:szCs w:val="20"/>
              </w:rPr>
              <w:t>8</w:t>
            </w:r>
            <w:r w:rsidRPr="002731D7">
              <w:rPr>
                <w:color w:val="0070C0"/>
                <w:sz w:val="20"/>
                <w:szCs w:val="20"/>
              </w:rPr>
              <w:t>%</w:t>
            </w:r>
          </w:p>
        </w:tc>
      </w:tr>
      <w:tr w:rsidR="00546202" w:rsidRPr="00366146" w14:paraId="4144D69F" w14:textId="77777777" w:rsidTr="000803FC">
        <w:trPr>
          <w:trHeight w:val="227"/>
        </w:trPr>
        <w:tc>
          <w:tcPr>
            <w:tcW w:w="3681" w:type="dxa"/>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hideMark/>
          </w:tcPr>
          <w:p w14:paraId="3C6B8B65" w14:textId="77777777" w:rsidR="00546202" w:rsidRPr="00366146" w:rsidRDefault="00546202" w:rsidP="000803FC">
            <w:pPr>
              <w:jc w:val="both"/>
              <w:rPr>
                <w:rFonts w:cs="Times New Roman"/>
                <w:sz w:val="20"/>
                <w:szCs w:val="20"/>
              </w:rPr>
            </w:pPr>
            <w:r w:rsidRPr="00366146">
              <w:rPr>
                <w:rFonts w:cs="Times New Roman"/>
                <w:sz w:val="20"/>
                <w:szCs w:val="20"/>
              </w:rPr>
              <w:t>Darba ņēmēja likme</w:t>
            </w:r>
          </w:p>
        </w:tc>
        <w:tc>
          <w:tcPr>
            <w:tcW w:w="1843" w:type="dxa"/>
            <w:gridSpan w:val="2"/>
            <w:tcBorders>
              <w:top w:val="single" w:sz="4" w:space="0" w:color="7F7F7F"/>
              <w:left w:val="single" w:sz="4" w:space="0" w:color="7F7F7F"/>
              <w:bottom w:val="single" w:sz="4" w:space="0" w:color="7F7F7F"/>
              <w:right w:val="single" w:sz="4" w:space="0" w:color="7F7F7F"/>
            </w:tcBorders>
            <w:shd w:val="clear" w:color="auto" w:fill="FFFFFF" w:themeFill="background1"/>
            <w:tcMar>
              <w:top w:w="15" w:type="dxa"/>
              <w:left w:w="108" w:type="dxa"/>
              <w:bottom w:w="0" w:type="dxa"/>
              <w:right w:w="108" w:type="dxa"/>
            </w:tcMar>
            <w:vAlign w:val="center"/>
            <w:hideMark/>
          </w:tcPr>
          <w:p w14:paraId="04CF6A4D" w14:textId="77777777" w:rsidR="00546202" w:rsidRPr="00366146" w:rsidRDefault="00546202" w:rsidP="000803FC">
            <w:pPr>
              <w:jc w:val="center"/>
              <w:rPr>
                <w:rFonts w:cs="Times New Roman"/>
                <w:color w:val="C00000"/>
                <w:sz w:val="20"/>
                <w:szCs w:val="20"/>
              </w:rPr>
            </w:pPr>
            <w:r w:rsidRPr="00366146">
              <w:rPr>
                <w:rFonts w:cs="Times New Roman"/>
                <w:color w:val="C00000"/>
                <w:sz w:val="20"/>
                <w:szCs w:val="20"/>
              </w:rPr>
              <w:t>10,5%</w:t>
            </w:r>
          </w:p>
        </w:tc>
        <w:tc>
          <w:tcPr>
            <w:tcW w:w="1842" w:type="dxa"/>
            <w:gridSpan w:val="2"/>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hideMark/>
          </w:tcPr>
          <w:p w14:paraId="242DBFD3" w14:textId="77777777" w:rsidR="00546202" w:rsidRPr="00366146" w:rsidRDefault="00546202" w:rsidP="000803FC">
            <w:pPr>
              <w:jc w:val="center"/>
              <w:rPr>
                <w:rFonts w:cs="Times New Roman"/>
                <w:sz w:val="20"/>
                <w:szCs w:val="20"/>
              </w:rPr>
            </w:pPr>
            <w:r w:rsidRPr="006B0A8A">
              <w:rPr>
                <w:color w:val="00B050"/>
                <w:sz w:val="20"/>
                <w:szCs w:val="20"/>
              </w:rPr>
              <w:t>19,5%</w:t>
            </w:r>
          </w:p>
        </w:tc>
        <w:tc>
          <w:tcPr>
            <w:tcW w:w="1701" w:type="dxa"/>
            <w:gridSpan w:val="2"/>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hideMark/>
          </w:tcPr>
          <w:p w14:paraId="0A24CFCE" w14:textId="77777777" w:rsidR="00546202" w:rsidRPr="00366146" w:rsidRDefault="00546202" w:rsidP="000803FC">
            <w:pPr>
              <w:jc w:val="center"/>
              <w:rPr>
                <w:rFonts w:cs="Times New Roman"/>
                <w:sz w:val="20"/>
                <w:szCs w:val="20"/>
              </w:rPr>
            </w:pPr>
            <w:r w:rsidRPr="002731D7">
              <w:rPr>
                <w:color w:val="0070C0"/>
                <w:sz w:val="20"/>
                <w:szCs w:val="20"/>
              </w:rPr>
              <w:t>1,6%</w:t>
            </w:r>
          </w:p>
        </w:tc>
      </w:tr>
      <w:tr w:rsidR="00546202" w:rsidRPr="00366146" w14:paraId="0B93BF75" w14:textId="77777777" w:rsidTr="000803FC">
        <w:trPr>
          <w:trHeight w:val="227"/>
        </w:trPr>
        <w:tc>
          <w:tcPr>
            <w:tcW w:w="3681" w:type="dxa"/>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tcPr>
          <w:p w14:paraId="08EA61DD" w14:textId="77777777" w:rsidR="00546202" w:rsidRPr="007C4E11" w:rsidRDefault="00546202" w:rsidP="000803FC">
            <w:pPr>
              <w:pStyle w:val="ListParagraph"/>
              <w:numPr>
                <w:ilvl w:val="0"/>
                <w:numId w:val="6"/>
              </w:numPr>
              <w:ind w:left="310" w:hanging="310"/>
              <w:jc w:val="left"/>
              <w:rPr>
                <w:sz w:val="20"/>
                <w:szCs w:val="20"/>
              </w:rPr>
            </w:pPr>
            <w:r w:rsidRPr="007C4E11">
              <w:rPr>
                <w:i/>
                <w:iCs/>
                <w:sz w:val="19"/>
                <w:szCs w:val="19"/>
              </w:rPr>
              <w:t>papildus brīvprātīgās iemaksas II pensiju līmenī</w:t>
            </w:r>
          </w:p>
        </w:tc>
        <w:tc>
          <w:tcPr>
            <w:tcW w:w="1843" w:type="dxa"/>
            <w:gridSpan w:val="2"/>
            <w:tcBorders>
              <w:top w:val="single" w:sz="4" w:space="0" w:color="7F7F7F"/>
              <w:left w:val="single" w:sz="4" w:space="0" w:color="7F7F7F"/>
              <w:bottom w:val="single" w:sz="4" w:space="0" w:color="7F7F7F"/>
              <w:right w:val="single" w:sz="4" w:space="0" w:color="7F7F7F"/>
            </w:tcBorders>
            <w:shd w:val="clear" w:color="auto" w:fill="FFFFFF" w:themeFill="background1"/>
            <w:tcMar>
              <w:top w:w="15" w:type="dxa"/>
              <w:left w:w="108" w:type="dxa"/>
              <w:bottom w:w="0" w:type="dxa"/>
              <w:right w:w="108" w:type="dxa"/>
            </w:tcMar>
            <w:vAlign w:val="center"/>
          </w:tcPr>
          <w:p w14:paraId="22B9156E" w14:textId="77777777" w:rsidR="00546202" w:rsidRPr="00366146" w:rsidRDefault="00546202" w:rsidP="000803FC">
            <w:pPr>
              <w:jc w:val="center"/>
              <w:rPr>
                <w:rFonts w:cs="Times New Roman"/>
                <w:sz w:val="20"/>
                <w:szCs w:val="20"/>
              </w:rPr>
            </w:pPr>
            <w:r>
              <w:rPr>
                <w:rFonts w:cs="Times New Roman"/>
                <w:sz w:val="20"/>
                <w:szCs w:val="20"/>
              </w:rPr>
              <w:t>-</w:t>
            </w:r>
          </w:p>
        </w:tc>
        <w:tc>
          <w:tcPr>
            <w:tcW w:w="1842" w:type="dxa"/>
            <w:gridSpan w:val="2"/>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tcPr>
          <w:p w14:paraId="3177F501" w14:textId="77777777" w:rsidR="00546202" w:rsidRPr="00366146" w:rsidRDefault="00546202" w:rsidP="000803FC">
            <w:pPr>
              <w:jc w:val="center"/>
              <w:rPr>
                <w:rFonts w:cs="Times New Roman"/>
                <w:sz w:val="20"/>
                <w:szCs w:val="20"/>
              </w:rPr>
            </w:pPr>
            <w:r w:rsidRPr="002731D7">
              <w:rPr>
                <w:i/>
                <w:iCs/>
                <w:color w:val="00B050"/>
                <w:sz w:val="20"/>
                <w:szCs w:val="20"/>
              </w:rPr>
              <w:t>+3%</w:t>
            </w:r>
          </w:p>
        </w:tc>
        <w:tc>
          <w:tcPr>
            <w:tcW w:w="1701" w:type="dxa"/>
            <w:gridSpan w:val="2"/>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tcPr>
          <w:p w14:paraId="61FEEB3F" w14:textId="77777777" w:rsidR="00546202" w:rsidRPr="00366146" w:rsidRDefault="00546202" w:rsidP="000803FC">
            <w:pPr>
              <w:jc w:val="center"/>
              <w:rPr>
                <w:rFonts w:cs="Times New Roman"/>
                <w:sz w:val="20"/>
                <w:szCs w:val="20"/>
              </w:rPr>
            </w:pPr>
            <w:r w:rsidRPr="002731D7">
              <w:rPr>
                <w:i/>
                <w:iCs/>
                <w:color w:val="0070C0"/>
                <w:sz w:val="20"/>
                <w:szCs w:val="20"/>
              </w:rPr>
              <w:t>+2%</w:t>
            </w:r>
          </w:p>
        </w:tc>
      </w:tr>
      <w:tr w:rsidR="00546202" w:rsidRPr="00366146" w14:paraId="1FF87912" w14:textId="77777777" w:rsidTr="000803FC">
        <w:trPr>
          <w:trHeight w:val="227"/>
        </w:trPr>
        <w:tc>
          <w:tcPr>
            <w:tcW w:w="3681" w:type="dxa"/>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hideMark/>
          </w:tcPr>
          <w:p w14:paraId="3E24B0BD" w14:textId="120A267B" w:rsidR="00546202" w:rsidRPr="00366146" w:rsidRDefault="00546202" w:rsidP="000803FC">
            <w:pPr>
              <w:jc w:val="both"/>
              <w:rPr>
                <w:rFonts w:cs="Times New Roman"/>
                <w:sz w:val="20"/>
                <w:szCs w:val="20"/>
              </w:rPr>
            </w:pPr>
            <w:r w:rsidRPr="00366146">
              <w:rPr>
                <w:rFonts w:cs="Times New Roman"/>
                <w:b/>
                <w:bCs/>
                <w:sz w:val="20"/>
                <w:szCs w:val="20"/>
              </w:rPr>
              <w:t xml:space="preserve">VSAOI </w:t>
            </w:r>
            <w:r w:rsidR="003312F6" w:rsidRPr="003312F6">
              <w:rPr>
                <w:rFonts w:cs="Times New Roman"/>
                <w:b/>
                <w:bCs/>
                <w:sz w:val="20"/>
                <w:szCs w:val="20"/>
              </w:rPr>
              <w:t>objekta maksimāl</w:t>
            </w:r>
            <w:r w:rsidR="003312F6">
              <w:rPr>
                <w:rFonts w:cs="Times New Roman"/>
                <w:b/>
                <w:bCs/>
                <w:sz w:val="20"/>
                <w:szCs w:val="20"/>
              </w:rPr>
              <w:t>ais</w:t>
            </w:r>
            <w:r w:rsidR="003312F6" w:rsidRPr="003312F6">
              <w:rPr>
                <w:rFonts w:cs="Times New Roman"/>
                <w:b/>
                <w:bCs/>
                <w:sz w:val="20"/>
                <w:szCs w:val="20"/>
              </w:rPr>
              <w:t xml:space="preserve"> apmēr</w:t>
            </w:r>
            <w:r w:rsidR="003312F6">
              <w:rPr>
                <w:rFonts w:cs="Times New Roman"/>
                <w:b/>
                <w:bCs/>
                <w:sz w:val="20"/>
                <w:szCs w:val="20"/>
              </w:rPr>
              <w:t>s</w:t>
            </w:r>
            <w:r w:rsidRPr="00366146">
              <w:rPr>
                <w:rFonts w:cs="Times New Roman"/>
                <w:sz w:val="20"/>
                <w:szCs w:val="20"/>
              </w:rPr>
              <w:t xml:space="preserve">, </w:t>
            </w:r>
            <w:r w:rsidRPr="00366146">
              <w:rPr>
                <w:rFonts w:cs="Times New Roman"/>
                <w:i/>
                <w:iCs/>
                <w:sz w:val="20"/>
                <w:szCs w:val="20"/>
              </w:rPr>
              <w:t>euro gadā</w:t>
            </w:r>
          </w:p>
        </w:tc>
        <w:tc>
          <w:tcPr>
            <w:tcW w:w="1843" w:type="dxa"/>
            <w:gridSpan w:val="2"/>
            <w:tcBorders>
              <w:top w:val="single" w:sz="4" w:space="0" w:color="7F7F7F"/>
              <w:left w:val="single" w:sz="4" w:space="0" w:color="7F7F7F"/>
              <w:bottom w:val="single" w:sz="4" w:space="0" w:color="7F7F7F"/>
              <w:right w:val="single" w:sz="4" w:space="0" w:color="7F7F7F"/>
            </w:tcBorders>
            <w:shd w:val="clear" w:color="auto" w:fill="FFFFFF" w:themeFill="background1"/>
            <w:tcMar>
              <w:top w:w="15" w:type="dxa"/>
              <w:left w:w="108" w:type="dxa"/>
              <w:bottom w:w="0" w:type="dxa"/>
              <w:right w:w="108" w:type="dxa"/>
            </w:tcMar>
            <w:vAlign w:val="center"/>
            <w:hideMark/>
          </w:tcPr>
          <w:p w14:paraId="209D1635" w14:textId="77777777" w:rsidR="00546202" w:rsidRPr="00366146" w:rsidRDefault="00546202" w:rsidP="000803FC">
            <w:pPr>
              <w:jc w:val="center"/>
              <w:rPr>
                <w:rFonts w:cs="Times New Roman"/>
                <w:b/>
                <w:bCs/>
                <w:sz w:val="20"/>
                <w:szCs w:val="20"/>
              </w:rPr>
            </w:pPr>
            <w:r w:rsidRPr="00366146">
              <w:rPr>
                <w:rFonts w:cs="Times New Roman"/>
                <w:b/>
                <w:bCs/>
                <w:color w:val="C00000"/>
                <w:sz w:val="20"/>
                <w:szCs w:val="20"/>
              </w:rPr>
              <w:t>78 100</w:t>
            </w:r>
          </w:p>
        </w:tc>
        <w:tc>
          <w:tcPr>
            <w:tcW w:w="1842" w:type="dxa"/>
            <w:gridSpan w:val="2"/>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hideMark/>
          </w:tcPr>
          <w:p w14:paraId="4569B709" w14:textId="77777777" w:rsidR="00546202" w:rsidRPr="00366146" w:rsidRDefault="00546202" w:rsidP="000803FC">
            <w:pPr>
              <w:jc w:val="center"/>
              <w:rPr>
                <w:rFonts w:cs="Times New Roman"/>
                <w:sz w:val="20"/>
                <w:szCs w:val="20"/>
              </w:rPr>
            </w:pPr>
            <w:r w:rsidRPr="0092390B">
              <w:rPr>
                <w:b/>
                <w:bCs/>
                <w:color w:val="00B050"/>
                <w:sz w:val="20"/>
                <w:szCs w:val="20"/>
              </w:rPr>
              <w:t>114 162</w:t>
            </w:r>
          </w:p>
        </w:tc>
        <w:tc>
          <w:tcPr>
            <w:tcW w:w="1701" w:type="dxa"/>
            <w:gridSpan w:val="2"/>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hideMark/>
          </w:tcPr>
          <w:p w14:paraId="039FAE90" w14:textId="77777777" w:rsidR="00546202" w:rsidRPr="00366146" w:rsidRDefault="00546202" w:rsidP="000803FC">
            <w:pPr>
              <w:jc w:val="center"/>
              <w:rPr>
                <w:rFonts w:cs="Times New Roman"/>
                <w:sz w:val="20"/>
                <w:szCs w:val="20"/>
              </w:rPr>
            </w:pPr>
            <w:r>
              <w:rPr>
                <w:rFonts w:cs="Times New Roman"/>
                <w:sz w:val="20"/>
                <w:szCs w:val="20"/>
              </w:rPr>
              <w:t>-</w:t>
            </w:r>
          </w:p>
        </w:tc>
      </w:tr>
      <w:tr w:rsidR="00546202" w:rsidRPr="00366146" w14:paraId="3922273E" w14:textId="77777777" w:rsidTr="000803FC">
        <w:trPr>
          <w:trHeight w:val="227"/>
        </w:trPr>
        <w:tc>
          <w:tcPr>
            <w:tcW w:w="3681" w:type="dxa"/>
            <w:tcBorders>
              <w:top w:val="single" w:sz="4" w:space="0" w:color="7F7F7F"/>
              <w:left w:val="single" w:sz="4" w:space="0" w:color="7F7F7F"/>
              <w:bottom w:val="single" w:sz="4" w:space="0" w:color="7F7F7F"/>
              <w:right w:val="single" w:sz="4" w:space="0" w:color="7F7F7F"/>
            </w:tcBorders>
            <w:shd w:val="clear" w:color="auto" w:fill="FFFFCC"/>
            <w:tcMar>
              <w:top w:w="15" w:type="dxa"/>
              <w:left w:w="108" w:type="dxa"/>
              <w:bottom w:w="0" w:type="dxa"/>
              <w:right w:w="108" w:type="dxa"/>
            </w:tcMar>
            <w:vAlign w:val="center"/>
            <w:hideMark/>
          </w:tcPr>
          <w:p w14:paraId="1A496834" w14:textId="77777777" w:rsidR="00546202" w:rsidRPr="00366146" w:rsidRDefault="00546202" w:rsidP="000803FC">
            <w:pPr>
              <w:jc w:val="both"/>
              <w:rPr>
                <w:rFonts w:cs="Times New Roman"/>
                <w:sz w:val="20"/>
                <w:szCs w:val="20"/>
              </w:rPr>
            </w:pPr>
            <w:r w:rsidRPr="00366146">
              <w:rPr>
                <w:rFonts w:cs="Times New Roman"/>
                <w:b/>
                <w:bCs/>
                <w:sz w:val="20"/>
                <w:szCs w:val="20"/>
              </w:rPr>
              <w:t>IIN likmes</w:t>
            </w:r>
          </w:p>
        </w:tc>
        <w:tc>
          <w:tcPr>
            <w:tcW w:w="1843" w:type="dxa"/>
            <w:gridSpan w:val="2"/>
            <w:tcBorders>
              <w:top w:val="single" w:sz="4" w:space="0" w:color="7F7F7F"/>
              <w:left w:val="single" w:sz="4" w:space="0" w:color="7F7F7F"/>
              <w:bottom w:val="single" w:sz="4" w:space="0" w:color="7F7F7F"/>
              <w:right w:val="single" w:sz="4" w:space="0" w:color="7F7F7F"/>
            </w:tcBorders>
            <w:shd w:val="clear" w:color="auto" w:fill="FFFFCC"/>
            <w:tcMar>
              <w:top w:w="15" w:type="dxa"/>
              <w:left w:w="108" w:type="dxa"/>
              <w:bottom w:w="0" w:type="dxa"/>
              <w:right w:w="108" w:type="dxa"/>
            </w:tcMar>
            <w:hideMark/>
          </w:tcPr>
          <w:p w14:paraId="0D2F635E" w14:textId="77777777" w:rsidR="00546202" w:rsidRPr="00366146" w:rsidRDefault="00546202" w:rsidP="000803FC">
            <w:pPr>
              <w:ind w:firstLine="709"/>
              <w:jc w:val="both"/>
              <w:rPr>
                <w:rFonts w:cs="Times New Roman"/>
                <w:sz w:val="20"/>
                <w:szCs w:val="20"/>
              </w:rPr>
            </w:pPr>
            <w:r w:rsidRPr="00366146">
              <w:rPr>
                <w:rFonts w:cs="Times New Roman"/>
                <w:sz w:val="20"/>
                <w:szCs w:val="20"/>
              </w:rPr>
              <w:t> </w:t>
            </w:r>
          </w:p>
        </w:tc>
        <w:tc>
          <w:tcPr>
            <w:tcW w:w="1842" w:type="dxa"/>
            <w:gridSpan w:val="2"/>
            <w:tcBorders>
              <w:top w:val="single" w:sz="4" w:space="0" w:color="7F7F7F"/>
              <w:left w:val="single" w:sz="4" w:space="0" w:color="7F7F7F"/>
              <w:bottom w:val="single" w:sz="4" w:space="0" w:color="7F7F7F"/>
              <w:right w:val="single" w:sz="4" w:space="0" w:color="7F7F7F"/>
            </w:tcBorders>
            <w:shd w:val="clear" w:color="auto" w:fill="FFFFCC"/>
            <w:tcMar>
              <w:top w:w="15" w:type="dxa"/>
              <w:left w:w="108" w:type="dxa"/>
              <w:bottom w:w="0" w:type="dxa"/>
              <w:right w:w="108" w:type="dxa"/>
            </w:tcMar>
            <w:hideMark/>
          </w:tcPr>
          <w:p w14:paraId="6E03C3C5" w14:textId="77777777" w:rsidR="00546202" w:rsidRPr="00366146" w:rsidRDefault="00546202" w:rsidP="000803FC">
            <w:pPr>
              <w:ind w:firstLine="709"/>
              <w:jc w:val="both"/>
              <w:rPr>
                <w:rFonts w:cs="Times New Roman"/>
                <w:sz w:val="20"/>
                <w:szCs w:val="20"/>
              </w:rPr>
            </w:pPr>
            <w:r w:rsidRPr="00366146">
              <w:rPr>
                <w:rFonts w:cs="Times New Roman"/>
                <w:sz w:val="20"/>
                <w:szCs w:val="20"/>
              </w:rPr>
              <w:t> </w:t>
            </w:r>
          </w:p>
        </w:tc>
        <w:tc>
          <w:tcPr>
            <w:tcW w:w="993" w:type="dxa"/>
            <w:tcBorders>
              <w:top w:val="single" w:sz="4" w:space="0" w:color="7F7F7F"/>
              <w:left w:val="single" w:sz="4" w:space="0" w:color="7F7F7F"/>
              <w:bottom w:val="single" w:sz="4" w:space="0" w:color="7F7F7F"/>
              <w:right w:val="single" w:sz="4" w:space="0" w:color="7F7F7F"/>
            </w:tcBorders>
            <w:shd w:val="clear" w:color="auto" w:fill="FFFFCC"/>
            <w:tcMar>
              <w:top w:w="15" w:type="dxa"/>
              <w:left w:w="108" w:type="dxa"/>
              <w:bottom w:w="0" w:type="dxa"/>
              <w:right w:w="108" w:type="dxa"/>
            </w:tcMar>
            <w:hideMark/>
          </w:tcPr>
          <w:p w14:paraId="217A465E" w14:textId="77777777" w:rsidR="00546202" w:rsidRPr="00366146" w:rsidRDefault="00546202" w:rsidP="000803FC">
            <w:pPr>
              <w:ind w:firstLine="709"/>
              <w:jc w:val="both"/>
              <w:rPr>
                <w:rFonts w:cs="Times New Roman"/>
                <w:sz w:val="20"/>
                <w:szCs w:val="20"/>
              </w:rPr>
            </w:pPr>
            <w:r w:rsidRPr="00366146">
              <w:rPr>
                <w:rFonts w:cs="Times New Roman"/>
                <w:sz w:val="20"/>
                <w:szCs w:val="20"/>
              </w:rPr>
              <w:t> </w:t>
            </w:r>
          </w:p>
        </w:tc>
        <w:tc>
          <w:tcPr>
            <w:tcW w:w="708" w:type="dxa"/>
            <w:tcBorders>
              <w:top w:val="single" w:sz="4" w:space="0" w:color="7F7F7F"/>
              <w:left w:val="single" w:sz="4" w:space="0" w:color="7F7F7F"/>
              <w:bottom w:val="single" w:sz="4" w:space="0" w:color="7F7F7F"/>
              <w:right w:val="single" w:sz="4" w:space="0" w:color="7F7F7F"/>
            </w:tcBorders>
            <w:shd w:val="clear" w:color="auto" w:fill="FFFFCC"/>
            <w:tcMar>
              <w:top w:w="15" w:type="dxa"/>
              <w:left w:w="108" w:type="dxa"/>
              <w:bottom w:w="0" w:type="dxa"/>
              <w:right w:w="108" w:type="dxa"/>
            </w:tcMar>
            <w:vAlign w:val="center"/>
            <w:hideMark/>
          </w:tcPr>
          <w:p w14:paraId="6AEA49E8" w14:textId="77777777" w:rsidR="00546202" w:rsidRPr="00366146" w:rsidRDefault="00546202" w:rsidP="000803FC">
            <w:pPr>
              <w:ind w:firstLine="709"/>
              <w:jc w:val="both"/>
              <w:rPr>
                <w:rFonts w:cs="Times New Roman"/>
                <w:sz w:val="20"/>
                <w:szCs w:val="20"/>
              </w:rPr>
            </w:pPr>
            <w:r w:rsidRPr="00366146">
              <w:rPr>
                <w:rFonts w:cs="Times New Roman"/>
                <w:sz w:val="20"/>
                <w:szCs w:val="20"/>
              </w:rPr>
              <w:t> </w:t>
            </w:r>
          </w:p>
        </w:tc>
      </w:tr>
      <w:tr w:rsidR="00546202" w:rsidRPr="00366146" w14:paraId="03CD418A" w14:textId="77777777" w:rsidTr="000803FC">
        <w:trPr>
          <w:trHeight w:val="227"/>
        </w:trPr>
        <w:tc>
          <w:tcPr>
            <w:tcW w:w="3681" w:type="dxa"/>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hideMark/>
          </w:tcPr>
          <w:p w14:paraId="6E4846F8" w14:textId="77777777" w:rsidR="00546202" w:rsidRPr="00366146" w:rsidRDefault="00546202" w:rsidP="000803FC">
            <w:pPr>
              <w:jc w:val="both"/>
              <w:rPr>
                <w:rFonts w:cs="Times New Roman"/>
                <w:sz w:val="20"/>
                <w:szCs w:val="20"/>
              </w:rPr>
            </w:pPr>
            <w:r w:rsidRPr="00366146">
              <w:rPr>
                <w:rFonts w:cs="Times New Roman"/>
                <w:sz w:val="20"/>
                <w:szCs w:val="20"/>
              </w:rPr>
              <w:t>1.likme</w:t>
            </w:r>
          </w:p>
        </w:tc>
        <w:tc>
          <w:tcPr>
            <w:tcW w:w="1134" w:type="dxa"/>
            <w:tcBorders>
              <w:top w:val="single" w:sz="4" w:space="0" w:color="7F7F7F"/>
              <w:left w:val="single" w:sz="4" w:space="0" w:color="7F7F7F"/>
              <w:bottom w:val="single" w:sz="4" w:space="0" w:color="7F7F7F"/>
              <w:right w:val="single" w:sz="4" w:space="0" w:color="7F7F7F"/>
            </w:tcBorders>
            <w:shd w:val="clear" w:color="auto" w:fill="FFFFFF" w:themeFill="background1"/>
            <w:tcMar>
              <w:top w:w="15" w:type="dxa"/>
              <w:left w:w="108" w:type="dxa"/>
              <w:bottom w:w="0" w:type="dxa"/>
              <w:right w:w="108" w:type="dxa"/>
            </w:tcMar>
            <w:vAlign w:val="center"/>
            <w:hideMark/>
          </w:tcPr>
          <w:p w14:paraId="65D782F1" w14:textId="77777777" w:rsidR="00546202" w:rsidRPr="00366146" w:rsidRDefault="00546202" w:rsidP="000803FC">
            <w:pPr>
              <w:jc w:val="center"/>
              <w:rPr>
                <w:rFonts w:cs="Times New Roman"/>
                <w:color w:val="C00000"/>
                <w:sz w:val="16"/>
                <w:szCs w:val="16"/>
              </w:rPr>
            </w:pPr>
            <w:r w:rsidRPr="00366146">
              <w:rPr>
                <w:rFonts w:cs="Times New Roman"/>
                <w:color w:val="C00000"/>
                <w:sz w:val="16"/>
                <w:szCs w:val="16"/>
              </w:rPr>
              <w:t>0 – 20 004</w:t>
            </w:r>
          </w:p>
        </w:tc>
        <w:tc>
          <w:tcPr>
            <w:tcW w:w="709" w:type="dxa"/>
            <w:tcBorders>
              <w:top w:val="single" w:sz="4" w:space="0" w:color="7F7F7F"/>
              <w:left w:val="single" w:sz="4" w:space="0" w:color="7F7F7F"/>
              <w:bottom w:val="single" w:sz="4" w:space="0" w:color="7F7F7F"/>
              <w:right w:val="single" w:sz="4" w:space="0" w:color="7F7F7F"/>
            </w:tcBorders>
            <w:shd w:val="clear" w:color="auto" w:fill="FFFFFF" w:themeFill="background1"/>
            <w:tcMar>
              <w:top w:w="15" w:type="dxa"/>
              <w:left w:w="108" w:type="dxa"/>
              <w:bottom w:w="0" w:type="dxa"/>
              <w:right w:w="108" w:type="dxa"/>
            </w:tcMar>
            <w:vAlign w:val="center"/>
            <w:hideMark/>
          </w:tcPr>
          <w:p w14:paraId="17C7324B" w14:textId="77777777" w:rsidR="00546202" w:rsidRPr="00366146" w:rsidRDefault="00546202" w:rsidP="000803FC">
            <w:pPr>
              <w:jc w:val="center"/>
              <w:rPr>
                <w:rFonts w:cs="Times New Roman"/>
                <w:b/>
                <w:bCs/>
                <w:color w:val="C00000"/>
                <w:sz w:val="20"/>
                <w:szCs w:val="20"/>
              </w:rPr>
            </w:pPr>
            <w:r w:rsidRPr="00366146">
              <w:rPr>
                <w:rFonts w:cs="Times New Roman"/>
                <w:b/>
                <w:bCs/>
                <w:color w:val="C00000"/>
                <w:sz w:val="20"/>
                <w:szCs w:val="20"/>
              </w:rPr>
              <w:t>20%</w:t>
            </w:r>
          </w:p>
        </w:tc>
        <w:tc>
          <w:tcPr>
            <w:tcW w:w="1134" w:type="dxa"/>
            <w:vMerge w:val="restart"/>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hideMark/>
          </w:tcPr>
          <w:p w14:paraId="4FE11973" w14:textId="77777777" w:rsidR="00546202" w:rsidRPr="00195346" w:rsidRDefault="00546202" w:rsidP="000803FC">
            <w:pPr>
              <w:jc w:val="both"/>
              <w:rPr>
                <w:rFonts w:cs="Times New Roman"/>
                <w:sz w:val="16"/>
                <w:szCs w:val="16"/>
              </w:rPr>
            </w:pPr>
            <w:r w:rsidRPr="00195346">
              <w:rPr>
                <w:rFonts w:cs="Times New Roman"/>
                <w:color w:val="00B050"/>
                <w:sz w:val="16"/>
                <w:szCs w:val="16"/>
              </w:rPr>
              <w:t xml:space="preserve">0 – </w:t>
            </w:r>
            <w:r w:rsidRPr="00195346">
              <w:rPr>
                <w:color w:val="00B050"/>
                <w:sz w:val="16"/>
                <w:szCs w:val="16"/>
              </w:rPr>
              <w:t>114 162</w:t>
            </w:r>
          </w:p>
        </w:tc>
        <w:tc>
          <w:tcPr>
            <w:tcW w:w="708" w:type="dxa"/>
            <w:vMerge w:val="restart"/>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hideMark/>
          </w:tcPr>
          <w:p w14:paraId="099A1F15" w14:textId="77777777" w:rsidR="00546202" w:rsidRPr="00195346" w:rsidRDefault="00546202" w:rsidP="000803FC">
            <w:pPr>
              <w:jc w:val="center"/>
              <w:rPr>
                <w:rFonts w:cs="Times New Roman"/>
                <w:color w:val="00B050"/>
                <w:sz w:val="20"/>
                <w:szCs w:val="20"/>
              </w:rPr>
            </w:pPr>
            <w:r w:rsidRPr="00195346">
              <w:rPr>
                <w:rFonts w:cs="Times New Roman"/>
                <w:b/>
                <w:bCs/>
                <w:color w:val="00B050"/>
                <w:sz w:val="20"/>
                <w:szCs w:val="20"/>
              </w:rPr>
              <w:t>20%</w:t>
            </w:r>
          </w:p>
        </w:tc>
        <w:tc>
          <w:tcPr>
            <w:tcW w:w="993" w:type="dxa"/>
            <w:vMerge w:val="restart"/>
            <w:tcBorders>
              <w:top w:val="single" w:sz="4" w:space="0" w:color="7F7F7F"/>
              <w:left w:val="single" w:sz="4" w:space="0" w:color="7F7F7F"/>
              <w:right w:val="single" w:sz="4" w:space="0" w:color="7F7F7F"/>
            </w:tcBorders>
            <w:shd w:val="clear" w:color="auto" w:fill="FFFFFF"/>
            <w:tcMar>
              <w:top w:w="15" w:type="dxa"/>
              <w:left w:w="108" w:type="dxa"/>
              <w:bottom w:w="0" w:type="dxa"/>
              <w:right w:w="108" w:type="dxa"/>
            </w:tcMar>
            <w:vAlign w:val="center"/>
          </w:tcPr>
          <w:p w14:paraId="78A714FC" w14:textId="77777777" w:rsidR="00546202" w:rsidRPr="00195346" w:rsidRDefault="00546202" w:rsidP="000803FC">
            <w:pPr>
              <w:jc w:val="center"/>
              <w:rPr>
                <w:rFonts w:cs="Times New Roman"/>
                <w:b/>
                <w:bCs/>
                <w:sz w:val="20"/>
                <w:szCs w:val="20"/>
              </w:rPr>
            </w:pPr>
            <w:r w:rsidRPr="00195346">
              <w:rPr>
                <w:rFonts w:cs="Times New Roman"/>
                <w:b/>
                <w:bCs/>
                <w:color w:val="0070C0"/>
                <w:sz w:val="20"/>
                <w:szCs w:val="20"/>
              </w:rPr>
              <w:t>20%</w:t>
            </w:r>
          </w:p>
        </w:tc>
        <w:tc>
          <w:tcPr>
            <w:tcW w:w="708" w:type="dxa"/>
            <w:vMerge w:val="restart"/>
            <w:tcBorders>
              <w:top w:val="single" w:sz="4" w:space="0" w:color="7F7F7F"/>
              <w:left w:val="single" w:sz="4" w:space="0" w:color="7F7F7F"/>
              <w:right w:val="single" w:sz="4" w:space="0" w:color="7F7F7F"/>
            </w:tcBorders>
            <w:shd w:val="clear" w:color="auto" w:fill="FFFFFF"/>
            <w:tcMar>
              <w:top w:w="15" w:type="dxa"/>
              <w:left w:w="108" w:type="dxa"/>
              <w:bottom w:w="0" w:type="dxa"/>
              <w:right w:w="108" w:type="dxa"/>
            </w:tcMar>
            <w:vAlign w:val="center"/>
          </w:tcPr>
          <w:p w14:paraId="3CDCF5C4" w14:textId="77777777" w:rsidR="00546202" w:rsidRPr="00195346" w:rsidRDefault="00546202" w:rsidP="000803FC">
            <w:pPr>
              <w:jc w:val="center"/>
              <w:rPr>
                <w:rFonts w:cs="Times New Roman"/>
                <w:b/>
                <w:bCs/>
                <w:color w:val="0070C0"/>
                <w:sz w:val="20"/>
                <w:szCs w:val="20"/>
              </w:rPr>
            </w:pPr>
            <w:r w:rsidRPr="00195346">
              <w:rPr>
                <w:rFonts w:cs="Times New Roman"/>
                <w:b/>
                <w:bCs/>
                <w:color w:val="0070C0"/>
                <w:sz w:val="20"/>
                <w:szCs w:val="20"/>
              </w:rPr>
              <w:t>22%</w:t>
            </w:r>
            <w:r w:rsidRPr="00195346">
              <w:rPr>
                <w:rFonts w:cs="Times New Roman"/>
                <w:sz w:val="20"/>
                <w:szCs w:val="20"/>
                <w:vertAlign w:val="superscript"/>
              </w:rPr>
              <w:t>5</w:t>
            </w:r>
          </w:p>
        </w:tc>
      </w:tr>
      <w:tr w:rsidR="00546202" w:rsidRPr="00366146" w14:paraId="51396B66" w14:textId="77777777" w:rsidTr="000803FC">
        <w:trPr>
          <w:trHeight w:val="227"/>
        </w:trPr>
        <w:tc>
          <w:tcPr>
            <w:tcW w:w="3681" w:type="dxa"/>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hideMark/>
          </w:tcPr>
          <w:p w14:paraId="7457FCBC" w14:textId="77777777" w:rsidR="00546202" w:rsidRPr="00366146" w:rsidRDefault="00546202" w:rsidP="000803FC">
            <w:pPr>
              <w:jc w:val="both"/>
              <w:rPr>
                <w:rFonts w:cs="Times New Roman"/>
                <w:sz w:val="20"/>
                <w:szCs w:val="20"/>
              </w:rPr>
            </w:pPr>
            <w:r w:rsidRPr="00366146">
              <w:rPr>
                <w:rFonts w:cs="Times New Roman"/>
                <w:sz w:val="20"/>
                <w:szCs w:val="20"/>
              </w:rPr>
              <w:t>2. likme</w:t>
            </w:r>
          </w:p>
        </w:tc>
        <w:tc>
          <w:tcPr>
            <w:tcW w:w="1134" w:type="dxa"/>
            <w:tcBorders>
              <w:top w:val="single" w:sz="4" w:space="0" w:color="7F7F7F"/>
              <w:left w:val="single" w:sz="4" w:space="0" w:color="7F7F7F"/>
              <w:bottom w:val="single" w:sz="4" w:space="0" w:color="7F7F7F"/>
              <w:right w:val="single" w:sz="4" w:space="0" w:color="7F7F7F"/>
            </w:tcBorders>
            <w:shd w:val="clear" w:color="auto" w:fill="FFFFFF" w:themeFill="background1"/>
            <w:vAlign w:val="center"/>
            <w:hideMark/>
          </w:tcPr>
          <w:p w14:paraId="6E879B93" w14:textId="77777777" w:rsidR="00546202" w:rsidRPr="00366146" w:rsidRDefault="00546202" w:rsidP="000803FC">
            <w:pPr>
              <w:jc w:val="center"/>
              <w:rPr>
                <w:rFonts w:cs="Times New Roman"/>
                <w:color w:val="C00000"/>
                <w:sz w:val="16"/>
                <w:szCs w:val="16"/>
              </w:rPr>
            </w:pPr>
            <w:r w:rsidRPr="00366146">
              <w:rPr>
                <w:rFonts w:cs="Times New Roman"/>
                <w:color w:val="C00000"/>
                <w:sz w:val="16"/>
                <w:szCs w:val="16"/>
              </w:rPr>
              <w:t>20</w:t>
            </w:r>
            <w:r w:rsidRPr="007C4E11">
              <w:rPr>
                <w:rFonts w:cs="Times New Roman"/>
                <w:color w:val="C00000"/>
                <w:sz w:val="16"/>
                <w:szCs w:val="16"/>
              </w:rPr>
              <w:t> </w:t>
            </w:r>
            <w:r w:rsidRPr="00366146">
              <w:rPr>
                <w:rFonts w:cs="Times New Roman"/>
                <w:color w:val="C00000"/>
                <w:sz w:val="16"/>
                <w:szCs w:val="16"/>
              </w:rPr>
              <w:t>004</w:t>
            </w:r>
            <w:r w:rsidRPr="007C4E11">
              <w:rPr>
                <w:rFonts w:cs="Times New Roman"/>
                <w:color w:val="C00000"/>
                <w:sz w:val="16"/>
                <w:szCs w:val="16"/>
              </w:rPr>
              <w:t xml:space="preserve"> – </w:t>
            </w:r>
            <w:r w:rsidRPr="00366146">
              <w:rPr>
                <w:rFonts w:cs="Times New Roman"/>
                <w:color w:val="C00000"/>
                <w:sz w:val="16"/>
                <w:szCs w:val="16"/>
              </w:rPr>
              <w:t>78</w:t>
            </w:r>
            <w:r w:rsidRPr="007C4E11">
              <w:rPr>
                <w:rFonts w:cs="Times New Roman"/>
                <w:color w:val="C00000"/>
                <w:sz w:val="16"/>
                <w:szCs w:val="16"/>
              </w:rPr>
              <w:t> </w:t>
            </w:r>
            <w:r w:rsidRPr="00366146">
              <w:rPr>
                <w:rFonts w:cs="Times New Roman"/>
                <w:color w:val="C00000"/>
                <w:sz w:val="16"/>
                <w:szCs w:val="16"/>
              </w:rPr>
              <w:t>100</w:t>
            </w:r>
          </w:p>
        </w:tc>
        <w:tc>
          <w:tcPr>
            <w:tcW w:w="709" w:type="dxa"/>
            <w:tcBorders>
              <w:top w:val="single" w:sz="4" w:space="0" w:color="7F7F7F"/>
              <w:left w:val="single" w:sz="4" w:space="0" w:color="7F7F7F"/>
              <w:bottom w:val="single" w:sz="4" w:space="0" w:color="7F7F7F"/>
              <w:right w:val="single" w:sz="4" w:space="0" w:color="7F7F7F"/>
            </w:tcBorders>
            <w:shd w:val="clear" w:color="auto" w:fill="FFFFFF" w:themeFill="background1"/>
            <w:vAlign w:val="center"/>
            <w:hideMark/>
          </w:tcPr>
          <w:p w14:paraId="63684A2A" w14:textId="77777777" w:rsidR="00546202" w:rsidRPr="00366146" w:rsidRDefault="00546202" w:rsidP="000803FC">
            <w:pPr>
              <w:jc w:val="center"/>
              <w:rPr>
                <w:rFonts w:cs="Times New Roman"/>
                <w:b/>
                <w:bCs/>
                <w:color w:val="C00000"/>
                <w:sz w:val="20"/>
                <w:szCs w:val="20"/>
              </w:rPr>
            </w:pPr>
            <w:r w:rsidRPr="00366146">
              <w:rPr>
                <w:rFonts w:cs="Times New Roman"/>
                <w:b/>
                <w:bCs/>
                <w:color w:val="C00000"/>
                <w:sz w:val="20"/>
                <w:szCs w:val="20"/>
              </w:rPr>
              <w:t>23%</w:t>
            </w:r>
          </w:p>
        </w:tc>
        <w:tc>
          <w:tcPr>
            <w:tcW w:w="1134" w:type="dxa"/>
            <w:vMerge/>
            <w:tcBorders>
              <w:top w:val="single" w:sz="4" w:space="0" w:color="7F7F7F"/>
              <w:left w:val="single" w:sz="4" w:space="0" w:color="7F7F7F"/>
              <w:bottom w:val="single" w:sz="4" w:space="0" w:color="7F7F7F"/>
              <w:right w:val="single" w:sz="4" w:space="0" w:color="7F7F7F"/>
            </w:tcBorders>
            <w:vAlign w:val="center"/>
            <w:hideMark/>
          </w:tcPr>
          <w:p w14:paraId="32F21F86" w14:textId="77777777" w:rsidR="00546202" w:rsidRPr="00366146" w:rsidRDefault="00546202" w:rsidP="000803FC">
            <w:pPr>
              <w:ind w:firstLine="709"/>
              <w:jc w:val="both"/>
              <w:rPr>
                <w:rFonts w:cs="Times New Roman"/>
                <w:sz w:val="20"/>
                <w:szCs w:val="20"/>
              </w:rPr>
            </w:pPr>
          </w:p>
        </w:tc>
        <w:tc>
          <w:tcPr>
            <w:tcW w:w="708" w:type="dxa"/>
            <w:vMerge/>
            <w:tcBorders>
              <w:top w:val="single" w:sz="4" w:space="0" w:color="7F7F7F"/>
              <w:left w:val="single" w:sz="4" w:space="0" w:color="7F7F7F"/>
              <w:bottom w:val="single" w:sz="4" w:space="0" w:color="7F7F7F"/>
              <w:right w:val="single" w:sz="4" w:space="0" w:color="7F7F7F"/>
            </w:tcBorders>
            <w:vAlign w:val="center"/>
            <w:hideMark/>
          </w:tcPr>
          <w:p w14:paraId="0DB03199" w14:textId="77777777" w:rsidR="00546202" w:rsidRPr="00195346" w:rsidRDefault="00546202" w:rsidP="000803FC">
            <w:pPr>
              <w:ind w:firstLine="709"/>
              <w:jc w:val="center"/>
              <w:rPr>
                <w:rFonts w:cs="Times New Roman"/>
                <w:color w:val="00B050"/>
                <w:sz w:val="20"/>
                <w:szCs w:val="20"/>
              </w:rPr>
            </w:pPr>
          </w:p>
        </w:tc>
        <w:tc>
          <w:tcPr>
            <w:tcW w:w="993" w:type="dxa"/>
            <w:vMerge/>
            <w:tcBorders>
              <w:left w:val="single" w:sz="4" w:space="0" w:color="7F7F7F"/>
              <w:right w:val="single" w:sz="4" w:space="0" w:color="7F7F7F"/>
            </w:tcBorders>
            <w:shd w:val="clear" w:color="auto" w:fill="FFFFFF"/>
            <w:tcMar>
              <w:top w:w="15" w:type="dxa"/>
              <w:left w:w="108" w:type="dxa"/>
              <w:bottom w:w="0" w:type="dxa"/>
              <w:right w:w="108" w:type="dxa"/>
            </w:tcMar>
            <w:vAlign w:val="center"/>
          </w:tcPr>
          <w:p w14:paraId="3B6B6CDC" w14:textId="77777777" w:rsidR="00546202" w:rsidRPr="00366146" w:rsidRDefault="00546202" w:rsidP="000803FC">
            <w:pPr>
              <w:jc w:val="both"/>
              <w:rPr>
                <w:rFonts w:cs="Times New Roman"/>
                <w:sz w:val="20"/>
                <w:szCs w:val="20"/>
              </w:rPr>
            </w:pPr>
          </w:p>
        </w:tc>
        <w:tc>
          <w:tcPr>
            <w:tcW w:w="708" w:type="dxa"/>
            <w:vMerge/>
            <w:tcBorders>
              <w:left w:val="single" w:sz="4" w:space="0" w:color="7F7F7F"/>
              <w:right w:val="single" w:sz="4" w:space="0" w:color="7F7F7F"/>
            </w:tcBorders>
            <w:shd w:val="clear" w:color="auto" w:fill="FFFFFF"/>
            <w:tcMar>
              <w:top w:w="15" w:type="dxa"/>
              <w:left w:w="108" w:type="dxa"/>
              <w:bottom w:w="0" w:type="dxa"/>
              <w:right w:w="108" w:type="dxa"/>
            </w:tcMar>
            <w:vAlign w:val="center"/>
          </w:tcPr>
          <w:p w14:paraId="233C0931" w14:textId="77777777" w:rsidR="00546202" w:rsidRPr="00366146" w:rsidRDefault="00546202" w:rsidP="000803FC">
            <w:pPr>
              <w:jc w:val="both"/>
              <w:rPr>
                <w:rFonts w:cs="Times New Roman"/>
                <w:sz w:val="20"/>
                <w:szCs w:val="20"/>
              </w:rPr>
            </w:pPr>
          </w:p>
        </w:tc>
      </w:tr>
      <w:tr w:rsidR="00546202" w:rsidRPr="00366146" w14:paraId="53DE1C0A" w14:textId="77777777" w:rsidTr="000803FC">
        <w:trPr>
          <w:trHeight w:val="227"/>
        </w:trPr>
        <w:tc>
          <w:tcPr>
            <w:tcW w:w="3681" w:type="dxa"/>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hideMark/>
          </w:tcPr>
          <w:p w14:paraId="22DA16A7" w14:textId="77777777" w:rsidR="00546202" w:rsidRPr="00366146" w:rsidRDefault="00546202" w:rsidP="000803FC">
            <w:pPr>
              <w:jc w:val="both"/>
              <w:rPr>
                <w:rFonts w:cs="Times New Roman"/>
                <w:sz w:val="20"/>
                <w:szCs w:val="20"/>
              </w:rPr>
            </w:pPr>
            <w:r w:rsidRPr="00366146">
              <w:rPr>
                <w:rFonts w:cs="Times New Roman"/>
                <w:sz w:val="20"/>
                <w:szCs w:val="20"/>
              </w:rPr>
              <w:t>3. likme</w:t>
            </w:r>
          </w:p>
        </w:tc>
        <w:tc>
          <w:tcPr>
            <w:tcW w:w="1134" w:type="dxa"/>
            <w:tcBorders>
              <w:top w:val="single" w:sz="4" w:space="0" w:color="7F7F7F"/>
              <w:left w:val="single" w:sz="4" w:space="0" w:color="7F7F7F"/>
              <w:bottom w:val="single" w:sz="4" w:space="0" w:color="7F7F7F"/>
              <w:right w:val="single" w:sz="4" w:space="0" w:color="7F7F7F"/>
            </w:tcBorders>
            <w:shd w:val="clear" w:color="auto" w:fill="FFFFFF" w:themeFill="background1"/>
            <w:tcMar>
              <w:top w:w="15" w:type="dxa"/>
              <w:left w:w="108" w:type="dxa"/>
              <w:bottom w:w="0" w:type="dxa"/>
              <w:right w:w="108" w:type="dxa"/>
            </w:tcMar>
            <w:vAlign w:val="center"/>
          </w:tcPr>
          <w:p w14:paraId="23A3BC0B" w14:textId="77777777" w:rsidR="00546202" w:rsidRPr="00366146" w:rsidRDefault="00546202" w:rsidP="000803FC">
            <w:pPr>
              <w:jc w:val="center"/>
              <w:rPr>
                <w:rFonts w:cs="Times New Roman"/>
                <w:color w:val="C00000"/>
                <w:sz w:val="16"/>
                <w:szCs w:val="16"/>
              </w:rPr>
            </w:pPr>
            <w:r w:rsidRPr="00195346">
              <w:rPr>
                <w:rFonts w:cs="Times New Roman"/>
                <w:color w:val="000000" w:themeColor="text1"/>
                <w:sz w:val="16"/>
                <w:szCs w:val="16"/>
              </w:rPr>
              <w:t xml:space="preserve">Virs </w:t>
            </w:r>
            <w:r w:rsidRPr="00366146">
              <w:rPr>
                <w:rFonts w:cs="Times New Roman"/>
                <w:color w:val="C00000"/>
                <w:sz w:val="16"/>
                <w:szCs w:val="16"/>
              </w:rPr>
              <w:t>78</w:t>
            </w:r>
            <w:r w:rsidRPr="007C4E11">
              <w:rPr>
                <w:rFonts w:cs="Times New Roman"/>
                <w:color w:val="C00000"/>
                <w:sz w:val="16"/>
                <w:szCs w:val="16"/>
              </w:rPr>
              <w:t> </w:t>
            </w:r>
            <w:r w:rsidRPr="00366146">
              <w:rPr>
                <w:rFonts w:cs="Times New Roman"/>
                <w:color w:val="C00000"/>
                <w:sz w:val="16"/>
                <w:szCs w:val="16"/>
              </w:rPr>
              <w:t>100</w:t>
            </w:r>
          </w:p>
        </w:tc>
        <w:tc>
          <w:tcPr>
            <w:tcW w:w="709" w:type="dxa"/>
            <w:tcBorders>
              <w:top w:val="single" w:sz="4" w:space="0" w:color="7F7F7F"/>
              <w:left w:val="single" w:sz="4" w:space="0" w:color="7F7F7F"/>
              <w:bottom w:val="single" w:sz="4" w:space="0" w:color="7F7F7F"/>
              <w:right w:val="single" w:sz="4" w:space="0" w:color="7F7F7F"/>
            </w:tcBorders>
            <w:shd w:val="clear" w:color="auto" w:fill="FFFFFF" w:themeFill="background1"/>
            <w:tcMar>
              <w:top w:w="15" w:type="dxa"/>
              <w:left w:w="108" w:type="dxa"/>
              <w:bottom w:w="0" w:type="dxa"/>
              <w:right w:w="108" w:type="dxa"/>
            </w:tcMar>
            <w:vAlign w:val="center"/>
          </w:tcPr>
          <w:p w14:paraId="5B71AE63" w14:textId="77777777" w:rsidR="00546202" w:rsidRPr="00366146" w:rsidRDefault="00546202" w:rsidP="000803FC">
            <w:pPr>
              <w:jc w:val="center"/>
              <w:rPr>
                <w:rFonts w:cs="Times New Roman"/>
                <w:b/>
                <w:bCs/>
                <w:color w:val="C00000"/>
                <w:sz w:val="20"/>
                <w:szCs w:val="20"/>
              </w:rPr>
            </w:pPr>
            <w:r w:rsidRPr="007C4E11">
              <w:rPr>
                <w:rFonts w:cs="Times New Roman"/>
                <w:b/>
                <w:bCs/>
                <w:color w:val="C00000"/>
                <w:sz w:val="20"/>
                <w:szCs w:val="20"/>
              </w:rPr>
              <w:t>31%</w:t>
            </w:r>
          </w:p>
        </w:tc>
        <w:tc>
          <w:tcPr>
            <w:tcW w:w="1134" w:type="dxa"/>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hideMark/>
          </w:tcPr>
          <w:p w14:paraId="333BF53D" w14:textId="77777777" w:rsidR="00546202" w:rsidRPr="00366146" w:rsidRDefault="00546202" w:rsidP="000803FC">
            <w:pPr>
              <w:jc w:val="both"/>
              <w:rPr>
                <w:rFonts w:cs="Times New Roman"/>
                <w:sz w:val="20"/>
                <w:szCs w:val="20"/>
              </w:rPr>
            </w:pPr>
            <w:r w:rsidRPr="00195346">
              <w:rPr>
                <w:rFonts w:cs="Times New Roman"/>
                <w:color w:val="000000" w:themeColor="text1"/>
                <w:sz w:val="16"/>
                <w:szCs w:val="16"/>
              </w:rPr>
              <w:t xml:space="preserve">Virs </w:t>
            </w:r>
            <w:r w:rsidRPr="00195346">
              <w:rPr>
                <w:color w:val="00B050"/>
                <w:sz w:val="16"/>
                <w:szCs w:val="16"/>
              </w:rPr>
              <w:t>114 162</w:t>
            </w:r>
          </w:p>
        </w:tc>
        <w:tc>
          <w:tcPr>
            <w:tcW w:w="708" w:type="dxa"/>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hideMark/>
          </w:tcPr>
          <w:p w14:paraId="1E3C06DE" w14:textId="77777777" w:rsidR="00546202" w:rsidRPr="00195346" w:rsidRDefault="00546202" w:rsidP="000803FC">
            <w:pPr>
              <w:jc w:val="center"/>
              <w:rPr>
                <w:rFonts w:cs="Times New Roman"/>
                <w:color w:val="00B050"/>
                <w:sz w:val="20"/>
                <w:szCs w:val="20"/>
              </w:rPr>
            </w:pPr>
            <w:r>
              <w:rPr>
                <w:rFonts w:cs="Times New Roman"/>
                <w:b/>
                <w:bCs/>
                <w:color w:val="00B050"/>
                <w:sz w:val="20"/>
                <w:szCs w:val="20"/>
              </w:rPr>
              <w:t>3</w:t>
            </w:r>
            <w:r w:rsidRPr="00195346">
              <w:rPr>
                <w:rFonts w:cs="Times New Roman"/>
                <w:b/>
                <w:bCs/>
                <w:color w:val="00B050"/>
                <w:sz w:val="20"/>
                <w:szCs w:val="20"/>
              </w:rPr>
              <w:t>2%</w:t>
            </w:r>
          </w:p>
        </w:tc>
        <w:tc>
          <w:tcPr>
            <w:tcW w:w="993" w:type="dxa"/>
            <w:vMerge/>
            <w:tcBorders>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tcPr>
          <w:p w14:paraId="7FE04717" w14:textId="77777777" w:rsidR="00546202" w:rsidRPr="00366146" w:rsidRDefault="00546202" w:rsidP="000803FC">
            <w:pPr>
              <w:jc w:val="both"/>
              <w:rPr>
                <w:rFonts w:cs="Times New Roman"/>
                <w:sz w:val="20"/>
                <w:szCs w:val="20"/>
              </w:rPr>
            </w:pPr>
          </w:p>
        </w:tc>
        <w:tc>
          <w:tcPr>
            <w:tcW w:w="708" w:type="dxa"/>
            <w:vMerge/>
            <w:tcBorders>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tcPr>
          <w:p w14:paraId="5A143264" w14:textId="77777777" w:rsidR="00546202" w:rsidRPr="00366146" w:rsidRDefault="00546202" w:rsidP="000803FC">
            <w:pPr>
              <w:jc w:val="both"/>
              <w:rPr>
                <w:rFonts w:cs="Times New Roman"/>
                <w:sz w:val="20"/>
                <w:szCs w:val="20"/>
              </w:rPr>
            </w:pPr>
          </w:p>
        </w:tc>
      </w:tr>
      <w:tr w:rsidR="00546202" w:rsidRPr="00366146" w14:paraId="712235E6" w14:textId="77777777" w:rsidTr="000803FC">
        <w:trPr>
          <w:trHeight w:val="50"/>
        </w:trPr>
        <w:tc>
          <w:tcPr>
            <w:tcW w:w="3681" w:type="dxa"/>
            <w:tcBorders>
              <w:top w:val="single" w:sz="4" w:space="0" w:color="7F7F7F"/>
              <w:left w:val="single" w:sz="4" w:space="0" w:color="7F7F7F"/>
              <w:bottom w:val="single" w:sz="4" w:space="0" w:color="7F7F7F"/>
              <w:right w:val="single" w:sz="4" w:space="0" w:color="7F7F7F"/>
            </w:tcBorders>
            <w:shd w:val="clear" w:color="auto" w:fill="FFFFCC"/>
            <w:tcMar>
              <w:top w:w="15" w:type="dxa"/>
              <w:left w:w="108" w:type="dxa"/>
              <w:bottom w:w="0" w:type="dxa"/>
              <w:right w:w="108" w:type="dxa"/>
            </w:tcMar>
            <w:vAlign w:val="center"/>
            <w:hideMark/>
          </w:tcPr>
          <w:p w14:paraId="0AE69330" w14:textId="77777777" w:rsidR="00546202" w:rsidRPr="00366146" w:rsidRDefault="00546202" w:rsidP="000803FC">
            <w:pPr>
              <w:jc w:val="both"/>
              <w:rPr>
                <w:rFonts w:cs="Times New Roman"/>
                <w:sz w:val="20"/>
                <w:szCs w:val="20"/>
              </w:rPr>
            </w:pPr>
            <w:r w:rsidRPr="00366146">
              <w:rPr>
                <w:rFonts w:cs="Times New Roman"/>
                <w:b/>
                <w:bCs/>
                <w:sz w:val="20"/>
                <w:szCs w:val="20"/>
              </w:rPr>
              <w:t xml:space="preserve">Neapliekamais minimums (NM), </w:t>
            </w:r>
            <w:r w:rsidRPr="00366146">
              <w:rPr>
                <w:rFonts w:cs="Times New Roman"/>
                <w:i/>
                <w:iCs/>
                <w:sz w:val="20"/>
                <w:szCs w:val="20"/>
              </w:rPr>
              <w:t>euro mēnesī</w:t>
            </w:r>
          </w:p>
        </w:tc>
        <w:tc>
          <w:tcPr>
            <w:tcW w:w="1843" w:type="dxa"/>
            <w:gridSpan w:val="2"/>
            <w:tcBorders>
              <w:top w:val="single" w:sz="4" w:space="0" w:color="7F7F7F"/>
              <w:left w:val="single" w:sz="4" w:space="0" w:color="7F7F7F"/>
              <w:bottom w:val="single" w:sz="4" w:space="0" w:color="7F7F7F"/>
              <w:right w:val="single" w:sz="4" w:space="0" w:color="7F7F7F"/>
            </w:tcBorders>
            <w:shd w:val="clear" w:color="auto" w:fill="FFFFCC"/>
            <w:tcMar>
              <w:top w:w="15" w:type="dxa"/>
              <w:left w:w="108" w:type="dxa"/>
              <w:bottom w:w="0" w:type="dxa"/>
              <w:right w:w="108" w:type="dxa"/>
            </w:tcMar>
            <w:vAlign w:val="center"/>
            <w:hideMark/>
          </w:tcPr>
          <w:p w14:paraId="4AA94CF6" w14:textId="77777777" w:rsidR="00546202" w:rsidRPr="006477FD" w:rsidRDefault="00546202" w:rsidP="000803FC">
            <w:pPr>
              <w:jc w:val="center"/>
              <w:rPr>
                <w:rFonts w:cs="Times New Roman"/>
                <w:color w:val="C00000"/>
                <w:sz w:val="20"/>
                <w:szCs w:val="20"/>
              </w:rPr>
            </w:pPr>
            <w:r w:rsidRPr="006477FD">
              <w:rPr>
                <w:rFonts w:cs="Times New Roman"/>
                <w:b/>
                <w:bCs/>
                <w:color w:val="C00000"/>
                <w:sz w:val="20"/>
                <w:szCs w:val="20"/>
              </w:rPr>
              <w:t>500</w:t>
            </w:r>
          </w:p>
        </w:tc>
        <w:tc>
          <w:tcPr>
            <w:tcW w:w="1842" w:type="dxa"/>
            <w:gridSpan w:val="2"/>
            <w:tcBorders>
              <w:top w:val="single" w:sz="4" w:space="0" w:color="7F7F7F"/>
              <w:left w:val="single" w:sz="4" w:space="0" w:color="7F7F7F"/>
              <w:bottom w:val="single" w:sz="4" w:space="0" w:color="7F7F7F"/>
              <w:right w:val="single" w:sz="4" w:space="0" w:color="7F7F7F"/>
            </w:tcBorders>
            <w:shd w:val="clear" w:color="auto" w:fill="FFFFCC"/>
            <w:tcMar>
              <w:top w:w="15" w:type="dxa"/>
              <w:left w:w="108" w:type="dxa"/>
              <w:bottom w:w="0" w:type="dxa"/>
              <w:right w:w="108" w:type="dxa"/>
            </w:tcMar>
            <w:vAlign w:val="center"/>
            <w:hideMark/>
          </w:tcPr>
          <w:p w14:paraId="5BFA5FDE" w14:textId="77777777" w:rsidR="00546202" w:rsidRPr="00195346" w:rsidRDefault="00546202" w:rsidP="000803FC">
            <w:pPr>
              <w:jc w:val="center"/>
              <w:rPr>
                <w:rFonts w:cs="Times New Roman"/>
                <w:color w:val="00B050"/>
                <w:sz w:val="20"/>
                <w:szCs w:val="20"/>
              </w:rPr>
            </w:pPr>
            <w:r w:rsidRPr="005142A2">
              <w:rPr>
                <w:rFonts w:cstheme="minorHAnsi"/>
                <w:b/>
                <w:color w:val="00B050"/>
                <w:sz w:val="20"/>
                <w:szCs w:val="20"/>
              </w:rPr>
              <w:t>747</w:t>
            </w:r>
            <w:r w:rsidRPr="00193AB6">
              <w:rPr>
                <w:rFonts w:cstheme="minorHAnsi"/>
                <w:bCs/>
                <w:sz w:val="20"/>
                <w:szCs w:val="20"/>
                <w:vertAlign w:val="superscript"/>
              </w:rPr>
              <w:t>6</w:t>
            </w:r>
          </w:p>
        </w:tc>
        <w:tc>
          <w:tcPr>
            <w:tcW w:w="993" w:type="dxa"/>
            <w:tcBorders>
              <w:top w:val="single" w:sz="4" w:space="0" w:color="7F7F7F"/>
              <w:left w:val="single" w:sz="4" w:space="0" w:color="7F7F7F"/>
              <w:bottom w:val="single" w:sz="4" w:space="0" w:color="7F7F7F"/>
              <w:right w:val="single" w:sz="4" w:space="0" w:color="7F7F7F"/>
            </w:tcBorders>
            <w:shd w:val="clear" w:color="auto" w:fill="FFFFCC"/>
            <w:tcMar>
              <w:top w:w="15" w:type="dxa"/>
              <w:left w:w="108" w:type="dxa"/>
              <w:bottom w:w="0" w:type="dxa"/>
              <w:right w:w="108" w:type="dxa"/>
            </w:tcMar>
            <w:vAlign w:val="center"/>
            <w:hideMark/>
          </w:tcPr>
          <w:p w14:paraId="2F3CB412" w14:textId="77777777" w:rsidR="00546202" w:rsidRPr="00366146" w:rsidRDefault="00546202" w:rsidP="000803FC">
            <w:pPr>
              <w:jc w:val="center"/>
              <w:rPr>
                <w:rFonts w:cs="Times New Roman"/>
                <w:sz w:val="20"/>
                <w:szCs w:val="20"/>
              </w:rPr>
            </w:pPr>
            <w:r w:rsidRPr="005142A2">
              <w:rPr>
                <w:rFonts w:cstheme="minorHAnsi"/>
                <w:b/>
                <w:color w:val="0070C0"/>
                <w:sz w:val="20"/>
                <w:szCs w:val="20"/>
              </w:rPr>
              <w:t>654</w:t>
            </w:r>
          </w:p>
        </w:tc>
        <w:tc>
          <w:tcPr>
            <w:tcW w:w="708" w:type="dxa"/>
            <w:tcBorders>
              <w:top w:val="single" w:sz="4" w:space="0" w:color="7F7F7F"/>
              <w:left w:val="single" w:sz="4" w:space="0" w:color="7F7F7F"/>
              <w:bottom w:val="single" w:sz="4" w:space="0" w:color="7F7F7F"/>
              <w:right w:val="single" w:sz="4" w:space="0" w:color="7F7F7F"/>
            </w:tcBorders>
            <w:shd w:val="clear" w:color="auto" w:fill="FFFFCC"/>
            <w:tcMar>
              <w:top w:w="15" w:type="dxa"/>
              <w:left w:w="108" w:type="dxa"/>
              <w:bottom w:w="0" w:type="dxa"/>
              <w:right w:w="108" w:type="dxa"/>
            </w:tcMar>
            <w:vAlign w:val="center"/>
            <w:hideMark/>
          </w:tcPr>
          <w:p w14:paraId="46D4EA02" w14:textId="77777777" w:rsidR="00546202" w:rsidRPr="00366146" w:rsidRDefault="00546202" w:rsidP="000803FC">
            <w:pPr>
              <w:jc w:val="center"/>
              <w:rPr>
                <w:rFonts w:cs="Times New Roman"/>
                <w:sz w:val="20"/>
                <w:szCs w:val="20"/>
              </w:rPr>
            </w:pPr>
          </w:p>
        </w:tc>
      </w:tr>
      <w:tr w:rsidR="00546202" w:rsidRPr="00366146" w14:paraId="2CE169E7" w14:textId="77777777" w:rsidTr="000803FC">
        <w:trPr>
          <w:trHeight w:val="50"/>
        </w:trPr>
        <w:tc>
          <w:tcPr>
            <w:tcW w:w="3681" w:type="dxa"/>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hideMark/>
          </w:tcPr>
          <w:p w14:paraId="487ABD54" w14:textId="77777777" w:rsidR="00546202" w:rsidRPr="006477FD" w:rsidRDefault="00546202" w:rsidP="000803FC">
            <w:pPr>
              <w:jc w:val="both"/>
              <w:rPr>
                <w:rFonts w:cs="Times New Roman"/>
                <w:sz w:val="20"/>
                <w:szCs w:val="20"/>
              </w:rPr>
            </w:pPr>
            <w:r w:rsidRPr="006477FD">
              <w:rPr>
                <w:rFonts w:cs="Times New Roman"/>
                <w:sz w:val="20"/>
                <w:szCs w:val="20"/>
              </w:rPr>
              <w:t xml:space="preserve">Ienākums, līdz kuram piemēro maksimālo NM, </w:t>
            </w:r>
            <w:r w:rsidRPr="006477FD">
              <w:rPr>
                <w:rFonts w:cs="Times New Roman"/>
                <w:i/>
                <w:iCs/>
                <w:sz w:val="20"/>
                <w:szCs w:val="20"/>
              </w:rPr>
              <w:t>euro mēnesī</w:t>
            </w:r>
          </w:p>
        </w:tc>
        <w:tc>
          <w:tcPr>
            <w:tcW w:w="1843" w:type="dxa"/>
            <w:gridSpan w:val="2"/>
            <w:tcBorders>
              <w:top w:val="single" w:sz="4" w:space="0" w:color="7F7F7F"/>
              <w:left w:val="single" w:sz="4" w:space="0" w:color="7F7F7F"/>
              <w:bottom w:val="single" w:sz="4" w:space="0" w:color="7F7F7F"/>
              <w:right w:val="single" w:sz="4" w:space="0" w:color="7F7F7F"/>
            </w:tcBorders>
            <w:shd w:val="clear" w:color="auto" w:fill="FFFFFF" w:themeFill="background1"/>
            <w:tcMar>
              <w:top w:w="15" w:type="dxa"/>
              <w:left w:w="108" w:type="dxa"/>
              <w:bottom w:w="0" w:type="dxa"/>
              <w:right w:w="108" w:type="dxa"/>
            </w:tcMar>
            <w:vAlign w:val="center"/>
            <w:hideMark/>
          </w:tcPr>
          <w:p w14:paraId="27BE1443" w14:textId="77777777" w:rsidR="00546202" w:rsidRPr="006477FD" w:rsidRDefault="00546202" w:rsidP="000803FC">
            <w:pPr>
              <w:jc w:val="center"/>
              <w:rPr>
                <w:rFonts w:cs="Times New Roman"/>
                <w:color w:val="C00000"/>
                <w:sz w:val="20"/>
                <w:szCs w:val="20"/>
              </w:rPr>
            </w:pPr>
            <w:r w:rsidRPr="006477FD">
              <w:rPr>
                <w:rFonts w:cs="Times New Roman"/>
                <w:color w:val="C00000"/>
                <w:sz w:val="20"/>
                <w:szCs w:val="20"/>
              </w:rPr>
              <w:t>500</w:t>
            </w:r>
          </w:p>
        </w:tc>
        <w:tc>
          <w:tcPr>
            <w:tcW w:w="1842" w:type="dxa"/>
            <w:gridSpan w:val="2"/>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hideMark/>
          </w:tcPr>
          <w:p w14:paraId="421C1286" w14:textId="77777777" w:rsidR="00546202" w:rsidRPr="00195346" w:rsidRDefault="00546202" w:rsidP="000803FC">
            <w:pPr>
              <w:jc w:val="center"/>
              <w:rPr>
                <w:rFonts w:cs="Times New Roman"/>
                <w:color w:val="00B050"/>
                <w:sz w:val="20"/>
                <w:szCs w:val="20"/>
              </w:rPr>
            </w:pPr>
            <w:r w:rsidRPr="005142A2">
              <w:rPr>
                <w:rFonts w:cstheme="minorHAnsi"/>
                <w:color w:val="00B050"/>
                <w:sz w:val="20"/>
                <w:szCs w:val="20"/>
              </w:rPr>
              <w:t>924</w:t>
            </w:r>
          </w:p>
        </w:tc>
        <w:tc>
          <w:tcPr>
            <w:tcW w:w="993" w:type="dxa"/>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hideMark/>
          </w:tcPr>
          <w:p w14:paraId="49FF83C2" w14:textId="77777777" w:rsidR="00546202" w:rsidRPr="00366146" w:rsidRDefault="00546202" w:rsidP="000803FC">
            <w:pPr>
              <w:jc w:val="center"/>
              <w:rPr>
                <w:rFonts w:cs="Times New Roman"/>
                <w:sz w:val="20"/>
                <w:szCs w:val="20"/>
              </w:rPr>
            </w:pPr>
            <w:r w:rsidRPr="005142A2">
              <w:rPr>
                <w:rFonts w:cstheme="minorHAnsi"/>
                <w:color w:val="0070C0"/>
                <w:sz w:val="20"/>
                <w:szCs w:val="20"/>
              </w:rPr>
              <w:t>1 200</w:t>
            </w:r>
          </w:p>
        </w:tc>
        <w:tc>
          <w:tcPr>
            <w:tcW w:w="708" w:type="dxa"/>
            <w:vMerge w:val="restart"/>
            <w:tcBorders>
              <w:top w:val="single" w:sz="4" w:space="0" w:color="7F7F7F"/>
              <w:left w:val="single" w:sz="4" w:space="0" w:color="7F7F7F"/>
              <w:right w:val="single" w:sz="4" w:space="0" w:color="7F7F7F"/>
            </w:tcBorders>
            <w:shd w:val="clear" w:color="auto" w:fill="FFFFFF"/>
            <w:tcMar>
              <w:top w:w="15" w:type="dxa"/>
              <w:left w:w="108" w:type="dxa"/>
              <w:bottom w:w="0" w:type="dxa"/>
              <w:right w:w="108" w:type="dxa"/>
            </w:tcMar>
            <w:vAlign w:val="center"/>
            <w:hideMark/>
          </w:tcPr>
          <w:p w14:paraId="6A6E8496" w14:textId="77777777" w:rsidR="00546202" w:rsidRPr="00366146" w:rsidRDefault="00546202" w:rsidP="000803FC">
            <w:pPr>
              <w:jc w:val="center"/>
              <w:rPr>
                <w:rFonts w:cs="Times New Roman"/>
                <w:sz w:val="20"/>
                <w:szCs w:val="20"/>
              </w:rPr>
            </w:pPr>
            <w:r>
              <w:rPr>
                <w:rFonts w:cstheme="minorHAnsi"/>
                <w:b/>
                <w:color w:val="0070C0"/>
                <w:sz w:val="20"/>
                <w:szCs w:val="20"/>
              </w:rPr>
              <w:t>700</w:t>
            </w:r>
            <w:r w:rsidRPr="00193AB6">
              <w:rPr>
                <w:rFonts w:cstheme="minorHAnsi"/>
                <w:bCs/>
                <w:sz w:val="20"/>
                <w:szCs w:val="20"/>
                <w:vertAlign w:val="superscript"/>
              </w:rPr>
              <w:t>7</w:t>
            </w:r>
          </w:p>
        </w:tc>
      </w:tr>
      <w:tr w:rsidR="00546202" w:rsidRPr="00366146" w14:paraId="4ECAA9E4" w14:textId="77777777" w:rsidTr="000803FC">
        <w:trPr>
          <w:trHeight w:val="67"/>
        </w:trPr>
        <w:tc>
          <w:tcPr>
            <w:tcW w:w="3681" w:type="dxa"/>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hideMark/>
          </w:tcPr>
          <w:p w14:paraId="5EA87C9C" w14:textId="77777777" w:rsidR="00546202" w:rsidRPr="006477FD" w:rsidRDefault="00546202" w:rsidP="000803FC">
            <w:pPr>
              <w:jc w:val="both"/>
              <w:rPr>
                <w:rFonts w:cs="Times New Roman"/>
                <w:sz w:val="20"/>
                <w:szCs w:val="20"/>
              </w:rPr>
            </w:pPr>
            <w:r w:rsidRPr="006477FD">
              <w:rPr>
                <w:rFonts w:cs="Times New Roman"/>
                <w:sz w:val="20"/>
                <w:szCs w:val="20"/>
              </w:rPr>
              <w:t xml:space="preserve">Ienākums, virs kura nepiemēro NM, </w:t>
            </w:r>
            <w:r w:rsidRPr="006477FD">
              <w:rPr>
                <w:rFonts w:cs="Times New Roman"/>
                <w:i/>
                <w:iCs/>
                <w:sz w:val="20"/>
                <w:szCs w:val="20"/>
              </w:rPr>
              <w:t>euro mēnesī</w:t>
            </w:r>
          </w:p>
        </w:tc>
        <w:tc>
          <w:tcPr>
            <w:tcW w:w="1843" w:type="dxa"/>
            <w:gridSpan w:val="2"/>
            <w:tcBorders>
              <w:top w:val="single" w:sz="4" w:space="0" w:color="7F7F7F"/>
              <w:left w:val="single" w:sz="4" w:space="0" w:color="7F7F7F"/>
              <w:bottom w:val="single" w:sz="4" w:space="0" w:color="7F7F7F"/>
              <w:right w:val="single" w:sz="4" w:space="0" w:color="7F7F7F"/>
            </w:tcBorders>
            <w:shd w:val="clear" w:color="auto" w:fill="FFFFFF" w:themeFill="background1"/>
            <w:tcMar>
              <w:top w:w="15" w:type="dxa"/>
              <w:left w:w="108" w:type="dxa"/>
              <w:bottom w:w="0" w:type="dxa"/>
              <w:right w:w="108" w:type="dxa"/>
            </w:tcMar>
            <w:vAlign w:val="center"/>
            <w:hideMark/>
          </w:tcPr>
          <w:p w14:paraId="00C167A2" w14:textId="77777777" w:rsidR="00546202" w:rsidRPr="006477FD" w:rsidRDefault="00546202" w:rsidP="000803FC">
            <w:pPr>
              <w:jc w:val="center"/>
              <w:rPr>
                <w:rFonts w:cs="Times New Roman"/>
                <w:color w:val="C00000"/>
                <w:sz w:val="20"/>
                <w:szCs w:val="20"/>
              </w:rPr>
            </w:pPr>
            <w:r w:rsidRPr="006477FD">
              <w:rPr>
                <w:rFonts w:cs="Times New Roman"/>
                <w:color w:val="C00000"/>
                <w:sz w:val="20"/>
                <w:szCs w:val="20"/>
              </w:rPr>
              <w:t>1 800</w:t>
            </w:r>
          </w:p>
        </w:tc>
        <w:tc>
          <w:tcPr>
            <w:tcW w:w="1842" w:type="dxa"/>
            <w:gridSpan w:val="2"/>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hideMark/>
          </w:tcPr>
          <w:p w14:paraId="16B1681A" w14:textId="77777777" w:rsidR="00546202" w:rsidRPr="00195346" w:rsidRDefault="00546202" w:rsidP="000803FC">
            <w:pPr>
              <w:jc w:val="center"/>
              <w:rPr>
                <w:rFonts w:cs="Times New Roman"/>
                <w:color w:val="00B050"/>
                <w:sz w:val="20"/>
                <w:szCs w:val="20"/>
              </w:rPr>
            </w:pPr>
            <w:r w:rsidRPr="005142A2">
              <w:rPr>
                <w:rFonts w:cstheme="minorHAnsi"/>
                <w:color w:val="00B050"/>
                <w:sz w:val="20"/>
                <w:szCs w:val="20"/>
              </w:rPr>
              <w:t>2 864</w:t>
            </w:r>
          </w:p>
        </w:tc>
        <w:tc>
          <w:tcPr>
            <w:tcW w:w="993" w:type="dxa"/>
            <w:tcBorders>
              <w:top w:val="single" w:sz="4" w:space="0" w:color="7F7F7F"/>
              <w:left w:val="single" w:sz="4" w:space="0" w:color="7F7F7F"/>
              <w:bottom w:val="single" w:sz="4" w:space="0" w:color="7F7F7F"/>
              <w:right w:val="single" w:sz="4" w:space="0" w:color="7F7F7F"/>
            </w:tcBorders>
            <w:shd w:val="clear" w:color="auto" w:fill="FFFFFF"/>
            <w:vAlign w:val="center"/>
            <w:hideMark/>
          </w:tcPr>
          <w:p w14:paraId="2EF37468" w14:textId="77777777" w:rsidR="00546202" w:rsidRPr="00366146" w:rsidRDefault="00546202" w:rsidP="000803FC">
            <w:pPr>
              <w:jc w:val="center"/>
              <w:rPr>
                <w:rFonts w:cs="Times New Roman"/>
                <w:sz w:val="20"/>
                <w:szCs w:val="20"/>
              </w:rPr>
            </w:pPr>
            <w:r w:rsidRPr="005142A2">
              <w:rPr>
                <w:rFonts w:cstheme="minorHAnsi"/>
                <w:color w:val="0070C0"/>
                <w:sz w:val="20"/>
                <w:szCs w:val="20"/>
              </w:rPr>
              <w:t>2 100</w:t>
            </w:r>
          </w:p>
        </w:tc>
        <w:tc>
          <w:tcPr>
            <w:tcW w:w="708" w:type="dxa"/>
            <w:vMerge/>
            <w:tcBorders>
              <w:left w:val="single" w:sz="4" w:space="0" w:color="7F7F7F"/>
              <w:bottom w:val="single" w:sz="4" w:space="0" w:color="7F7F7F"/>
              <w:right w:val="single" w:sz="4" w:space="0" w:color="7F7F7F"/>
            </w:tcBorders>
            <w:shd w:val="clear" w:color="auto" w:fill="FFFFFF"/>
            <w:vAlign w:val="center"/>
            <w:hideMark/>
          </w:tcPr>
          <w:p w14:paraId="4CC57948" w14:textId="77777777" w:rsidR="00546202" w:rsidRPr="00366146" w:rsidRDefault="00546202" w:rsidP="000803FC">
            <w:pPr>
              <w:ind w:firstLine="709"/>
              <w:jc w:val="both"/>
              <w:rPr>
                <w:rFonts w:cs="Times New Roman"/>
                <w:sz w:val="20"/>
                <w:szCs w:val="20"/>
              </w:rPr>
            </w:pPr>
          </w:p>
        </w:tc>
      </w:tr>
      <w:tr w:rsidR="00546202" w:rsidRPr="00366146" w14:paraId="1CFD382B" w14:textId="77777777" w:rsidTr="000803FC">
        <w:trPr>
          <w:trHeight w:val="159"/>
        </w:trPr>
        <w:tc>
          <w:tcPr>
            <w:tcW w:w="3681" w:type="dxa"/>
            <w:tcBorders>
              <w:top w:val="single" w:sz="4" w:space="0" w:color="7F7F7F"/>
              <w:left w:val="single" w:sz="4" w:space="0" w:color="7F7F7F"/>
              <w:bottom w:val="single" w:sz="4" w:space="0" w:color="7F7F7F"/>
              <w:right w:val="single" w:sz="4" w:space="0" w:color="7F7F7F"/>
            </w:tcBorders>
            <w:shd w:val="clear" w:color="auto" w:fill="FFFFCC"/>
            <w:tcMar>
              <w:top w:w="15" w:type="dxa"/>
              <w:left w:w="108" w:type="dxa"/>
              <w:bottom w:w="0" w:type="dxa"/>
              <w:right w:w="108" w:type="dxa"/>
            </w:tcMar>
            <w:vAlign w:val="center"/>
            <w:hideMark/>
          </w:tcPr>
          <w:p w14:paraId="4FE4732F" w14:textId="51813ABC" w:rsidR="00546202" w:rsidRPr="00366146" w:rsidRDefault="00546202" w:rsidP="000803FC">
            <w:pPr>
              <w:rPr>
                <w:rFonts w:cs="Times New Roman"/>
                <w:sz w:val="20"/>
                <w:szCs w:val="20"/>
              </w:rPr>
            </w:pPr>
            <w:r w:rsidRPr="00366146">
              <w:rPr>
                <w:rFonts w:cs="Times New Roman"/>
                <w:b/>
                <w:bCs/>
                <w:sz w:val="20"/>
                <w:szCs w:val="20"/>
              </w:rPr>
              <w:t>Pensionār</w:t>
            </w:r>
            <w:r w:rsidR="00CE6055">
              <w:rPr>
                <w:rFonts w:cs="Times New Roman"/>
                <w:b/>
                <w:bCs/>
                <w:sz w:val="20"/>
                <w:szCs w:val="20"/>
              </w:rPr>
              <w:t>a</w:t>
            </w:r>
            <w:r w:rsidRPr="00366146">
              <w:rPr>
                <w:rFonts w:cs="Times New Roman"/>
                <w:b/>
                <w:bCs/>
                <w:sz w:val="20"/>
                <w:szCs w:val="20"/>
              </w:rPr>
              <w:t xml:space="preserve"> NM, </w:t>
            </w:r>
            <w:r w:rsidRPr="00366146">
              <w:rPr>
                <w:rFonts w:cs="Times New Roman"/>
                <w:i/>
                <w:iCs/>
                <w:sz w:val="20"/>
                <w:szCs w:val="20"/>
              </w:rPr>
              <w:t>euro mēnesī</w:t>
            </w:r>
          </w:p>
        </w:tc>
        <w:tc>
          <w:tcPr>
            <w:tcW w:w="1843" w:type="dxa"/>
            <w:gridSpan w:val="2"/>
            <w:tcBorders>
              <w:top w:val="single" w:sz="4" w:space="0" w:color="7F7F7F"/>
              <w:left w:val="single" w:sz="4" w:space="0" w:color="7F7F7F"/>
              <w:bottom w:val="single" w:sz="4" w:space="0" w:color="7F7F7F"/>
              <w:right w:val="single" w:sz="4" w:space="0" w:color="7F7F7F"/>
            </w:tcBorders>
            <w:shd w:val="clear" w:color="auto" w:fill="FFFFCC"/>
            <w:tcMar>
              <w:top w:w="15" w:type="dxa"/>
              <w:left w:w="108" w:type="dxa"/>
              <w:bottom w:w="0" w:type="dxa"/>
              <w:right w:w="108" w:type="dxa"/>
            </w:tcMar>
            <w:vAlign w:val="center"/>
            <w:hideMark/>
          </w:tcPr>
          <w:p w14:paraId="0A23A65F" w14:textId="77777777" w:rsidR="00546202" w:rsidRPr="006477FD" w:rsidRDefault="00546202" w:rsidP="000803FC">
            <w:pPr>
              <w:jc w:val="center"/>
              <w:rPr>
                <w:rFonts w:cs="Times New Roman"/>
                <w:color w:val="C00000"/>
                <w:sz w:val="20"/>
                <w:szCs w:val="20"/>
              </w:rPr>
            </w:pPr>
            <w:r w:rsidRPr="006477FD">
              <w:rPr>
                <w:rFonts w:cs="Times New Roman"/>
                <w:b/>
                <w:bCs/>
                <w:color w:val="C00000"/>
                <w:sz w:val="20"/>
                <w:szCs w:val="20"/>
              </w:rPr>
              <w:t>500</w:t>
            </w:r>
          </w:p>
        </w:tc>
        <w:tc>
          <w:tcPr>
            <w:tcW w:w="1842" w:type="dxa"/>
            <w:gridSpan w:val="2"/>
            <w:tcBorders>
              <w:top w:val="single" w:sz="4" w:space="0" w:color="7F7F7F"/>
              <w:left w:val="single" w:sz="4" w:space="0" w:color="7F7F7F"/>
              <w:bottom w:val="single" w:sz="4" w:space="0" w:color="7F7F7F"/>
              <w:right w:val="single" w:sz="4" w:space="0" w:color="7F7F7F"/>
            </w:tcBorders>
            <w:shd w:val="clear" w:color="auto" w:fill="FFFFCC"/>
            <w:tcMar>
              <w:top w:w="15" w:type="dxa"/>
              <w:left w:w="108" w:type="dxa"/>
              <w:bottom w:w="0" w:type="dxa"/>
              <w:right w:w="108" w:type="dxa"/>
            </w:tcMar>
            <w:vAlign w:val="center"/>
            <w:hideMark/>
          </w:tcPr>
          <w:p w14:paraId="14B24B41" w14:textId="77777777" w:rsidR="00546202" w:rsidRPr="00195346" w:rsidRDefault="00546202" w:rsidP="000803FC">
            <w:pPr>
              <w:jc w:val="center"/>
              <w:rPr>
                <w:rFonts w:cs="Times New Roman"/>
                <w:color w:val="00B050"/>
                <w:sz w:val="20"/>
                <w:szCs w:val="20"/>
              </w:rPr>
            </w:pPr>
            <w:r>
              <w:rPr>
                <w:rFonts w:cs="Times New Roman"/>
                <w:b/>
                <w:bCs/>
                <w:color w:val="00B050"/>
                <w:sz w:val="20"/>
                <w:szCs w:val="20"/>
              </w:rPr>
              <w:t>-</w:t>
            </w:r>
          </w:p>
        </w:tc>
        <w:tc>
          <w:tcPr>
            <w:tcW w:w="1701" w:type="dxa"/>
            <w:gridSpan w:val="2"/>
            <w:tcBorders>
              <w:top w:val="single" w:sz="4" w:space="0" w:color="7F7F7F"/>
              <w:left w:val="single" w:sz="4" w:space="0" w:color="7F7F7F"/>
              <w:bottom w:val="single" w:sz="4" w:space="0" w:color="7F7F7F"/>
              <w:right w:val="single" w:sz="4" w:space="0" w:color="7F7F7F"/>
            </w:tcBorders>
            <w:shd w:val="clear" w:color="auto" w:fill="FFFFCC"/>
            <w:tcMar>
              <w:top w:w="15" w:type="dxa"/>
              <w:left w:w="108" w:type="dxa"/>
              <w:bottom w:w="0" w:type="dxa"/>
              <w:right w:w="108" w:type="dxa"/>
            </w:tcMar>
            <w:vAlign w:val="center"/>
          </w:tcPr>
          <w:p w14:paraId="16FDADB2" w14:textId="77777777" w:rsidR="00546202" w:rsidRPr="00366146" w:rsidRDefault="00546202" w:rsidP="000803FC">
            <w:pPr>
              <w:jc w:val="center"/>
              <w:rPr>
                <w:rFonts w:cs="Times New Roman"/>
                <w:sz w:val="20"/>
                <w:szCs w:val="20"/>
              </w:rPr>
            </w:pPr>
            <w:r w:rsidRPr="005142A2">
              <w:rPr>
                <w:rFonts w:cstheme="minorHAnsi"/>
                <w:b/>
                <w:color w:val="0070C0"/>
                <w:sz w:val="20"/>
                <w:szCs w:val="20"/>
              </w:rPr>
              <w:t>776</w:t>
            </w:r>
          </w:p>
        </w:tc>
      </w:tr>
    </w:tbl>
    <w:p w14:paraId="39608D6F" w14:textId="25243315" w:rsidR="00546202" w:rsidRDefault="00546202" w:rsidP="00546202">
      <w:pPr>
        <w:pStyle w:val="ListParagraph"/>
        <w:tabs>
          <w:tab w:val="left" w:pos="426"/>
        </w:tabs>
        <w:spacing w:before="40"/>
        <w:ind w:left="425" w:hanging="425"/>
        <w:rPr>
          <w:sz w:val="18"/>
          <w:szCs w:val="18"/>
        </w:rPr>
      </w:pPr>
      <w:r w:rsidRPr="00424328">
        <w:rPr>
          <w:rFonts w:eastAsia="Verdana" w:cstheme="minorHAnsi"/>
          <w:kern w:val="24"/>
          <w:sz w:val="18"/>
          <w:szCs w:val="18"/>
          <w:vertAlign w:val="superscript"/>
        </w:rPr>
        <w:t>1</w:t>
      </w:r>
      <w:r w:rsidRPr="00424328">
        <w:rPr>
          <w:sz w:val="18"/>
          <w:szCs w:val="18"/>
        </w:rPr>
        <w:t xml:space="preserve"> </w:t>
      </w:r>
      <w:r w:rsidRPr="00424328">
        <w:rPr>
          <w:sz w:val="18"/>
          <w:szCs w:val="18"/>
        </w:rPr>
        <w:tab/>
      </w:r>
      <w:r w:rsidRPr="00424328">
        <w:rPr>
          <w:b/>
          <w:bCs/>
          <w:sz w:val="18"/>
          <w:szCs w:val="18"/>
        </w:rPr>
        <w:t>VSAOI likmē iekļauta veselības apdrošināšana</w:t>
      </w:r>
      <w:r w:rsidRPr="00424328">
        <w:rPr>
          <w:sz w:val="18"/>
          <w:szCs w:val="18"/>
        </w:rPr>
        <w:t>:</w:t>
      </w:r>
      <w:r w:rsidRPr="00424328">
        <w:rPr>
          <w:b/>
          <w:bCs/>
          <w:sz w:val="18"/>
          <w:szCs w:val="18"/>
        </w:rPr>
        <w:t xml:space="preserve"> </w:t>
      </w:r>
      <w:r w:rsidRPr="00424328">
        <w:rPr>
          <w:b/>
          <w:bCs/>
          <w:color w:val="C00000"/>
          <w:sz w:val="18"/>
          <w:szCs w:val="18"/>
        </w:rPr>
        <w:t xml:space="preserve">Latvijā </w:t>
      </w:r>
      <w:r w:rsidRPr="00424328">
        <w:rPr>
          <w:sz w:val="18"/>
          <w:szCs w:val="18"/>
        </w:rPr>
        <w:t>no 2018.</w:t>
      </w:r>
      <w:r w:rsidR="00BD6BC5">
        <w:rPr>
          <w:sz w:val="18"/>
          <w:szCs w:val="18"/>
        </w:rPr>
        <w:t> </w:t>
      </w:r>
      <w:r w:rsidRPr="00424328">
        <w:rPr>
          <w:sz w:val="18"/>
          <w:szCs w:val="18"/>
        </w:rPr>
        <w:t>gada</w:t>
      </w:r>
      <w:r w:rsidRPr="00424328">
        <w:rPr>
          <w:b/>
          <w:bCs/>
          <w:sz w:val="18"/>
          <w:szCs w:val="18"/>
        </w:rPr>
        <w:t xml:space="preserve"> </w:t>
      </w:r>
      <w:r w:rsidRPr="00424328">
        <w:rPr>
          <w:b/>
          <w:bCs/>
          <w:color w:val="00B050"/>
          <w:sz w:val="18"/>
          <w:szCs w:val="18"/>
        </w:rPr>
        <w:t xml:space="preserve">1% </w:t>
      </w:r>
      <w:r w:rsidRPr="00424328">
        <w:rPr>
          <w:sz w:val="18"/>
          <w:szCs w:val="18"/>
        </w:rPr>
        <w:t xml:space="preserve">(darba devējam </w:t>
      </w:r>
      <w:r w:rsidRPr="00424328">
        <w:rPr>
          <w:color w:val="C00000"/>
          <w:sz w:val="18"/>
          <w:szCs w:val="18"/>
        </w:rPr>
        <w:t xml:space="preserve">0,5% </w:t>
      </w:r>
      <w:r w:rsidRPr="00424328">
        <w:rPr>
          <w:sz w:val="18"/>
          <w:szCs w:val="18"/>
        </w:rPr>
        <w:t xml:space="preserve">un darba ņēmējam </w:t>
      </w:r>
      <w:r w:rsidRPr="00424328">
        <w:rPr>
          <w:color w:val="C00000"/>
          <w:sz w:val="18"/>
          <w:szCs w:val="18"/>
        </w:rPr>
        <w:t>0,5%</w:t>
      </w:r>
      <w:r w:rsidRPr="00424328">
        <w:rPr>
          <w:sz w:val="18"/>
          <w:szCs w:val="18"/>
        </w:rPr>
        <w:t>),</w:t>
      </w:r>
      <w:r w:rsidRPr="00424328">
        <w:rPr>
          <w:b/>
          <w:bCs/>
          <w:sz w:val="18"/>
          <w:szCs w:val="18"/>
        </w:rPr>
        <w:t xml:space="preserve"> </w:t>
      </w:r>
      <w:r w:rsidRPr="00424328">
        <w:rPr>
          <w:b/>
          <w:bCs/>
          <w:color w:val="00B050"/>
          <w:sz w:val="18"/>
          <w:szCs w:val="18"/>
        </w:rPr>
        <w:t xml:space="preserve">Lietuvā 6,98% </w:t>
      </w:r>
      <w:r w:rsidRPr="00424328">
        <w:rPr>
          <w:sz w:val="18"/>
          <w:szCs w:val="18"/>
        </w:rPr>
        <w:t>(darba ņēmēja maksājums), bet</w:t>
      </w:r>
      <w:r w:rsidRPr="00424328">
        <w:rPr>
          <w:b/>
          <w:bCs/>
          <w:sz w:val="18"/>
          <w:szCs w:val="18"/>
        </w:rPr>
        <w:t xml:space="preserve"> </w:t>
      </w:r>
      <w:r w:rsidRPr="00424328">
        <w:rPr>
          <w:b/>
          <w:bCs/>
          <w:color w:val="0070C0"/>
          <w:sz w:val="18"/>
          <w:szCs w:val="18"/>
        </w:rPr>
        <w:t xml:space="preserve">Igaunijā 13% </w:t>
      </w:r>
      <w:r w:rsidRPr="00424328">
        <w:rPr>
          <w:sz w:val="18"/>
          <w:szCs w:val="18"/>
        </w:rPr>
        <w:t>(darba devēja maksājums).</w:t>
      </w:r>
    </w:p>
    <w:p w14:paraId="481E9D90" w14:textId="770730E8" w:rsidR="00546202" w:rsidRPr="00424328" w:rsidRDefault="00546202" w:rsidP="00546202">
      <w:pPr>
        <w:pStyle w:val="ListParagraph"/>
        <w:tabs>
          <w:tab w:val="left" w:pos="426"/>
        </w:tabs>
        <w:spacing w:before="40"/>
        <w:ind w:left="425" w:hanging="425"/>
        <w:rPr>
          <w:sz w:val="18"/>
          <w:szCs w:val="18"/>
        </w:rPr>
      </w:pPr>
      <w:r w:rsidRPr="00424328">
        <w:rPr>
          <w:rFonts w:eastAsia="Verdana" w:cstheme="minorHAnsi"/>
          <w:kern w:val="24"/>
          <w:sz w:val="18"/>
          <w:szCs w:val="18"/>
          <w:vertAlign w:val="superscript"/>
        </w:rPr>
        <w:t>2</w:t>
      </w:r>
      <w:r w:rsidRPr="00424328">
        <w:rPr>
          <w:sz w:val="18"/>
          <w:szCs w:val="18"/>
        </w:rPr>
        <w:t xml:space="preserve"> </w:t>
      </w:r>
      <w:r w:rsidRPr="00424328">
        <w:rPr>
          <w:sz w:val="18"/>
          <w:szCs w:val="18"/>
        </w:rPr>
        <w:tab/>
      </w:r>
      <w:r w:rsidRPr="00424328">
        <w:rPr>
          <w:b/>
          <w:bCs/>
          <w:color w:val="00B050"/>
          <w:sz w:val="18"/>
          <w:szCs w:val="18"/>
        </w:rPr>
        <w:t>Lietuvā</w:t>
      </w:r>
      <w:r w:rsidRPr="00424328">
        <w:rPr>
          <w:color w:val="00B050"/>
          <w:sz w:val="18"/>
          <w:szCs w:val="18"/>
        </w:rPr>
        <w:t xml:space="preserve"> </w:t>
      </w:r>
      <w:r w:rsidRPr="00424328">
        <w:rPr>
          <w:sz w:val="18"/>
          <w:szCs w:val="18"/>
        </w:rPr>
        <w:t xml:space="preserve">VSAOI likmi veido: </w:t>
      </w:r>
      <w:r w:rsidRPr="00424328">
        <w:rPr>
          <w:b/>
          <w:bCs/>
          <w:color w:val="00B050"/>
          <w:sz w:val="18"/>
          <w:szCs w:val="18"/>
        </w:rPr>
        <w:t>20,97%</w:t>
      </w:r>
      <w:r w:rsidRPr="00424328">
        <w:rPr>
          <w:color w:val="00B050"/>
          <w:sz w:val="18"/>
          <w:szCs w:val="18"/>
        </w:rPr>
        <w:t xml:space="preserve"> </w:t>
      </w:r>
      <w:r w:rsidRPr="00424328">
        <w:rPr>
          <w:sz w:val="18"/>
          <w:szCs w:val="18"/>
        </w:rPr>
        <w:t>sociālais nodoklis</w:t>
      </w:r>
      <w:r w:rsidR="000F1C68">
        <w:rPr>
          <w:sz w:val="18"/>
          <w:szCs w:val="18"/>
        </w:rPr>
        <w:t xml:space="preserve">, </w:t>
      </w:r>
      <w:r w:rsidRPr="00424328">
        <w:rPr>
          <w:b/>
          <w:bCs/>
          <w:color w:val="00B050"/>
          <w:sz w:val="18"/>
          <w:szCs w:val="18"/>
        </w:rPr>
        <w:t>0,32%</w:t>
      </w:r>
      <w:r w:rsidRPr="00424328">
        <w:rPr>
          <w:color w:val="00B050"/>
          <w:sz w:val="18"/>
          <w:szCs w:val="18"/>
        </w:rPr>
        <w:t xml:space="preserve"> </w:t>
      </w:r>
      <w:r w:rsidRPr="00424328">
        <w:rPr>
          <w:sz w:val="18"/>
          <w:szCs w:val="18"/>
        </w:rPr>
        <w:t>citi maksājumi</w:t>
      </w:r>
      <w:r w:rsidR="000F1C68">
        <w:rPr>
          <w:sz w:val="18"/>
          <w:szCs w:val="18"/>
        </w:rPr>
        <w:t xml:space="preserve"> </w:t>
      </w:r>
      <w:r w:rsidR="000F1C68" w:rsidRPr="000F1C68">
        <w:rPr>
          <w:b/>
          <w:bCs/>
          <w:color w:val="00B050"/>
          <w:sz w:val="18"/>
          <w:szCs w:val="18"/>
        </w:rPr>
        <w:t>3%</w:t>
      </w:r>
      <w:r w:rsidR="000F1C68">
        <w:rPr>
          <w:sz w:val="18"/>
          <w:szCs w:val="18"/>
        </w:rPr>
        <w:t xml:space="preserve"> iemaksas II pensiju līmenī</w:t>
      </w:r>
      <w:r w:rsidRPr="00424328">
        <w:rPr>
          <w:sz w:val="18"/>
          <w:szCs w:val="18"/>
        </w:rPr>
        <w:t>.</w:t>
      </w:r>
    </w:p>
    <w:p w14:paraId="598F66AB" w14:textId="77777777" w:rsidR="00546202" w:rsidRPr="00424328" w:rsidRDefault="00546202" w:rsidP="00546202">
      <w:pPr>
        <w:pStyle w:val="ListParagraph"/>
        <w:tabs>
          <w:tab w:val="left" w:pos="426"/>
        </w:tabs>
        <w:spacing w:before="40"/>
        <w:ind w:left="425" w:hanging="425"/>
        <w:rPr>
          <w:color w:val="000000" w:themeColor="text1"/>
          <w:sz w:val="18"/>
          <w:szCs w:val="18"/>
        </w:rPr>
      </w:pPr>
      <w:r w:rsidRPr="00424328">
        <w:rPr>
          <w:color w:val="000000" w:themeColor="text1"/>
          <w:sz w:val="18"/>
          <w:szCs w:val="18"/>
          <w:vertAlign w:val="superscript"/>
        </w:rPr>
        <w:t>3</w:t>
      </w:r>
      <w:r w:rsidRPr="00424328">
        <w:rPr>
          <w:color w:val="000000" w:themeColor="text1"/>
          <w:sz w:val="18"/>
          <w:szCs w:val="18"/>
          <w:vertAlign w:val="superscript"/>
        </w:rPr>
        <w:tab/>
      </w:r>
      <w:r w:rsidRPr="00424328">
        <w:rPr>
          <w:b/>
          <w:bCs/>
          <w:color w:val="0070C0"/>
          <w:sz w:val="18"/>
          <w:szCs w:val="18"/>
        </w:rPr>
        <w:t>Igaunijā</w:t>
      </w:r>
      <w:r w:rsidRPr="00424328">
        <w:rPr>
          <w:color w:val="0070C0"/>
          <w:sz w:val="18"/>
          <w:szCs w:val="18"/>
        </w:rPr>
        <w:t xml:space="preserve"> </w:t>
      </w:r>
      <w:r w:rsidRPr="00424328">
        <w:rPr>
          <w:color w:val="000000" w:themeColor="text1"/>
          <w:sz w:val="18"/>
          <w:szCs w:val="18"/>
        </w:rPr>
        <w:t xml:space="preserve">VSAOI likmi veido: </w:t>
      </w:r>
      <w:r w:rsidRPr="00424328">
        <w:rPr>
          <w:b/>
          <w:bCs/>
          <w:color w:val="0070C0"/>
          <w:sz w:val="18"/>
          <w:szCs w:val="18"/>
        </w:rPr>
        <w:t>33%</w:t>
      </w:r>
      <w:r w:rsidRPr="00424328">
        <w:rPr>
          <w:color w:val="000000" w:themeColor="text1"/>
          <w:sz w:val="18"/>
          <w:szCs w:val="18"/>
        </w:rPr>
        <w:t xml:space="preserve"> sociālais nodoklis un </w:t>
      </w:r>
      <w:r w:rsidRPr="00424328">
        <w:rPr>
          <w:b/>
          <w:bCs/>
          <w:color w:val="0070C0"/>
          <w:sz w:val="18"/>
          <w:szCs w:val="18"/>
        </w:rPr>
        <w:t>4,4%</w:t>
      </w:r>
      <w:r w:rsidRPr="00424328">
        <w:rPr>
          <w:color w:val="000000" w:themeColor="text1"/>
          <w:sz w:val="18"/>
          <w:szCs w:val="18"/>
        </w:rPr>
        <w:t xml:space="preserve"> citi maksājumi.</w:t>
      </w:r>
    </w:p>
    <w:p w14:paraId="6D62814A" w14:textId="77777777" w:rsidR="00546202" w:rsidRPr="00424328" w:rsidRDefault="00546202" w:rsidP="00546202">
      <w:pPr>
        <w:pStyle w:val="ListParagraph"/>
        <w:tabs>
          <w:tab w:val="left" w:pos="426"/>
        </w:tabs>
        <w:spacing w:before="40"/>
        <w:ind w:left="425" w:hanging="425"/>
        <w:rPr>
          <w:sz w:val="18"/>
          <w:szCs w:val="18"/>
        </w:rPr>
      </w:pPr>
      <w:r w:rsidRPr="00424328">
        <w:rPr>
          <w:rFonts w:eastAsia="Verdana" w:cstheme="minorHAnsi"/>
          <w:kern w:val="24"/>
          <w:sz w:val="18"/>
          <w:szCs w:val="18"/>
          <w:vertAlign w:val="superscript"/>
        </w:rPr>
        <w:t>4</w:t>
      </w:r>
      <w:r w:rsidRPr="00424328">
        <w:rPr>
          <w:sz w:val="18"/>
          <w:szCs w:val="18"/>
        </w:rPr>
        <w:t xml:space="preserve"> </w:t>
      </w:r>
      <w:r w:rsidRPr="00424328">
        <w:rPr>
          <w:sz w:val="18"/>
          <w:szCs w:val="18"/>
        </w:rPr>
        <w:tab/>
      </w:r>
      <w:r w:rsidRPr="00424328">
        <w:rPr>
          <w:b/>
          <w:bCs/>
          <w:color w:val="00B050"/>
          <w:sz w:val="18"/>
          <w:szCs w:val="18"/>
        </w:rPr>
        <w:t>Lietuvā</w:t>
      </w:r>
      <w:r w:rsidRPr="00424328">
        <w:rPr>
          <w:color w:val="00B050"/>
          <w:sz w:val="18"/>
          <w:szCs w:val="18"/>
        </w:rPr>
        <w:t xml:space="preserve"> </w:t>
      </w:r>
      <w:r w:rsidRPr="00424328">
        <w:rPr>
          <w:sz w:val="18"/>
          <w:szCs w:val="18"/>
        </w:rPr>
        <w:t xml:space="preserve">darba devēja sociālās iemaksas tiek novirzītas: </w:t>
      </w:r>
      <w:r w:rsidRPr="00424328">
        <w:rPr>
          <w:color w:val="00B050"/>
          <w:sz w:val="18"/>
          <w:szCs w:val="18"/>
        </w:rPr>
        <w:t xml:space="preserve">1,31%  </w:t>
      </w:r>
      <w:r w:rsidRPr="00424328">
        <w:rPr>
          <w:sz w:val="18"/>
          <w:szCs w:val="18"/>
        </w:rPr>
        <w:t xml:space="preserve">bezdarba apdrošināšanai, </w:t>
      </w:r>
      <w:r w:rsidRPr="00424328">
        <w:rPr>
          <w:color w:val="00B050"/>
          <w:sz w:val="18"/>
          <w:szCs w:val="18"/>
        </w:rPr>
        <w:t xml:space="preserve">0,16% </w:t>
      </w:r>
      <w:r w:rsidRPr="00424328">
        <w:rPr>
          <w:sz w:val="18"/>
          <w:szCs w:val="18"/>
        </w:rPr>
        <w:t xml:space="preserve">vispārējā gadījumā nelaimes gadījumu darbā un arodslimību apdrošināšanai, bet atkarībā no kategorijām, kurās uzņēmums ir iedalīts atbilstoši darba drošības un veselības aizsardzības rādītājiem, likmes ir robežās no </w:t>
      </w:r>
      <w:r w:rsidRPr="00424328">
        <w:rPr>
          <w:color w:val="00B050"/>
          <w:sz w:val="18"/>
          <w:szCs w:val="18"/>
        </w:rPr>
        <w:t xml:space="preserve">0,14% </w:t>
      </w:r>
      <w:r w:rsidRPr="00424328">
        <w:rPr>
          <w:sz w:val="18"/>
          <w:szCs w:val="18"/>
        </w:rPr>
        <w:t xml:space="preserve">līdz </w:t>
      </w:r>
      <w:r w:rsidRPr="00424328">
        <w:rPr>
          <w:color w:val="00B050"/>
          <w:sz w:val="18"/>
          <w:szCs w:val="18"/>
        </w:rPr>
        <w:t>1,4%</w:t>
      </w:r>
      <w:r w:rsidRPr="00424328">
        <w:rPr>
          <w:sz w:val="18"/>
          <w:szCs w:val="18"/>
        </w:rPr>
        <w:t xml:space="preserve">. Darba devējs papildus maksā </w:t>
      </w:r>
      <w:r w:rsidRPr="00424328">
        <w:rPr>
          <w:color w:val="00B050"/>
          <w:sz w:val="18"/>
          <w:szCs w:val="18"/>
        </w:rPr>
        <w:t xml:space="preserve">0,16% </w:t>
      </w:r>
      <w:r w:rsidRPr="00424328">
        <w:rPr>
          <w:sz w:val="18"/>
          <w:szCs w:val="18"/>
        </w:rPr>
        <w:t xml:space="preserve">iemaksas Garantiju fondā un </w:t>
      </w:r>
      <w:r w:rsidRPr="00424328">
        <w:rPr>
          <w:color w:val="00B050"/>
          <w:sz w:val="18"/>
          <w:szCs w:val="18"/>
        </w:rPr>
        <w:t xml:space="preserve">0,16% </w:t>
      </w:r>
      <w:r w:rsidRPr="00424328">
        <w:rPr>
          <w:sz w:val="18"/>
          <w:szCs w:val="18"/>
        </w:rPr>
        <w:t xml:space="preserve">ilgtermiņa darba pabalstu fondā, kas nav sociālais nodoklis (kopā darba devēja iemaksas vispārējā gadījumā </w:t>
      </w:r>
      <w:r w:rsidRPr="00424328">
        <w:rPr>
          <w:b/>
          <w:bCs/>
          <w:color w:val="00B050"/>
          <w:sz w:val="18"/>
          <w:szCs w:val="18"/>
        </w:rPr>
        <w:t>1,79%</w:t>
      </w:r>
      <w:r w:rsidRPr="00424328">
        <w:rPr>
          <w:sz w:val="18"/>
          <w:szCs w:val="18"/>
        </w:rPr>
        <w:t>).</w:t>
      </w:r>
    </w:p>
    <w:p w14:paraId="7706E58C" w14:textId="05B8FF3B" w:rsidR="00546202" w:rsidRDefault="00546202" w:rsidP="00546202">
      <w:pPr>
        <w:pStyle w:val="ListParagraph"/>
        <w:tabs>
          <w:tab w:val="left" w:pos="426"/>
        </w:tabs>
        <w:spacing w:before="40"/>
        <w:ind w:left="425" w:hanging="425"/>
        <w:rPr>
          <w:color w:val="000000" w:themeColor="text1"/>
          <w:sz w:val="18"/>
          <w:szCs w:val="18"/>
        </w:rPr>
      </w:pPr>
      <w:r w:rsidRPr="00424328">
        <w:rPr>
          <w:rFonts w:cstheme="minorHAnsi"/>
          <w:bCs/>
          <w:sz w:val="18"/>
          <w:szCs w:val="18"/>
          <w:vertAlign w:val="superscript"/>
        </w:rPr>
        <w:t>5</w:t>
      </w:r>
      <w:r w:rsidRPr="00424328">
        <w:rPr>
          <w:rFonts w:cstheme="minorHAnsi"/>
          <w:b/>
          <w:sz w:val="18"/>
          <w:szCs w:val="18"/>
          <w:vertAlign w:val="superscript"/>
        </w:rPr>
        <w:t xml:space="preserve"> </w:t>
      </w:r>
      <w:r w:rsidRPr="00424328">
        <w:rPr>
          <w:rFonts w:cstheme="minorHAnsi"/>
          <w:b/>
          <w:sz w:val="18"/>
          <w:szCs w:val="18"/>
          <w:vertAlign w:val="superscript"/>
        </w:rPr>
        <w:tab/>
      </w:r>
      <w:r w:rsidRPr="00424328">
        <w:rPr>
          <w:rFonts w:cstheme="minorHAnsi"/>
          <w:bCs/>
          <w:sz w:val="18"/>
          <w:szCs w:val="18"/>
        </w:rPr>
        <w:t>P</w:t>
      </w:r>
      <w:r w:rsidRPr="00424328">
        <w:rPr>
          <w:sz w:val="18"/>
          <w:szCs w:val="18"/>
        </w:rPr>
        <w:t xml:space="preserve">lānots, ka no 2026. gada </w:t>
      </w:r>
      <w:r w:rsidRPr="00424328">
        <w:rPr>
          <w:b/>
          <w:bCs/>
          <w:color w:val="0070C0"/>
          <w:sz w:val="18"/>
          <w:szCs w:val="18"/>
        </w:rPr>
        <w:t>Igaunijā</w:t>
      </w:r>
      <w:r w:rsidRPr="00424328">
        <w:rPr>
          <w:color w:val="0070C0"/>
          <w:sz w:val="18"/>
          <w:szCs w:val="18"/>
        </w:rPr>
        <w:t xml:space="preserve"> </w:t>
      </w:r>
      <w:r w:rsidRPr="00424328">
        <w:rPr>
          <w:color w:val="000000" w:themeColor="text1"/>
          <w:sz w:val="18"/>
          <w:szCs w:val="18"/>
        </w:rPr>
        <w:t xml:space="preserve">IIN likme tiks palielināta </w:t>
      </w:r>
      <w:r w:rsidRPr="00424328">
        <w:rPr>
          <w:sz w:val="18"/>
          <w:szCs w:val="18"/>
        </w:rPr>
        <w:t xml:space="preserve">no </w:t>
      </w:r>
      <w:r w:rsidRPr="00424328">
        <w:rPr>
          <w:b/>
          <w:bCs/>
          <w:sz w:val="18"/>
          <w:szCs w:val="18"/>
        </w:rPr>
        <w:t>22</w:t>
      </w:r>
      <w:r w:rsidR="00BD6BC5">
        <w:rPr>
          <w:b/>
          <w:bCs/>
          <w:sz w:val="18"/>
          <w:szCs w:val="18"/>
        </w:rPr>
        <w:t>%</w:t>
      </w:r>
      <w:r w:rsidRPr="00424328">
        <w:rPr>
          <w:sz w:val="18"/>
          <w:szCs w:val="18"/>
        </w:rPr>
        <w:t xml:space="preserve"> uz </w:t>
      </w:r>
      <w:r w:rsidRPr="00424328">
        <w:rPr>
          <w:b/>
          <w:bCs/>
          <w:color w:val="0070C0"/>
          <w:sz w:val="18"/>
          <w:szCs w:val="18"/>
        </w:rPr>
        <w:t>24%</w:t>
      </w:r>
      <w:r w:rsidRPr="00424328">
        <w:rPr>
          <w:color w:val="000000" w:themeColor="text1"/>
          <w:sz w:val="18"/>
          <w:szCs w:val="18"/>
        </w:rPr>
        <w:t>, bet par to vēl nav pieņemts lēmums</w:t>
      </w:r>
      <w:r>
        <w:rPr>
          <w:color w:val="000000" w:themeColor="text1"/>
          <w:sz w:val="18"/>
          <w:szCs w:val="18"/>
        </w:rPr>
        <w:t>.</w:t>
      </w:r>
    </w:p>
    <w:p w14:paraId="5EA11AD4" w14:textId="77777777" w:rsidR="00546202" w:rsidRDefault="00546202" w:rsidP="00546202">
      <w:pPr>
        <w:pStyle w:val="ListParagraph"/>
        <w:tabs>
          <w:tab w:val="left" w:pos="426"/>
        </w:tabs>
        <w:spacing w:before="40"/>
        <w:ind w:left="426" w:hanging="426"/>
        <w:rPr>
          <w:rFonts w:cstheme="minorHAnsi"/>
          <w:bCs/>
          <w:sz w:val="18"/>
          <w:szCs w:val="18"/>
        </w:rPr>
      </w:pPr>
      <w:r w:rsidRPr="00193AB6">
        <w:rPr>
          <w:rFonts w:cstheme="minorHAnsi"/>
          <w:bCs/>
          <w:sz w:val="18"/>
          <w:szCs w:val="18"/>
          <w:vertAlign w:val="superscript"/>
        </w:rPr>
        <w:t>6</w:t>
      </w:r>
      <w:r w:rsidRPr="00193AB6">
        <w:rPr>
          <w:rFonts w:cstheme="minorHAnsi"/>
          <w:b/>
          <w:sz w:val="18"/>
          <w:szCs w:val="18"/>
          <w:vertAlign w:val="superscript"/>
        </w:rPr>
        <w:tab/>
      </w:r>
      <w:r w:rsidRPr="00193AB6">
        <w:rPr>
          <w:rFonts w:cstheme="minorHAnsi"/>
          <w:b/>
          <w:color w:val="00B050"/>
          <w:sz w:val="18"/>
          <w:szCs w:val="18"/>
        </w:rPr>
        <w:t>Lietuvā</w:t>
      </w:r>
      <w:r w:rsidRPr="00193AB6">
        <w:rPr>
          <w:rFonts w:cstheme="minorHAnsi"/>
          <w:bCs/>
          <w:color w:val="00B050"/>
          <w:sz w:val="18"/>
          <w:szCs w:val="18"/>
        </w:rPr>
        <w:t xml:space="preserve"> </w:t>
      </w:r>
      <w:r w:rsidRPr="00193AB6">
        <w:rPr>
          <w:rFonts w:cstheme="minorHAnsi"/>
          <w:bCs/>
          <w:sz w:val="18"/>
          <w:szCs w:val="18"/>
        </w:rPr>
        <w:t xml:space="preserve">no 2022. gada DNM piemēro divejādi: 2024. gadā ienākumiem līdz </w:t>
      </w:r>
      <w:r w:rsidRPr="00193AB6">
        <w:rPr>
          <w:rFonts w:cstheme="minorHAnsi"/>
          <w:bCs/>
          <w:color w:val="00B050"/>
          <w:sz w:val="18"/>
          <w:szCs w:val="18"/>
        </w:rPr>
        <w:t xml:space="preserve">2 167 </w:t>
      </w:r>
      <w:r w:rsidRPr="00193AB6">
        <w:rPr>
          <w:rFonts w:cstheme="minorHAnsi"/>
          <w:bCs/>
          <w:i/>
          <w:iCs/>
          <w:sz w:val="18"/>
          <w:szCs w:val="18"/>
        </w:rPr>
        <w:t>euro</w:t>
      </w:r>
      <w:r w:rsidRPr="00193AB6">
        <w:rPr>
          <w:rFonts w:cstheme="minorHAnsi"/>
          <w:bCs/>
          <w:sz w:val="18"/>
          <w:szCs w:val="18"/>
        </w:rPr>
        <w:t xml:space="preserve"> mēnesī piemēro jauno DNM aprēķināšanas formulu, bet ienākumiem vairāk kā </w:t>
      </w:r>
      <w:r w:rsidRPr="00193AB6">
        <w:rPr>
          <w:rFonts w:cstheme="minorHAnsi"/>
          <w:bCs/>
          <w:color w:val="00B050"/>
          <w:sz w:val="18"/>
          <w:szCs w:val="18"/>
        </w:rPr>
        <w:t xml:space="preserve">2 167 </w:t>
      </w:r>
      <w:r w:rsidRPr="00193AB6">
        <w:rPr>
          <w:rFonts w:cstheme="minorHAnsi"/>
          <w:bCs/>
          <w:i/>
          <w:iCs/>
          <w:sz w:val="18"/>
          <w:szCs w:val="18"/>
        </w:rPr>
        <w:t>euro</w:t>
      </w:r>
      <w:r w:rsidRPr="00193AB6">
        <w:rPr>
          <w:rFonts w:cstheme="minorHAnsi"/>
          <w:bCs/>
          <w:sz w:val="18"/>
          <w:szCs w:val="18"/>
        </w:rPr>
        <w:t xml:space="preserve"> mēnesī, tiek piemērota 2021. gada DNM aprēķināšanas formula.</w:t>
      </w:r>
    </w:p>
    <w:p w14:paraId="658F114D" w14:textId="77777777" w:rsidR="00546202" w:rsidRDefault="00546202" w:rsidP="00546202">
      <w:pPr>
        <w:pStyle w:val="ListParagraph"/>
        <w:tabs>
          <w:tab w:val="left" w:pos="426"/>
        </w:tabs>
        <w:spacing w:before="40"/>
        <w:ind w:left="426" w:hanging="426"/>
        <w:rPr>
          <w:sz w:val="18"/>
          <w:szCs w:val="18"/>
        </w:rPr>
      </w:pPr>
      <w:r w:rsidRPr="00193AB6">
        <w:rPr>
          <w:rFonts w:cstheme="minorHAnsi"/>
          <w:bCs/>
          <w:sz w:val="18"/>
          <w:szCs w:val="18"/>
          <w:vertAlign w:val="superscript"/>
        </w:rPr>
        <w:t>7</w:t>
      </w:r>
      <w:r w:rsidRPr="00193AB6">
        <w:rPr>
          <w:rFonts w:cstheme="minorHAnsi"/>
          <w:b/>
          <w:sz w:val="18"/>
          <w:szCs w:val="18"/>
          <w:vertAlign w:val="superscript"/>
        </w:rPr>
        <w:t xml:space="preserve"> </w:t>
      </w:r>
      <w:r w:rsidRPr="00193AB6">
        <w:rPr>
          <w:rFonts w:cstheme="minorHAnsi"/>
          <w:b/>
          <w:sz w:val="18"/>
          <w:szCs w:val="18"/>
          <w:vertAlign w:val="superscript"/>
        </w:rPr>
        <w:tab/>
      </w:r>
      <w:r w:rsidRPr="00193AB6">
        <w:rPr>
          <w:rFonts w:cstheme="minorHAnsi"/>
          <w:bCs/>
          <w:sz w:val="18"/>
          <w:szCs w:val="18"/>
        </w:rPr>
        <w:t>N</w:t>
      </w:r>
      <w:r w:rsidRPr="00193AB6">
        <w:rPr>
          <w:sz w:val="18"/>
          <w:szCs w:val="18"/>
        </w:rPr>
        <w:t xml:space="preserve">o 2025. gada </w:t>
      </w:r>
      <w:r w:rsidRPr="00193AB6">
        <w:rPr>
          <w:b/>
          <w:bCs/>
          <w:color w:val="0070C0"/>
          <w:sz w:val="18"/>
          <w:szCs w:val="18"/>
        </w:rPr>
        <w:t>Igaunijā</w:t>
      </w:r>
      <w:r w:rsidRPr="00193AB6">
        <w:rPr>
          <w:color w:val="0070C0"/>
          <w:sz w:val="18"/>
          <w:szCs w:val="18"/>
        </w:rPr>
        <w:t xml:space="preserve"> </w:t>
      </w:r>
      <w:r w:rsidRPr="00193AB6">
        <w:rPr>
          <w:sz w:val="18"/>
          <w:szCs w:val="18"/>
        </w:rPr>
        <w:t xml:space="preserve">tiks piemērots fiksētais neapliekamais minimums </w:t>
      </w:r>
      <w:r w:rsidRPr="00193AB6">
        <w:rPr>
          <w:b/>
          <w:bCs/>
          <w:color w:val="0070C0"/>
          <w:sz w:val="18"/>
          <w:szCs w:val="18"/>
        </w:rPr>
        <w:t>700</w:t>
      </w:r>
      <w:r w:rsidRPr="00193AB6">
        <w:rPr>
          <w:color w:val="0070C0"/>
          <w:sz w:val="18"/>
          <w:szCs w:val="18"/>
        </w:rPr>
        <w:t xml:space="preserve"> </w:t>
      </w:r>
      <w:r w:rsidRPr="00193AB6">
        <w:rPr>
          <w:i/>
          <w:iCs/>
          <w:sz w:val="18"/>
          <w:szCs w:val="18"/>
        </w:rPr>
        <w:t>euro</w:t>
      </w:r>
      <w:r w:rsidRPr="00193AB6">
        <w:rPr>
          <w:sz w:val="18"/>
          <w:szCs w:val="18"/>
        </w:rPr>
        <w:t xml:space="preserve"> mēnesī</w:t>
      </w:r>
      <w:r>
        <w:rPr>
          <w:sz w:val="18"/>
          <w:szCs w:val="18"/>
        </w:rPr>
        <w:t>.</w:t>
      </w:r>
    </w:p>
    <w:p w14:paraId="22A5F32B" w14:textId="203A66E7" w:rsidR="00546202" w:rsidRDefault="00546202" w:rsidP="000203BA">
      <w:pPr>
        <w:ind w:right="777" w:firstLine="601"/>
        <w:jc w:val="both"/>
        <w:rPr>
          <w:szCs w:val="20"/>
        </w:rPr>
      </w:pPr>
      <w:r w:rsidRPr="00442E52">
        <w:rPr>
          <w:szCs w:val="20"/>
        </w:rPr>
        <w:lastRenderedPageBreak/>
        <w:t xml:space="preserve">Lai uzlabotu darbaspēka konkurētspēja reģionā, jāturpina mazināt  darbaspēka nodokļu slogs darba ņēmējiem ar zemu un vidēju atalgojumu. </w:t>
      </w:r>
    </w:p>
    <w:p w14:paraId="03ABDE97" w14:textId="77777777" w:rsidR="002A406F" w:rsidRDefault="002A406F" w:rsidP="000203BA">
      <w:pPr>
        <w:ind w:right="777" w:firstLine="601"/>
        <w:jc w:val="both"/>
        <w:rPr>
          <w:szCs w:val="20"/>
        </w:rPr>
      </w:pPr>
    </w:p>
    <w:p w14:paraId="536E8918" w14:textId="77777777" w:rsidR="00546202" w:rsidRPr="00592B8C" w:rsidRDefault="00546202" w:rsidP="006548BB">
      <w:pPr>
        <w:pStyle w:val="Heading3"/>
        <w:spacing w:before="120" w:after="120"/>
        <w:rPr>
          <w:rStyle w:val="Heading2Char"/>
          <w:rFonts w:cs="Times New Roman"/>
          <w:b/>
          <w:szCs w:val="24"/>
        </w:rPr>
      </w:pPr>
      <w:bookmarkStart w:id="6" w:name="_Toc177627694"/>
      <w:r w:rsidRPr="00592B8C">
        <w:rPr>
          <w:rStyle w:val="Heading2Char"/>
          <w:rFonts w:cs="Times New Roman"/>
          <w:b/>
          <w:szCs w:val="24"/>
        </w:rPr>
        <w:t>1</w:t>
      </w:r>
      <w:r w:rsidRPr="00592B8C">
        <w:rPr>
          <w:rStyle w:val="Heading2Char"/>
          <w:rFonts w:cs="Times New Roman"/>
          <w:szCs w:val="24"/>
        </w:rPr>
        <w:t>.</w:t>
      </w:r>
      <w:r w:rsidRPr="00592B8C">
        <w:rPr>
          <w:rStyle w:val="Heading2Char"/>
          <w:rFonts w:cs="Times New Roman"/>
          <w:b/>
          <w:bCs/>
          <w:szCs w:val="24"/>
        </w:rPr>
        <w:t>1.2.</w:t>
      </w:r>
      <w:r w:rsidRPr="00592B8C">
        <w:rPr>
          <w:rStyle w:val="Heading2Char"/>
          <w:rFonts w:cs="Times New Roman"/>
          <w:szCs w:val="24"/>
        </w:rPr>
        <w:t xml:space="preserve"> </w:t>
      </w:r>
      <w:r w:rsidRPr="00592B8C">
        <w:rPr>
          <w:rStyle w:val="Heading2Char"/>
          <w:rFonts w:cs="Times New Roman"/>
          <w:b/>
          <w:szCs w:val="24"/>
        </w:rPr>
        <w:t>Piedāvātais risinājums</w:t>
      </w:r>
      <w:bookmarkEnd w:id="6"/>
    </w:p>
    <w:p w14:paraId="528E3AB4" w14:textId="6E244073" w:rsidR="00546202" w:rsidRDefault="00546202" w:rsidP="00546202">
      <w:pPr>
        <w:spacing w:after="120"/>
        <w:ind w:right="775" w:firstLine="603"/>
        <w:jc w:val="both"/>
        <w:rPr>
          <w:color w:val="000000" w:themeColor="text1"/>
          <w:szCs w:val="24"/>
        </w:rPr>
      </w:pPr>
      <w:r>
        <w:rPr>
          <w:color w:val="000000" w:themeColor="text1"/>
          <w:szCs w:val="24"/>
        </w:rPr>
        <w:t xml:space="preserve">Informatīvajā ziņojumā tiek piedāvāts šāds darbaspēka nodokļu sloga mazināšanas </w:t>
      </w:r>
      <w:r w:rsidR="00D4122E">
        <w:rPr>
          <w:color w:val="000000" w:themeColor="text1"/>
          <w:szCs w:val="24"/>
        </w:rPr>
        <w:t xml:space="preserve">risinājums </w:t>
      </w:r>
      <w:r>
        <w:rPr>
          <w:color w:val="000000" w:themeColor="text1"/>
          <w:szCs w:val="24"/>
        </w:rPr>
        <w:t>(scenārijs):</w:t>
      </w:r>
    </w:p>
    <w:p w14:paraId="356EF531" w14:textId="5EDD2F59" w:rsidR="00546202" w:rsidRDefault="00546202" w:rsidP="003312F6">
      <w:pPr>
        <w:pStyle w:val="ListParagraph"/>
        <w:numPr>
          <w:ilvl w:val="0"/>
          <w:numId w:val="16"/>
        </w:numPr>
        <w:tabs>
          <w:tab w:val="left" w:pos="1170"/>
        </w:tabs>
        <w:ind w:left="913" w:right="777" w:hanging="573"/>
        <w:rPr>
          <w:color w:val="000000"/>
          <w:szCs w:val="24"/>
        </w:rPr>
      </w:pPr>
      <w:r w:rsidRPr="00A470D1">
        <w:rPr>
          <w:b/>
          <w:bCs/>
          <w:color w:val="000000"/>
          <w:szCs w:val="24"/>
        </w:rPr>
        <w:t>no 2025.</w:t>
      </w:r>
      <w:r w:rsidR="00BD6BC5">
        <w:rPr>
          <w:b/>
          <w:bCs/>
          <w:color w:val="000000"/>
          <w:szCs w:val="24"/>
        </w:rPr>
        <w:t> </w:t>
      </w:r>
      <w:r w:rsidRPr="00A470D1">
        <w:rPr>
          <w:b/>
          <w:bCs/>
          <w:color w:val="000000"/>
          <w:szCs w:val="24"/>
        </w:rPr>
        <w:t>gada</w:t>
      </w:r>
      <w:r w:rsidRPr="00A470D1">
        <w:rPr>
          <w:color w:val="000000"/>
          <w:szCs w:val="24"/>
        </w:rPr>
        <w:t xml:space="preserve"> </w:t>
      </w:r>
      <w:r w:rsidRPr="00A470D1">
        <w:rPr>
          <w:b/>
          <w:bCs/>
          <w:color w:val="000000"/>
          <w:szCs w:val="24"/>
        </w:rPr>
        <w:t xml:space="preserve">ieviest </w:t>
      </w:r>
      <w:r w:rsidR="0057227B">
        <w:rPr>
          <w:b/>
          <w:bCs/>
          <w:color w:val="000000"/>
          <w:szCs w:val="24"/>
        </w:rPr>
        <w:t>divu</w:t>
      </w:r>
      <w:r w:rsidRPr="00A470D1">
        <w:rPr>
          <w:b/>
          <w:bCs/>
          <w:color w:val="000000"/>
          <w:szCs w:val="24"/>
        </w:rPr>
        <w:t xml:space="preserve"> pakāpju </w:t>
      </w:r>
      <w:r>
        <w:rPr>
          <w:b/>
          <w:bCs/>
          <w:color w:val="000000"/>
          <w:szCs w:val="24"/>
        </w:rPr>
        <w:t>IIN</w:t>
      </w:r>
      <w:r w:rsidRPr="00A470D1">
        <w:rPr>
          <w:b/>
          <w:bCs/>
          <w:color w:val="000000"/>
          <w:szCs w:val="24"/>
        </w:rPr>
        <w:t xml:space="preserve"> likmes</w:t>
      </w:r>
      <w:r w:rsidRPr="00A470D1">
        <w:rPr>
          <w:color w:val="000000"/>
          <w:szCs w:val="24"/>
        </w:rPr>
        <w:t>:</w:t>
      </w:r>
    </w:p>
    <w:p w14:paraId="7CC11E8E" w14:textId="7FC43CB4" w:rsidR="00546202" w:rsidRPr="00A470D1" w:rsidRDefault="00546202" w:rsidP="003312F6">
      <w:pPr>
        <w:pStyle w:val="ListParagraph"/>
        <w:numPr>
          <w:ilvl w:val="0"/>
          <w:numId w:val="17"/>
        </w:numPr>
        <w:tabs>
          <w:tab w:val="left" w:pos="1560"/>
        </w:tabs>
        <w:ind w:left="1361" w:right="777" w:hanging="227"/>
        <w:rPr>
          <w:b/>
          <w:bCs/>
          <w:color w:val="000000"/>
          <w:szCs w:val="24"/>
        </w:rPr>
      </w:pPr>
      <w:r w:rsidRPr="00A470D1">
        <w:rPr>
          <w:b/>
          <w:bCs/>
          <w:color w:val="FF0000"/>
          <w:szCs w:val="24"/>
        </w:rPr>
        <w:t>25,5%</w:t>
      </w:r>
      <w:r w:rsidRPr="00A470D1">
        <w:rPr>
          <w:szCs w:val="24"/>
        </w:rPr>
        <w:t xml:space="preserve"> apmērā ienākumiem līdz VSAOI </w:t>
      </w:r>
      <w:r w:rsidR="001D2593">
        <w:rPr>
          <w:szCs w:val="24"/>
        </w:rPr>
        <w:t>objekta maksimālajam apmēram</w:t>
      </w:r>
      <w:r w:rsidRPr="00A470D1">
        <w:rPr>
          <w:szCs w:val="24"/>
        </w:rPr>
        <w:t xml:space="preserve"> – </w:t>
      </w:r>
      <w:r w:rsidRPr="00A470D1">
        <w:rPr>
          <w:b/>
          <w:bCs/>
          <w:szCs w:val="24"/>
        </w:rPr>
        <w:t>8</w:t>
      </w:r>
      <w:r w:rsidR="003312F6">
        <w:rPr>
          <w:b/>
          <w:bCs/>
          <w:szCs w:val="24"/>
        </w:rPr>
        <w:t> </w:t>
      </w:r>
      <w:r w:rsidRPr="00A470D1">
        <w:rPr>
          <w:b/>
          <w:bCs/>
          <w:szCs w:val="24"/>
        </w:rPr>
        <w:t>775</w:t>
      </w:r>
      <w:r w:rsidR="003312F6">
        <w:rPr>
          <w:i/>
          <w:iCs/>
          <w:szCs w:val="24"/>
        </w:rPr>
        <w:t> </w:t>
      </w:r>
      <w:r w:rsidRPr="00A470D1">
        <w:rPr>
          <w:i/>
          <w:iCs/>
          <w:szCs w:val="24"/>
        </w:rPr>
        <w:t>euro</w:t>
      </w:r>
      <w:r w:rsidRPr="00A470D1">
        <w:rPr>
          <w:szCs w:val="24"/>
        </w:rPr>
        <w:t xml:space="preserve"> mēnesī (</w:t>
      </w:r>
      <w:r w:rsidRPr="00A470D1">
        <w:rPr>
          <w:b/>
          <w:bCs/>
          <w:szCs w:val="24"/>
        </w:rPr>
        <w:t>105</w:t>
      </w:r>
      <w:r w:rsidR="003312F6">
        <w:rPr>
          <w:b/>
          <w:bCs/>
          <w:szCs w:val="24"/>
        </w:rPr>
        <w:t> </w:t>
      </w:r>
      <w:r w:rsidRPr="00A470D1">
        <w:rPr>
          <w:b/>
          <w:bCs/>
          <w:szCs w:val="24"/>
        </w:rPr>
        <w:t>300</w:t>
      </w:r>
      <w:r w:rsidR="003312F6">
        <w:rPr>
          <w:b/>
          <w:bCs/>
          <w:szCs w:val="24"/>
        </w:rPr>
        <w:t> </w:t>
      </w:r>
      <w:r w:rsidRPr="00A470D1">
        <w:rPr>
          <w:i/>
          <w:iCs/>
          <w:szCs w:val="24"/>
        </w:rPr>
        <w:t>euro</w:t>
      </w:r>
      <w:r w:rsidRPr="00A470D1">
        <w:rPr>
          <w:szCs w:val="24"/>
        </w:rPr>
        <w:t xml:space="preserve"> gadā)</w:t>
      </w:r>
      <w:r w:rsidRPr="00A470D1">
        <w:rPr>
          <w:color w:val="000000"/>
          <w:szCs w:val="24"/>
        </w:rPr>
        <w:t>,</w:t>
      </w:r>
      <w:r w:rsidRPr="00A470D1">
        <w:rPr>
          <w:b/>
          <w:bCs/>
          <w:color w:val="000000"/>
          <w:szCs w:val="24"/>
        </w:rPr>
        <w:t xml:space="preserve"> </w:t>
      </w:r>
    </w:p>
    <w:p w14:paraId="17BE31E9" w14:textId="03332094" w:rsidR="00546202" w:rsidRPr="00A470D1" w:rsidRDefault="00546202" w:rsidP="003312F6">
      <w:pPr>
        <w:pStyle w:val="ListParagraph"/>
        <w:numPr>
          <w:ilvl w:val="0"/>
          <w:numId w:val="17"/>
        </w:numPr>
        <w:tabs>
          <w:tab w:val="left" w:pos="1560"/>
        </w:tabs>
        <w:ind w:left="1361" w:right="777" w:hanging="227"/>
        <w:rPr>
          <w:color w:val="000000" w:themeColor="text1"/>
          <w:szCs w:val="24"/>
        </w:rPr>
      </w:pPr>
      <w:r w:rsidRPr="00A470D1">
        <w:rPr>
          <w:b/>
          <w:bCs/>
          <w:color w:val="FF0000"/>
          <w:szCs w:val="24"/>
        </w:rPr>
        <w:t>3</w:t>
      </w:r>
      <w:r>
        <w:rPr>
          <w:b/>
          <w:bCs/>
          <w:color w:val="FF0000"/>
          <w:szCs w:val="24"/>
        </w:rPr>
        <w:t>3</w:t>
      </w:r>
      <w:r w:rsidRPr="00A470D1">
        <w:rPr>
          <w:b/>
          <w:bCs/>
          <w:color w:val="FF0000"/>
          <w:szCs w:val="24"/>
        </w:rPr>
        <w:t xml:space="preserve">% </w:t>
      </w:r>
      <w:r w:rsidRPr="00A470D1">
        <w:rPr>
          <w:color w:val="000000"/>
          <w:szCs w:val="24"/>
        </w:rPr>
        <w:t>apmērā</w:t>
      </w:r>
      <w:r w:rsidRPr="00A470D1">
        <w:rPr>
          <w:szCs w:val="24"/>
        </w:rPr>
        <w:t xml:space="preserve"> ienākumiem virs VSAOI </w:t>
      </w:r>
      <w:r w:rsidR="001D2593">
        <w:rPr>
          <w:szCs w:val="24"/>
        </w:rPr>
        <w:t>objekta maksimālā apmēra</w:t>
      </w:r>
      <w:r w:rsidR="001D2593" w:rsidRPr="00A470D1">
        <w:rPr>
          <w:b/>
          <w:bCs/>
          <w:szCs w:val="24"/>
        </w:rPr>
        <w:t xml:space="preserve"> </w:t>
      </w:r>
      <w:r w:rsidRPr="00A470D1">
        <w:rPr>
          <w:b/>
          <w:bCs/>
          <w:szCs w:val="24"/>
        </w:rPr>
        <w:t>8</w:t>
      </w:r>
      <w:r w:rsidR="003312F6">
        <w:rPr>
          <w:b/>
          <w:bCs/>
          <w:szCs w:val="24"/>
        </w:rPr>
        <w:t> </w:t>
      </w:r>
      <w:r w:rsidRPr="00A470D1">
        <w:rPr>
          <w:b/>
          <w:bCs/>
          <w:szCs w:val="24"/>
        </w:rPr>
        <w:t>775</w:t>
      </w:r>
      <w:r w:rsidR="003312F6">
        <w:rPr>
          <w:i/>
          <w:iCs/>
          <w:szCs w:val="24"/>
        </w:rPr>
        <w:t> </w:t>
      </w:r>
      <w:r w:rsidRPr="00A470D1">
        <w:rPr>
          <w:i/>
          <w:iCs/>
          <w:szCs w:val="24"/>
        </w:rPr>
        <w:t>euro</w:t>
      </w:r>
      <w:r w:rsidRPr="00A470D1">
        <w:rPr>
          <w:szCs w:val="24"/>
        </w:rPr>
        <w:t xml:space="preserve"> mēnesī (</w:t>
      </w:r>
      <w:r w:rsidRPr="00A470D1">
        <w:rPr>
          <w:b/>
          <w:bCs/>
          <w:szCs w:val="24"/>
        </w:rPr>
        <w:t>105</w:t>
      </w:r>
      <w:r w:rsidR="003312F6">
        <w:rPr>
          <w:b/>
          <w:bCs/>
          <w:szCs w:val="24"/>
        </w:rPr>
        <w:t> </w:t>
      </w:r>
      <w:r w:rsidRPr="00A470D1">
        <w:rPr>
          <w:b/>
          <w:bCs/>
          <w:szCs w:val="24"/>
        </w:rPr>
        <w:t>300</w:t>
      </w:r>
      <w:r w:rsidR="003312F6">
        <w:rPr>
          <w:szCs w:val="24"/>
        </w:rPr>
        <w:t> </w:t>
      </w:r>
      <w:r w:rsidRPr="00A470D1">
        <w:rPr>
          <w:i/>
          <w:iCs/>
          <w:szCs w:val="24"/>
        </w:rPr>
        <w:t>euro</w:t>
      </w:r>
      <w:r w:rsidRPr="00A470D1">
        <w:rPr>
          <w:szCs w:val="24"/>
        </w:rPr>
        <w:t xml:space="preserve"> gadā)</w:t>
      </w:r>
      <w:r w:rsidRPr="00A470D1">
        <w:rPr>
          <w:i/>
          <w:iCs/>
          <w:szCs w:val="24"/>
        </w:rPr>
        <w:t>, kas faktiski tiek iekasēts, samaksājot solidaritātes nodokli</w:t>
      </w:r>
      <w:r w:rsidRPr="00A470D1">
        <w:rPr>
          <w:szCs w:val="24"/>
        </w:rPr>
        <w:t>;</w:t>
      </w:r>
    </w:p>
    <w:p w14:paraId="768D8917" w14:textId="5293260C" w:rsidR="00546202" w:rsidRPr="00C67601" w:rsidRDefault="00546202" w:rsidP="003312F6">
      <w:pPr>
        <w:pStyle w:val="ListParagraph"/>
        <w:numPr>
          <w:ilvl w:val="0"/>
          <w:numId w:val="16"/>
        </w:numPr>
        <w:tabs>
          <w:tab w:val="left" w:pos="1170"/>
        </w:tabs>
        <w:ind w:left="913" w:right="777" w:hanging="573"/>
        <w:rPr>
          <w:color w:val="000000"/>
          <w:szCs w:val="24"/>
        </w:rPr>
      </w:pPr>
      <w:r w:rsidRPr="00C67601">
        <w:rPr>
          <w:b/>
          <w:bCs/>
          <w:color w:val="000000"/>
          <w:szCs w:val="24"/>
        </w:rPr>
        <w:t xml:space="preserve">no 2025. gada </w:t>
      </w:r>
      <w:r w:rsidRPr="00354A4A">
        <w:rPr>
          <w:color w:val="000000"/>
          <w:szCs w:val="24"/>
        </w:rPr>
        <w:t xml:space="preserve">aizstāt </w:t>
      </w:r>
      <w:r w:rsidRPr="00354A4A">
        <w:rPr>
          <w:szCs w:val="24"/>
        </w:rPr>
        <w:t xml:space="preserve">diferencēto </w:t>
      </w:r>
      <w:r w:rsidRPr="00354A4A">
        <w:rPr>
          <w:color w:val="000000"/>
          <w:szCs w:val="24"/>
        </w:rPr>
        <w:t>neapliekamo minimumu</w:t>
      </w:r>
      <w:r w:rsidRPr="00C67601">
        <w:rPr>
          <w:color w:val="000000"/>
          <w:szCs w:val="24"/>
        </w:rPr>
        <w:t xml:space="preserve"> (pašreiz no </w:t>
      </w:r>
      <w:r w:rsidRPr="00C67601">
        <w:rPr>
          <w:b/>
          <w:bCs/>
          <w:color w:val="000000"/>
          <w:szCs w:val="24"/>
        </w:rPr>
        <w:t>0</w:t>
      </w:r>
      <w:r w:rsidRPr="00C67601">
        <w:rPr>
          <w:color w:val="000000"/>
          <w:szCs w:val="24"/>
        </w:rPr>
        <w:t xml:space="preserve"> līdz </w:t>
      </w:r>
      <w:r w:rsidRPr="00C67601">
        <w:rPr>
          <w:b/>
          <w:bCs/>
          <w:color w:val="000000"/>
          <w:szCs w:val="24"/>
        </w:rPr>
        <w:t xml:space="preserve">500 </w:t>
      </w:r>
      <w:r w:rsidRPr="00C67601">
        <w:rPr>
          <w:i/>
          <w:iCs/>
          <w:color w:val="000000"/>
          <w:szCs w:val="24"/>
        </w:rPr>
        <w:t>euro</w:t>
      </w:r>
      <w:r w:rsidRPr="00C67601">
        <w:rPr>
          <w:color w:val="000000"/>
          <w:szCs w:val="24"/>
        </w:rPr>
        <w:t xml:space="preserve"> mēnesī atkarībā no ienākuma līmeņa)</w:t>
      </w:r>
      <w:r w:rsidRPr="00C67601">
        <w:rPr>
          <w:b/>
          <w:bCs/>
          <w:color w:val="000000"/>
          <w:szCs w:val="24"/>
        </w:rPr>
        <w:t xml:space="preserve"> ar fiksēto neapliekamo minimumu</w:t>
      </w:r>
      <w:r w:rsidRPr="00C67601">
        <w:rPr>
          <w:color w:val="000000"/>
          <w:szCs w:val="24"/>
        </w:rPr>
        <w:t xml:space="preserve"> </w:t>
      </w:r>
      <w:r w:rsidRPr="00C67601">
        <w:rPr>
          <w:b/>
          <w:bCs/>
          <w:color w:val="FF0000"/>
          <w:szCs w:val="24"/>
        </w:rPr>
        <w:t>510</w:t>
      </w:r>
      <w:r w:rsidRPr="00C67601">
        <w:rPr>
          <w:i/>
          <w:iCs/>
          <w:color w:val="FF0000"/>
          <w:szCs w:val="24"/>
        </w:rPr>
        <w:t> </w:t>
      </w:r>
      <w:r w:rsidRPr="00C67601">
        <w:rPr>
          <w:i/>
          <w:iCs/>
          <w:szCs w:val="24"/>
        </w:rPr>
        <w:t>euro</w:t>
      </w:r>
      <w:r w:rsidRPr="00C67601">
        <w:rPr>
          <w:szCs w:val="24"/>
        </w:rPr>
        <w:t xml:space="preserve"> mēnesī</w:t>
      </w:r>
      <w:r w:rsidRPr="00C67601">
        <w:rPr>
          <w:color w:val="000000"/>
          <w:szCs w:val="24"/>
        </w:rPr>
        <w:t xml:space="preserve">, kas tiek piemērots visiem nodokļa maksātājiem neatkarīgi no ienākuma līmeņa. No </w:t>
      </w:r>
      <w:r w:rsidRPr="00C67601">
        <w:rPr>
          <w:szCs w:val="24"/>
        </w:rPr>
        <w:t xml:space="preserve">2026. gada palielināt </w:t>
      </w:r>
      <w:r w:rsidRPr="00C67601">
        <w:rPr>
          <w:color w:val="000000"/>
          <w:szCs w:val="24"/>
        </w:rPr>
        <w:t xml:space="preserve">fiksēto neapliekamo minimumu </w:t>
      </w:r>
      <w:r w:rsidRPr="00C67601">
        <w:rPr>
          <w:szCs w:val="24"/>
        </w:rPr>
        <w:t xml:space="preserve">uz </w:t>
      </w:r>
      <w:r w:rsidRPr="00C67601">
        <w:rPr>
          <w:b/>
          <w:bCs/>
          <w:color w:val="FF0000"/>
          <w:szCs w:val="24"/>
        </w:rPr>
        <w:t>550</w:t>
      </w:r>
      <w:r w:rsidRPr="00C67601">
        <w:rPr>
          <w:color w:val="FF0000"/>
          <w:szCs w:val="24"/>
        </w:rPr>
        <w:t> </w:t>
      </w:r>
      <w:r w:rsidRPr="00C67601">
        <w:rPr>
          <w:i/>
          <w:iCs/>
          <w:szCs w:val="24"/>
        </w:rPr>
        <w:t>euro</w:t>
      </w:r>
      <w:r w:rsidRPr="00C67601">
        <w:rPr>
          <w:szCs w:val="24"/>
        </w:rPr>
        <w:t xml:space="preserve"> mēnesī, </w:t>
      </w:r>
      <w:r>
        <w:rPr>
          <w:szCs w:val="24"/>
        </w:rPr>
        <w:t xml:space="preserve">bet no 2027. gada uz </w:t>
      </w:r>
      <w:r w:rsidRPr="0066519E">
        <w:rPr>
          <w:b/>
          <w:bCs/>
          <w:color w:val="FF0000"/>
          <w:szCs w:val="24"/>
        </w:rPr>
        <w:t>570</w:t>
      </w:r>
      <w:r w:rsidR="003312F6">
        <w:rPr>
          <w:color w:val="FF0000"/>
          <w:szCs w:val="24"/>
        </w:rPr>
        <w:t> </w:t>
      </w:r>
      <w:r w:rsidRPr="00C67601">
        <w:rPr>
          <w:i/>
          <w:iCs/>
          <w:szCs w:val="24"/>
        </w:rPr>
        <w:t>euro</w:t>
      </w:r>
      <w:r w:rsidRPr="00C67601">
        <w:rPr>
          <w:szCs w:val="24"/>
        </w:rPr>
        <w:t xml:space="preserve"> mēnesī</w:t>
      </w:r>
      <w:r>
        <w:rPr>
          <w:szCs w:val="24"/>
        </w:rPr>
        <w:t>,</w:t>
      </w:r>
      <w:r w:rsidRPr="00C67601">
        <w:rPr>
          <w:szCs w:val="24"/>
        </w:rPr>
        <w:t xml:space="preserve"> sākot ieviest principu par neapliekamā minimuma sasaisti ar minimālo algu</w:t>
      </w:r>
      <w:r w:rsidRPr="00C67601">
        <w:rPr>
          <w:color w:val="000000"/>
          <w:szCs w:val="24"/>
        </w:rPr>
        <w:t>;</w:t>
      </w:r>
      <w:r w:rsidRPr="00C67601">
        <w:rPr>
          <w:szCs w:val="24"/>
        </w:rPr>
        <w:t xml:space="preserve"> </w:t>
      </w:r>
    </w:p>
    <w:p w14:paraId="2819FFA1" w14:textId="62D6C0E7" w:rsidR="00546202" w:rsidRPr="000203BA" w:rsidRDefault="00546202" w:rsidP="003312F6">
      <w:pPr>
        <w:pStyle w:val="ListParagraph"/>
        <w:numPr>
          <w:ilvl w:val="0"/>
          <w:numId w:val="16"/>
        </w:numPr>
        <w:tabs>
          <w:tab w:val="left" w:pos="1170"/>
        </w:tabs>
        <w:ind w:left="913" w:right="777" w:hanging="573"/>
        <w:rPr>
          <w:color w:val="000000"/>
          <w:szCs w:val="24"/>
        </w:rPr>
      </w:pPr>
      <w:r w:rsidRPr="00C67601">
        <w:rPr>
          <w:b/>
          <w:bCs/>
          <w:color w:val="000000"/>
          <w:szCs w:val="24"/>
        </w:rPr>
        <w:t xml:space="preserve">no 2025. gada </w:t>
      </w:r>
      <w:r w:rsidRPr="00354A4A">
        <w:rPr>
          <w:color w:val="000000"/>
          <w:szCs w:val="24"/>
        </w:rPr>
        <w:t>palielināt pensionār</w:t>
      </w:r>
      <w:r w:rsidR="003312F6">
        <w:rPr>
          <w:color w:val="000000"/>
          <w:szCs w:val="24"/>
        </w:rPr>
        <w:t>a</w:t>
      </w:r>
      <w:r w:rsidRPr="00354A4A">
        <w:rPr>
          <w:color w:val="000000"/>
          <w:szCs w:val="24"/>
        </w:rPr>
        <w:t xml:space="preserve"> neapliekamo minimumu no</w:t>
      </w:r>
      <w:r w:rsidRPr="00354A4A">
        <w:rPr>
          <w:b/>
          <w:bCs/>
          <w:color w:val="000000"/>
          <w:szCs w:val="24"/>
        </w:rPr>
        <w:t xml:space="preserve"> 500 </w:t>
      </w:r>
      <w:r w:rsidRPr="00354A4A">
        <w:rPr>
          <w:color w:val="000000"/>
          <w:szCs w:val="24"/>
        </w:rPr>
        <w:t>uz</w:t>
      </w:r>
      <w:r w:rsidRPr="00354A4A">
        <w:rPr>
          <w:b/>
          <w:bCs/>
          <w:color w:val="000000"/>
          <w:szCs w:val="24"/>
        </w:rPr>
        <w:t xml:space="preserve"> </w:t>
      </w:r>
      <w:r w:rsidR="00456496">
        <w:rPr>
          <w:b/>
          <w:bCs/>
          <w:color w:val="FF0000"/>
          <w:szCs w:val="24"/>
        </w:rPr>
        <w:t>1 000</w:t>
      </w:r>
      <w:r w:rsidR="003312F6">
        <w:rPr>
          <w:b/>
          <w:bCs/>
          <w:color w:val="FF0000"/>
          <w:szCs w:val="24"/>
        </w:rPr>
        <w:t> </w:t>
      </w:r>
      <w:r w:rsidRPr="00354A4A">
        <w:rPr>
          <w:i/>
          <w:iCs/>
          <w:color w:val="000000"/>
          <w:szCs w:val="24"/>
        </w:rPr>
        <w:t>euro</w:t>
      </w:r>
      <w:r w:rsidRPr="00354A4A">
        <w:rPr>
          <w:b/>
          <w:bCs/>
          <w:color w:val="000000"/>
          <w:szCs w:val="24"/>
        </w:rPr>
        <w:t xml:space="preserve"> </w:t>
      </w:r>
      <w:r w:rsidRPr="00354A4A">
        <w:rPr>
          <w:color w:val="000000"/>
          <w:szCs w:val="24"/>
        </w:rPr>
        <w:t>mēnesī</w:t>
      </w:r>
      <w:r>
        <w:rPr>
          <w:color w:val="000000"/>
          <w:szCs w:val="24"/>
        </w:rPr>
        <w:t>.</w:t>
      </w:r>
    </w:p>
    <w:p w14:paraId="08709C0F" w14:textId="77777777" w:rsidR="00546202" w:rsidRPr="00775DC4" w:rsidRDefault="00546202" w:rsidP="000203BA">
      <w:pPr>
        <w:tabs>
          <w:tab w:val="left" w:pos="1276"/>
        </w:tabs>
        <w:spacing w:before="60" w:after="120"/>
        <w:jc w:val="center"/>
        <w:rPr>
          <w:b/>
          <w:bCs/>
          <w:color w:val="000000" w:themeColor="text1"/>
          <w:sz w:val="20"/>
          <w:szCs w:val="20"/>
        </w:rPr>
      </w:pPr>
      <w:r w:rsidRPr="00CD1EC4">
        <w:rPr>
          <w:color w:val="000000" w:themeColor="text1"/>
          <w:sz w:val="20"/>
          <w:szCs w:val="20"/>
        </w:rPr>
        <w:t>2.tab.</w:t>
      </w:r>
      <w:r>
        <w:rPr>
          <w:b/>
          <w:bCs/>
          <w:color w:val="000000" w:themeColor="text1"/>
          <w:sz w:val="20"/>
          <w:szCs w:val="20"/>
        </w:rPr>
        <w:t xml:space="preserve"> </w:t>
      </w:r>
      <w:r w:rsidRPr="00775DC4">
        <w:rPr>
          <w:b/>
          <w:bCs/>
          <w:color w:val="000000" w:themeColor="text1"/>
          <w:sz w:val="20"/>
          <w:szCs w:val="20"/>
        </w:rPr>
        <w:t>Darbaspēka nodokļu sloga mazināšanas scenārijs</w:t>
      </w:r>
    </w:p>
    <w:tbl>
      <w:tblPr>
        <w:tblStyle w:val="TableGrid"/>
        <w:tblW w:w="9072" w:type="dxa"/>
        <w:tblLayout w:type="fixed"/>
        <w:tblLook w:val="04A0" w:firstRow="1" w:lastRow="0" w:firstColumn="1" w:lastColumn="0" w:noHBand="0" w:noVBand="1"/>
      </w:tblPr>
      <w:tblGrid>
        <w:gridCol w:w="2749"/>
        <w:gridCol w:w="799"/>
        <w:gridCol w:w="684"/>
        <w:gridCol w:w="819"/>
        <w:gridCol w:w="766"/>
        <w:gridCol w:w="820"/>
        <w:gridCol w:w="827"/>
        <w:gridCol w:w="842"/>
        <w:gridCol w:w="766"/>
      </w:tblGrid>
      <w:tr w:rsidR="00546202" w:rsidRPr="009C5FBC" w14:paraId="7EE9E2D2" w14:textId="77777777" w:rsidTr="006548BB">
        <w:trPr>
          <w:trHeight w:val="50"/>
        </w:trPr>
        <w:tc>
          <w:tcPr>
            <w:tcW w:w="2749" w:type="dxa"/>
            <w:tcBorders>
              <w:right w:val="single" w:sz="4" w:space="0" w:color="FFFFFF" w:themeColor="background1"/>
            </w:tcBorders>
            <w:shd w:val="clear" w:color="auto" w:fill="002060"/>
          </w:tcPr>
          <w:p w14:paraId="631F9362" w14:textId="77777777" w:rsidR="00546202" w:rsidRPr="005C1FD5" w:rsidRDefault="00546202" w:rsidP="000803FC">
            <w:pPr>
              <w:contextualSpacing/>
              <w:jc w:val="center"/>
              <w:rPr>
                <w:rFonts w:cstheme="minorHAnsi"/>
                <w:b/>
                <w:color w:val="FFFFFF" w:themeColor="background1"/>
                <w:sz w:val="20"/>
                <w:szCs w:val="20"/>
              </w:rPr>
            </w:pPr>
          </w:p>
        </w:tc>
        <w:tc>
          <w:tcPr>
            <w:tcW w:w="1483" w:type="dxa"/>
            <w:gridSpan w:val="2"/>
            <w:tcBorders>
              <w:left w:val="single" w:sz="4" w:space="0" w:color="FFFFFF" w:themeColor="background1"/>
              <w:bottom w:val="single" w:sz="4" w:space="0" w:color="000000"/>
              <w:right w:val="single" w:sz="4" w:space="0" w:color="FFFFFF" w:themeColor="background1"/>
            </w:tcBorders>
            <w:shd w:val="clear" w:color="auto" w:fill="002060"/>
          </w:tcPr>
          <w:p w14:paraId="4D660FAF" w14:textId="77777777" w:rsidR="00546202" w:rsidRPr="005C1FD5" w:rsidRDefault="00546202" w:rsidP="000803FC">
            <w:pPr>
              <w:contextualSpacing/>
              <w:jc w:val="center"/>
              <w:rPr>
                <w:rFonts w:cstheme="minorHAnsi"/>
                <w:b/>
                <w:color w:val="FFFFFF" w:themeColor="background1"/>
                <w:sz w:val="20"/>
                <w:szCs w:val="20"/>
              </w:rPr>
            </w:pPr>
            <w:r w:rsidRPr="005C1FD5">
              <w:rPr>
                <w:rFonts w:cstheme="minorHAnsi"/>
                <w:b/>
                <w:color w:val="FFFFFF" w:themeColor="background1"/>
                <w:sz w:val="20"/>
                <w:szCs w:val="20"/>
              </w:rPr>
              <w:t>2024</w:t>
            </w:r>
          </w:p>
        </w:tc>
        <w:tc>
          <w:tcPr>
            <w:tcW w:w="1585" w:type="dxa"/>
            <w:gridSpan w:val="2"/>
            <w:tcBorders>
              <w:left w:val="single" w:sz="4" w:space="0" w:color="FFFFFF" w:themeColor="background1"/>
              <w:right w:val="single" w:sz="4" w:space="0" w:color="FFFFFF" w:themeColor="background1"/>
            </w:tcBorders>
            <w:shd w:val="clear" w:color="auto" w:fill="002060"/>
          </w:tcPr>
          <w:p w14:paraId="5F749ACB" w14:textId="77777777" w:rsidR="00546202" w:rsidRPr="005C1FD5" w:rsidRDefault="00546202" w:rsidP="000803FC">
            <w:pPr>
              <w:contextualSpacing/>
              <w:jc w:val="center"/>
              <w:rPr>
                <w:rFonts w:cstheme="minorHAnsi"/>
                <w:b/>
                <w:color w:val="FFFFFF" w:themeColor="background1"/>
                <w:sz w:val="20"/>
                <w:szCs w:val="20"/>
              </w:rPr>
            </w:pPr>
            <w:r w:rsidRPr="005C1FD5">
              <w:rPr>
                <w:rFonts w:cstheme="minorHAnsi"/>
                <w:b/>
                <w:color w:val="FFFFFF" w:themeColor="background1"/>
                <w:sz w:val="20"/>
                <w:szCs w:val="20"/>
              </w:rPr>
              <w:t>2025</w:t>
            </w:r>
          </w:p>
        </w:tc>
        <w:tc>
          <w:tcPr>
            <w:tcW w:w="1647" w:type="dxa"/>
            <w:gridSpan w:val="2"/>
            <w:tcBorders>
              <w:left w:val="single" w:sz="4" w:space="0" w:color="FFFFFF" w:themeColor="background1"/>
              <w:right w:val="single" w:sz="4" w:space="0" w:color="FFFFFF" w:themeColor="background1"/>
            </w:tcBorders>
            <w:shd w:val="clear" w:color="auto" w:fill="002060"/>
          </w:tcPr>
          <w:p w14:paraId="17633F01" w14:textId="77777777" w:rsidR="00546202" w:rsidRPr="005C1FD5" w:rsidRDefault="00546202" w:rsidP="000803FC">
            <w:pPr>
              <w:contextualSpacing/>
              <w:jc w:val="center"/>
              <w:rPr>
                <w:rFonts w:cstheme="minorHAnsi"/>
                <w:b/>
                <w:color w:val="FFFFFF" w:themeColor="background1"/>
                <w:sz w:val="20"/>
                <w:szCs w:val="20"/>
              </w:rPr>
            </w:pPr>
            <w:r w:rsidRPr="005C1FD5">
              <w:rPr>
                <w:rFonts w:cstheme="minorHAnsi"/>
                <w:b/>
                <w:color w:val="FFFFFF" w:themeColor="background1"/>
                <w:sz w:val="20"/>
                <w:szCs w:val="20"/>
              </w:rPr>
              <w:t>2026</w:t>
            </w:r>
          </w:p>
        </w:tc>
        <w:tc>
          <w:tcPr>
            <w:tcW w:w="1608" w:type="dxa"/>
            <w:gridSpan w:val="2"/>
            <w:tcBorders>
              <w:left w:val="single" w:sz="4" w:space="0" w:color="FFFFFF" w:themeColor="background1"/>
            </w:tcBorders>
            <w:shd w:val="clear" w:color="auto" w:fill="002060"/>
          </w:tcPr>
          <w:p w14:paraId="5574DA5C" w14:textId="77777777" w:rsidR="00546202" w:rsidRPr="005C1FD5" w:rsidRDefault="00546202" w:rsidP="000803FC">
            <w:pPr>
              <w:contextualSpacing/>
              <w:jc w:val="center"/>
              <w:rPr>
                <w:rFonts w:cstheme="minorHAnsi"/>
                <w:b/>
                <w:color w:val="FFFFFF" w:themeColor="background1"/>
                <w:sz w:val="20"/>
                <w:szCs w:val="20"/>
              </w:rPr>
            </w:pPr>
            <w:r w:rsidRPr="005C1FD5">
              <w:rPr>
                <w:rFonts w:cstheme="minorHAnsi"/>
                <w:b/>
                <w:color w:val="FFFFFF" w:themeColor="background1"/>
                <w:sz w:val="20"/>
                <w:szCs w:val="20"/>
              </w:rPr>
              <w:t>2027</w:t>
            </w:r>
          </w:p>
        </w:tc>
      </w:tr>
      <w:tr w:rsidR="00546202" w:rsidRPr="00775DC4" w14:paraId="4F0F1B88" w14:textId="77777777" w:rsidTr="006548BB">
        <w:trPr>
          <w:trHeight w:val="50"/>
        </w:trPr>
        <w:tc>
          <w:tcPr>
            <w:tcW w:w="2749" w:type="dxa"/>
            <w:shd w:val="clear" w:color="auto" w:fill="FFF2CC" w:themeFill="accent4" w:themeFillTint="33"/>
            <w:vAlign w:val="center"/>
          </w:tcPr>
          <w:p w14:paraId="6DAF859A" w14:textId="77777777" w:rsidR="00546202" w:rsidRPr="00775DC4" w:rsidRDefault="00546202" w:rsidP="000803FC">
            <w:pPr>
              <w:contextualSpacing/>
              <w:rPr>
                <w:rFonts w:cstheme="minorHAnsi"/>
                <w:b/>
                <w:sz w:val="20"/>
                <w:szCs w:val="20"/>
              </w:rPr>
            </w:pPr>
            <w:r w:rsidRPr="00775DC4">
              <w:rPr>
                <w:b/>
                <w:bCs/>
                <w:sz w:val="20"/>
                <w:szCs w:val="20"/>
              </w:rPr>
              <w:t>VSAOI likme</w:t>
            </w:r>
          </w:p>
        </w:tc>
        <w:tc>
          <w:tcPr>
            <w:tcW w:w="1483" w:type="dxa"/>
            <w:gridSpan w:val="2"/>
            <w:tcBorders>
              <w:bottom w:val="single" w:sz="4" w:space="0" w:color="000000"/>
            </w:tcBorders>
            <w:shd w:val="clear" w:color="auto" w:fill="FFF2CC" w:themeFill="accent4" w:themeFillTint="33"/>
            <w:vAlign w:val="center"/>
          </w:tcPr>
          <w:p w14:paraId="01A553C5" w14:textId="77777777" w:rsidR="00546202" w:rsidRPr="00775DC4" w:rsidRDefault="00546202" w:rsidP="000803FC">
            <w:pPr>
              <w:contextualSpacing/>
              <w:jc w:val="center"/>
              <w:rPr>
                <w:rFonts w:cstheme="minorHAnsi"/>
                <w:b/>
                <w:sz w:val="20"/>
                <w:szCs w:val="20"/>
              </w:rPr>
            </w:pPr>
            <w:r w:rsidRPr="00775DC4">
              <w:rPr>
                <w:b/>
                <w:bCs/>
                <w:sz w:val="20"/>
                <w:szCs w:val="20"/>
              </w:rPr>
              <w:t>34,09%</w:t>
            </w:r>
          </w:p>
        </w:tc>
        <w:tc>
          <w:tcPr>
            <w:tcW w:w="1585" w:type="dxa"/>
            <w:gridSpan w:val="2"/>
            <w:shd w:val="clear" w:color="auto" w:fill="FFF2CC" w:themeFill="accent4" w:themeFillTint="33"/>
            <w:vAlign w:val="center"/>
          </w:tcPr>
          <w:p w14:paraId="3E8B528E" w14:textId="77777777" w:rsidR="00546202" w:rsidRPr="00775DC4" w:rsidRDefault="00546202" w:rsidP="000803FC">
            <w:pPr>
              <w:contextualSpacing/>
              <w:jc w:val="center"/>
              <w:rPr>
                <w:rFonts w:cstheme="minorHAnsi"/>
                <w:b/>
                <w:sz w:val="20"/>
                <w:szCs w:val="20"/>
              </w:rPr>
            </w:pPr>
            <w:r w:rsidRPr="00775DC4">
              <w:rPr>
                <w:b/>
                <w:bCs/>
                <w:sz w:val="20"/>
                <w:szCs w:val="20"/>
              </w:rPr>
              <w:t>34,09%</w:t>
            </w:r>
          </w:p>
        </w:tc>
        <w:tc>
          <w:tcPr>
            <w:tcW w:w="1647" w:type="dxa"/>
            <w:gridSpan w:val="2"/>
            <w:shd w:val="clear" w:color="auto" w:fill="FFF2CC" w:themeFill="accent4" w:themeFillTint="33"/>
            <w:vAlign w:val="center"/>
          </w:tcPr>
          <w:p w14:paraId="01EAEEF4" w14:textId="77777777" w:rsidR="00546202" w:rsidRPr="00775DC4" w:rsidRDefault="00546202" w:rsidP="000803FC">
            <w:pPr>
              <w:contextualSpacing/>
              <w:jc w:val="center"/>
              <w:rPr>
                <w:rFonts w:cstheme="minorHAnsi"/>
                <w:b/>
                <w:sz w:val="20"/>
                <w:szCs w:val="20"/>
              </w:rPr>
            </w:pPr>
            <w:r w:rsidRPr="00775DC4">
              <w:rPr>
                <w:b/>
                <w:bCs/>
                <w:sz w:val="20"/>
                <w:szCs w:val="20"/>
              </w:rPr>
              <w:t>34,09%</w:t>
            </w:r>
          </w:p>
        </w:tc>
        <w:tc>
          <w:tcPr>
            <w:tcW w:w="1608" w:type="dxa"/>
            <w:gridSpan w:val="2"/>
            <w:shd w:val="clear" w:color="auto" w:fill="FFF2CC" w:themeFill="accent4" w:themeFillTint="33"/>
            <w:vAlign w:val="center"/>
          </w:tcPr>
          <w:p w14:paraId="2CDDABA8" w14:textId="77777777" w:rsidR="00546202" w:rsidRPr="00775DC4" w:rsidRDefault="00546202" w:rsidP="000803FC">
            <w:pPr>
              <w:contextualSpacing/>
              <w:jc w:val="center"/>
              <w:rPr>
                <w:rFonts w:cstheme="minorHAnsi"/>
                <w:b/>
                <w:sz w:val="20"/>
                <w:szCs w:val="20"/>
              </w:rPr>
            </w:pPr>
            <w:r w:rsidRPr="00775DC4">
              <w:rPr>
                <w:b/>
                <w:bCs/>
                <w:sz w:val="20"/>
                <w:szCs w:val="20"/>
              </w:rPr>
              <w:t>34,09%</w:t>
            </w:r>
          </w:p>
        </w:tc>
      </w:tr>
      <w:tr w:rsidR="00546202" w:rsidRPr="00775DC4" w14:paraId="0D6091FD" w14:textId="77777777" w:rsidTr="006548BB">
        <w:trPr>
          <w:trHeight w:val="50"/>
        </w:trPr>
        <w:tc>
          <w:tcPr>
            <w:tcW w:w="2749" w:type="dxa"/>
            <w:shd w:val="clear" w:color="auto" w:fill="FFFFFF" w:themeFill="background1"/>
            <w:vAlign w:val="center"/>
          </w:tcPr>
          <w:p w14:paraId="11A01689" w14:textId="77777777" w:rsidR="00546202" w:rsidRPr="00775DC4" w:rsidRDefault="00546202" w:rsidP="000803FC">
            <w:pPr>
              <w:contextualSpacing/>
              <w:rPr>
                <w:rFonts w:cstheme="minorHAnsi"/>
                <w:b/>
                <w:sz w:val="20"/>
                <w:szCs w:val="20"/>
              </w:rPr>
            </w:pPr>
            <w:r w:rsidRPr="00775DC4">
              <w:rPr>
                <w:sz w:val="20"/>
                <w:szCs w:val="20"/>
              </w:rPr>
              <w:t>Darba devēja likme</w:t>
            </w:r>
          </w:p>
        </w:tc>
        <w:tc>
          <w:tcPr>
            <w:tcW w:w="1483" w:type="dxa"/>
            <w:gridSpan w:val="2"/>
            <w:tcBorders>
              <w:bottom w:val="single" w:sz="4" w:space="0" w:color="000000"/>
            </w:tcBorders>
            <w:shd w:val="clear" w:color="auto" w:fill="FFFFFF" w:themeFill="background1"/>
            <w:vAlign w:val="center"/>
          </w:tcPr>
          <w:p w14:paraId="458D4F59" w14:textId="77777777" w:rsidR="00546202" w:rsidRPr="00775DC4" w:rsidRDefault="00546202" w:rsidP="000803FC">
            <w:pPr>
              <w:contextualSpacing/>
              <w:jc w:val="center"/>
              <w:rPr>
                <w:rFonts w:cstheme="minorHAnsi"/>
                <w:b/>
                <w:sz w:val="20"/>
                <w:szCs w:val="20"/>
              </w:rPr>
            </w:pPr>
            <w:r w:rsidRPr="006B0A8A">
              <w:rPr>
                <w:sz w:val="20"/>
                <w:szCs w:val="20"/>
              </w:rPr>
              <w:t>23,59%</w:t>
            </w:r>
          </w:p>
        </w:tc>
        <w:tc>
          <w:tcPr>
            <w:tcW w:w="1585" w:type="dxa"/>
            <w:gridSpan w:val="2"/>
            <w:shd w:val="clear" w:color="auto" w:fill="FFFFFF" w:themeFill="background1"/>
            <w:vAlign w:val="center"/>
          </w:tcPr>
          <w:p w14:paraId="5929F168" w14:textId="77777777" w:rsidR="00546202" w:rsidRPr="00775DC4" w:rsidRDefault="00546202" w:rsidP="000803FC">
            <w:pPr>
              <w:contextualSpacing/>
              <w:jc w:val="center"/>
              <w:rPr>
                <w:rFonts w:cstheme="minorHAnsi"/>
                <w:b/>
                <w:sz w:val="20"/>
                <w:szCs w:val="20"/>
              </w:rPr>
            </w:pPr>
            <w:r w:rsidRPr="006B0A8A">
              <w:rPr>
                <w:sz w:val="20"/>
                <w:szCs w:val="20"/>
              </w:rPr>
              <w:t>23,59%</w:t>
            </w:r>
          </w:p>
        </w:tc>
        <w:tc>
          <w:tcPr>
            <w:tcW w:w="1647" w:type="dxa"/>
            <w:gridSpan w:val="2"/>
            <w:shd w:val="clear" w:color="auto" w:fill="FFFFFF" w:themeFill="background1"/>
            <w:vAlign w:val="center"/>
          </w:tcPr>
          <w:p w14:paraId="391F0816" w14:textId="77777777" w:rsidR="00546202" w:rsidRPr="00775DC4" w:rsidRDefault="00546202" w:rsidP="000803FC">
            <w:pPr>
              <w:contextualSpacing/>
              <w:jc w:val="center"/>
              <w:rPr>
                <w:rFonts w:cstheme="minorHAnsi"/>
                <w:b/>
                <w:sz w:val="20"/>
                <w:szCs w:val="20"/>
              </w:rPr>
            </w:pPr>
            <w:r w:rsidRPr="006B0A8A">
              <w:rPr>
                <w:sz w:val="20"/>
                <w:szCs w:val="20"/>
              </w:rPr>
              <w:t>23,59%</w:t>
            </w:r>
          </w:p>
        </w:tc>
        <w:tc>
          <w:tcPr>
            <w:tcW w:w="1608" w:type="dxa"/>
            <w:gridSpan w:val="2"/>
            <w:shd w:val="clear" w:color="auto" w:fill="FFFFFF" w:themeFill="background1"/>
            <w:vAlign w:val="center"/>
          </w:tcPr>
          <w:p w14:paraId="7685FDA5" w14:textId="77777777" w:rsidR="00546202" w:rsidRPr="00775DC4" w:rsidRDefault="00546202" w:rsidP="000803FC">
            <w:pPr>
              <w:contextualSpacing/>
              <w:jc w:val="center"/>
              <w:rPr>
                <w:rFonts w:cstheme="minorHAnsi"/>
                <w:b/>
                <w:sz w:val="20"/>
                <w:szCs w:val="20"/>
              </w:rPr>
            </w:pPr>
            <w:r w:rsidRPr="006B0A8A">
              <w:rPr>
                <w:sz w:val="20"/>
                <w:szCs w:val="20"/>
              </w:rPr>
              <w:t>23,59%</w:t>
            </w:r>
          </w:p>
        </w:tc>
      </w:tr>
      <w:tr w:rsidR="00546202" w:rsidRPr="00775DC4" w14:paraId="228D1332" w14:textId="77777777" w:rsidTr="006548BB">
        <w:trPr>
          <w:trHeight w:val="50"/>
        </w:trPr>
        <w:tc>
          <w:tcPr>
            <w:tcW w:w="2749" w:type="dxa"/>
            <w:shd w:val="clear" w:color="auto" w:fill="FFFFFF" w:themeFill="background1"/>
          </w:tcPr>
          <w:p w14:paraId="4CCD51E1" w14:textId="77777777" w:rsidR="00546202" w:rsidRPr="00775DC4" w:rsidRDefault="00546202" w:rsidP="000803FC">
            <w:pPr>
              <w:contextualSpacing/>
              <w:rPr>
                <w:rFonts w:cstheme="minorHAnsi"/>
                <w:b/>
                <w:sz w:val="20"/>
                <w:szCs w:val="20"/>
              </w:rPr>
            </w:pPr>
            <w:r w:rsidRPr="00775DC4">
              <w:rPr>
                <w:sz w:val="20"/>
                <w:szCs w:val="20"/>
              </w:rPr>
              <w:t>Darba ņēmēja likme</w:t>
            </w:r>
          </w:p>
        </w:tc>
        <w:tc>
          <w:tcPr>
            <w:tcW w:w="1483" w:type="dxa"/>
            <w:gridSpan w:val="2"/>
            <w:tcBorders>
              <w:bottom w:val="single" w:sz="4" w:space="0" w:color="000000"/>
            </w:tcBorders>
            <w:shd w:val="clear" w:color="auto" w:fill="FFFFFF" w:themeFill="background1"/>
            <w:vAlign w:val="center"/>
          </w:tcPr>
          <w:p w14:paraId="7BCAFCB3" w14:textId="77777777" w:rsidR="00546202" w:rsidRPr="00775DC4" w:rsidRDefault="00546202" w:rsidP="000803FC">
            <w:pPr>
              <w:contextualSpacing/>
              <w:jc w:val="center"/>
              <w:rPr>
                <w:rFonts w:cstheme="minorHAnsi"/>
                <w:b/>
                <w:sz w:val="20"/>
                <w:szCs w:val="20"/>
              </w:rPr>
            </w:pPr>
            <w:r w:rsidRPr="006B0A8A">
              <w:rPr>
                <w:sz w:val="20"/>
                <w:szCs w:val="20"/>
              </w:rPr>
              <w:t>10,5%</w:t>
            </w:r>
          </w:p>
        </w:tc>
        <w:tc>
          <w:tcPr>
            <w:tcW w:w="1585" w:type="dxa"/>
            <w:gridSpan w:val="2"/>
            <w:shd w:val="clear" w:color="auto" w:fill="FFFFFF" w:themeFill="background1"/>
            <w:vAlign w:val="center"/>
          </w:tcPr>
          <w:p w14:paraId="354D68AC" w14:textId="77777777" w:rsidR="00546202" w:rsidRPr="00775DC4" w:rsidRDefault="00546202" w:rsidP="000803FC">
            <w:pPr>
              <w:contextualSpacing/>
              <w:jc w:val="center"/>
              <w:rPr>
                <w:rFonts w:cstheme="minorHAnsi"/>
                <w:b/>
                <w:sz w:val="20"/>
                <w:szCs w:val="20"/>
              </w:rPr>
            </w:pPr>
            <w:r w:rsidRPr="006B0A8A">
              <w:rPr>
                <w:sz w:val="20"/>
                <w:szCs w:val="20"/>
              </w:rPr>
              <w:t>10,5%</w:t>
            </w:r>
          </w:p>
        </w:tc>
        <w:tc>
          <w:tcPr>
            <w:tcW w:w="1647" w:type="dxa"/>
            <w:gridSpan w:val="2"/>
            <w:shd w:val="clear" w:color="auto" w:fill="FFFFFF" w:themeFill="background1"/>
            <w:vAlign w:val="center"/>
          </w:tcPr>
          <w:p w14:paraId="75B55BE2" w14:textId="77777777" w:rsidR="00546202" w:rsidRPr="00775DC4" w:rsidRDefault="00546202" w:rsidP="000803FC">
            <w:pPr>
              <w:contextualSpacing/>
              <w:jc w:val="center"/>
              <w:rPr>
                <w:rFonts w:cstheme="minorHAnsi"/>
                <w:b/>
                <w:sz w:val="20"/>
                <w:szCs w:val="20"/>
              </w:rPr>
            </w:pPr>
            <w:r w:rsidRPr="006B0A8A">
              <w:rPr>
                <w:sz w:val="20"/>
                <w:szCs w:val="20"/>
              </w:rPr>
              <w:t>10,5%</w:t>
            </w:r>
          </w:p>
        </w:tc>
        <w:tc>
          <w:tcPr>
            <w:tcW w:w="1608" w:type="dxa"/>
            <w:gridSpan w:val="2"/>
            <w:shd w:val="clear" w:color="auto" w:fill="FFFFFF" w:themeFill="background1"/>
            <w:vAlign w:val="center"/>
          </w:tcPr>
          <w:p w14:paraId="4992DF4B" w14:textId="77777777" w:rsidR="00546202" w:rsidRPr="00775DC4" w:rsidRDefault="00546202" w:rsidP="000803FC">
            <w:pPr>
              <w:contextualSpacing/>
              <w:jc w:val="center"/>
              <w:rPr>
                <w:rFonts w:cstheme="minorHAnsi"/>
                <w:b/>
                <w:sz w:val="20"/>
                <w:szCs w:val="20"/>
              </w:rPr>
            </w:pPr>
            <w:r w:rsidRPr="006B0A8A">
              <w:rPr>
                <w:sz w:val="20"/>
                <w:szCs w:val="20"/>
              </w:rPr>
              <w:t>10,5%</w:t>
            </w:r>
          </w:p>
        </w:tc>
      </w:tr>
      <w:tr w:rsidR="00546202" w:rsidRPr="00775DC4" w14:paraId="0AC56630" w14:textId="77777777" w:rsidTr="006548BB">
        <w:trPr>
          <w:trHeight w:val="50"/>
        </w:trPr>
        <w:tc>
          <w:tcPr>
            <w:tcW w:w="2749" w:type="dxa"/>
            <w:shd w:val="clear" w:color="auto" w:fill="FFFFFF" w:themeFill="background1"/>
          </w:tcPr>
          <w:p w14:paraId="19261B91" w14:textId="383402F7" w:rsidR="00546202" w:rsidRPr="00775DC4" w:rsidRDefault="003312F6" w:rsidP="000803FC">
            <w:pPr>
              <w:contextualSpacing/>
              <w:rPr>
                <w:rFonts w:cstheme="minorHAnsi"/>
                <w:b/>
                <w:sz w:val="20"/>
                <w:szCs w:val="20"/>
              </w:rPr>
            </w:pPr>
            <w:r w:rsidRPr="00366146">
              <w:rPr>
                <w:rFonts w:cs="Times New Roman"/>
                <w:b/>
                <w:bCs/>
                <w:sz w:val="20"/>
                <w:szCs w:val="20"/>
              </w:rPr>
              <w:t xml:space="preserve">VSAOI </w:t>
            </w:r>
            <w:r w:rsidRPr="003312F6">
              <w:rPr>
                <w:rFonts w:cs="Times New Roman"/>
                <w:b/>
                <w:bCs/>
                <w:sz w:val="20"/>
                <w:szCs w:val="20"/>
              </w:rPr>
              <w:t>objekta maksimāl</w:t>
            </w:r>
            <w:r>
              <w:rPr>
                <w:rFonts w:cs="Times New Roman"/>
                <w:b/>
                <w:bCs/>
                <w:sz w:val="20"/>
                <w:szCs w:val="20"/>
              </w:rPr>
              <w:t>ais</w:t>
            </w:r>
            <w:r w:rsidRPr="003312F6">
              <w:rPr>
                <w:rFonts w:cs="Times New Roman"/>
                <w:b/>
                <w:bCs/>
                <w:sz w:val="20"/>
                <w:szCs w:val="20"/>
              </w:rPr>
              <w:t xml:space="preserve"> apmēr</w:t>
            </w:r>
            <w:r>
              <w:rPr>
                <w:rFonts w:cs="Times New Roman"/>
                <w:b/>
                <w:bCs/>
                <w:sz w:val="20"/>
                <w:szCs w:val="20"/>
              </w:rPr>
              <w:t>s</w:t>
            </w:r>
            <w:r w:rsidRPr="00366146">
              <w:rPr>
                <w:rFonts w:cs="Times New Roman"/>
                <w:sz w:val="20"/>
                <w:szCs w:val="20"/>
              </w:rPr>
              <w:t xml:space="preserve">, </w:t>
            </w:r>
            <w:r w:rsidRPr="00366146">
              <w:rPr>
                <w:rFonts w:cs="Times New Roman"/>
                <w:i/>
                <w:iCs/>
                <w:sz w:val="20"/>
                <w:szCs w:val="20"/>
              </w:rPr>
              <w:t>euro gadā</w:t>
            </w:r>
          </w:p>
        </w:tc>
        <w:tc>
          <w:tcPr>
            <w:tcW w:w="1483" w:type="dxa"/>
            <w:gridSpan w:val="2"/>
            <w:tcBorders>
              <w:bottom w:val="single" w:sz="4" w:space="0" w:color="000000"/>
            </w:tcBorders>
            <w:shd w:val="clear" w:color="auto" w:fill="FFFFFF" w:themeFill="background1"/>
            <w:vAlign w:val="center"/>
          </w:tcPr>
          <w:p w14:paraId="65FC3834" w14:textId="77777777" w:rsidR="00546202" w:rsidRPr="00775DC4" w:rsidRDefault="00546202" w:rsidP="000803FC">
            <w:pPr>
              <w:contextualSpacing/>
              <w:jc w:val="center"/>
              <w:rPr>
                <w:rFonts w:cstheme="minorHAnsi"/>
                <w:b/>
                <w:sz w:val="20"/>
                <w:szCs w:val="20"/>
              </w:rPr>
            </w:pPr>
            <w:r w:rsidRPr="0092390B">
              <w:rPr>
                <w:b/>
                <w:bCs/>
                <w:sz w:val="20"/>
                <w:szCs w:val="20"/>
              </w:rPr>
              <w:t>78 100</w:t>
            </w:r>
          </w:p>
        </w:tc>
        <w:tc>
          <w:tcPr>
            <w:tcW w:w="1585" w:type="dxa"/>
            <w:gridSpan w:val="2"/>
            <w:shd w:val="clear" w:color="auto" w:fill="FFFFFF" w:themeFill="background1"/>
            <w:vAlign w:val="center"/>
          </w:tcPr>
          <w:p w14:paraId="18051B61" w14:textId="77777777" w:rsidR="00546202" w:rsidRPr="00775DC4" w:rsidRDefault="00546202" w:rsidP="000803FC">
            <w:pPr>
              <w:contextualSpacing/>
              <w:jc w:val="center"/>
              <w:rPr>
                <w:rFonts w:cstheme="minorHAnsi"/>
                <w:b/>
                <w:sz w:val="20"/>
                <w:szCs w:val="20"/>
              </w:rPr>
            </w:pPr>
            <w:r w:rsidRPr="0092390B">
              <w:rPr>
                <w:b/>
                <w:bCs/>
                <w:color w:val="C00000"/>
                <w:sz w:val="20"/>
                <w:szCs w:val="20"/>
              </w:rPr>
              <w:t>105 300</w:t>
            </w:r>
          </w:p>
        </w:tc>
        <w:tc>
          <w:tcPr>
            <w:tcW w:w="1647" w:type="dxa"/>
            <w:gridSpan w:val="2"/>
            <w:shd w:val="clear" w:color="auto" w:fill="FFFFFF" w:themeFill="background1"/>
            <w:vAlign w:val="center"/>
          </w:tcPr>
          <w:p w14:paraId="16F80EB7" w14:textId="77777777" w:rsidR="00546202" w:rsidRPr="00775DC4" w:rsidRDefault="00546202" w:rsidP="000803FC">
            <w:pPr>
              <w:contextualSpacing/>
              <w:jc w:val="center"/>
              <w:rPr>
                <w:rFonts w:cstheme="minorHAnsi"/>
                <w:b/>
                <w:sz w:val="20"/>
                <w:szCs w:val="20"/>
              </w:rPr>
            </w:pPr>
            <w:r w:rsidRPr="0092390B">
              <w:rPr>
                <w:b/>
                <w:bCs/>
                <w:color w:val="C00000"/>
                <w:sz w:val="20"/>
                <w:szCs w:val="20"/>
              </w:rPr>
              <w:t>105 300</w:t>
            </w:r>
          </w:p>
        </w:tc>
        <w:tc>
          <w:tcPr>
            <w:tcW w:w="1608" w:type="dxa"/>
            <w:gridSpan w:val="2"/>
            <w:shd w:val="clear" w:color="auto" w:fill="FFFFFF" w:themeFill="background1"/>
            <w:vAlign w:val="center"/>
          </w:tcPr>
          <w:p w14:paraId="455937FB" w14:textId="77777777" w:rsidR="00546202" w:rsidRPr="00775DC4" w:rsidRDefault="00546202" w:rsidP="000803FC">
            <w:pPr>
              <w:contextualSpacing/>
              <w:jc w:val="center"/>
              <w:rPr>
                <w:rFonts w:cstheme="minorHAnsi"/>
                <w:b/>
                <w:sz w:val="20"/>
                <w:szCs w:val="20"/>
              </w:rPr>
            </w:pPr>
            <w:r w:rsidRPr="0092390B">
              <w:rPr>
                <w:b/>
                <w:bCs/>
                <w:color w:val="C00000"/>
                <w:sz w:val="20"/>
                <w:szCs w:val="20"/>
              </w:rPr>
              <w:t>105 300</w:t>
            </w:r>
          </w:p>
        </w:tc>
      </w:tr>
      <w:tr w:rsidR="00546202" w:rsidRPr="00775DC4" w14:paraId="340F726E" w14:textId="77777777" w:rsidTr="006548BB">
        <w:trPr>
          <w:trHeight w:val="50"/>
        </w:trPr>
        <w:tc>
          <w:tcPr>
            <w:tcW w:w="2749" w:type="dxa"/>
            <w:shd w:val="clear" w:color="auto" w:fill="FFF2CC" w:themeFill="accent4" w:themeFillTint="33"/>
            <w:vAlign w:val="center"/>
          </w:tcPr>
          <w:p w14:paraId="51EDF649" w14:textId="77777777" w:rsidR="00546202" w:rsidRPr="00775DC4" w:rsidRDefault="00546202" w:rsidP="000803FC">
            <w:pPr>
              <w:contextualSpacing/>
              <w:rPr>
                <w:rFonts w:cstheme="minorHAnsi"/>
                <w:b/>
                <w:sz w:val="20"/>
                <w:szCs w:val="20"/>
              </w:rPr>
            </w:pPr>
            <w:r w:rsidRPr="00775DC4">
              <w:rPr>
                <w:rFonts w:cstheme="minorHAnsi"/>
                <w:b/>
                <w:sz w:val="20"/>
                <w:szCs w:val="20"/>
              </w:rPr>
              <w:t>IIN likmes</w:t>
            </w:r>
          </w:p>
        </w:tc>
        <w:tc>
          <w:tcPr>
            <w:tcW w:w="1483" w:type="dxa"/>
            <w:gridSpan w:val="2"/>
            <w:tcBorders>
              <w:bottom w:val="single" w:sz="4" w:space="0" w:color="000000"/>
            </w:tcBorders>
            <w:shd w:val="clear" w:color="auto" w:fill="FFF2CC" w:themeFill="accent4" w:themeFillTint="33"/>
          </w:tcPr>
          <w:p w14:paraId="310E26DC" w14:textId="77777777" w:rsidR="00546202" w:rsidRPr="00775DC4" w:rsidRDefault="00546202" w:rsidP="000803FC">
            <w:pPr>
              <w:contextualSpacing/>
              <w:jc w:val="center"/>
              <w:rPr>
                <w:rFonts w:cstheme="minorHAnsi"/>
                <w:b/>
                <w:sz w:val="20"/>
                <w:szCs w:val="20"/>
              </w:rPr>
            </w:pPr>
          </w:p>
        </w:tc>
        <w:tc>
          <w:tcPr>
            <w:tcW w:w="1585" w:type="dxa"/>
            <w:gridSpan w:val="2"/>
            <w:shd w:val="clear" w:color="auto" w:fill="FFF2CC" w:themeFill="accent4" w:themeFillTint="33"/>
          </w:tcPr>
          <w:p w14:paraId="06F5A5AF" w14:textId="77777777" w:rsidR="00546202" w:rsidRPr="00775DC4" w:rsidRDefault="00546202" w:rsidP="000803FC">
            <w:pPr>
              <w:contextualSpacing/>
              <w:jc w:val="center"/>
              <w:rPr>
                <w:rFonts w:cstheme="minorHAnsi"/>
                <w:b/>
                <w:sz w:val="20"/>
                <w:szCs w:val="20"/>
              </w:rPr>
            </w:pPr>
          </w:p>
        </w:tc>
        <w:tc>
          <w:tcPr>
            <w:tcW w:w="1647" w:type="dxa"/>
            <w:gridSpan w:val="2"/>
            <w:shd w:val="clear" w:color="auto" w:fill="FFF2CC" w:themeFill="accent4" w:themeFillTint="33"/>
          </w:tcPr>
          <w:p w14:paraId="18E1E34C" w14:textId="77777777" w:rsidR="00546202" w:rsidRPr="00775DC4" w:rsidRDefault="00546202" w:rsidP="000803FC">
            <w:pPr>
              <w:contextualSpacing/>
              <w:jc w:val="center"/>
              <w:rPr>
                <w:rFonts w:cstheme="minorHAnsi"/>
                <w:b/>
                <w:sz w:val="20"/>
                <w:szCs w:val="20"/>
              </w:rPr>
            </w:pPr>
          </w:p>
        </w:tc>
        <w:tc>
          <w:tcPr>
            <w:tcW w:w="1608" w:type="dxa"/>
            <w:gridSpan w:val="2"/>
            <w:shd w:val="clear" w:color="auto" w:fill="FFF2CC" w:themeFill="accent4" w:themeFillTint="33"/>
          </w:tcPr>
          <w:p w14:paraId="2CD9A158" w14:textId="77777777" w:rsidR="00546202" w:rsidRPr="00775DC4" w:rsidRDefault="00546202" w:rsidP="000803FC">
            <w:pPr>
              <w:contextualSpacing/>
              <w:jc w:val="center"/>
              <w:rPr>
                <w:rFonts w:cstheme="minorHAnsi"/>
                <w:b/>
                <w:sz w:val="20"/>
                <w:szCs w:val="20"/>
              </w:rPr>
            </w:pPr>
          </w:p>
        </w:tc>
      </w:tr>
      <w:tr w:rsidR="00546202" w:rsidRPr="00F15523" w14:paraId="4F9DDBC9" w14:textId="77777777" w:rsidTr="006548BB">
        <w:trPr>
          <w:trHeight w:val="170"/>
        </w:trPr>
        <w:tc>
          <w:tcPr>
            <w:tcW w:w="2749" w:type="dxa"/>
            <w:shd w:val="clear" w:color="auto" w:fill="FFFFFF" w:themeFill="background1"/>
          </w:tcPr>
          <w:p w14:paraId="212CB625" w14:textId="071920D2" w:rsidR="00546202" w:rsidRDefault="00546202" w:rsidP="000803FC">
            <w:pPr>
              <w:contextualSpacing/>
              <w:rPr>
                <w:rFonts w:cstheme="minorHAnsi"/>
                <w:sz w:val="18"/>
                <w:szCs w:val="18"/>
              </w:rPr>
            </w:pPr>
            <w:r>
              <w:rPr>
                <w:rFonts w:cstheme="minorHAnsi"/>
                <w:sz w:val="18"/>
                <w:szCs w:val="18"/>
              </w:rPr>
              <w:t xml:space="preserve">1.likme </w:t>
            </w:r>
          </w:p>
        </w:tc>
        <w:tc>
          <w:tcPr>
            <w:tcW w:w="799" w:type="dxa"/>
            <w:shd w:val="clear" w:color="auto" w:fill="F2F2F2" w:themeFill="background1" w:themeFillShade="F2"/>
            <w:vAlign w:val="center"/>
          </w:tcPr>
          <w:p w14:paraId="4B545E7E" w14:textId="77777777" w:rsidR="00546202" w:rsidRPr="00D77DE7" w:rsidRDefault="00546202" w:rsidP="000803FC">
            <w:pPr>
              <w:contextualSpacing/>
              <w:jc w:val="center"/>
              <w:rPr>
                <w:rFonts w:cstheme="minorHAnsi"/>
                <w:sz w:val="16"/>
                <w:szCs w:val="16"/>
              </w:rPr>
            </w:pPr>
            <w:r w:rsidRPr="00D77DE7">
              <w:rPr>
                <w:rFonts w:cstheme="minorHAnsi"/>
                <w:sz w:val="16"/>
                <w:szCs w:val="16"/>
              </w:rPr>
              <w:t>0 – 20</w:t>
            </w:r>
            <w:r>
              <w:rPr>
                <w:rFonts w:cstheme="minorHAnsi"/>
                <w:sz w:val="16"/>
                <w:szCs w:val="16"/>
              </w:rPr>
              <w:t> </w:t>
            </w:r>
            <w:r w:rsidRPr="00D77DE7">
              <w:rPr>
                <w:rFonts w:cstheme="minorHAnsi"/>
                <w:sz w:val="16"/>
                <w:szCs w:val="16"/>
              </w:rPr>
              <w:t>004</w:t>
            </w:r>
          </w:p>
        </w:tc>
        <w:tc>
          <w:tcPr>
            <w:tcW w:w="684" w:type="dxa"/>
            <w:shd w:val="clear" w:color="auto" w:fill="F2F2F2" w:themeFill="background1" w:themeFillShade="F2"/>
            <w:vAlign w:val="center"/>
          </w:tcPr>
          <w:p w14:paraId="7EB9D253" w14:textId="77777777" w:rsidR="00546202" w:rsidRPr="00D77DE7" w:rsidRDefault="00546202" w:rsidP="000803FC">
            <w:pPr>
              <w:contextualSpacing/>
              <w:jc w:val="center"/>
              <w:rPr>
                <w:rFonts w:cstheme="minorHAnsi"/>
                <w:sz w:val="16"/>
                <w:szCs w:val="16"/>
              </w:rPr>
            </w:pPr>
            <w:r>
              <w:rPr>
                <w:rFonts w:cstheme="minorHAnsi"/>
                <w:b/>
                <w:sz w:val="20"/>
                <w:szCs w:val="20"/>
              </w:rPr>
              <w:t>20%</w:t>
            </w:r>
          </w:p>
        </w:tc>
        <w:tc>
          <w:tcPr>
            <w:tcW w:w="819" w:type="dxa"/>
            <w:vMerge w:val="restart"/>
            <w:vAlign w:val="center"/>
          </w:tcPr>
          <w:p w14:paraId="39C6B017" w14:textId="77777777" w:rsidR="00546202" w:rsidRDefault="00546202" w:rsidP="000803FC">
            <w:pPr>
              <w:contextualSpacing/>
              <w:jc w:val="center"/>
              <w:rPr>
                <w:rFonts w:cstheme="minorHAnsi"/>
                <w:b/>
                <w:sz w:val="20"/>
                <w:szCs w:val="20"/>
              </w:rPr>
            </w:pPr>
            <w:r w:rsidRPr="00D77DE7">
              <w:rPr>
                <w:rFonts w:cstheme="minorHAnsi"/>
                <w:sz w:val="16"/>
                <w:szCs w:val="16"/>
              </w:rPr>
              <w:t xml:space="preserve">0 – </w:t>
            </w:r>
            <w:r w:rsidRPr="00D77DE7">
              <w:rPr>
                <w:rFonts w:cstheme="minorHAnsi"/>
                <w:b/>
                <w:bCs/>
                <w:color w:val="C00000"/>
                <w:sz w:val="16"/>
                <w:szCs w:val="16"/>
              </w:rPr>
              <w:t>105 300</w:t>
            </w:r>
          </w:p>
        </w:tc>
        <w:tc>
          <w:tcPr>
            <w:tcW w:w="766" w:type="dxa"/>
            <w:vMerge w:val="restart"/>
            <w:shd w:val="clear" w:color="auto" w:fill="auto"/>
            <w:vAlign w:val="center"/>
          </w:tcPr>
          <w:p w14:paraId="165E389A" w14:textId="77777777" w:rsidR="00546202" w:rsidRPr="00354A4A" w:rsidRDefault="00546202" w:rsidP="000803FC">
            <w:pPr>
              <w:contextualSpacing/>
              <w:jc w:val="center"/>
              <w:rPr>
                <w:rFonts w:cstheme="minorHAnsi"/>
                <w:color w:val="C00000"/>
                <w:sz w:val="20"/>
                <w:szCs w:val="20"/>
              </w:rPr>
            </w:pPr>
            <w:r w:rsidRPr="00354A4A">
              <w:rPr>
                <w:rFonts w:cstheme="minorHAnsi"/>
                <w:b/>
                <w:color w:val="C00000"/>
                <w:sz w:val="20"/>
                <w:szCs w:val="20"/>
              </w:rPr>
              <w:t>25,5%</w:t>
            </w:r>
          </w:p>
        </w:tc>
        <w:tc>
          <w:tcPr>
            <w:tcW w:w="820" w:type="dxa"/>
            <w:vMerge w:val="restart"/>
            <w:vAlign w:val="center"/>
          </w:tcPr>
          <w:p w14:paraId="37AE220B" w14:textId="77777777" w:rsidR="00546202" w:rsidRPr="00D77DE7" w:rsidRDefault="00546202" w:rsidP="000803FC">
            <w:pPr>
              <w:contextualSpacing/>
              <w:jc w:val="center"/>
              <w:rPr>
                <w:rFonts w:cstheme="minorHAnsi"/>
                <w:b/>
                <w:color w:val="C00000"/>
                <w:sz w:val="16"/>
                <w:szCs w:val="16"/>
              </w:rPr>
            </w:pPr>
            <w:r w:rsidRPr="00D77DE7">
              <w:rPr>
                <w:rFonts w:cstheme="minorHAnsi"/>
                <w:sz w:val="16"/>
                <w:szCs w:val="16"/>
              </w:rPr>
              <w:t xml:space="preserve">0 – </w:t>
            </w:r>
            <w:r w:rsidRPr="00D77DE7">
              <w:rPr>
                <w:rFonts w:cstheme="minorHAnsi"/>
                <w:b/>
                <w:bCs/>
                <w:color w:val="C00000"/>
                <w:sz w:val="16"/>
                <w:szCs w:val="16"/>
              </w:rPr>
              <w:t>105 300</w:t>
            </w:r>
          </w:p>
        </w:tc>
        <w:tc>
          <w:tcPr>
            <w:tcW w:w="827" w:type="dxa"/>
            <w:vMerge w:val="restart"/>
            <w:vAlign w:val="center"/>
          </w:tcPr>
          <w:p w14:paraId="2E5CDF62" w14:textId="77777777" w:rsidR="00546202" w:rsidRPr="00D77DE7" w:rsidRDefault="00546202" w:rsidP="000803FC">
            <w:pPr>
              <w:contextualSpacing/>
              <w:jc w:val="center"/>
              <w:rPr>
                <w:rFonts w:cstheme="minorHAnsi"/>
                <w:sz w:val="16"/>
                <w:szCs w:val="16"/>
              </w:rPr>
            </w:pPr>
            <w:r w:rsidRPr="00354A4A">
              <w:rPr>
                <w:rFonts w:cstheme="minorHAnsi"/>
                <w:b/>
                <w:color w:val="C00000"/>
                <w:sz w:val="20"/>
                <w:szCs w:val="20"/>
              </w:rPr>
              <w:t>25,5%</w:t>
            </w:r>
          </w:p>
        </w:tc>
        <w:tc>
          <w:tcPr>
            <w:tcW w:w="842" w:type="dxa"/>
            <w:vMerge w:val="restart"/>
            <w:vAlign w:val="center"/>
          </w:tcPr>
          <w:p w14:paraId="3BF26ED8" w14:textId="77777777" w:rsidR="00546202" w:rsidRPr="00D77DE7" w:rsidRDefault="00546202" w:rsidP="000803FC">
            <w:pPr>
              <w:contextualSpacing/>
              <w:jc w:val="center"/>
              <w:rPr>
                <w:rFonts w:cstheme="minorHAnsi"/>
                <w:b/>
                <w:bCs/>
                <w:sz w:val="16"/>
                <w:szCs w:val="16"/>
              </w:rPr>
            </w:pPr>
            <w:r w:rsidRPr="00D77DE7">
              <w:rPr>
                <w:rFonts w:cstheme="minorHAnsi"/>
                <w:sz w:val="16"/>
                <w:szCs w:val="16"/>
              </w:rPr>
              <w:t xml:space="preserve">0 – </w:t>
            </w:r>
            <w:r w:rsidRPr="00D77DE7">
              <w:rPr>
                <w:rFonts w:cstheme="minorHAnsi"/>
                <w:b/>
                <w:bCs/>
                <w:color w:val="C00000"/>
                <w:sz w:val="16"/>
                <w:szCs w:val="16"/>
              </w:rPr>
              <w:t>105 300</w:t>
            </w:r>
          </w:p>
        </w:tc>
        <w:tc>
          <w:tcPr>
            <w:tcW w:w="766" w:type="dxa"/>
            <w:vMerge w:val="restart"/>
            <w:vAlign w:val="center"/>
          </w:tcPr>
          <w:p w14:paraId="5E932FCE" w14:textId="77777777" w:rsidR="00546202" w:rsidRPr="00992243" w:rsidRDefault="00546202" w:rsidP="000803FC">
            <w:pPr>
              <w:contextualSpacing/>
              <w:jc w:val="center"/>
              <w:rPr>
                <w:rFonts w:cstheme="minorHAnsi"/>
                <w:b/>
                <w:color w:val="C00000"/>
                <w:sz w:val="20"/>
                <w:szCs w:val="20"/>
              </w:rPr>
            </w:pPr>
            <w:r w:rsidRPr="00354A4A">
              <w:rPr>
                <w:rFonts w:cstheme="minorHAnsi"/>
                <w:b/>
                <w:color w:val="C00000"/>
                <w:sz w:val="20"/>
                <w:szCs w:val="20"/>
              </w:rPr>
              <w:t>25,5%</w:t>
            </w:r>
          </w:p>
        </w:tc>
      </w:tr>
      <w:tr w:rsidR="00546202" w:rsidRPr="009C5FBC" w14:paraId="5B34D606" w14:textId="77777777" w:rsidTr="006548BB">
        <w:trPr>
          <w:trHeight w:val="243"/>
        </w:trPr>
        <w:tc>
          <w:tcPr>
            <w:tcW w:w="2749" w:type="dxa"/>
            <w:shd w:val="clear" w:color="auto" w:fill="FFFFFF" w:themeFill="background1"/>
          </w:tcPr>
          <w:p w14:paraId="4C4E1F33" w14:textId="6D7F242B" w:rsidR="00546202" w:rsidRPr="00F15523" w:rsidRDefault="00546202" w:rsidP="000803FC">
            <w:pPr>
              <w:contextualSpacing/>
              <w:rPr>
                <w:rFonts w:cstheme="minorHAnsi"/>
                <w:sz w:val="18"/>
                <w:szCs w:val="18"/>
              </w:rPr>
            </w:pPr>
            <w:r>
              <w:rPr>
                <w:rFonts w:cstheme="minorHAnsi"/>
                <w:sz w:val="18"/>
                <w:szCs w:val="18"/>
              </w:rPr>
              <w:t>2.likme</w:t>
            </w:r>
          </w:p>
        </w:tc>
        <w:tc>
          <w:tcPr>
            <w:tcW w:w="799" w:type="dxa"/>
            <w:shd w:val="clear" w:color="auto" w:fill="F2F2F2" w:themeFill="background1" w:themeFillShade="F2"/>
            <w:vAlign w:val="center"/>
          </w:tcPr>
          <w:p w14:paraId="6C0FB992" w14:textId="77777777" w:rsidR="00546202" w:rsidRPr="00D77DE7" w:rsidRDefault="00546202" w:rsidP="000803FC">
            <w:pPr>
              <w:contextualSpacing/>
              <w:jc w:val="center"/>
              <w:rPr>
                <w:rFonts w:cstheme="minorHAnsi"/>
                <w:sz w:val="16"/>
                <w:szCs w:val="16"/>
              </w:rPr>
            </w:pPr>
            <w:r w:rsidRPr="00D77DE7">
              <w:rPr>
                <w:rFonts w:cstheme="minorHAnsi"/>
                <w:sz w:val="16"/>
                <w:szCs w:val="16"/>
              </w:rPr>
              <w:t>20 004 – 78 100</w:t>
            </w:r>
          </w:p>
        </w:tc>
        <w:tc>
          <w:tcPr>
            <w:tcW w:w="684" w:type="dxa"/>
            <w:shd w:val="clear" w:color="auto" w:fill="F2F2F2" w:themeFill="background1" w:themeFillShade="F2"/>
            <w:vAlign w:val="center"/>
          </w:tcPr>
          <w:p w14:paraId="324F1245" w14:textId="77777777" w:rsidR="00546202" w:rsidRPr="00D77DE7" w:rsidRDefault="00546202" w:rsidP="000803FC">
            <w:pPr>
              <w:contextualSpacing/>
              <w:jc w:val="center"/>
              <w:rPr>
                <w:rFonts w:cstheme="minorHAnsi"/>
                <w:b/>
                <w:bCs/>
                <w:sz w:val="16"/>
                <w:szCs w:val="16"/>
              </w:rPr>
            </w:pPr>
            <w:r w:rsidRPr="00F15523">
              <w:rPr>
                <w:rFonts w:cstheme="minorHAnsi"/>
                <w:b/>
                <w:bCs/>
                <w:sz w:val="20"/>
                <w:szCs w:val="20"/>
              </w:rPr>
              <w:t>23%</w:t>
            </w:r>
          </w:p>
        </w:tc>
        <w:tc>
          <w:tcPr>
            <w:tcW w:w="819" w:type="dxa"/>
            <w:vMerge/>
            <w:vAlign w:val="center"/>
          </w:tcPr>
          <w:p w14:paraId="1E7CC134" w14:textId="77777777" w:rsidR="00546202" w:rsidRPr="00F15523" w:rsidRDefault="00546202" w:rsidP="000803FC">
            <w:pPr>
              <w:contextualSpacing/>
              <w:jc w:val="center"/>
              <w:rPr>
                <w:rFonts w:cstheme="minorHAnsi"/>
                <w:b/>
                <w:bCs/>
                <w:sz w:val="20"/>
                <w:szCs w:val="20"/>
              </w:rPr>
            </w:pPr>
          </w:p>
        </w:tc>
        <w:tc>
          <w:tcPr>
            <w:tcW w:w="766" w:type="dxa"/>
            <w:vMerge/>
            <w:shd w:val="clear" w:color="auto" w:fill="auto"/>
            <w:vAlign w:val="center"/>
          </w:tcPr>
          <w:p w14:paraId="330C9D17" w14:textId="77777777" w:rsidR="00546202" w:rsidRPr="00F15523" w:rsidRDefault="00546202" w:rsidP="000803FC">
            <w:pPr>
              <w:contextualSpacing/>
              <w:jc w:val="center"/>
              <w:rPr>
                <w:rFonts w:cstheme="minorHAnsi"/>
                <w:b/>
                <w:bCs/>
                <w:sz w:val="20"/>
                <w:szCs w:val="20"/>
              </w:rPr>
            </w:pPr>
          </w:p>
        </w:tc>
        <w:tc>
          <w:tcPr>
            <w:tcW w:w="820" w:type="dxa"/>
            <w:vMerge/>
            <w:vAlign w:val="center"/>
          </w:tcPr>
          <w:p w14:paraId="05F353DA" w14:textId="77777777" w:rsidR="00546202" w:rsidRPr="00D77DE7" w:rsidRDefault="00546202" w:rsidP="000803FC">
            <w:pPr>
              <w:contextualSpacing/>
              <w:jc w:val="center"/>
              <w:rPr>
                <w:rFonts w:cstheme="minorHAnsi"/>
                <w:sz w:val="16"/>
                <w:szCs w:val="16"/>
              </w:rPr>
            </w:pPr>
          </w:p>
        </w:tc>
        <w:tc>
          <w:tcPr>
            <w:tcW w:w="827" w:type="dxa"/>
            <w:vMerge/>
            <w:vAlign w:val="center"/>
          </w:tcPr>
          <w:p w14:paraId="62E47329" w14:textId="77777777" w:rsidR="00546202" w:rsidRPr="00D77DE7" w:rsidRDefault="00546202" w:rsidP="000803FC">
            <w:pPr>
              <w:contextualSpacing/>
              <w:jc w:val="center"/>
              <w:rPr>
                <w:rFonts w:cstheme="minorHAnsi"/>
                <w:b/>
                <w:bCs/>
                <w:color w:val="C00000"/>
                <w:sz w:val="16"/>
                <w:szCs w:val="16"/>
              </w:rPr>
            </w:pPr>
          </w:p>
        </w:tc>
        <w:tc>
          <w:tcPr>
            <w:tcW w:w="842" w:type="dxa"/>
            <w:vMerge/>
            <w:vAlign w:val="center"/>
          </w:tcPr>
          <w:p w14:paraId="7122E919" w14:textId="77777777" w:rsidR="00546202" w:rsidRPr="00D77DE7" w:rsidRDefault="00546202" w:rsidP="000803FC">
            <w:pPr>
              <w:contextualSpacing/>
              <w:jc w:val="center"/>
              <w:rPr>
                <w:rFonts w:cstheme="minorHAnsi"/>
                <w:sz w:val="16"/>
                <w:szCs w:val="16"/>
              </w:rPr>
            </w:pPr>
          </w:p>
        </w:tc>
        <w:tc>
          <w:tcPr>
            <w:tcW w:w="766" w:type="dxa"/>
            <w:vMerge/>
            <w:vAlign w:val="center"/>
          </w:tcPr>
          <w:p w14:paraId="635551ED" w14:textId="77777777" w:rsidR="00546202" w:rsidRPr="00992243" w:rsidRDefault="00546202" w:rsidP="000803FC">
            <w:pPr>
              <w:contextualSpacing/>
              <w:jc w:val="center"/>
              <w:rPr>
                <w:rFonts w:cstheme="minorHAnsi"/>
                <w:color w:val="C00000"/>
                <w:sz w:val="20"/>
                <w:szCs w:val="20"/>
              </w:rPr>
            </w:pPr>
          </w:p>
        </w:tc>
      </w:tr>
      <w:tr w:rsidR="00546202" w:rsidRPr="009C5FBC" w14:paraId="3687EAB3" w14:textId="77777777" w:rsidTr="006548BB">
        <w:trPr>
          <w:trHeight w:val="85"/>
        </w:trPr>
        <w:tc>
          <w:tcPr>
            <w:tcW w:w="2749" w:type="dxa"/>
            <w:shd w:val="clear" w:color="auto" w:fill="FFFFFF" w:themeFill="background1"/>
          </w:tcPr>
          <w:p w14:paraId="45E04B21" w14:textId="7B4C8941" w:rsidR="00546202" w:rsidRPr="00F15523" w:rsidRDefault="00546202" w:rsidP="000803FC">
            <w:pPr>
              <w:contextualSpacing/>
              <w:rPr>
                <w:rFonts w:cstheme="minorHAnsi"/>
                <w:sz w:val="18"/>
                <w:szCs w:val="18"/>
              </w:rPr>
            </w:pPr>
            <w:r>
              <w:rPr>
                <w:rFonts w:cstheme="minorHAnsi"/>
                <w:sz w:val="18"/>
                <w:szCs w:val="18"/>
              </w:rPr>
              <w:t>3.likme</w:t>
            </w:r>
          </w:p>
        </w:tc>
        <w:tc>
          <w:tcPr>
            <w:tcW w:w="799" w:type="dxa"/>
            <w:shd w:val="clear" w:color="auto" w:fill="F2F2F2" w:themeFill="background1" w:themeFillShade="F2"/>
            <w:vAlign w:val="center"/>
          </w:tcPr>
          <w:p w14:paraId="48AF104C" w14:textId="77777777" w:rsidR="00546202" w:rsidRPr="00D77DE7" w:rsidRDefault="00546202" w:rsidP="000803FC">
            <w:pPr>
              <w:contextualSpacing/>
              <w:jc w:val="center"/>
              <w:rPr>
                <w:rFonts w:cstheme="minorHAnsi"/>
                <w:sz w:val="16"/>
                <w:szCs w:val="16"/>
              </w:rPr>
            </w:pPr>
            <w:r w:rsidRPr="00D77DE7">
              <w:rPr>
                <w:rFonts w:cstheme="minorHAnsi"/>
                <w:sz w:val="16"/>
                <w:szCs w:val="16"/>
              </w:rPr>
              <w:t>Virs 78 100</w:t>
            </w:r>
          </w:p>
        </w:tc>
        <w:tc>
          <w:tcPr>
            <w:tcW w:w="684" w:type="dxa"/>
            <w:shd w:val="clear" w:color="auto" w:fill="F2F2F2" w:themeFill="background1" w:themeFillShade="F2"/>
            <w:vAlign w:val="center"/>
          </w:tcPr>
          <w:p w14:paraId="7F110F3E" w14:textId="77777777" w:rsidR="00546202" w:rsidRPr="00D77DE7" w:rsidRDefault="00546202" w:rsidP="000803FC">
            <w:pPr>
              <w:contextualSpacing/>
              <w:jc w:val="center"/>
              <w:rPr>
                <w:rFonts w:cstheme="minorHAnsi"/>
                <w:b/>
                <w:bCs/>
                <w:sz w:val="16"/>
                <w:szCs w:val="16"/>
              </w:rPr>
            </w:pPr>
            <w:r w:rsidRPr="00F15523">
              <w:rPr>
                <w:rFonts w:cstheme="minorHAnsi"/>
                <w:b/>
                <w:bCs/>
                <w:sz w:val="20"/>
                <w:szCs w:val="20"/>
              </w:rPr>
              <w:t>31%</w:t>
            </w:r>
          </w:p>
        </w:tc>
        <w:tc>
          <w:tcPr>
            <w:tcW w:w="819" w:type="dxa"/>
            <w:vAlign w:val="center"/>
          </w:tcPr>
          <w:p w14:paraId="4C82C358" w14:textId="77777777" w:rsidR="00546202" w:rsidRPr="00F15523" w:rsidRDefault="00546202" w:rsidP="000803FC">
            <w:pPr>
              <w:contextualSpacing/>
              <w:jc w:val="center"/>
              <w:rPr>
                <w:rFonts w:cstheme="minorHAnsi"/>
                <w:b/>
                <w:bCs/>
                <w:sz w:val="20"/>
                <w:szCs w:val="20"/>
              </w:rPr>
            </w:pPr>
            <w:r w:rsidRPr="00D77DE7">
              <w:rPr>
                <w:rFonts w:cstheme="minorHAnsi"/>
                <w:sz w:val="16"/>
                <w:szCs w:val="16"/>
              </w:rPr>
              <w:t xml:space="preserve">Virs </w:t>
            </w:r>
            <w:r w:rsidRPr="00D77DE7">
              <w:rPr>
                <w:rFonts w:cstheme="minorHAnsi"/>
                <w:b/>
                <w:bCs/>
                <w:color w:val="C00000"/>
                <w:sz w:val="16"/>
                <w:szCs w:val="16"/>
              </w:rPr>
              <w:t>105 300</w:t>
            </w:r>
          </w:p>
        </w:tc>
        <w:tc>
          <w:tcPr>
            <w:tcW w:w="766" w:type="dxa"/>
            <w:shd w:val="clear" w:color="auto" w:fill="auto"/>
            <w:vAlign w:val="center"/>
          </w:tcPr>
          <w:p w14:paraId="4F8CF0B1" w14:textId="77777777" w:rsidR="00546202" w:rsidRPr="00F15523" w:rsidRDefault="00546202" w:rsidP="000803FC">
            <w:pPr>
              <w:contextualSpacing/>
              <w:jc w:val="center"/>
              <w:rPr>
                <w:rFonts w:cstheme="minorHAnsi"/>
                <w:b/>
                <w:bCs/>
                <w:sz w:val="20"/>
                <w:szCs w:val="20"/>
              </w:rPr>
            </w:pPr>
            <w:r w:rsidRPr="00354A4A">
              <w:rPr>
                <w:rFonts w:cstheme="minorHAnsi"/>
                <w:b/>
                <w:bCs/>
                <w:color w:val="C00000"/>
                <w:sz w:val="20"/>
                <w:szCs w:val="20"/>
              </w:rPr>
              <w:t>33%</w:t>
            </w:r>
          </w:p>
        </w:tc>
        <w:tc>
          <w:tcPr>
            <w:tcW w:w="820" w:type="dxa"/>
            <w:vAlign w:val="center"/>
          </w:tcPr>
          <w:p w14:paraId="6CFA9B74" w14:textId="77777777" w:rsidR="00546202" w:rsidRPr="00D77DE7" w:rsidRDefault="00546202" w:rsidP="000803FC">
            <w:pPr>
              <w:contextualSpacing/>
              <w:jc w:val="center"/>
              <w:rPr>
                <w:rFonts w:cstheme="minorHAnsi"/>
                <w:sz w:val="16"/>
                <w:szCs w:val="16"/>
              </w:rPr>
            </w:pPr>
            <w:r w:rsidRPr="00D77DE7">
              <w:rPr>
                <w:rFonts w:cstheme="minorHAnsi"/>
                <w:sz w:val="16"/>
                <w:szCs w:val="16"/>
              </w:rPr>
              <w:t xml:space="preserve">Virs </w:t>
            </w:r>
            <w:r w:rsidRPr="00D77DE7">
              <w:rPr>
                <w:rFonts w:cstheme="minorHAnsi"/>
                <w:b/>
                <w:bCs/>
                <w:color w:val="C00000"/>
                <w:sz w:val="16"/>
                <w:szCs w:val="16"/>
              </w:rPr>
              <w:t>105 300</w:t>
            </w:r>
          </w:p>
        </w:tc>
        <w:tc>
          <w:tcPr>
            <w:tcW w:w="827" w:type="dxa"/>
            <w:vAlign w:val="center"/>
          </w:tcPr>
          <w:p w14:paraId="652A9338" w14:textId="77777777" w:rsidR="00546202" w:rsidRPr="00D77DE7" w:rsidRDefault="00546202" w:rsidP="000803FC">
            <w:pPr>
              <w:contextualSpacing/>
              <w:jc w:val="center"/>
              <w:rPr>
                <w:rFonts w:cstheme="minorHAnsi"/>
                <w:b/>
                <w:bCs/>
                <w:color w:val="C00000"/>
                <w:sz w:val="16"/>
                <w:szCs w:val="16"/>
              </w:rPr>
            </w:pPr>
            <w:r w:rsidRPr="00354A4A">
              <w:rPr>
                <w:rFonts w:cstheme="minorHAnsi"/>
                <w:b/>
                <w:bCs/>
                <w:color w:val="C00000"/>
                <w:sz w:val="20"/>
                <w:szCs w:val="20"/>
              </w:rPr>
              <w:t>33%</w:t>
            </w:r>
          </w:p>
        </w:tc>
        <w:tc>
          <w:tcPr>
            <w:tcW w:w="842" w:type="dxa"/>
            <w:vAlign w:val="center"/>
          </w:tcPr>
          <w:p w14:paraId="2D5EC2B5" w14:textId="77777777" w:rsidR="00546202" w:rsidRPr="00D77DE7" w:rsidRDefault="00546202" w:rsidP="000803FC">
            <w:pPr>
              <w:contextualSpacing/>
              <w:jc w:val="center"/>
              <w:rPr>
                <w:rFonts w:cstheme="minorHAnsi"/>
                <w:sz w:val="16"/>
                <w:szCs w:val="16"/>
              </w:rPr>
            </w:pPr>
            <w:r w:rsidRPr="00D77DE7">
              <w:rPr>
                <w:rFonts w:cstheme="minorHAnsi"/>
                <w:sz w:val="16"/>
                <w:szCs w:val="16"/>
              </w:rPr>
              <w:t xml:space="preserve">Virs </w:t>
            </w:r>
            <w:r w:rsidRPr="00D77DE7">
              <w:rPr>
                <w:rFonts w:cstheme="minorHAnsi"/>
                <w:b/>
                <w:bCs/>
                <w:color w:val="C00000"/>
                <w:sz w:val="16"/>
                <w:szCs w:val="16"/>
              </w:rPr>
              <w:t>105 300</w:t>
            </w:r>
          </w:p>
        </w:tc>
        <w:tc>
          <w:tcPr>
            <w:tcW w:w="766" w:type="dxa"/>
            <w:vAlign w:val="center"/>
          </w:tcPr>
          <w:p w14:paraId="27605ACB" w14:textId="77777777" w:rsidR="00546202" w:rsidRPr="00992243" w:rsidRDefault="00546202" w:rsidP="000803FC">
            <w:pPr>
              <w:contextualSpacing/>
              <w:jc w:val="center"/>
              <w:rPr>
                <w:rFonts w:cstheme="minorHAnsi"/>
                <w:color w:val="C00000"/>
                <w:sz w:val="20"/>
                <w:szCs w:val="20"/>
              </w:rPr>
            </w:pPr>
            <w:r w:rsidRPr="00354A4A">
              <w:rPr>
                <w:rFonts w:cstheme="minorHAnsi"/>
                <w:b/>
                <w:bCs/>
                <w:color w:val="C00000"/>
                <w:sz w:val="20"/>
                <w:szCs w:val="20"/>
              </w:rPr>
              <w:t>33%</w:t>
            </w:r>
          </w:p>
        </w:tc>
      </w:tr>
      <w:tr w:rsidR="00546202" w:rsidRPr="009C5FBC" w14:paraId="6F4106D4" w14:textId="77777777" w:rsidTr="006548BB">
        <w:trPr>
          <w:trHeight w:val="85"/>
        </w:trPr>
        <w:tc>
          <w:tcPr>
            <w:tcW w:w="2749" w:type="dxa"/>
            <w:shd w:val="clear" w:color="auto" w:fill="FFF2CC" w:themeFill="accent4" w:themeFillTint="33"/>
          </w:tcPr>
          <w:p w14:paraId="17439D69" w14:textId="77777777" w:rsidR="00546202" w:rsidRDefault="00546202" w:rsidP="000803FC">
            <w:pPr>
              <w:contextualSpacing/>
              <w:rPr>
                <w:rFonts w:cstheme="minorHAnsi"/>
                <w:sz w:val="18"/>
                <w:szCs w:val="18"/>
              </w:rPr>
            </w:pPr>
            <w:r>
              <w:rPr>
                <w:rFonts w:cstheme="minorHAnsi"/>
                <w:b/>
                <w:sz w:val="20"/>
                <w:szCs w:val="20"/>
              </w:rPr>
              <w:t>N</w:t>
            </w:r>
            <w:r w:rsidRPr="009C5FBC">
              <w:rPr>
                <w:b/>
                <w:bCs/>
                <w:color w:val="000000"/>
                <w:sz w:val="20"/>
                <w:szCs w:val="20"/>
              </w:rPr>
              <w:t>eapliekam</w:t>
            </w:r>
            <w:r>
              <w:rPr>
                <w:b/>
                <w:bCs/>
                <w:color w:val="000000"/>
                <w:sz w:val="20"/>
                <w:szCs w:val="20"/>
              </w:rPr>
              <w:t>ais</w:t>
            </w:r>
            <w:r w:rsidRPr="009C5FBC">
              <w:rPr>
                <w:b/>
                <w:bCs/>
                <w:color w:val="000000"/>
                <w:sz w:val="20"/>
                <w:szCs w:val="20"/>
              </w:rPr>
              <w:t xml:space="preserve"> minimum</w:t>
            </w:r>
            <w:r>
              <w:rPr>
                <w:b/>
                <w:bCs/>
                <w:color w:val="000000"/>
                <w:sz w:val="20"/>
                <w:szCs w:val="20"/>
              </w:rPr>
              <w:t>s (NM)</w:t>
            </w:r>
            <w:r w:rsidRPr="009C5FBC">
              <w:rPr>
                <w:color w:val="000000"/>
                <w:sz w:val="20"/>
                <w:szCs w:val="20"/>
              </w:rPr>
              <w:t>,</w:t>
            </w:r>
            <w:r w:rsidRPr="009C5FBC">
              <w:rPr>
                <w:b/>
                <w:bCs/>
                <w:color w:val="000000"/>
                <w:sz w:val="20"/>
                <w:szCs w:val="20"/>
              </w:rPr>
              <w:t xml:space="preserve"> </w:t>
            </w:r>
            <w:r w:rsidRPr="009C5FBC">
              <w:rPr>
                <w:i/>
                <w:iCs/>
                <w:color w:val="000000"/>
                <w:sz w:val="20"/>
                <w:szCs w:val="20"/>
              </w:rPr>
              <w:t>euro mēnesī</w:t>
            </w:r>
          </w:p>
        </w:tc>
        <w:tc>
          <w:tcPr>
            <w:tcW w:w="1483" w:type="dxa"/>
            <w:gridSpan w:val="2"/>
            <w:shd w:val="clear" w:color="auto" w:fill="F2F2F2" w:themeFill="background1" w:themeFillShade="F2"/>
            <w:vAlign w:val="center"/>
          </w:tcPr>
          <w:p w14:paraId="17FA8A75" w14:textId="77777777" w:rsidR="00546202" w:rsidRPr="00F15523" w:rsidRDefault="00546202" w:rsidP="000803FC">
            <w:pPr>
              <w:contextualSpacing/>
              <w:jc w:val="center"/>
              <w:rPr>
                <w:rFonts w:cstheme="minorHAnsi"/>
                <w:b/>
                <w:bCs/>
                <w:sz w:val="20"/>
                <w:szCs w:val="20"/>
              </w:rPr>
            </w:pPr>
            <w:r w:rsidRPr="009C5FBC">
              <w:rPr>
                <w:rFonts w:cstheme="minorHAnsi"/>
                <w:b/>
                <w:sz w:val="20"/>
                <w:szCs w:val="20"/>
              </w:rPr>
              <w:t>500</w:t>
            </w:r>
          </w:p>
        </w:tc>
        <w:tc>
          <w:tcPr>
            <w:tcW w:w="1585" w:type="dxa"/>
            <w:gridSpan w:val="2"/>
            <w:shd w:val="clear" w:color="auto" w:fill="FFF2CC" w:themeFill="accent4" w:themeFillTint="33"/>
            <w:vAlign w:val="center"/>
          </w:tcPr>
          <w:p w14:paraId="019E5EA8" w14:textId="77777777" w:rsidR="00546202" w:rsidRPr="00F15523" w:rsidRDefault="00546202" w:rsidP="000803FC">
            <w:pPr>
              <w:contextualSpacing/>
              <w:jc w:val="center"/>
              <w:rPr>
                <w:rFonts w:cstheme="minorHAnsi"/>
                <w:b/>
                <w:bCs/>
                <w:sz w:val="20"/>
                <w:szCs w:val="20"/>
              </w:rPr>
            </w:pPr>
            <w:r>
              <w:rPr>
                <w:rFonts w:cstheme="minorHAnsi"/>
                <w:b/>
                <w:color w:val="C00000"/>
                <w:sz w:val="20"/>
                <w:szCs w:val="20"/>
              </w:rPr>
              <w:t>51</w:t>
            </w:r>
            <w:r w:rsidRPr="00F15523">
              <w:rPr>
                <w:rFonts w:cstheme="minorHAnsi"/>
                <w:b/>
                <w:color w:val="C00000"/>
                <w:sz w:val="20"/>
                <w:szCs w:val="20"/>
              </w:rPr>
              <w:t>0</w:t>
            </w:r>
          </w:p>
        </w:tc>
        <w:tc>
          <w:tcPr>
            <w:tcW w:w="1647" w:type="dxa"/>
            <w:gridSpan w:val="2"/>
            <w:shd w:val="clear" w:color="auto" w:fill="FFF2CC" w:themeFill="accent4" w:themeFillTint="33"/>
            <w:vAlign w:val="center"/>
          </w:tcPr>
          <w:p w14:paraId="33A216B1" w14:textId="77777777" w:rsidR="00546202" w:rsidRPr="00992243" w:rsidRDefault="00546202" w:rsidP="000803FC">
            <w:pPr>
              <w:contextualSpacing/>
              <w:jc w:val="center"/>
              <w:rPr>
                <w:rFonts w:eastAsia="Verdana" w:cstheme="minorHAnsi"/>
                <w:b/>
                <w:bCs/>
                <w:color w:val="C00000"/>
                <w:kern w:val="24"/>
                <w:sz w:val="20"/>
                <w:szCs w:val="20"/>
              </w:rPr>
            </w:pPr>
            <w:r>
              <w:rPr>
                <w:rFonts w:cstheme="minorHAnsi"/>
                <w:b/>
                <w:color w:val="C00000"/>
                <w:sz w:val="20"/>
                <w:szCs w:val="20"/>
              </w:rPr>
              <w:t>55</w:t>
            </w:r>
            <w:r w:rsidRPr="00F15523">
              <w:rPr>
                <w:rFonts w:cstheme="minorHAnsi"/>
                <w:b/>
                <w:color w:val="C00000"/>
                <w:sz w:val="20"/>
                <w:szCs w:val="20"/>
              </w:rPr>
              <w:t>0</w:t>
            </w:r>
          </w:p>
        </w:tc>
        <w:tc>
          <w:tcPr>
            <w:tcW w:w="1608" w:type="dxa"/>
            <w:gridSpan w:val="2"/>
            <w:shd w:val="clear" w:color="auto" w:fill="FFF2CC" w:themeFill="accent4" w:themeFillTint="33"/>
            <w:vAlign w:val="center"/>
          </w:tcPr>
          <w:p w14:paraId="6C4D5EF6" w14:textId="77777777" w:rsidR="00546202" w:rsidRPr="00992243" w:rsidRDefault="00546202" w:rsidP="000803FC">
            <w:pPr>
              <w:contextualSpacing/>
              <w:jc w:val="center"/>
              <w:rPr>
                <w:rFonts w:eastAsia="Verdana" w:cstheme="minorHAnsi"/>
                <w:b/>
                <w:bCs/>
                <w:color w:val="C00000"/>
                <w:kern w:val="24"/>
                <w:sz w:val="20"/>
                <w:szCs w:val="20"/>
              </w:rPr>
            </w:pPr>
            <w:r w:rsidRPr="00AF6CEB">
              <w:rPr>
                <w:rFonts w:cstheme="minorHAnsi"/>
                <w:b/>
                <w:color w:val="C00000"/>
                <w:sz w:val="20"/>
                <w:szCs w:val="20"/>
              </w:rPr>
              <w:t>570</w:t>
            </w:r>
          </w:p>
        </w:tc>
      </w:tr>
      <w:tr w:rsidR="00546202" w:rsidRPr="009C5FBC" w14:paraId="6C2DE3F3" w14:textId="77777777" w:rsidTr="006548BB">
        <w:trPr>
          <w:trHeight w:val="85"/>
        </w:trPr>
        <w:tc>
          <w:tcPr>
            <w:tcW w:w="2749" w:type="dxa"/>
            <w:shd w:val="clear" w:color="auto" w:fill="FFFFFF" w:themeFill="background1"/>
          </w:tcPr>
          <w:p w14:paraId="2CAFD433" w14:textId="77777777" w:rsidR="00546202" w:rsidRDefault="00546202" w:rsidP="000803FC">
            <w:pPr>
              <w:contextualSpacing/>
              <w:rPr>
                <w:rFonts w:cstheme="minorHAnsi"/>
                <w:sz w:val="18"/>
                <w:szCs w:val="18"/>
              </w:rPr>
            </w:pPr>
            <w:r w:rsidRPr="009C5FBC">
              <w:rPr>
                <w:rFonts w:cstheme="minorHAnsi"/>
                <w:sz w:val="20"/>
                <w:szCs w:val="20"/>
              </w:rPr>
              <w:t>Ienākum</w:t>
            </w:r>
            <w:r>
              <w:rPr>
                <w:rFonts w:cstheme="minorHAnsi"/>
                <w:sz w:val="20"/>
                <w:szCs w:val="20"/>
              </w:rPr>
              <w:t>s</w:t>
            </w:r>
            <w:r w:rsidRPr="009C5FBC">
              <w:rPr>
                <w:rFonts w:cstheme="minorHAnsi"/>
                <w:sz w:val="20"/>
                <w:szCs w:val="20"/>
              </w:rPr>
              <w:t>, līdz kuram piemēro maksimālo NM</w:t>
            </w:r>
            <w:r>
              <w:rPr>
                <w:rFonts w:cstheme="minorHAnsi"/>
                <w:sz w:val="20"/>
                <w:szCs w:val="20"/>
              </w:rPr>
              <w:t>,</w:t>
            </w:r>
            <w:r w:rsidRPr="009C5FBC">
              <w:rPr>
                <w:i/>
                <w:iCs/>
                <w:color w:val="000000"/>
                <w:sz w:val="20"/>
                <w:szCs w:val="20"/>
              </w:rPr>
              <w:t xml:space="preserve"> euro mēnesī</w:t>
            </w:r>
          </w:p>
        </w:tc>
        <w:tc>
          <w:tcPr>
            <w:tcW w:w="1483" w:type="dxa"/>
            <w:gridSpan w:val="2"/>
            <w:shd w:val="clear" w:color="auto" w:fill="F2F2F2" w:themeFill="background1" w:themeFillShade="F2"/>
            <w:vAlign w:val="center"/>
          </w:tcPr>
          <w:p w14:paraId="706C72A1" w14:textId="77777777" w:rsidR="00546202" w:rsidRPr="00F15523" w:rsidRDefault="00546202" w:rsidP="000803FC">
            <w:pPr>
              <w:contextualSpacing/>
              <w:jc w:val="center"/>
              <w:rPr>
                <w:rFonts w:cstheme="minorHAnsi"/>
                <w:b/>
                <w:bCs/>
                <w:sz w:val="20"/>
                <w:szCs w:val="20"/>
              </w:rPr>
            </w:pPr>
            <w:r w:rsidRPr="009C5FBC">
              <w:rPr>
                <w:rFonts w:cstheme="minorHAnsi"/>
                <w:sz w:val="20"/>
                <w:szCs w:val="20"/>
              </w:rPr>
              <w:t>500</w:t>
            </w:r>
          </w:p>
        </w:tc>
        <w:tc>
          <w:tcPr>
            <w:tcW w:w="1585" w:type="dxa"/>
            <w:gridSpan w:val="2"/>
            <w:vMerge w:val="restart"/>
            <w:vAlign w:val="center"/>
          </w:tcPr>
          <w:p w14:paraId="0B767CFB" w14:textId="77777777" w:rsidR="00546202" w:rsidRPr="00F15523" w:rsidRDefault="00546202" w:rsidP="000803FC">
            <w:pPr>
              <w:contextualSpacing/>
              <w:jc w:val="center"/>
              <w:rPr>
                <w:rFonts w:cstheme="minorHAnsi"/>
                <w:b/>
                <w:bCs/>
                <w:sz w:val="20"/>
                <w:szCs w:val="20"/>
              </w:rPr>
            </w:pPr>
          </w:p>
        </w:tc>
        <w:tc>
          <w:tcPr>
            <w:tcW w:w="1647" w:type="dxa"/>
            <w:gridSpan w:val="2"/>
            <w:vMerge w:val="restart"/>
            <w:vAlign w:val="center"/>
          </w:tcPr>
          <w:p w14:paraId="5BA571A3" w14:textId="77777777" w:rsidR="00546202" w:rsidRPr="00992243" w:rsidRDefault="00546202" w:rsidP="000803FC">
            <w:pPr>
              <w:contextualSpacing/>
              <w:jc w:val="center"/>
              <w:rPr>
                <w:rFonts w:eastAsia="Verdana" w:cstheme="minorHAnsi"/>
                <w:b/>
                <w:bCs/>
                <w:color w:val="C00000"/>
                <w:kern w:val="24"/>
                <w:sz w:val="20"/>
                <w:szCs w:val="20"/>
              </w:rPr>
            </w:pPr>
          </w:p>
        </w:tc>
        <w:tc>
          <w:tcPr>
            <w:tcW w:w="1608" w:type="dxa"/>
            <w:gridSpan w:val="2"/>
            <w:vMerge w:val="restart"/>
            <w:vAlign w:val="center"/>
          </w:tcPr>
          <w:p w14:paraId="75056CDA" w14:textId="77777777" w:rsidR="00546202" w:rsidRPr="00992243" w:rsidRDefault="00546202" w:rsidP="000803FC">
            <w:pPr>
              <w:contextualSpacing/>
              <w:jc w:val="center"/>
              <w:rPr>
                <w:rFonts w:eastAsia="Verdana" w:cstheme="minorHAnsi"/>
                <w:b/>
                <w:bCs/>
                <w:color w:val="C00000"/>
                <w:kern w:val="24"/>
                <w:sz w:val="20"/>
                <w:szCs w:val="20"/>
              </w:rPr>
            </w:pPr>
          </w:p>
        </w:tc>
      </w:tr>
      <w:tr w:rsidR="00546202" w:rsidRPr="009C5FBC" w14:paraId="399C1461" w14:textId="77777777" w:rsidTr="006548BB">
        <w:trPr>
          <w:trHeight w:val="85"/>
        </w:trPr>
        <w:tc>
          <w:tcPr>
            <w:tcW w:w="2749" w:type="dxa"/>
            <w:shd w:val="clear" w:color="auto" w:fill="FFFFFF" w:themeFill="background1"/>
          </w:tcPr>
          <w:p w14:paraId="378ECBC0" w14:textId="77777777" w:rsidR="00546202" w:rsidRDefault="00546202" w:rsidP="000803FC">
            <w:pPr>
              <w:contextualSpacing/>
              <w:rPr>
                <w:rFonts w:cstheme="minorHAnsi"/>
                <w:sz w:val="18"/>
                <w:szCs w:val="18"/>
              </w:rPr>
            </w:pPr>
            <w:r w:rsidRPr="009C5FBC">
              <w:rPr>
                <w:rFonts w:cstheme="minorHAnsi"/>
                <w:sz w:val="20"/>
                <w:szCs w:val="20"/>
              </w:rPr>
              <w:t>Ienākum</w:t>
            </w:r>
            <w:r>
              <w:rPr>
                <w:rFonts w:cstheme="minorHAnsi"/>
                <w:sz w:val="20"/>
                <w:szCs w:val="20"/>
              </w:rPr>
              <w:t>s</w:t>
            </w:r>
            <w:r w:rsidRPr="009C5FBC">
              <w:rPr>
                <w:rFonts w:cstheme="minorHAnsi"/>
                <w:sz w:val="20"/>
                <w:szCs w:val="20"/>
              </w:rPr>
              <w:t>, virs kura nepiemēro NM</w:t>
            </w:r>
            <w:r>
              <w:rPr>
                <w:rFonts w:cstheme="minorHAnsi"/>
                <w:sz w:val="20"/>
                <w:szCs w:val="20"/>
              </w:rPr>
              <w:t>,</w:t>
            </w:r>
            <w:r w:rsidRPr="009C5FBC">
              <w:rPr>
                <w:i/>
                <w:iCs/>
                <w:color w:val="000000"/>
                <w:sz w:val="20"/>
                <w:szCs w:val="20"/>
              </w:rPr>
              <w:t xml:space="preserve"> euro mēnesī</w:t>
            </w:r>
          </w:p>
        </w:tc>
        <w:tc>
          <w:tcPr>
            <w:tcW w:w="1483" w:type="dxa"/>
            <w:gridSpan w:val="2"/>
            <w:shd w:val="clear" w:color="auto" w:fill="F2F2F2" w:themeFill="background1" w:themeFillShade="F2"/>
            <w:vAlign w:val="center"/>
          </w:tcPr>
          <w:p w14:paraId="7C2B62EE" w14:textId="77777777" w:rsidR="00546202" w:rsidRPr="00F15523" w:rsidRDefault="00546202" w:rsidP="000803FC">
            <w:pPr>
              <w:contextualSpacing/>
              <w:jc w:val="center"/>
              <w:rPr>
                <w:rFonts w:cstheme="minorHAnsi"/>
                <w:b/>
                <w:bCs/>
                <w:sz w:val="20"/>
                <w:szCs w:val="20"/>
              </w:rPr>
            </w:pPr>
            <w:r w:rsidRPr="009C5FBC">
              <w:rPr>
                <w:rFonts w:cstheme="minorHAnsi"/>
                <w:sz w:val="20"/>
                <w:szCs w:val="20"/>
              </w:rPr>
              <w:t>1 800</w:t>
            </w:r>
          </w:p>
        </w:tc>
        <w:tc>
          <w:tcPr>
            <w:tcW w:w="1585" w:type="dxa"/>
            <w:gridSpan w:val="2"/>
            <w:vMerge/>
            <w:vAlign w:val="center"/>
          </w:tcPr>
          <w:p w14:paraId="277F5107" w14:textId="77777777" w:rsidR="00546202" w:rsidRPr="00F15523" w:rsidRDefault="00546202" w:rsidP="000803FC">
            <w:pPr>
              <w:contextualSpacing/>
              <w:jc w:val="center"/>
              <w:rPr>
                <w:rFonts w:cstheme="minorHAnsi"/>
                <w:b/>
                <w:bCs/>
                <w:sz w:val="20"/>
                <w:szCs w:val="20"/>
              </w:rPr>
            </w:pPr>
          </w:p>
        </w:tc>
        <w:tc>
          <w:tcPr>
            <w:tcW w:w="1647" w:type="dxa"/>
            <w:gridSpan w:val="2"/>
            <w:vMerge/>
            <w:vAlign w:val="center"/>
          </w:tcPr>
          <w:p w14:paraId="5A544A17" w14:textId="77777777" w:rsidR="00546202" w:rsidRPr="00992243" w:rsidRDefault="00546202" w:rsidP="000803FC">
            <w:pPr>
              <w:contextualSpacing/>
              <w:jc w:val="center"/>
              <w:rPr>
                <w:rFonts w:eastAsia="Verdana" w:cstheme="minorHAnsi"/>
                <w:b/>
                <w:bCs/>
                <w:color w:val="C00000"/>
                <w:kern w:val="24"/>
                <w:sz w:val="20"/>
                <w:szCs w:val="20"/>
              </w:rPr>
            </w:pPr>
          </w:p>
        </w:tc>
        <w:tc>
          <w:tcPr>
            <w:tcW w:w="1608" w:type="dxa"/>
            <w:gridSpan w:val="2"/>
            <w:vMerge/>
            <w:vAlign w:val="center"/>
          </w:tcPr>
          <w:p w14:paraId="6EAB384F" w14:textId="77777777" w:rsidR="00546202" w:rsidRPr="00992243" w:rsidRDefault="00546202" w:rsidP="000803FC">
            <w:pPr>
              <w:contextualSpacing/>
              <w:jc w:val="center"/>
              <w:rPr>
                <w:rFonts w:eastAsia="Verdana" w:cstheme="minorHAnsi"/>
                <w:b/>
                <w:bCs/>
                <w:color w:val="C00000"/>
                <w:kern w:val="24"/>
                <w:sz w:val="20"/>
                <w:szCs w:val="20"/>
              </w:rPr>
            </w:pPr>
          </w:p>
        </w:tc>
      </w:tr>
      <w:tr w:rsidR="00546202" w:rsidRPr="009C5FBC" w14:paraId="50F809DE" w14:textId="77777777" w:rsidTr="006548BB">
        <w:trPr>
          <w:trHeight w:val="85"/>
        </w:trPr>
        <w:tc>
          <w:tcPr>
            <w:tcW w:w="2749" w:type="dxa"/>
            <w:shd w:val="clear" w:color="auto" w:fill="FFF2CC" w:themeFill="accent4" w:themeFillTint="33"/>
          </w:tcPr>
          <w:p w14:paraId="33C69372" w14:textId="77777777" w:rsidR="00546202" w:rsidRPr="009C5FBC" w:rsidRDefault="00546202" w:rsidP="000803FC">
            <w:pPr>
              <w:contextualSpacing/>
              <w:rPr>
                <w:rFonts w:cstheme="minorHAnsi"/>
                <w:sz w:val="20"/>
                <w:szCs w:val="20"/>
              </w:rPr>
            </w:pPr>
            <w:r w:rsidRPr="009C5FBC">
              <w:rPr>
                <w:rFonts w:cstheme="minorHAnsi"/>
                <w:b/>
                <w:bCs/>
                <w:sz w:val="20"/>
                <w:szCs w:val="20"/>
              </w:rPr>
              <w:t>Pensionāra NM</w:t>
            </w:r>
            <w:r w:rsidRPr="00F15523">
              <w:rPr>
                <w:rFonts w:cstheme="minorHAnsi"/>
                <w:sz w:val="20"/>
                <w:szCs w:val="20"/>
              </w:rPr>
              <w:t>,</w:t>
            </w:r>
            <w:r w:rsidRPr="009C5FBC">
              <w:rPr>
                <w:i/>
                <w:iCs/>
                <w:color w:val="000000"/>
                <w:sz w:val="20"/>
                <w:szCs w:val="20"/>
              </w:rPr>
              <w:t xml:space="preserve"> euro mēnesī</w:t>
            </w:r>
          </w:p>
        </w:tc>
        <w:tc>
          <w:tcPr>
            <w:tcW w:w="1483" w:type="dxa"/>
            <w:gridSpan w:val="2"/>
            <w:shd w:val="clear" w:color="auto" w:fill="F2F2F2" w:themeFill="background1" w:themeFillShade="F2"/>
            <w:vAlign w:val="center"/>
          </w:tcPr>
          <w:p w14:paraId="64135DD2" w14:textId="77777777" w:rsidR="00546202" w:rsidRPr="009C5FBC" w:rsidRDefault="00546202" w:rsidP="000803FC">
            <w:pPr>
              <w:contextualSpacing/>
              <w:jc w:val="center"/>
              <w:rPr>
                <w:rFonts w:cstheme="minorHAnsi"/>
                <w:sz w:val="20"/>
                <w:szCs w:val="20"/>
              </w:rPr>
            </w:pPr>
            <w:r w:rsidRPr="009C5FBC">
              <w:rPr>
                <w:rFonts w:cstheme="minorHAnsi"/>
                <w:b/>
                <w:bCs/>
                <w:sz w:val="20"/>
                <w:szCs w:val="20"/>
              </w:rPr>
              <w:t>500</w:t>
            </w:r>
          </w:p>
        </w:tc>
        <w:tc>
          <w:tcPr>
            <w:tcW w:w="4840" w:type="dxa"/>
            <w:gridSpan w:val="6"/>
            <w:shd w:val="clear" w:color="auto" w:fill="FFF2CC" w:themeFill="accent4" w:themeFillTint="33"/>
            <w:vAlign w:val="center"/>
          </w:tcPr>
          <w:p w14:paraId="56032039" w14:textId="3D121A3B" w:rsidR="00546202" w:rsidRPr="00992243" w:rsidRDefault="00456496" w:rsidP="000803FC">
            <w:pPr>
              <w:contextualSpacing/>
              <w:jc w:val="center"/>
              <w:rPr>
                <w:rFonts w:eastAsia="Verdana" w:cstheme="minorHAnsi"/>
                <w:b/>
                <w:bCs/>
                <w:color w:val="C00000"/>
                <w:kern w:val="24"/>
                <w:sz w:val="20"/>
                <w:szCs w:val="20"/>
              </w:rPr>
            </w:pPr>
            <w:r>
              <w:rPr>
                <w:b/>
                <w:bCs/>
                <w:color w:val="C00000"/>
                <w:sz w:val="20"/>
                <w:szCs w:val="20"/>
              </w:rPr>
              <w:t>1 000</w:t>
            </w:r>
          </w:p>
        </w:tc>
      </w:tr>
    </w:tbl>
    <w:p w14:paraId="3189D34F" w14:textId="403E9C9F" w:rsidR="002E0A09" w:rsidRPr="002E0A09" w:rsidRDefault="002E0A09" w:rsidP="002E0A09">
      <w:pPr>
        <w:tabs>
          <w:tab w:val="left" w:pos="426"/>
        </w:tabs>
        <w:spacing w:after="120"/>
        <w:rPr>
          <w:rFonts w:cs="Times New Roman"/>
          <w:i/>
          <w:sz w:val="18"/>
        </w:rPr>
      </w:pPr>
      <w:r w:rsidRPr="002E0A09">
        <w:rPr>
          <w:rFonts w:cs="Times New Roman"/>
          <w:b/>
          <w:bCs/>
          <w:i/>
          <w:sz w:val="18"/>
        </w:rPr>
        <w:t>Avots</w:t>
      </w:r>
      <w:r w:rsidRPr="002E0A09">
        <w:rPr>
          <w:rFonts w:cs="Times New Roman"/>
          <w:i/>
          <w:sz w:val="18"/>
        </w:rPr>
        <w:t xml:space="preserve">: </w:t>
      </w:r>
      <w:r w:rsidR="00FA7FB6">
        <w:rPr>
          <w:rFonts w:cs="Times New Roman"/>
          <w:i/>
          <w:iCs/>
          <w:sz w:val="18"/>
          <w:szCs w:val="18"/>
        </w:rPr>
        <w:t>FM</w:t>
      </w:r>
      <w:r w:rsidRPr="002E0A09">
        <w:rPr>
          <w:rFonts w:cs="Times New Roman"/>
          <w:i/>
          <w:sz w:val="18"/>
        </w:rPr>
        <w:t xml:space="preserve"> informācija</w:t>
      </w:r>
      <w:r w:rsidR="000D626A">
        <w:rPr>
          <w:rFonts w:cs="Times New Roman"/>
          <w:i/>
          <w:sz w:val="18"/>
        </w:rPr>
        <w:t>.</w:t>
      </w:r>
    </w:p>
    <w:p w14:paraId="4822355C" w14:textId="218D6CA7" w:rsidR="002E0A09" w:rsidRPr="002E0A09" w:rsidRDefault="002E0A09" w:rsidP="006548BB">
      <w:pPr>
        <w:spacing w:after="80"/>
        <w:jc w:val="center"/>
        <w:rPr>
          <w:rFonts w:cs="Times New Roman"/>
          <w:sz w:val="20"/>
        </w:rPr>
      </w:pPr>
      <w:r w:rsidRPr="002E0A09">
        <w:rPr>
          <w:rFonts w:cs="Times New Roman"/>
          <w:sz w:val="20"/>
        </w:rPr>
        <w:t>3.tab</w:t>
      </w:r>
      <w:r w:rsidRPr="002E0A09">
        <w:rPr>
          <w:rFonts w:cs="Times New Roman"/>
          <w:bCs/>
          <w:sz w:val="20"/>
        </w:rPr>
        <w:t>.</w:t>
      </w:r>
      <w:r w:rsidRPr="002E0A09">
        <w:rPr>
          <w:rFonts w:cs="Times New Roman"/>
          <w:b/>
          <w:sz w:val="20"/>
        </w:rPr>
        <w:t xml:space="preserve"> Priekšlikuma indikatīva fiskālā ietekme</w:t>
      </w:r>
      <w:r w:rsidRPr="002E0A09">
        <w:rPr>
          <w:rFonts w:cs="Times New Roman"/>
          <w:bCs/>
          <w:sz w:val="20"/>
        </w:rPr>
        <w:t xml:space="preserve">, </w:t>
      </w:r>
      <w:r w:rsidRPr="002E0A09">
        <w:rPr>
          <w:rFonts w:cs="Times New Roman"/>
          <w:bCs/>
          <w:i/>
          <w:iCs/>
          <w:sz w:val="20"/>
        </w:rPr>
        <w:t>euro</w:t>
      </w:r>
    </w:p>
    <w:tbl>
      <w:tblPr>
        <w:tblStyle w:val="TableGrid"/>
        <w:tblW w:w="9067" w:type="dxa"/>
        <w:tblInd w:w="5" w:type="dxa"/>
        <w:tblLook w:val="04A0" w:firstRow="1" w:lastRow="0" w:firstColumn="1" w:lastColumn="0" w:noHBand="0" w:noVBand="1"/>
      </w:tblPr>
      <w:tblGrid>
        <w:gridCol w:w="3964"/>
        <w:gridCol w:w="1276"/>
        <w:gridCol w:w="1276"/>
        <w:gridCol w:w="1276"/>
        <w:gridCol w:w="1275"/>
      </w:tblGrid>
      <w:tr w:rsidR="00497C03" w:rsidRPr="00F53BA5" w14:paraId="17F97F38" w14:textId="3DA565D3" w:rsidTr="00E31FD5">
        <w:tc>
          <w:tcPr>
            <w:tcW w:w="3964" w:type="dxa"/>
            <w:tcBorders>
              <w:top w:val="nil"/>
              <w:left w:val="nil"/>
              <w:bottom w:val="single" w:sz="8" w:space="0" w:color="auto"/>
              <w:right w:val="nil"/>
            </w:tcBorders>
          </w:tcPr>
          <w:p w14:paraId="41393B6A" w14:textId="77777777" w:rsidR="00497C03" w:rsidRPr="00F53BA5" w:rsidRDefault="00497C03" w:rsidP="00CE20CC">
            <w:pPr>
              <w:pStyle w:val="ListParagraph"/>
              <w:ind w:left="0"/>
              <w:contextualSpacing w:val="0"/>
              <w:jc w:val="center"/>
              <w:rPr>
                <w:b/>
                <w:bCs/>
                <w:sz w:val="20"/>
                <w:szCs w:val="20"/>
              </w:rPr>
            </w:pPr>
          </w:p>
        </w:tc>
        <w:tc>
          <w:tcPr>
            <w:tcW w:w="1276" w:type="dxa"/>
            <w:tcBorders>
              <w:top w:val="nil"/>
              <w:left w:val="nil"/>
              <w:bottom w:val="single" w:sz="8" w:space="0" w:color="auto"/>
              <w:right w:val="nil"/>
            </w:tcBorders>
            <w:vAlign w:val="bottom"/>
          </w:tcPr>
          <w:p w14:paraId="4BA9383C" w14:textId="498E0A4D" w:rsidR="00497C03" w:rsidRPr="00F53BA5" w:rsidRDefault="00497C03" w:rsidP="00CE20CC">
            <w:pPr>
              <w:pStyle w:val="ListParagraph"/>
              <w:ind w:left="0"/>
              <w:contextualSpacing w:val="0"/>
              <w:jc w:val="center"/>
              <w:rPr>
                <w:b/>
                <w:bCs/>
                <w:sz w:val="20"/>
                <w:szCs w:val="20"/>
              </w:rPr>
            </w:pPr>
            <w:r w:rsidRPr="00F53BA5">
              <w:rPr>
                <w:b/>
                <w:bCs/>
                <w:sz w:val="20"/>
                <w:szCs w:val="20"/>
              </w:rPr>
              <w:t>202</w:t>
            </w:r>
            <w:r>
              <w:rPr>
                <w:b/>
                <w:bCs/>
                <w:sz w:val="20"/>
                <w:szCs w:val="20"/>
              </w:rPr>
              <w:t>5</w:t>
            </w:r>
            <w:r w:rsidRPr="00F53BA5">
              <w:rPr>
                <w:b/>
                <w:bCs/>
                <w:sz w:val="20"/>
                <w:szCs w:val="20"/>
                <w:vertAlign w:val="superscript"/>
              </w:rPr>
              <w:t>*</w:t>
            </w:r>
          </w:p>
        </w:tc>
        <w:tc>
          <w:tcPr>
            <w:tcW w:w="1276" w:type="dxa"/>
            <w:tcBorders>
              <w:top w:val="nil"/>
              <w:left w:val="nil"/>
              <w:bottom w:val="single" w:sz="8" w:space="0" w:color="auto"/>
              <w:right w:val="nil"/>
            </w:tcBorders>
            <w:vAlign w:val="bottom"/>
          </w:tcPr>
          <w:p w14:paraId="35DF30C3" w14:textId="5C8B0D54" w:rsidR="00497C03" w:rsidRPr="00F53BA5" w:rsidRDefault="00497C03" w:rsidP="00CE20CC">
            <w:pPr>
              <w:pStyle w:val="ListParagraph"/>
              <w:ind w:left="0"/>
              <w:contextualSpacing w:val="0"/>
              <w:jc w:val="center"/>
              <w:rPr>
                <w:b/>
                <w:bCs/>
                <w:sz w:val="20"/>
                <w:szCs w:val="20"/>
              </w:rPr>
            </w:pPr>
            <w:r w:rsidRPr="00F53BA5">
              <w:rPr>
                <w:b/>
                <w:bCs/>
                <w:sz w:val="20"/>
                <w:szCs w:val="20"/>
              </w:rPr>
              <w:t>202</w:t>
            </w:r>
            <w:r>
              <w:rPr>
                <w:b/>
                <w:bCs/>
                <w:sz w:val="20"/>
                <w:szCs w:val="20"/>
              </w:rPr>
              <w:t>6</w:t>
            </w:r>
          </w:p>
        </w:tc>
        <w:tc>
          <w:tcPr>
            <w:tcW w:w="1276" w:type="dxa"/>
            <w:tcBorders>
              <w:top w:val="nil"/>
              <w:left w:val="nil"/>
              <w:bottom w:val="single" w:sz="8" w:space="0" w:color="auto"/>
              <w:right w:val="nil"/>
            </w:tcBorders>
            <w:vAlign w:val="bottom"/>
          </w:tcPr>
          <w:p w14:paraId="4E5E6FF2" w14:textId="3E318011" w:rsidR="00497C03" w:rsidRPr="00F53BA5" w:rsidRDefault="00497C03" w:rsidP="00CE20CC">
            <w:pPr>
              <w:pStyle w:val="ListParagraph"/>
              <w:ind w:left="0"/>
              <w:contextualSpacing w:val="0"/>
              <w:jc w:val="center"/>
              <w:rPr>
                <w:b/>
                <w:bCs/>
                <w:sz w:val="20"/>
                <w:szCs w:val="20"/>
              </w:rPr>
            </w:pPr>
            <w:r w:rsidRPr="00F53BA5">
              <w:rPr>
                <w:b/>
                <w:bCs/>
                <w:sz w:val="20"/>
                <w:szCs w:val="20"/>
              </w:rPr>
              <w:t>202</w:t>
            </w:r>
            <w:r>
              <w:rPr>
                <w:b/>
                <w:bCs/>
                <w:sz w:val="20"/>
                <w:szCs w:val="20"/>
              </w:rPr>
              <w:t>7</w:t>
            </w:r>
          </w:p>
        </w:tc>
        <w:tc>
          <w:tcPr>
            <w:tcW w:w="1275" w:type="dxa"/>
            <w:tcBorders>
              <w:top w:val="nil"/>
              <w:left w:val="nil"/>
              <w:bottom w:val="single" w:sz="8" w:space="0" w:color="auto"/>
              <w:right w:val="nil"/>
            </w:tcBorders>
          </w:tcPr>
          <w:p w14:paraId="0D401D35" w14:textId="54668B93" w:rsidR="00497C03" w:rsidRPr="00F53BA5" w:rsidRDefault="00497C03" w:rsidP="00CE20CC">
            <w:pPr>
              <w:pStyle w:val="ListParagraph"/>
              <w:ind w:left="0"/>
              <w:contextualSpacing w:val="0"/>
              <w:jc w:val="center"/>
              <w:rPr>
                <w:b/>
                <w:bCs/>
                <w:sz w:val="20"/>
                <w:szCs w:val="20"/>
              </w:rPr>
            </w:pPr>
            <w:r>
              <w:rPr>
                <w:b/>
                <w:bCs/>
                <w:sz w:val="20"/>
                <w:szCs w:val="20"/>
              </w:rPr>
              <w:t>2028</w:t>
            </w:r>
          </w:p>
        </w:tc>
      </w:tr>
      <w:tr w:rsidR="00AF044B" w:rsidRPr="00F53BA5" w14:paraId="1975DA1E" w14:textId="77777777" w:rsidTr="00E31FD5">
        <w:tc>
          <w:tcPr>
            <w:tcW w:w="3964" w:type="dxa"/>
            <w:tcBorders>
              <w:top w:val="single" w:sz="8" w:space="0" w:color="auto"/>
              <w:left w:val="nil"/>
            </w:tcBorders>
            <w:shd w:val="clear" w:color="auto" w:fill="FFFFFF" w:themeFill="background1"/>
            <w:vAlign w:val="center"/>
          </w:tcPr>
          <w:p w14:paraId="3D5F4AF6" w14:textId="1518FD83" w:rsidR="00AF044B" w:rsidRPr="00AF044B" w:rsidRDefault="00AF044B" w:rsidP="00CE20CC">
            <w:pPr>
              <w:pStyle w:val="ListParagraph"/>
              <w:ind w:left="0"/>
              <w:contextualSpacing w:val="0"/>
              <w:jc w:val="left"/>
              <w:rPr>
                <w:sz w:val="20"/>
                <w:szCs w:val="20"/>
              </w:rPr>
            </w:pPr>
            <w:r w:rsidRPr="00AF044B">
              <w:rPr>
                <w:b/>
                <w:bCs/>
                <w:sz w:val="20"/>
                <w:szCs w:val="20"/>
              </w:rPr>
              <w:t>IIN ieņēmumi</w:t>
            </w:r>
            <w:r w:rsidRPr="00AF044B">
              <w:rPr>
                <w:i/>
                <w:iCs/>
                <w:sz w:val="20"/>
                <w:szCs w:val="20"/>
              </w:rPr>
              <w:t>, no tā:</w:t>
            </w:r>
          </w:p>
        </w:tc>
        <w:tc>
          <w:tcPr>
            <w:tcW w:w="1276" w:type="dxa"/>
            <w:tcBorders>
              <w:top w:val="single" w:sz="8" w:space="0" w:color="auto"/>
              <w:left w:val="nil"/>
            </w:tcBorders>
            <w:shd w:val="clear" w:color="auto" w:fill="FFFFFF" w:themeFill="background1"/>
            <w:vAlign w:val="center"/>
          </w:tcPr>
          <w:p w14:paraId="0BCB911E" w14:textId="50F9ED5B" w:rsidR="00AF044B" w:rsidRPr="00E31FD5" w:rsidRDefault="00456496" w:rsidP="00AF044B">
            <w:pPr>
              <w:pStyle w:val="ListParagraph"/>
              <w:ind w:left="0"/>
              <w:contextualSpacing w:val="0"/>
              <w:jc w:val="center"/>
              <w:rPr>
                <w:b/>
                <w:bCs/>
                <w:color w:val="C00000"/>
                <w:sz w:val="18"/>
                <w:szCs w:val="18"/>
              </w:rPr>
            </w:pPr>
            <w:r>
              <w:rPr>
                <w:b/>
                <w:bCs/>
                <w:color w:val="C00000"/>
                <w:sz w:val="18"/>
                <w:szCs w:val="18"/>
              </w:rPr>
              <w:t>-216 310 000</w:t>
            </w:r>
          </w:p>
        </w:tc>
        <w:tc>
          <w:tcPr>
            <w:tcW w:w="1276" w:type="dxa"/>
            <w:tcBorders>
              <w:top w:val="single" w:sz="8" w:space="0" w:color="auto"/>
              <w:left w:val="nil"/>
            </w:tcBorders>
            <w:shd w:val="clear" w:color="auto" w:fill="FFFFFF" w:themeFill="background1"/>
            <w:vAlign w:val="center"/>
          </w:tcPr>
          <w:p w14:paraId="1B8AE5E5" w14:textId="48713774" w:rsidR="00AF044B" w:rsidRPr="00E31FD5" w:rsidRDefault="00456496" w:rsidP="00AF044B">
            <w:pPr>
              <w:pStyle w:val="ListParagraph"/>
              <w:ind w:left="0"/>
              <w:contextualSpacing w:val="0"/>
              <w:jc w:val="center"/>
              <w:rPr>
                <w:b/>
                <w:bCs/>
                <w:color w:val="C00000"/>
                <w:sz w:val="18"/>
                <w:szCs w:val="18"/>
              </w:rPr>
            </w:pPr>
            <w:r>
              <w:rPr>
                <w:b/>
                <w:bCs/>
                <w:color w:val="C00000"/>
                <w:sz w:val="18"/>
                <w:szCs w:val="18"/>
              </w:rPr>
              <w:t>-287 540 000</w:t>
            </w:r>
          </w:p>
        </w:tc>
        <w:tc>
          <w:tcPr>
            <w:tcW w:w="1276" w:type="dxa"/>
            <w:tcBorders>
              <w:top w:val="single" w:sz="8" w:space="0" w:color="auto"/>
              <w:left w:val="nil"/>
            </w:tcBorders>
            <w:shd w:val="clear" w:color="auto" w:fill="FFFFFF" w:themeFill="background1"/>
            <w:vAlign w:val="center"/>
          </w:tcPr>
          <w:p w14:paraId="3AA24C4C" w14:textId="098B74C4" w:rsidR="00AF044B" w:rsidRPr="00E31FD5" w:rsidRDefault="00456496" w:rsidP="00AF044B">
            <w:pPr>
              <w:pStyle w:val="ListParagraph"/>
              <w:ind w:left="0"/>
              <w:contextualSpacing w:val="0"/>
              <w:jc w:val="center"/>
              <w:rPr>
                <w:b/>
                <w:bCs/>
                <w:color w:val="C00000"/>
                <w:sz w:val="18"/>
                <w:szCs w:val="18"/>
              </w:rPr>
            </w:pPr>
            <w:r>
              <w:rPr>
                <w:b/>
                <w:bCs/>
                <w:color w:val="C00000"/>
                <w:sz w:val="18"/>
                <w:szCs w:val="18"/>
              </w:rPr>
              <w:t>-325 400 000</w:t>
            </w:r>
          </w:p>
        </w:tc>
        <w:tc>
          <w:tcPr>
            <w:tcW w:w="1275" w:type="dxa"/>
            <w:tcBorders>
              <w:top w:val="single" w:sz="8" w:space="0" w:color="auto"/>
              <w:right w:val="nil"/>
            </w:tcBorders>
            <w:shd w:val="clear" w:color="auto" w:fill="FFFFFF" w:themeFill="background1"/>
          </w:tcPr>
          <w:p w14:paraId="7F55CBBC" w14:textId="53444A16" w:rsidR="00AF044B" w:rsidRPr="00E31FD5" w:rsidRDefault="00456496" w:rsidP="00AF044B">
            <w:pPr>
              <w:pStyle w:val="ListParagraph"/>
              <w:ind w:left="0"/>
              <w:contextualSpacing w:val="0"/>
              <w:jc w:val="center"/>
              <w:rPr>
                <w:b/>
                <w:bCs/>
                <w:color w:val="C00000"/>
                <w:sz w:val="18"/>
                <w:szCs w:val="18"/>
              </w:rPr>
            </w:pPr>
            <w:r>
              <w:rPr>
                <w:b/>
                <w:bCs/>
                <w:color w:val="C00000"/>
                <w:sz w:val="18"/>
                <w:szCs w:val="18"/>
              </w:rPr>
              <w:t>-331 910 000</w:t>
            </w:r>
          </w:p>
        </w:tc>
      </w:tr>
      <w:tr w:rsidR="00E31FD5" w:rsidRPr="00F53BA5" w14:paraId="5901664E" w14:textId="6FAD2DA7" w:rsidTr="00E31FD5">
        <w:tc>
          <w:tcPr>
            <w:tcW w:w="3964" w:type="dxa"/>
            <w:tcBorders>
              <w:top w:val="single" w:sz="4" w:space="0" w:color="auto"/>
              <w:left w:val="nil"/>
            </w:tcBorders>
            <w:shd w:val="clear" w:color="auto" w:fill="FFFFFF" w:themeFill="background1"/>
            <w:vAlign w:val="center"/>
          </w:tcPr>
          <w:p w14:paraId="485BDC11" w14:textId="712EC567" w:rsidR="00E31FD5" w:rsidRPr="00AF044B" w:rsidRDefault="00E31FD5" w:rsidP="00E31FD5">
            <w:pPr>
              <w:pStyle w:val="ListParagraph"/>
              <w:numPr>
                <w:ilvl w:val="0"/>
                <w:numId w:val="25"/>
              </w:numPr>
              <w:ind w:left="316" w:hanging="316"/>
              <w:contextualSpacing w:val="0"/>
              <w:jc w:val="left"/>
              <w:rPr>
                <w:sz w:val="20"/>
                <w:szCs w:val="20"/>
              </w:rPr>
            </w:pPr>
            <w:r>
              <w:rPr>
                <w:sz w:val="20"/>
                <w:szCs w:val="20"/>
              </w:rPr>
              <w:t>f</w:t>
            </w:r>
            <w:r w:rsidRPr="00AF044B">
              <w:rPr>
                <w:sz w:val="20"/>
                <w:szCs w:val="20"/>
              </w:rPr>
              <w:t>iksēta neapliekamā minimuma ieviešana</w:t>
            </w:r>
          </w:p>
        </w:tc>
        <w:tc>
          <w:tcPr>
            <w:tcW w:w="1276" w:type="dxa"/>
            <w:tcBorders>
              <w:top w:val="single" w:sz="4" w:space="0" w:color="auto"/>
              <w:left w:val="nil"/>
            </w:tcBorders>
            <w:shd w:val="clear" w:color="auto" w:fill="FFFFFF" w:themeFill="background1"/>
            <w:vAlign w:val="center"/>
          </w:tcPr>
          <w:p w14:paraId="07164415" w14:textId="604CD2FF" w:rsidR="00E31FD5" w:rsidRPr="00E31FD5" w:rsidRDefault="00E31FD5" w:rsidP="00E31FD5">
            <w:pPr>
              <w:pStyle w:val="ListParagraph"/>
              <w:ind w:left="0"/>
              <w:contextualSpacing w:val="0"/>
              <w:jc w:val="center"/>
              <w:rPr>
                <w:color w:val="C00000"/>
                <w:sz w:val="18"/>
                <w:szCs w:val="18"/>
              </w:rPr>
            </w:pPr>
            <w:r w:rsidRPr="00E31FD5">
              <w:rPr>
                <w:color w:val="C00000"/>
                <w:sz w:val="18"/>
                <w:szCs w:val="18"/>
              </w:rPr>
              <w:t>-449 920 000</w:t>
            </w:r>
          </w:p>
        </w:tc>
        <w:tc>
          <w:tcPr>
            <w:tcW w:w="1276" w:type="dxa"/>
            <w:tcBorders>
              <w:top w:val="single" w:sz="4" w:space="0" w:color="auto"/>
              <w:left w:val="nil"/>
            </w:tcBorders>
            <w:shd w:val="clear" w:color="auto" w:fill="FFFFFF" w:themeFill="background1"/>
            <w:vAlign w:val="center"/>
          </w:tcPr>
          <w:p w14:paraId="7C3E8D2D" w14:textId="7E4761D1" w:rsidR="00E31FD5" w:rsidRPr="00E31FD5" w:rsidRDefault="00E31FD5" w:rsidP="00E31FD5">
            <w:pPr>
              <w:pStyle w:val="ListParagraph"/>
              <w:ind w:left="0"/>
              <w:contextualSpacing w:val="0"/>
              <w:jc w:val="center"/>
              <w:rPr>
                <w:color w:val="C00000"/>
                <w:sz w:val="18"/>
                <w:szCs w:val="18"/>
              </w:rPr>
            </w:pPr>
            <w:r w:rsidRPr="00E31FD5">
              <w:rPr>
                <w:color w:val="C00000"/>
                <w:sz w:val="18"/>
                <w:szCs w:val="18"/>
              </w:rPr>
              <w:t>-568 360 000</w:t>
            </w:r>
          </w:p>
        </w:tc>
        <w:tc>
          <w:tcPr>
            <w:tcW w:w="1276" w:type="dxa"/>
            <w:tcBorders>
              <w:top w:val="single" w:sz="4" w:space="0" w:color="auto"/>
              <w:left w:val="nil"/>
            </w:tcBorders>
            <w:shd w:val="clear" w:color="auto" w:fill="FFFFFF" w:themeFill="background1"/>
            <w:vAlign w:val="center"/>
          </w:tcPr>
          <w:p w14:paraId="599234D3" w14:textId="13807F52" w:rsidR="00E31FD5" w:rsidRPr="00E31FD5" w:rsidRDefault="00E31FD5" w:rsidP="00E31FD5">
            <w:pPr>
              <w:pStyle w:val="ListParagraph"/>
              <w:ind w:left="0"/>
              <w:contextualSpacing w:val="0"/>
              <w:jc w:val="center"/>
              <w:rPr>
                <w:color w:val="C00000"/>
                <w:sz w:val="18"/>
                <w:szCs w:val="18"/>
              </w:rPr>
            </w:pPr>
            <w:r w:rsidRPr="00E31FD5">
              <w:rPr>
                <w:color w:val="C00000"/>
                <w:sz w:val="18"/>
                <w:szCs w:val="18"/>
              </w:rPr>
              <w:t>-616 830 000</w:t>
            </w:r>
          </w:p>
        </w:tc>
        <w:tc>
          <w:tcPr>
            <w:tcW w:w="1275" w:type="dxa"/>
            <w:tcBorders>
              <w:top w:val="single" w:sz="4" w:space="0" w:color="auto"/>
              <w:right w:val="nil"/>
            </w:tcBorders>
            <w:shd w:val="clear" w:color="auto" w:fill="FFFFFF" w:themeFill="background1"/>
            <w:vAlign w:val="center"/>
          </w:tcPr>
          <w:p w14:paraId="61BD50BC" w14:textId="43A131F3" w:rsidR="00E31FD5" w:rsidRPr="00E31FD5" w:rsidRDefault="00E31FD5" w:rsidP="00E31FD5">
            <w:pPr>
              <w:pStyle w:val="ListParagraph"/>
              <w:ind w:left="0"/>
              <w:contextualSpacing w:val="0"/>
              <w:jc w:val="center"/>
              <w:rPr>
                <w:color w:val="C00000"/>
                <w:sz w:val="18"/>
                <w:szCs w:val="18"/>
              </w:rPr>
            </w:pPr>
            <w:r w:rsidRPr="00E31FD5">
              <w:rPr>
                <w:color w:val="C00000"/>
                <w:sz w:val="18"/>
                <w:szCs w:val="18"/>
              </w:rPr>
              <w:t>-633 400 000</w:t>
            </w:r>
          </w:p>
        </w:tc>
      </w:tr>
      <w:tr w:rsidR="00E31FD5" w:rsidRPr="00AF044B" w14:paraId="437D7542" w14:textId="77777777" w:rsidTr="000077A6">
        <w:tc>
          <w:tcPr>
            <w:tcW w:w="3964" w:type="dxa"/>
            <w:tcBorders>
              <w:left w:val="nil"/>
            </w:tcBorders>
            <w:shd w:val="clear" w:color="auto" w:fill="FFFFFF" w:themeFill="background1"/>
            <w:vAlign w:val="center"/>
          </w:tcPr>
          <w:p w14:paraId="3A906D0F" w14:textId="0DE01CB8" w:rsidR="00E31FD5" w:rsidRPr="00AF044B" w:rsidRDefault="00E31FD5" w:rsidP="00E31FD5">
            <w:pPr>
              <w:pStyle w:val="ListParagraph"/>
              <w:numPr>
                <w:ilvl w:val="0"/>
                <w:numId w:val="25"/>
              </w:numPr>
              <w:ind w:left="316" w:hanging="316"/>
              <w:contextualSpacing w:val="0"/>
              <w:jc w:val="left"/>
              <w:rPr>
                <w:sz w:val="20"/>
                <w:szCs w:val="20"/>
              </w:rPr>
            </w:pPr>
            <w:r>
              <w:rPr>
                <w:sz w:val="20"/>
                <w:szCs w:val="20"/>
              </w:rPr>
              <w:t>d</w:t>
            </w:r>
            <w:r w:rsidRPr="00AF044B">
              <w:rPr>
                <w:sz w:val="20"/>
                <w:szCs w:val="20"/>
              </w:rPr>
              <w:t>ivu pakāpju IIN likmju ieviešana</w:t>
            </w:r>
          </w:p>
        </w:tc>
        <w:tc>
          <w:tcPr>
            <w:tcW w:w="1276" w:type="dxa"/>
            <w:shd w:val="clear" w:color="auto" w:fill="FFFFFF" w:themeFill="background1"/>
            <w:vAlign w:val="center"/>
          </w:tcPr>
          <w:p w14:paraId="51B49C2F" w14:textId="7E3DC070" w:rsidR="00E31FD5" w:rsidRPr="00E31FD5" w:rsidRDefault="00E31FD5" w:rsidP="00E31FD5">
            <w:pPr>
              <w:pStyle w:val="ListParagraph"/>
              <w:ind w:left="0"/>
              <w:contextualSpacing w:val="0"/>
              <w:jc w:val="center"/>
              <w:rPr>
                <w:color w:val="00B050"/>
                <w:sz w:val="18"/>
                <w:szCs w:val="18"/>
              </w:rPr>
            </w:pPr>
            <w:r w:rsidRPr="00E31FD5">
              <w:rPr>
                <w:color w:val="00B050"/>
                <w:sz w:val="18"/>
                <w:szCs w:val="18"/>
              </w:rPr>
              <w:t>+352 930 000</w:t>
            </w:r>
          </w:p>
        </w:tc>
        <w:tc>
          <w:tcPr>
            <w:tcW w:w="1276" w:type="dxa"/>
            <w:shd w:val="clear" w:color="auto" w:fill="FFFFFF" w:themeFill="background1"/>
            <w:vAlign w:val="center"/>
          </w:tcPr>
          <w:p w14:paraId="18D898B5" w14:textId="220C843F" w:rsidR="00E31FD5" w:rsidRPr="00E31FD5" w:rsidRDefault="00E31FD5" w:rsidP="00E31FD5">
            <w:pPr>
              <w:pStyle w:val="ListParagraph"/>
              <w:ind w:left="0"/>
              <w:contextualSpacing w:val="0"/>
              <w:jc w:val="center"/>
              <w:rPr>
                <w:color w:val="00B050"/>
                <w:sz w:val="18"/>
                <w:szCs w:val="18"/>
              </w:rPr>
            </w:pPr>
            <w:r w:rsidRPr="00E31FD5">
              <w:rPr>
                <w:color w:val="00B050"/>
                <w:sz w:val="18"/>
                <w:szCs w:val="18"/>
              </w:rPr>
              <w:t>+409 680 000</w:t>
            </w:r>
          </w:p>
        </w:tc>
        <w:tc>
          <w:tcPr>
            <w:tcW w:w="1276" w:type="dxa"/>
            <w:shd w:val="clear" w:color="auto" w:fill="FFFFFF" w:themeFill="background1"/>
            <w:vAlign w:val="center"/>
          </w:tcPr>
          <w:p w14:paraId="4867253B" w14:textId="553A2C98" w:rsidR="00E31FD5" w:rsidRPr="00E31FD5" w:rsidRDefault="00E31FD5" w:rsidP="00E31FD5">
            <w:pPr>
              <w:pStyle w:val="ListParagraph"/>
              <w:ind w:left="0"/>
              <w:contextualSpacing w:val="0"/>
              <w:jc w:val="center"/>
              <w:rPr>
                <w:color w:val="00B050"/>
                <w:sz w:val="18"/>
                <w:szCs w:val="18"/>
              </w:rPr>
            </w:pPr>
            <w:r w:rsidRPr="00E31FD5">
              <w:rPr>
                <w:color w:val="00B050"/>
                <w:sz w:val="18"/>
                <w:szCs w:val="18"/>
              </w:rPr>
              <w:t>+430 600 000</w:t>
            </w:r>
          </w:p>
        </w:tc>
        <w:tc>
          <w:tcPr>
            <w:tcW w:w="1275" w:type="dxa"/>
            <w:tcBorders>
              <w:right w:val="nil"/>
            </w:tcBorders>
            <w:shd w:val="clear" w:color="auto" w:fill="FFFFFF" w:themeFill="background1"/>
            <w:vAlign w:val="center"/>
          </w:tcPr>
          <w:p w14:paraId="380C1B3B" w14:textId="33CD968A" w:rsidR="00E31FD5" w:rsidRPr="00E31FD5" w:rsidRDefault="00E31FD5" w:rsidP="00E31FD5">
            <w:pPr>
              <w:pStyle w:val="ListParagraph"/>
              <w:ind w:left="0"/>
              <w:contextualSpacing w:val="0"/>
              <w:jc w:val="center"/>
              <w:rPr>
                <w:color w:val="00B050"/>
                <w:sz w:val="18"/>
                <w:szCs w:val="18"/>
              </w:rPr>
            </w:pPr>
            <w:r w:rsidRPr="00E31FD5">
              <w:rPr>
                <w:color w:val="00B050"/>
                <w:sz w:val="18"/>
                <w:szCs w:val="18"/>
              </w:rPr>
              <w:t>+451 800 000</w:t>
            </w:r>
          </w:p>
        </w:tc>
      </w:tr>
      <w:tr w:rsidR="00456496" w:rsidRPr="00F53BA5" w14:paraId="15379AF2" w14:textId="12D1FD2C" w:rsidTr="00C77796">
        <w:tc>
          <w:tcPr>
            <w:tcW w:w="3964" w:type="dxa"/>
            <w:tcBorders>
              <w:left w:val="nil"/>
            </w:tcBorders>
            <w:shd w:val="clear" w:color="auto" w:fill="FFFFFF" w:themeFill="background1"/>
            <w:vAlign w:val="center"/>
          </w:tcPr>
          <w:p w14:paraId="7F3AF5D1" w14:textId="2FFA2E63" w:rsidR="00456496" w:rsidRPr="00AF044B" w:rsidRDefault="00456496" w:rsidP="00456496">
            <w:pPr>
              <w:pStyle w:val="ListParagraph"/>
              <w:numPr>
                <w:ilvl w:val="0"/>
                <w:numId w:val="25"/>
              </w:numPr>
              <w:ind w:left="316" w:hanging="316"/>
              <w:contextualSpacing w:val="0"/>
              <w:jc w:val="left"/>
              <w:rPr>
                <w:sz w:val="20"/>
                <w:szCs w:val="20"/>
              </w:rPr>
            </w:pPr>
            <w:r>
              <w:rPr>
                <w:sz w:val="20"/>
                <w:szCs w:val="20"/>
              </w:rPr>
              <w:t>p</w:t>
            </w:r>
            <w:r w:rsidRPr="00AF044B">
              <w:rPr>
                <w:sz w:val="20"/>
                <w:szCs w:val="20"/>
              </w:rPr>
              <w:t>ensionāra neapliekamā minimuma paaugstināšana</w:t>
            </w:r>
          </w:p>
        </w:tc>
        <w:tc>
          <w:tcPr>
            <w:tcW w:w="1276" w:type="dxa"/>
            <w:tcBorders>
              <w:left w:val="nil"/>
            </w:tcBorders>
            <w:shd w:val="clear" w:color="auto" w:fill="FFFFFF" w:themeFill="background1"/>
            <w:vAlign w:val="center"/>
          </w:tcPr>
          <w:p w14:paraId="13F55AC6" w14:textId="0FF5A35E" w:rsidR="00456496" w:rsidRPr="00E31FD5" w:rsidRDefault="00456496" w:rsidP="00456496">
            <w:pPr>
              <w:pStyle w:val="ListParagraph"/>
              <w:ind w:left="0"/>
              <w:contextualSpacing w:val="0"/>
              <w:jc w:val="center"/>
              <w:rPr>
                <w:color w:val="C00000"/>
                <w:sz w:val="18"/>
                <w:szCs w:val="18"/>
              </w:rPr>
            </w:pPr>
            <w:r w:rsidRPr="00456496">
              <w:rPr>
                <w:color w:val="C00000"/>
                <w:sz w:val="18"/>
                <w:szCs w:val="18"/>
              </w:rPr>
              <w:t>-119 320 000</w:t>
            </w:r>
          </w:p>
        </w:tc>
        <w:tc>
          <w:tcPr>
            <w:tcW w:w="1276" w:type="dxa"/>
            <w:tcBorders>
              <w:left w:val="nil"/>
            </w:tcBorders>
            <w:shd w:val="clear" w:color="auto" w:fill="FFFFFF" w:themeFill="background1"/>
            <w:vAlign w:val="center"/>
          </w:tcPr>
          <w:p w14:paraId="46A81D8B" w14:textId="5D8911C8" w:rsidR="00456496" w:rsidRPr="00E31FD5" w:rsidRDefault="00456496" w:rsidP="00456496">
            <w:pPr>
              <w:pStyle w:val="ListParagraph"/>
              <w:ind w:left="0"/>
              <w:contextualSpacing w:val="0"/>
              <w:jc w:val="center"/>
              <w:rPr>
                <w:color w:val="C00000"/>
                <w:sz w:val="18"/>
                <w:szCs w:val="18"/>
              </w:rPr>
            </w:pPr>
            <w:r w:rsidRPr="00456496">
              <w:rPr>
                <w:color w:val="C00000"/>
                <w:sz w:val="18"/>
                <w:szCs w:val="18"/>
              </w:rPr>
              <w:t>-128 860 000</w:t>
            </w:r>
          </w:p>
        </w:tc>
        <w:tc>
          <w:tcPr>
            <w:tcW w:w="1276" w:type="dxa"/>
            <w:tcBorders>
              <w:left w:val="nil"/>
            </w:tcBorders>
            <w:shd w:val="clear" w:color="auto" w:fill="FFFFFF" w:themeFill="background1"/>
            <w:vAlign w:val="center"/>
          </w:tcPr>
          <w:p w14:paraId="4BFF1E3B" w14:textId="6E7C0E2E" w:rsidR="00456496" w:rsidRPr="00E31FD5" w:rsidRDefault="00456496" w:rsidP="00456496">
            <w:pPr>
              <w:pStyle w:val="ListParagraph"/>
              <w:ind w:left="0"/>
              <w:contextualSpacing w:val="0"/>
              <w:jc w:val="center"/>
              <w:rPr>
                <w:color w:val="C00000"/>
                <w:sz w:val="18"/>
                <w:szCs w:val="18"/>
              </w:rPr>
            </w:pPr>
            <w:r w:rsidRPr="00456496">
              <w:rPr>
                <w:color w:val="C00000"/>
                <w:sz w:val="18"/>
                <w:szCs w:val="18"/>
              </w:rPr>
              <w:t>-139 170 000</w:t>
            </w:r>
          </w:p>
        </w:tc>
        <w:tc>
          <w:tcPr>
            <w:tcW w:w="1275" w:type="dxa"/>
            <w:tcBorders>
              <w:right w:val="nil"/>
            </w:tcBorders>
            <w:shd w:val="clear" w:color="auto" w:fill="FFFFFF" w:themeFill="background1"/>
            <w:vAlign w:val="center"/>
          </w:tcPr>
          <w:p w14:paraId="1CEA31D7" w14:textId="2838E376" w:rsidR="00456496" w:rsidRPr="00E31FD5" w:rsidRDefault="00456496" w:rsidP="00456496">
            <w:pPr>
              <w:pStyle w:val="ListParagraph"/>
              <w:ind w:left="0"/>
              <w:contextualSpacing w:val="0"/>
              <w:jc w:val="center"/>
              <w:rPr>
                <w:color w:val="C00000"/>
                <w:sz w:val="18"/>
                <w:szCs w:val="18"/>
              </w:rPr>
            </w:pPr>
            <w:r w:rsidRPr="00456496">
              <w:rPr>
                <w:color w:val="C00000"/>
                <w:sz w:val="18"/>
                <w:szCs w:val="18"/>
              </w:rPr>
              <w:t>-150 310 000</w:t>
            </w:r>
          </w:p>
        </w:tc>
      </w:tr>
      <w:tr w:rsidR="00456496" w:rsidRPr="006D7653" w14:paraId="06782F92" w14:textId="77777777" w:rsidTr="00E335FC">
        <w:tc>
          <w:tcPr>
            <w:tcW w:w="3964" w:type="dxa"/>
            <w:tcBorders>
              <w:left w:val="nil"/>
            </w:tcBorders>
            <w:shd w:val="clear" w:color="auto" w:fill="FFFFFF" w:themeFill="background1"/>
            <w:vAlign w:val="center"/>
          </w:tcPr>
          <w:p w14:paraId="43F3CB5A" w14:textId="1F85A687" w:rsidR="00456496" w:rsidRPr="00AF797A" w:rsidRDefault="00456496" w:rsidP="00456496">
            <w:pPr>
              <w:pStyle w:val="ListParagraph"/>
              <w:ind w:left="0"/>
              <w:contextualSpacing w:val="0"/>
              <w:jc w:val="left"/>
              <w:rPr>
                <w:b/>
                <w:bCs/>
                <w:sz w:val="20"/>
                <w:szCs w:val="20"/>
              </w:rPr>
            </w:pPr>
            <w:r>
              <w:rPr>
                <w:b/>
                <w:bCs/>
                <w:sz w:val="20"/>
                <w:szCs w:val="20"/>
              </w:rPr>
              <w:t>PVN</w:t>
            </w:r>
            <w:r w:rsidRPr="00AF044B">
              <w:rPr>
                <w:b/>
                <w:bCs/>
                <w:sz w:val="20"/>
                <w:szCs w:val="20"/>
              </w:rPr>
              <w:t xml:space="preserve"> ieņēmumi</w:t>
            </w:r>
            <w:r>
              <w:rPr>
                <w:b/>
                <w:bCs/>
                <w:sz w:val="20"/>
                <w:szCs w:val="20"/>
              </w:rPr>
              <w:t xml:space="preserve"> </w:t>
            </w:r>
            <w:r w:rsidRPr="00437362">
              <w:rPr>
                <w:i/>
                <w:iCs/>
                <w:sz w:val="20"/>
                <w:szCs w:val="20"/>
              </w:rPr>
              <w:t>(atgriezeniskais efekts)</w:t>
            </w:r>
          </w:p>
        </w:tc>
        <w:tc>
          <w:tcPr>
            <w:tcW w:w="1276" w:type="dxa"/>
            <w:shd w:val="clear" w:color="auto" w:fill="FFFFFF" w:themeFill="background1"/>
            <w:vAlign w:val="center"/>
          </w:tcPr>
          <w:p w14:paraId="7ACD1289" w14:textId="2C5096CA" w:rsidR="00456496" w:rsidRPr="00456496" w:rsidRDefault="00456496" w:rsidP="00456496">
            <w:pPr>
              <w:pStyle w:val="ListParagraph"/>
              <w:ind w:left="0"/>
              <w:contextualSpacing w:val="0"/>
              <w:jc w:val="center"/>
              <w:rPr>
                <w:b/>
                <w:bCs/>
                <w:color w:val="00B050"/>
                <w:sz w:val="18"/>
                <w:szCs w:val="18"/>
              </w:rPr>
            </w:pPr>
            <w:r w:rsidRPr="00456496">
              <w:rPr>
                <w:b/>
                <w:bCs/>
                <w:color w:val="00B050"/>
                <w:sz w:val="18"/>
                <w:szCs w:val="18"/>
              </w:rPr>
              <w:t>+25 230 000</w:t>
            </w:r>
          </w:p>
        </w:tc>
        <w:tc>
          <w:tcPr>
            <w:tcW w:w="1276" w:type="dxa"/>
            <w:shd w:val="clear" w:color="auto" w:fill="FFFFFF" w:themeFill="background1"/>
            <w:vAlign w:val="center"/>
          </w:tcPr>
          <w:p w14:paraId="284CFF9E" w14:textId="2AB5991A" w:rsidR="00456496" w:rsidRPr="00456496" w:rsidRDefault="00456496" w:rsidP="00456496">
            <w:pPr>
              <w:pStyle w:val="ListParagraph"/>
              <w:ind w:left="0"/>
              <w:contextualSpacing w:val="0"/>
              <w:jc w:val="center"/>
              <w:rPr>
                <w:b/>
                <w:bCs/>
                <w:color w:val="00B050"/>
                <w:sz w:val="18"/>
                <w:szCs w:val="18"/>
              </w:rPr>
            </w:pPr>
            <w:r w:rsidRPr="00456496">
              <w:rPr>
                <w:b/>
                <w:bCs/>
                <w:color w:val="00B050"/>
                <w:sz w:val="18"/>
                <w:szCs w:val="18"/>
              </w:rPr>
              <w:t>+33 540 000</w:t>
            </w:r>
          </w:p>
        </w:tc>
        <w:tc>
          <w:tcPr>
            <w:tcW w:w="1276" w:type="dxa"/>
            <w:shd w:val="clear" w:color="auto" w:fill="FFFFFF" w:themeFill="background1"/>
            <w:vAlign w:val="center"/>
          </w:tcPr>
          <w:p w14:paraId="2CF70EF7" w14:textId="13BF4C7F" w:rsidR="00456496" w:rsidRPr="00456496" w:rsidRDefault="00456496" w:rsidP="00456496">
            <w:pPr>
              <w:pStyle w:val="ListParagraph"/>
              <w:ind w:left="0"/>
              <w:contextualSpacing w:val="0"/>
              <w:jc w:val="center"/>
              <w:rPr>
                <w:b/>
                <w:bCs/>
                <w:color w:val="00B050"/>
                <w:sz w:val="18"/>
                <w:szCs w:val="18"/>
              </w:rPr>
            </w:pPr>
            <w:r w:rsidRPr="00456496">
              <w:rPr>
                <w:b/>
                <w:bCs/>
                <w:color w:val="00B050"/>
                <w:sz w:val="18"/>
                <w:szCs w:val="18"/>
              </w:rPr>
              <w:t>+37 950 000</w:t>
            </w:r>
          </w:p>
        </w:tc>
        <w:tc>
          <w:tcPr>
            <w:tcW w:w="1275" w:type="dxa"/>
            <w:tcBorders>
              <w:right w:val="nil"/>
            </w:tcBorders>
            <w:shd w:val="clear" w:color="auto" w:fill="FFFFFF" w:themeFill="background1"/>
            <w:vAlign w:val="center"/>
          </w:tcPr>
          <w:p w14:paraId="1D05E6E9" w14:textId="2CE653A5" w:rsidR="00456496" w:rsidRPr="00456496" w:rsidRDefault="00456496" w:rsidP="00456496">
            <w:pPr>
              <w:pStyle w:val="ListParagraph"/>
              <w:ind w:left="0"/>
              <w:contextualSpacing w:val="0"/>
              <w:jc w:val="center"/>
              <w:rPr>
                <w:b/>
                <w:bCs/>
                <w:color w:val="00B050"/>
                <w:sz w:val="18"/>
                <w:szCs w:val="18"/>
              </w:rPr>
            </w:pPr>
            <w:r w:rsidRPr="00456496">
              <w:rPr>
                <w:b/>
                <w:bCs/>
                <w:color w:val="00B050"/>
                <w:sz w:val="18"/>
                <w:szCs w:val="18"/>
              </w:rPr>
              <w:t>+38 710 000</w:t>
            </w:r>
          </w:p>
        </w:tc>
      </w:tr>
      <w:tr w:rsidR="00456496" w:rsidRPr="006D7653" w14:paraId="7EEFE7AE" w14:textId="5D3240C7" w:rsidTr="001D3588">
        <w:tc>
          <w:tcPr>
            <w:tcW w:w="3964" w:type="dxa"/>
            <w:tcBorders>
              <w:left w:val="nil"/>
            </w:tcBorders>
            <w:shd w:val="clear" w:color="auto" w:fill="F2F2F2" w:themeFill="background1" w:themeFillShade="F2"/>
            <w:vAlign w:val="center"/>
          </w:tcPr>
          <w:p w14:paraId="271475E3" w14:textId="614F1F16" w:rsidR="00456496" w:rsidRPr="00F53BA5" w:rsidRDefault="00456496" w:rsidP="00456496">
            <w:pPr>
              <w:pStyle w:val="ListParagraph"/>
              <w:ind w:left="0"/>
              <w:contextualSpacing w:val="0"/>
              <w:jc w:val="left"/>
              <w:rPr>
                <w:sz w:val="20"/>
                <w:szCs w:val="20"/>
              </w:rPr>
            </w:pPr>
            <w:r w:rsidRPr="00AF797A">
              <w:rPr>
                <w:b/>
                <w:bCs/>
                <w:sz w:val="20"/>
                <w:szCs w:val="20"/>
              </w:rPr>
              <w:t>KOPĀ</w:t>
            </w:r>
            <w:r w:rsidRPr="002B6702">
              <w:rPr>
                <w:i/>
                <w:iCs/>
                <w:sz w:val="20"/>
                <w:szCs w:val="20"/>
              </w:rPr>
              <w:t>, no tā:</w:t>
            </w:r>
          </w:p>
        </w:tc>
        <w:tc>
          <w:tcPr>
            <w:tcW w:w="1276" w:type="dxa"/>
            <w:shd w:val="clear" w:color="auto" w:fill="F2F2F2" w:themeFill="background1" w:themeFillShade="F2"/>
            <w:vAlign w:val="center"/>
          </w:tcPr>
          <w:p w14:paraId="56FB3BA3" w14:textId="205CBBBF" w:rsidR="00456496" w:rsidRPr="00456496" w:rsidRDefault="00456496" w:rsidP="00456496">
            <w:pPr>
              <w:pStyle w:val="ListParagraph"/>
              <w:ind w:left="0"/>
              <w:contextualSpacing w:val="0"/>
              <w:jc w:val="center"/>
              <w:rPr>
                <w:b/>
                <w:bCs/>
                <w:color w:val="C00000"/>
                <w:sz w:val="18"/>
                <w:szCs w:val="18"/>
              </w:rPr>
            </w:pPr>
            <w:r w:rsidRPr="00456496">
              <w:rPr>
                <w:b/>
                <w:bCs/>
                <w:color w:val="C00000"/>
                <w:sz w:val="18"/>
                <w:szCs w:val="18"/>
              </w:rPr>
              <w:t>-191 080 000</w:t>
            </w:r>
          </w:p>
        </w:tc>
        <w:tc>
          <w:tcPr>
            <w:tcW w:w="1276" w:type="dxa"/>
            <w:shd w:val="clear" w:color="auto" w:fill="F2F2F2" w:themeFill="background1" w:themeFillShade="F2"/>
            <w:vAlign w:val="center"/>
          </w:tcPr>
          <w:p w14:paraId="7F2BC290" w14:textId="209B4E3A" w:rsidR="00456496" w:rsidRPr="00456496" w:rsidRDefault="00456496" w:rsidP="00456496">
            <w:pPr>
              <w:pStyle w:val="ListParagraph"/>
              <w:ind w:left="0"/>
              <w:contextualSpacing w:val="0"/>
              <w:jc w:val="center"/>
              <w:rPr>
                <w:b/>
                <w:bCs/>
                <w:color w:val="C00000"/>
                <w:sz w:val="18"/>
                <w:szCs w:val="18"/>
              </w:rPr>
            </w:pPr>
            <w:r w:rsidRPr="00456496">
              <w:rPr>
                <w:b/>
                <w:bCs/>
                <w:color w:val="C00000"/>
                <w:sz w:val="18"/>
                <w:szCs w:val="18"/>
              </w:rPr>
              <w:t>-254 000 000</w:t>
            </w:r>
          </w:p>
        </w:tc>
        <w:tc>
          <w:tcPr>
            <w:tcW w:w="1276" w:type="dxa"/>
            <w:shd w:val="clear" w:color="auto" w:fill="F2F2F2" w:themeFill="background1" w:themeFillShade="F2"/>
            <w:vAlign w:val="center"/>
          </w:tcPr>
          <w:p w14:paraId="4CD41329" w14:textId="0114D79F" w:rsidR="00456496" w:rsidRPr="00456496" w:rsidRDefault="00456496" w:rsidP="00456496">
            <w:pPr>
              <w:pStyle w:val="ListParagraph"/>
              <w:ind w:left="0"/>
              <w:contextualSpacing w:val="0"/>
              <w:jc w:val="center"/>
              <w:rPr>
                <w:b/>
                <w:bCs/>
                <w:color w:val="C00000"/>
                <w:sz w:val="18"/>
                <w:szCs w:val="18"/>
              </w:rPr>
            </w:pPr>
            <w:r w:rsidRPr="00456496">
              <w:rPr>
                <w:b/>
                <w:bCs/>
                <w:color w:val="C00000"/>
                <w:sz w:val="18"/>
                <w:szCs w:val="18"/>
              </w:rPr>
              <w:t>-287 450 000</w:t>
            </w:r>
          </w:p>
        </w:tc>
        <w:tc>
          <w:tcPr>
            <w:tcW w:w="1275" w:type="dxa"/>
            <w:tcBorders>
              <w:right w:val="nil"/>
            </w:tcBorders>
            <w:shd w:val="clear" w:color="auto" w:fill="F2F2F2" w:themeFill="background1" w:themeFillShade="F2"/>
            <w:vAlign w:val="center"/>
          </w:tcPr>
          <w:p w14:paraId="6BEBE7B5" w14:textId="17A0AC5B" w:rsidR="00456496" w:rsidRPr="00456496" w:rsidRDefault="00456496" w:rsidP="00456496">
            <w:pPr>
              <w:pStyle w:val="ListParagraph"/>
              <w:ind w:left="0"/>
              <w:contextualSpacing w:val="0"/>
              <w:jc w:val="center"/>
              <w:rPr>
                <w:b/>
                <w:bCs/>
                <w:color w:val="C00000"/>
                <w:sz w:val="18"/>
                <w:szCs w:val="18"/>
              </w:rPr>
            </w:pPr>
            <w:r w:rsidRPr="00456496">
              <w:rPr>
                <w:b/>
                <w:bCs/>
                <w:color w:val="C00000"/>
                <w:sz w:val="18"/>
                <w:szCs w:val="18"/>
              </w:rPr>
              <w:t>-293 200 000</w:t>
            </w:r>
          </w:p>
        </w:tc>
      </w:tr>
      <w:tr w:rsidR="00AF044B" w:rsidRPr="006D7653" w14:paraId="17AAB255" w14:textId="77777777" w:rsidTr="00E31FD5">
        <w:tc>
          <w:tcPr>
            <w:tcW w:w="3964" w:type="dxa"/>
            <w:tcBorders>
              <w:left w:val="nil"/>
              <w:bottom w:val="single" w:sz="4" w:space="0" w:color="auto"/>
            </w:tcBorders>
            <w:shd w:val="clear" w:color="auto" w:fill="FFFFFF" w:themeFill="background1"/>
            <w:vAlign w:val="center"/>
          </w:tcPr>
          <w:p w14:paraId="31756115" w14:textId="0F436EEF" w:rsidR="00AF044B" w:rsidRDefault="00AF044B" w:rsidP="00AF044B">
            <w:pPr>
              <w:pStyle w:val="ListParagraph"/>
              <w:numPr>
                <w:ilvl w:val="0"/>
                <w:numId w:val="24"/>
              </w:numPr>
              <w:ind w:left="316" w:hanging="316"/>
              <w:contextualSpacing w:val="0"/>
              <w:jc w:val="left"/>
              <w:rPr>
                <w:b/>
                <w:bCs/>
                <w:sz w:val="20"/>
                <w:szCs w:val="20"/>
              </w:rPr>
            </w:pPr>
            <w:r w:rsidRPr="002B6702">
              <w:rPr>
                <w:i/>
                <w:iCs/>
                <w:sz w:val="20"/>
                <w:szCs w:val="20"/>
              </w:rPr>
              <w:t>valsts pamatbudžetā</w:t>
            </w:r>
          </w:p>
        </w:tc>
        <w:tc>
          <w:tcPr>
            <w:tcW w:w="1276" w:type="dxa"/>
            <w:tcBorders>
              <w:bottom w:val="single" w:sz="4" w:space="0" w:color="auto"/>
            </w:tcBorders>
            <w:shd w:val="clear" w:color="auto" w:fill="FFFFFF" w:themeFill="background1"/>
          </w:tcPr>
          <w:p w14:paraId="7F1A1E91" w14:textId="07CC0997" w:rsidR="00AF044B" w:rsidRPr="00E31FD5" w:rsidRDefault="00456496" w:rsidP="00AF044B">
            <w:pPr>
              <w:pStyle w:val="ListParagraph"/>
              <w:ind w:left="0"/>
              <w:contextualSpacing w:val="0"/>
              <w:jc w:val="center"/>
              <w:rPr>
                <w:i/>
                <w:iCs/>
                <w:color w:val="C00000"/>
                <w:sz w:val="18"/>
                <w:szCs w:val="18"/>
              </w:rPr>
            </w:pPr>
            <w:r>
              <w:rPr>
                <w:i/>
                <w:iCs/>
                <w:color w:val="C00000"/>
                <w:sz w:val="18"/>
                <w:szCs w:val="18"/>
              </w:rPr>
              <w:t>-28 847 500</w:t>
            </w:r>
          </w:p>
        </w:tc>
        <w:tc>
          <w:tcPr>
            <w:tcW w:w="1276" w:type="dxa"/>
            <w:tcBorders>
              <w:bottom w:val="single" w:sz="4" w:space="0" w:color="auto"/>
            </w:tcBorders>
            <w:shd w:val="clear" w:color="auto" w:fill="FFFFFF" w:themeFill="background1"/>
          </w:tcPr>
          <w:p w14:paraId="2813ACDE" w14:textId="7F964F42" w:rsidR="00AF044B" w:rsidRPr="00E31FD5" w:rsidRDefault="00456496" w:rsidP="00AF044B">
            <w:pPr>
              <w:pStyle w:val="ListParagraph"/>
              <w:ind w:left="0"/>
              <w:contextualSpacing w:val="0"/>
              <w:jc w:val="center"/>
              <w:rPr>
                <w:i/>
                <w:iCs/>
                <w:color w:val="C00000"/>
                <w:sz w:val="18"/>
                <w:szCs w:val="18"/>
              </w:rPr>
            </w:pPr>
            <w:r>
              <w:rPr>
                <w:i/>
                <w:iCs/>
                <w:color w:val="C00000"/>
                <w:sz w:val="18"/>
                <w:szCs w:val="18"/>
              </w:rPr>
              <w:t>-38 345 000</w:t>
            </w:r>
          </w:p>
        </w:tc>
        <w:tc>
          <w:tcPr>
            <w:tcW w:w="1276" w:type="dxa"/>
            <w:tcBorders>
              <w:bottom w:val="single" w:sz="4" w:space="0" w:color="auto"/>
            </w:tcBorders>
            <w:shd w:val="clear" w:color="auto" w:fill="FFFFFF" w:themeFill="background1"/>
          </w:tcPr>
          <w:p w14:paraId="15DB94CC" w14:textId="2F86FF3D" w:rsidR="00AF044B" w:rsidRPr="00E31FD5" w:rsidRDefault="00456496" w:rsidP="00AF044B">
            <w:pPr>
              <w:pStyle w:val="ListParagraph"/>
              <w:ind w:left="0"/>
              <w:contextualSpacing w:val="0"/>
              <w:jc w:val="center"/>
              <w:rPr>
                <w:i/>
                <w:iCs/>
                <w:color w:val="C00000"/>
                <w:sz w:val="18"/>
                <w:szCs w:val="18"/>
              </w:rPr>
            </w:pPr>
            <w:r>
              <w:rPr>
                <w:i/>
                <w:iCs/>
                <w:color w:val="C00000"/>
                <w:sz w:val="18"/>
                <w:szCs w:val="18"/>
              </w:rPr>
              <w:t>-43 400 000</w:t>
            </w:r>
          </w:p>
        </w:tc>
        <w:tc>
          <w:tcPr>
            <w:tcW w:w="1275" w:type="dxa"/>
            <w:tcBorders>
              <w:bottom w:val="single" w:sz="4" w:space="0" w:color="auto"/>
              <w:right w:val="nil"/>
            </w:tcBorders>
            <w:shd w:val="clear" w:color="auto" w:fill="FFFFFF" w:themeFill="background1"/>
          </w:tcPr>
          <w:p w14:paraId="23E808EA" w14:textId="3B8D10B4" w:rsidR="00AF044B" w:rsidRPr="00E31FD5" w:rsidRDefault="00456496" w:rsidP="00AF044B">
            <w:pPr>
              <w:pStyle w:val="ListParagraph"/>
              <w:ind w:left="0"/>
              <w:contextualSpacing w:val="0"/>
              <w:jc w:val="center"/>
              <w:rPr>
                <w:i/>
                <w:iCs/>
                <w:color w:val="C00000"/>
                <w:sz w:val="18"/>
                <w:szCs w:val="18"/>
              </w:rPr>
            </w:pPr>
            <w:r>
              <w:rPr>
                <w:i/>
                <w:iCs/>
                <w:color w:val="C00000"/>
                <w:sz w:val="18"/>
                <w:szCs w:val="18"/>
              </w:rPr>
              <w:t>-</w:t>
            </w:r>
            <w:r w:rsidR="000D626A">
              <w:rPr>
                <w:i/>
                <w:iCs/>
                <w:color w:val="C00000"/>
                <w:sz w:val="18"/>
                <w:szCs w:val="18"/>
              </w:rPr>
              <w:t>44 267 500</w:t>
            </w:r>
          </w:p>
        </w:tc>
      </w:tr>
      <w:tr w:rsidR="00AF044B" w:rsidRPr="006D7653" w14:paraId="7B2BE5E8" w14:textId="77777777" w:rsidTr="00E31FD5">
        <w:tc>
          <w:tcPr>
            <w:tcW w:w="3964" w:type="dxa"/>
            <w:tcBorders>
              <w:left w:val="nil"/>
              <w:bottom w:val="nil"/>
            </w:tcBorders>
            <w:shd w:val="clear" w:color="auto" w:fill="FFFFFF" w:themeFill="background1"/>
            <w:vAlign w:val="center"/>
          </w:tcPr>
          <w:p w14:paraId="14612C68" w14:textId="29038F48" w:rsidR="00AF044B" w:rsidRDefault="00AF044B" w:rsidP="00AF044B">
            <w:pPr>
              <w:pStyle w:val="ListParagraph"/>
              <w:numPr>
                <w:ilvl w:val="0"/>
                <w:numId w:val="24"/>
              </w:numPr>
              <w:ind w:left="316" w:hanging="316"/>
              <w:contextualSpacing w:val="0"/>
              <w:jc w:val="left"/>
              <w:rPr>
                <w:b/>
                <w:bCs/>
                <w:sz w:val="20"/>
                <w:szCs w:val="20"/>
              </w:rPr>
            </w:pPr>
            <w:r>
              <w:rPr>
                <w:i/>
                <w:iCs/>
                <w:sz w:val="20"/>
                <w:szCs w:val="20"/>
              </w:rPr>
              <w:t>pašvaldību budžetos</w:t>
            </w:r>
          </w:p>
        </w:tc>
        <w:tc>
          <w:tcPr>
            <w:tcW w:w="1276" w:type="dxa"/>
            <w:tcBorders>
              <w:bottom w:val="nil"/>
            </w:tcBorders>
            <w:shd w:val="clear" w:color="auto" w:fill="FFFFFF" w:themeFill="background1"/>
          </w:tcPr>
          <w:p w14:paraId="6EF14794" w14:textId="49458EA4" w:rsidR="00AF044B" w:rsidRPr="00E31FD5" w:rsidRDefault="00456496" w:rsidP="00AF044B">
            <w:pPr>
              <w:pStyle w:val="ListParagraph"/>
              <w:ind w:left="0"/>
              <w:contextualSpacing w:val="0"/>
              <w:jc w:val="center"/>
              <w:rPr>
                <w:i/>
                <w:iCs/>
                <w:color w:val="C00000"/>
                <w:sz w:val="18"/>
                <w:szCs w:val="18"/>
              </w:rPr>
            </w:pPr>
            <w:r>
              <w:rPr>
                <w:i/>
                <w:iCs/>
                <w:color w:val="C00000"/>
                <w:sz w:val="18"/>
                <w:szCs w:val="18"/>
              </w:rPr>
              <w:t>-162 232 500</w:t>
            </w:r>
          </w:p>
        </w:tc>
        <w:tc>
          <w:tcPr>
            <w:tcW w:w="1276" w:type="dxa"/>
            <w:tcBorders>
              <w:bottom w:val="nil"/>
            </w:tcBorders>
            <w:shd w:val="clear" w:color="auto" w:fill="FFFFFF" w:themeFill="background1"/>
          </w:tcPr>
          <w:p w14:paraId="3953E2A4" w14:textId="6BCBBC64" w:rsidR="00AF044B" w:rsidRPr="00E31FD5" w:rsidRDefault="00456496" w:rsidP="00AF044B">
            <w:pPr>
              <w:pStyle w:val="ListParagraph"/>
              <w:ind w:left="0"/>
              <w:contextualSpacing w:val="0"/>
              <w:jc w:val="center"/>
              <w:rPr>
                <w:i/>
                <w:iCs/>
                <w:color w:val="C00000"/>
                <w:sz w:val="18"/>
                <w:szCs w:val="18"/>
              </w:rPr>
            </w:pPr>
            <w:r>
              <w:rPr>
                <w:i/>
                <w:iCs/>
                <w:color w:val="C00000"/>
                <w:sz w:val="18"/>
                <w:szCs w:val="18"/>
              </w:rPr>
              <w:t>-215 655 000</w:t>
            </w:r>
          </w:p>
        </w:tc>
        <w:tc>
          <w:tcPr>
            <w:tcW w:w="1276" w:type="dxa"/>
            <w:tcBorders>
              <w:bottom w:val="nil"/>
            </w:tcBorders>
            <w:shd w:val="clear" w:color="auto" w:fill="FFFFFF" w:themeFill="background1"/>
          </w:tcPr>
          <w:p w14:paraId="622A7A61" w14:textId="78BC80C4" w:rsidR="00AF044B" w:rsidRPr="00E31FD5" w:rsidRDefault="00456496" w:rsidP="00AF044B">
            <w:pPr>
              <w:pStyle w:val="ListParagraph"/>
              <w:ind w:left="0"/>
              <w:contextualSpacing w:val="0"/>
              <w:jc w:val="center"/>
              <w:rPr>
                <w:i/>
                <w:iCs/>
                <w:color w:val="C00000"/>
                <w:sz w:val="18"/>
                <w:szCs w:val="18"/>
              </w:rPr>
            </w:pPr>
            <w:r>
              <w:rPr>
                <w:i/>
                <w:iCs/>
                <w:color w:val="C00000"/>
                <w:sz w:val="18"/>
                <w:szCs w:val="18"/>
              </w:rPr>
              <w:t>-244 050 000</w:t>
            </w:r>
          </w:p>
        </w:tc>
        <w:tc>
          <w:tcPr>
            <w:tcW w:w="1275" w:type="dxa"/>
            <w:tcBorders>
              <w:bottom w:val="nil"/>
              <w:right w:val="nil"/>
            </w:tcBorders>
            <w:shd w:val="clear" w:color="auto" w:fill="FFFFFF" w:themeFill="background1"/>
          </w:tcPr>
          <w:p w14:paraId="12A5BC0C" w14:textId="3F43B86E" w:rsidR="00AF044B" w:rsidRPr="00E31FD5" w:rsidRDefault="00456496" w:rsidP="00AF044B">
            <w:pPr>
              <w:pStyle w:val="ListParagraph"/>
              <w:ind w:left="0"/>
              <w:contextualSpacing w:val="0"/>
              <w:jc w:val="center"/>
              <w:rPr>
                <w:i/>
                <w:iCs/>
                <w:color w:val="C00000"/>
                <w:sz w:val="18"/>
                <w:szCs w:val="18"/>
              </w:rPr>
            </w:pPr>
            <w:r>
              <w:rPr>
                <w:i/>
                <w:iCs/>
                <w:color w:val="C00000"/>
                <w:sz w:val="18"/>
                <w:szCs w:val="18"/>
              </w:rPr>
              <w:t>-</w:t>
            </w:r>
            <w:r w:rsidR="000D626A">
              <w:rPr>
                <w:i/>
                <w:iCs/>
                <w:color w:val="C00000"/>
                <w:sz w:val="18"/>
                <w:szCs w:val="18"/>
              </w:rPr>
              <w:t>248 932 500</w:t>
            </w:r>
          </w:p>
        </w:tc>
      </w:tr>
    </w:tbl>
    <w:p w14:paraId="63367AA3" w14:textId="692DF853" w:rsidR="002E0A09" w:rsidRDefault="00376FB8" w:rsidP="00725CD9">
      <w:pPr>
        <w:tabs>
          <w:tab w:val="left" w:pos="426"/>
        </w:tabs>
        <w:spacing w:before="80"/>
        <w:rPr>
          <w:rFonts w:cs="Times New Roman"/>
          <w:i/>
          <w:sz w:val="16"/>
          <w:szCs w:val="16"/>
        </w:rPr>
      </w:pPr>
      <w:r>
        <w:rPr>
          <w:rFonts w:cs="Times New Roman"/>
          <w:b/>
          <w:bCs/>
          <w:sz w:val="18"/>
          <w:szCs w:val="18"/>
          <w:vertAlign w:val="superscript"/>
        </w:rPr>
        <w:t>*</w:t>
      </w:r>
      <w:r w:rsidR="002E0A09" w:rsidRPr="002E0A09">
        <w:rPr>
          <w:rFonts w:cs="Times New Roman"/>
          <w:i/>
          <w:sz w:val="16"/>
          <w:szCs w:val="16"/>
        </w:rPr>
        <w:t>202</w:t>
      </w:r>
      <w:r w:rsidR="002E0A09">
        <w:rPr>
          <w:rFonts w:cs="Times New Roman"/>
          <w:i/>
          <w:sz w:val="16"/>
          <w:szCs w:val="16"/>
        </w:rPr>
        <w:t>5</w:t>
      </w:r>
      <w:r w:rsidR="002E0A09" w:rsidRPr="002E0A09">
        <w:rPr>
          <w:rFonts w:cs="Times New Roman"/>
          <w:i/>
          <w:sz w:val="16"/>
          <w:szCs w:val="16"/>
        </w:rPr>
        <w:t>. gadā norādīta 11 mēnešu ietekme.</w:t>
      </w:r>
    </w:p>
    <w:p w14:paraId="3C0BBD8B" w14:textId="3CB69F7A" w:rsidR="002E0A09" w:rsidRDefault="002E0A09" w:rsidP="006548BB">
      <w:pPr>
        <w:tabs>
          <w:tab w:val="left" w:pos="426"/>
        </w:tabs>
        <w:spacing w:before="120"/>
        <w:rPr>
          <w:rFonts w:cs="Times New Roman"/>
          <w:i/>
          <w:sz w:val="18"/>
        </w:rPr>
      </w:pPr>
      <w:r w:rsidRPr="002E0A09">
        <w:rPr>
          <w:rFonts w:cs="Times New Roman"/>
          <w:b/>
          <w:bCs/>
          <w:i/>
          <w:sz w:val="18"/>
        </w:rPr>
        <w:t>Avots</w:t>
      </w:r>
      <w:r w:rsidRPr="002E0A09">
        <w:rPr>
          <w:rFonts w:cs="Times New Roman"/>
          <w:i/>
          <w:sz w:val="18"/>
        </w:rPr>
        <w:t>: FM</w:t>
      </w:r>
      <w:r w:rsidR="006548BB">
        <w:rPr>
          <w:rFonts w:cs="Times New Roman"/>
          <w:i/>
          <w:sz w:val="18"/>
        </w:rPr>
        <w:t xml:space="preserve"> </w:t>
      </w:r>
      <w:r w:rsidRPr="002E0A09">
        <w:rPr>
          <w:rFonts w:cs="Times New Roman"/>
          <w:i/>
          <w:sz w:val="18"/>
        </w:rPr>
        <w:t>aprēķini</w:t>
      </w:r>
      <w:r w:rsidR="000D626A">
        <w:rPr>
          <w:rFonts w:cs="Times New Roman"/>
          <w:i/>
          <w:sz w:val="18"/>
        </w:rPr>
        <w:t>.</w:t>
      </w:r>
    </w:p>
    <w:p w14:paraId="11018384" w14:textId="78D641CD" w:rsidR="002A406F" w:rsidRPr="002A406F" w:rsidRDefault="002A406F" w:rsidP="00725CD9">
      <w:pPr>
        <w:ind w:firstLine="567"/>
        <w:jc w:val="both"/>
        <w:rPr>
          <w:bCs/>
          <w:szCs w:val="24"/>
        </w:rPr>
      </w:pPr>
      <w:r w:rsidRPr="002A406F">
        <w:rPr>
          <w:bCs/>
          <w:szCs w:val="24"/>
        </w:rPr>
        <w:lastRenderedPageBreak/>
        <w:t>Papildus</w:t>
      </w:r>
      <w:r>
        <w:rPr>
          <w:bCs/>
          <w:szCs w:val="24"/>
          <w:vertAlign w:val="superscript"/>
        </w:rPr>
        <w:t xml:space="preserve"> </w:t>
      </w:r>
      <w:r w:rsidRPr="002A406F">
        <w:rPr>
          <w:bCs/>
          <w:szCs w:val="24"/>
        </w:rPr>
        <w:t xml:space="preserve">izmaiņu realizācijai VID </w:t>
      </w:r>
      <w:r>
        <w:rPr>
          <w:bCs/>
          <w:szCs w:val="24"/>
        </w:rPr>
        <w:t>(i</w:t>
      </w:r>
      <w:r w:rsidRPr="002A406F">
        <w:rPr>
          <w:bCs/>
          <w:szCs w:val="24"/>
        </w:rPr>
        <w:t xml:space="preserve">zmaiņas </w:t>
      </w:r>
      <w:r>
        <w:rPr>
          <w:bCs/>
          <w:szCs w:val="24"/>
        </w:rPr>
        <w:t>a</w:t>
      </w:r>
      <w:r w:rsidRPr="002A406F">
        <w:rPr>
          <w:bCs/>
          <w:szCs w:val="24"/>
        </w:rPr>
        <w:t>lgas nodokļu grāmatiņ</w:t>
      </w:r>
      <w:r>
        <w:rPr>
          <w:bCs/>
          <w:szCs w:val="24"/>
        </w:rPr>
        <w:t xml:space="preserve">ā, </w:t>
      </w:r>
      <w:r w:rsidRPr="002A406F">
        <w:rPr>
          <w:bCs/>
          <w:szCs w:val="24"/>
        </w:rPr>
        <w:t>deklarācijās un pārskatos</w:t>
      </w:r>
      <w:r>
        <w:rPr>
          <w:bCs/>
          <w:szCs w:val="24"/>
        </w:rPr>
        <w:t>)</w:t>
      </w:r>
      <w:r w:rsidRPr="002A406F">
        <w:rPr>
          <w:bCs/>
          <w:szCs w:val="24"/>
        </w:rPr>
        <w:t xml:space="preserve"> nepieciešami</w:t>
      </w:r>
      <w:r>
        <w:rPr>
          <w:bCs/>
          <w:szCs w:val="24"/>
        </w:rPr>
        <w:t xml:space="preserve"> </w:t>
      </w:r>
      <w:r w:rsidR="00725CD9">
        <w:rPr>
          <w:bCs/>
          <w:szCs w:val="24"/>
        </w:rPr>
        <w:t xml:space="preserve">aptuveni </w:t>
      </w:r>
      <w:r w:rsidR="00725CD9" w:rsidRPr="00725CD9">
        <w:rPr>
          <w:b/>
          <w:color w:val="C00000"/>
          <w:szCs w:val="24"/>
        </w:rPr>
        <w:t>259</w:t>
      </w:r>
      <w:r w:rsidRPr="00725CD9">
        <w:rPr>
          <w:b/>
          <w:color w:val="C00000"/>
          <w:szCs w:val="24"/>
        </w:rPr>
        <w:t> </w:t>
      </w:r>
      <w:r w:rsidRPr="002A406F">
        <w:rPr>
          <w:b/>
          <w:color w:val="C00000"/>
          <w:szCs w:val="24"/>
        </w:rPr>
        <w:t>2</w:t>
      </w:r>
      <w:r w:rsidR="00725CD9">
        <w:rPr>
          <w:b/>
          <w:color w:val="C00000"/>
          <w:szCs w:val="24"/>
        </w:rPr>
        <w:t>24</w:t>
      </w:r>
      <w:r w:rsidRPr="002A406F">
        <w:rPr>
          <w:bCs/>
          <w:color w:val="C00000"/>
          <w:szCs w:val="24"/>
        </w:rPr>
        <w:t xml:space="preserve"> </w:t>
      </w:r>
      <w:r w:rsidRPr="002A406F">
        <w:rPr>
          <w:rFonts w:eastAsia="Times New Roman"/>
          <w:bCs/>
          <w:i/>
          <w:iCs/>
          <w:szCs w:val="24"/>
        </w:rPr>
        <w:t>euro</w:t>
      </w:r>
      <w:r>
        <w:rPr>
          <w:bCs/>
          <w:szCs w:val="24"/>
        </w:rPr>
        <w:t xml:space="preserve">, bet </w:t>
      </w:r>
      <w:r w:rsidRPr="002A406F">
        <w:rPr>
          <w:bCs/>
          <w:szCs w:val="24"/>
        </w:rPr>
        <w:t xml:space="preserve">VSAA </w:t>
      </w:r>
      <w:r w:rsidR="00725CD9">
        <w:rPr>
          <w:bCs/>
          <w:szCs w:val="24"/>
        </w:rPr>
        <w:t>–</w:t>
      </w:r>
      <w:r w:rsidRPr="002A406F">
        <w:rPr>
          <w:bCs/>
          <w:szCs w:val="24"/>
        </w:rPr>
        <w:t xml:space="preserve"> </w:t>
      </w:r>
      <w:r w:rsidRPr="002A406F">
        <w:rPr>
          <w:b/>
          <w:color w:val="C00000"/>
          <w:szCs w:val="24"/>
        </w:rPr>
        <w:t>66 792</w:t>
      </w:r>
      <w:r w:rsidRPr="002A406F">
        <w:rPr>
          <w:bCs/>
          <w:color w:val="C00000"/>
          <w:szCs w:val="24"/>
        </w:rPr>
        <w:t xml:space="preserve"> </w:t>
      </w:r>
      <w:r w:rsidRPr="002A406F">
        <w:rPr>
          <w:rFonts w:eastAsia="Times New Roman"/>
          <w:bCs/>
          <w:i/>
          <w:iCs/>
          <w:szCs w:val="24"/>
        </w:rPr>
        <w:t>euro</w:t>
      </w:r>
      <w:r w:rsidRPr="002A406F">
        <w:rPr>
          <w:bCs/>
          <w:szCs w:val="24"/>
        </w:rPr>
        <w:t>.</w:t>
      </w:r>
    </w:p>
    <w:p w14:paraId="408D8A5A" w14:textId="77777777" w:rsidR="002A406F" w:rsidRPr="002E0A09" w:rsidRDefault="002A406F" w:rsidP="00725CD9">
      <w:pPr>
        <w:tabs>
          <w:tab w:val="left" w:pos="426"/>
        </w:tabs>
        <w:rPr>
          <w:rFonts w:cs="Times New Roman"/>
          <w:i/>
          <w:sz w:val="18"/>
        </w:rPr>
      </w:pPr>
    </w:p>
    <w:p w14:paraId="39E6D909" w14:textId="32BBFFDA" w:rsidR="00546202" w:rsidRPr="00442E52" w:rsidRDefault="00546202" w:rsidP="00B4173B">
      <w:pPr>
        <w:pStyle w:val="Heading3"/>
        <w:spacing w:before="240" w:after="240"/>
        <w:ind w:left="567" w:hanging="567"/>
      </w:pPr>
      <w:bookmarkStart w:id="7" w:name="_Toc177627695"/>
      <w:r>
        <w:t>1.1.3. Piedāvātā risinājuma ietekme uz darba devēja izmaksām</w:t>
      </w:r>
      <w:r w:rsidR="00FF1FE7">
        <w:t xml:space="preserve"> un</w:t>
      </w:r>
      <w:r>
        <w:t xml:space="preserve"> strādājošo atalgojumu</w:t>
      </w:r>
      <w:bookmarkEnd w:id="7"/>
      <w:r w:rsidR="00B4173B">
        <w:t xml:space="preserve"> </w:t>
      </w:r>
    </w:p>
    <w:p w14:paraId="6C8A051B" w14:textId="6C873377" w:rsidR="007E6E08" w:rsidRDefault="007E6E08" w:rsidP="007E6E08">
      <w:pPr>
        <w:ind w:firstLine="567"/>
        <w:jc w:val="both"/>
      </w:pPr>
      <w:r w:rsidRPr="00C140A0">
        <w:t>Plānot</w:t>
      </w:r>
      <w:r>
        <w:t>ās</w:t>
      </w:r>
      <w:r w:rsidRPr="00C140A0">
        <w:t xml:space="preserve"> </w:t>
      </w:r>
      <w:r>
        <w:t xml:space="preserve">darbaspēka </w:t>
      </w:r>
      <w:r w:rsidRPr="00C140A0">
        <w:t>nodokļu izmaiņ</w:t>
      </w:r>
      <w:r>
        <w:t xml:space="preserve">as samazina </w:t>
      </w:r>
      <w:r w:rsidRPr="00C140A0">
        <w:t xml:space="preserve">darbaspēka nodokļu slogu </w:t>
      </w:r>
      <w:r>
        <w:t xml:space="preserve">strādājošajiem </w:t>
      </w:r>
      <w:r w:rsidR="0057227B">
        <w:t xml:space="preserve">ar bruto ienākumu </w:t>
      </w:r>
      <w:r>
        <w:t>līdz 4 000 </w:t>
      </w:r>
      <w:r w:rsidRPr="00DE20E4">
        <w:rPr>
          <w:i/>
          <w:iCs/>
        </w:rPr>
        <w:t>euro</w:t>
      </w:r>
      <w:r>
        <w:t xml:space="preserve"> </w:t>
      </w:r>
      <w:r w:rsidR="001D2593">
        <w:t xml:space="preserve">mēnesī </w:t>
      </w:r>
      <w:r w:rsidRPr="00C140A0">
        <w:t xml:space="preserve">un </w:t>
      </w:r>
      <w:r>
        <w:t xml:space="preserve">palielina atalgojuma līmeni, kas kopumā veicina </w:t>
      </w:r>
      <w:r w:rsidRPr="00C140A0">
        <w:t xml:space="preserve">darbaspēka </w:t>
      </w:r>
      <w:r w:rsidR="001D2593">
        <w:t xml:space="preserve">izmaksu </w:t>
      </w:r>
      <w:r w:rsidRPr="00C140A0">
        <w:t>konkurētspēju Baltijas reģionā</w:t>
      </w:r>
      <w:r>
        <w:t>.</w:t>
      </w:r>
    </w:p>
    <w:p w14:paraId="52C01431" w14:textId="77777777" w:rsidR="00546202" w:rsidRPr="007C3CBB" w:rsidRDefault="00546202" w:rsidP="00546202">
      <w:pPr>
        <w:ind w:firstLine="709"/>
        <w:jc w:val="both"/>
        <w:rPr>
          <w:sz w:val="12"/>
          <w:szCs w:val="12"/>
        </w:rPr>
      </w:pPr>
    </w:p>
    <w:p w14:paraId="32E562CA" w14:textId="77777777" w:rsidR="00546202" w:rsidRPr="0064748F" w:rsidRDefault="00546202" w:rsidP="00546202">
      <w:pPr>
        <w:spacing w:after="120"/>
        <w:jc w:val="center"/>
        <w:rPr>
          <w:color w:val="000000" w:themeColor="text1"/>
          <w:sz w:val="20"/>
          <w:szCs w:val="20"/>
          <w:shd w:val="clear" w:color="auto" w:fill="FFFFFF"/>
        </w:rPr>
      </w:pPr>
      <w:r w:rsidRPr="00CD1EC4">
        <w:rPr>
          <w:color w:val="000000" w:themeColor="text1"/>
          <w:sz w:val="20"/>
          <w:szCs w:val="20"/>
          <w:shd w:val="clear" w:color="auto" w:fill="FFFFFF"/>
        </w:rPr>
        <w:t>3.att.</w:t>
      </w:r>
      <w:r>
        <w:rPr>
          <w:b/>
          <w:bCs/>
          <w:color w:val="000000" w:themeColor="text1"/>
          <w:sz w:val="20"/>
          <w:szCs w:val="20"/>
          <w:shd w:val="clear" w:color="auto" w:fill="FFFFFF"/>
        </w:rPr>
        <w:t xml:space="preserve"> </w:t>
      </w:r>
      <w:r w:rsidRPr="00AE0B8C">
        <w:rPr>
          <w:b/>
          <w:bCs/>
          <w:color w:val="000000" w:themeColor="text1"/>
          <w:sz w:val="20"/>
          <w:szCs w:val="20"/>
          <w:shd w:val="clear" w:color="auto" w:fill="FFFFFF"/>
        </w:rPr>
        <w:t>Darbaspēka nodokļu slog</w:t>
      </w:r>
      <w:r>
        <w:rPr>
          <w:b/>
          <w:bCs/>
          <w:color w:val="000000" w:themeColor="text1"/>
          <w:sz w:val="20"/>
          <w:szCs w:val="20"/>
          <w:shd w:val="clear" w:color="auto" w:fill="FFFFFF"/>
        </w:rPr>
        <w:t>a</w:t>
      </w:r>
      <w:r w:rsidRPr="00AE0B8C">
        <w:rPr>
          <w:b/>
          <w:bCs/>
          <w:color w:val="000000" w:themeColor="text1"/>
          <w:sz w:val="20"/>
          <w:szCs w:val="20"/>
          <w:shd w:val="clear" w:color="auto" w:fill="FFFFFF"/>
        </w:rPr>
        <w:t xml:space="preserve"> (strādājošajiem bez apgādībā esošām personām)</w:t>
      </w:r>
      <w:r>
        <w:rPr>
          <w:b/>
          <w:bCs/>
          <w:color w:val="000000" w:themeColor="text1"/>
          <w:sz w:val="20"/>
          <w:szCs w:val="20"/>
          <w:shd w:val="clear" w:color="auto" w:fill="FFFFFF"/>
        </w:rPr>
        <w:t xml:space="preserve"> izmaiņas</w:t>
      </w:r>
      <w:r>
        <w:rPr>
          <w:color w:val="000000" w:themeColor="text1"/>
          <w:sz w:val="20"/>
          <w:szCs w:val="20"/>
          <w:shd w:val="clear" w:color="auto" w:fill="FFFFFF"/>
        </w:rPr>
        <w:t>,</w:t>
      </w:r>
      <w:r w:rsidRPr="0064748F">
        <w:rPr>
          <w:i/>
          <w:iCs/>
          <w:color w:val="000000" w:themeColor="text1"/>
          <w:sz w:val="20"/>
          <w:szCs w:val="20"/>
          <w:shd w:val="clear" w:color="auto" w:fill="FFFFFF"/>
        </w:rPr>
        <w:t xml:space="preserve"> %</w:t>
      </w:r>
    </w:p>
    <w:p w14:paraId="250BBBB2" w14:textId="77777777" w:rsidR="00546202" w:rsidRPr="003A0613" w:rsidRDefault="00546202" w:rsidP="00546202">
      <w:pPr>
        <w:rPr>
          <w:bCs/>
          <w:color w:val="000000" w:themeColor="text1"/>
          <w:sz w:val="20"/>
          <w:szCs w:val="20"/>
          <w:shd w:val="clear" w:color="auto" w:fill="FFFFFF"/>
        </w:rPr>
      </w:pPr>
      <w:r>
        <w:rPr>
          <w:noProof/>
        </w:rPr>
        <w:drawing>
          <wp:inline distT="0" distB="0" distL="0" distR="0" wp14:anchorId="6E67AD25" wp14:editId="5EF62FDA">
            <wp:extent cx="5765800" cy="2676144"/>
            <wp:effectExtent l="0" t="0" r="6350" b="10160"/>
            <wp:docPr id="205349835" name="Chart 1">
              <a:extLst xmlns:a="http://schemas.openxmlformats.org/drawingml/2006/main">
                <a:ext uri="{FF2B5EF4-FFF2-40B4-BE49-F238E27FC236}">
                  <a16:creationId xmlns:a16="http://schemas.microsoft.com/office/drawing/2014/main" id="{2DC4AE0B-96ED-4BD5-B176-E3A28F12AD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2C6D1C" w14:textId="07D1AA74" w:rsidR="00546202" w:rsidRPr="00AD7A5D" w:rsidRDefault="00546202" w:rsidP="00546202">
      <w:pPr>
        <w:spacing w:before="40"/>
        <w:jc w:val="both"/>
        <w:rPr>
          <w:bCs/>
          <w:color w:val="000000" w:themeColor="text1"/>
          <w:sz w:val="22"/>
          <w:szCs w:val="24"/>
          <w:shd w:val="clear" w:color="auto" w:fill="FFFFFF"/>
        </w:rPr>
      </w:pPr>
      <w:r w:rsidRPr="00AD7A5D">
        <w:rPr>
          <w:rFonts w:cs="Times New Roman"/>
          <w:b/>
          <w:bCs/>
          <w:i/>
          <w:iCs/>
          <w:sz w:val="18"/>
          <w:szCs w:val="18"/>
        </w:rPr>
        <w:t>Avots</w:t>
      </w:r>
      <w:r w:rsidRPr="00AD7A5D">
        <w:rPr>
          <w:rFonts w:cs="Times New Roman"/>
          <w:i/>
          <w:iCs/>
          <w:sz w:val="18"/>
          <w:szCs w:val="18"/>
        </w:rPr>
        <w:t xml:space="preserve">: </w:t>
      </w:r>
      <w:r w:rsidR="00FA7FB6">
        <w:rPr>
          <w:rFonts w:cs="Times New Roman"/>
          <w:i/>
          <w:iCs/>
          <w:sz w:val="18"/>
          <w:szCs w:val="18"/>
        </w:rPr>
        <w:t>FM</w:t>
      </w:r>
      <w:r w:rsidRPr="00AD7A5D">
        <w:rPr>
          <w:rFonts w:cs="Times New Roman"/>
          <w:i/>
          <w:iCs/>
          <w:sz w:val="18"/>
          <w:szCs w:val="18"/>
        </w:rPr>
        <w:t xml:space="preserve"> aprēķini. </w:t>
      </w:r>
    </w:p>
    <w:p w14:paraId="1962B606" w14:textId="77777777" w:rsidR="00546202" w:rsidRPr="007C3CBB" w:rsidRDefault="00546202" w:rsidP="00546202">
      <w:pPr>
        <w:ind w:firstLine="567"/>
        <w:jc w:val="both"/>
        <w:rPr>
          <w:bCs/>
          <w:color w:val="000000" w:themeColor="text1"/>
          <w:sz w:val="12"/>
          <w:szCs w:val="12"/>
          <w:shd w:val="clear" w:color="auto" w:fill="FFFFFF"/>
        </w:rPr>
      </w:pPr>
    </w:p>
    <w:p w14:paraId="1D7B9130" w14:textId="5A4050CE" w:rsidR="007C3CBB" w:rsidRPr="007C3CBB" w:rsidRDefault="00EC2B80" w:rsidP="007C3CBB">
      <w:pPr>
        <w:ind w:firstLine="567"/>
        <w:jc w:val="both"/>
        <w:rPr>
          <w:bCs/>
          <w:szCs w:val="26"/>
          <w:shd w:val="clear" w:color="auto" w:fill="FFFFFF"/>
        </w:rPr>
      </w:pPr>
      <w:r>
        <w:rPr>
          <w:bCs/>
          <w:color w:val="000000" w:themeColor="text1"/>
          <w:szCs w:val="26"/>
          <w:shd w:val="clear" w:color="auto" w:fill="FFFFFF"/>
        </w:rPr>
        <w:t>4</w:t>
      </w:r>
      <w:r w:rsidR="00546202" w:rsidRPr="00D52505">
        <w:rPr>
          <w:bCs/>
          <w:color w:val="000000" w:themeColor="text1"/>
          <w:szCs w:val="26"/>
          <w:shd w:val="clear" w:color="auto" w:fill="FFFFFF"/>
        </w:rPr>
        <w:t>.</w:t>
      </w:r>
      <w:r w:rsidR="00546202">
        <w:rPr>
          <w:bCs/>
          <w:color w:val="000000" w:themeColor="text1"/>
          <w:szCs w:val="26"/>
          <w:shd w:val="clear" w:color="auto" w:fill="FFFFFF"/>
        </w:rPr>
        <w:t> </w:t>
      </w:r>
      <w:r w:rsidR="00546202" w:rsidRPr="00D52505">
        <w:rPr>
          <w:bCs/>
          <w:color w:val="000000" w:themeColor="text1"/>
          <w:szCs w:val="26"/>
          <w:shd w:val="clear" w:color="auto" w:fill="FFFFFF"/>
        </w:rPr>
        <w:t>tabulā</w:t>
      </w:r>
      <w:r w:rsidR="00546202" w:rsidRPr="00503F97">
        <w:rPr>
          <w:bCs/>
          <w:color w:val="000000" w:themeColor="text1"/>
          <w:szCs w:val="26"/>
          <w:shd w:val="clear" w:color="auto" w:fill="FFFFFF"/>
        </w:rPr>
        <w:t xml:space="preserve"> </w:t>
      </w:r>
      <w:r w:rsidR="00546202" w:rsidRPr="00AC1782">
        <w:rPr>
          <w:bCs/>
          <w:color w:val="000000" w:themeColor="text1"/>
          <w:szCs w:val="26"/>
          <w:shd w:val="clear" w:color="auto" w:fill="FFFFFF"/>
        </w:rPr>
        <w:t xml:space="preserve">redzams, ka kompleksi ieviešot </w:t>
      </w:r>
      <w:r w:rsidR="00546202">
        <w:rPr>
          <w:bCs/>
          <w:color w:val="000000" w:themeColor="text1"/>
          <w:szCs w:val="26"/>
          <w:shd w:val="clear" w:color="auto" w:fill="FFFFFF"/>
        </w:rPr>
        <w:t xml:space="preserve">visus iepriekš </w:t>
      </w:r>
      <w:r w:rsidR="00546202" w:rsidRPr="00AC1782">
        <w:rPr>
          <w:bCs/>
          <w:color w:val="000000" w:themeColor="text1"/>
          <w:szCs w:val="26"/>
          <w:shd w:val="clear" w:color="auto" w:fill="FFFFFF"/>
        </w:rPr>
        <w:t xml:space="preserve">minētos pasākumus, </w:t>
      </w:r>
      <w:r w:rsidR="00546202">
        <w:rPr>
          <w:bCs/>
          <w:color w:val="000000" w:themeColor="text1"/>
          <w:szCs w:val="26"/>
          <w:shd w:val="clear" w:color="auto" w:fill="FFFFFF"/>
        </w:rPr>
        <w:t>bruto atalgojuma līdz 4 000 </w:t>
      </w:r>
      <w:r w:rsidR="00546202" w:rsidRPr="00E91D56">
        <w:rPr>
          <w:bCs/>
          <w:i/>
          <w:iCs/>
          <w:color w:val="000000" w:themeColor="text1"/>
          <w:szCs w:val="26"/>
          <w:shd w:val="clear" w:color="auto" w:fill="FFFFFF"/>
        </w:rPr>
        <w:t>euro</w:t>
      </w:r>
      <w:r w:rsidR="00546202">
        <w:rPr>
          <w:bCs/>
          <w:color w:val="000000" w:themeColor="text1"/>
          <w:szCs w:val="26"/>
          <w:shd w:val="clear" w:color="auto" w:fill="FFFFFF"/>
        </w:rPr>
        <w:t xml:space="preserve"> </w:t>
      </w:r>
      <w:r w:rsidR="001D2593">
        <w:t>mēnesī</w:t>
      </w:r>
      <w:r w:rsidR="0057227B">
        <w:t xml:space="preserve"> saņēmējiem</w:t>
      </w:r>
      <w:r w:rsidR="001D2593">
        <w:t xml:space="preserve"> </w:t>
      </w:r>
      <w:r w:rsidR="00546202" w:rsidRPr="00AC1782">
        <w:rPr>
          <w:bCs/>
          <w:color w:val="000000" w:themeColor="text1"/>
          <w:szCs w:val="26"/>
          <w:shd w:val="clear" w:color="auto" w:fill="FFFFFF"/>
        </w:rPr>
        <w:t>202</w:t>
      </w:r>
      <w:r w:rsidR="00546202">
        <w:rPr>
          <w:bCs/>
          <w:color w:val="000000" w:themeColor="text1"/>
          <w:szCs w:val="26"/>
          <w:shd w:val="clear" w:color="auto" w:fill="FFFFFF"/>
        </w:rPr>
        <w:t>7</w:t>
      </w:r>
      <w:r w:rsidR="00546202" w:rsidRPr="00AC1782">
        <w:rPr>
          <w:bCs/>
          <w:color w:val="000000" w:themeColor="text1"/>
          <w:szCs w:val="26"/>
          <w:shd w:val="clear" w:color="auto" w:fill="FFFFFF"/>
        </w:rPr>
        <w:t>.</w:t>
      </w:r>
      <w:r w:rsidR="00546202">
        <w:rPr>
          <w:bCs/>
          <w:color w:val="000000" w:themeColor="text1"/>
          <w:szCs w:val="26"/>
          <w:shd w:val="clear" w:color="auto" w:fill="FFFFFF"/>
        </w:rPr>
        <w:t> </w:t>
      </w:r>
      <w:r w:rsidR="00546202" w:rsidRPr="00AC1782">
        <w:rPr>
          <w:bCs/>
          <w:color w:val="000000" w:themeColor="text1"/>
          <w:szCs w:val="26"/>
          <w:shd w:val="clear" w:color="auto" w:fill="FFFFFF"/>
        </w:rPr>
        <w:t>gadā darba alga pēc nodokļu nomaksas (neto ienākums) ievērojami palielinās, salīdzinot ar  202</w:t>
      </w:r>
      <w:r w:rsidR="00546202">
        <w:rPr>
          <w:bCs/>
          <w:color w:val="000000" w:themeColor="text1"/>
          <w:szCs w:val="26"/>
          <w:shd w:val="clear" w:color="auto" w:fill="FFFFFF"/>
        </w:rPr>
        <w:t>4</w:t>
      </w:r>
      <w:r w:rsidR="00546202" w:rsidRPr="00AC1782">
        <w:rPr>
          <w:bCs/>
          <w:color w:val="000000" w:themeColor="text1"/>
          <w:szCs w:val="26"/>
          <w:shd w:val="clear" w:color="auto" w:fill="FFFFFF"/>
        </w:rPr>
        <w:t>.</w:t>
      </w:r>
      <w:r w:rsidR="00546202">
        <w:rPr>
          <w:bCs/>
          <w:color w:val="000000" w:themeColor="text1"/>
          <w:szCs w:val="26"/>
          <w:shd w:val="clear" w:color="auto" w:fill="FFFFFF"/>
        </w:rPr>
        <w:t> </w:t>
      </w:r>
      <w:r w:rsidR="00546202" w:rsidRPr="00AC1782">
        <w:rPr>
          <w:bCs/>
          <w:szCs w:val="26"/>
          <w:shd w:val="clear" w:color="auto" w:fill="FFFFFF"/>
        </w:rPr>
        <w:t xml:space="preserve">gadu. </w:t>
      </w:r>
      <w:r w:rsidR="007C3CBB">
        <w:rPr>
          <w:bCs/>
          <w:szCs w:val="26"/>
          <w:shd w:val="clear" w:color="auto" w:fill="FFFFFF"/>
        </w:rPr>
        <w:t>T</w:t>
      </w:r>
      <w:r w:rsidR="007C3CBB" w:rsidRPr="007C3CBB">
        <w:rPr>
          <w:bCs/>
          <w:szCs w:val="26"/>
          <w:shd w:val="clear" w:color="auto" w:fill="FFFFFF"/>
        </w:rPr>
        <w:t xml:space="preserve">as palielinās neto ienākumus aptuveni </w:t>
      </w:r>
      <w:r w:rsidR="007C3CBB" w:rsidRPr="007C3CBB">
        <w:rPr>
          <w:b/>
          <w:szCs w:val="26"/>
          <w:shd w:val="clear" w:color="auto" w:fill="FFFFFF"/>
        </w:rPr>
        <w:t>95%</w:t>
      </w:r>
      <w:r w:rsidR="007C3CBB" w:rsidRPr="007C3CBB">
        <w:rPr>
          <w:bCs/>
          <w:szCs w:val="26"/>
          <w:shd w:val="clear" w:color="auto" w:fill="FFFFFF"/>
        </w:rPr>
        <w:t xml:space="preserve"> strādājošo, ar lielāko pieaugumu tieši darba ņēmējiem ar atalgojumu līdz 2</w:t>
      </w:r>
      <w:r w:rsidR="000D626A">
        <w:rPr>
          <w:bCs/>
          <w:szCs w:val="26"/>
          <w:shd w:val="clear" w:color="auto" w:fill="FFFFFF"/>
        </w:rPr>
        <w:t> </w:t>
      </w:r>
      <w:r w:rsidR="007C3CBB" w:rsidRPr="007C3CBB">
        <w:rPr>
          <w:bCs/>
          <w:szCs w:val="26"/>
          <w:shd w:val="clear" w:color="auto" w:fill="FFFFFF"/>
        </w:rPr>
        <w:t>500</w:t>
      </w:r>
      <w:r w:rsidR="000D626A">
        <w:rPr>
          <w:bCs/>
          <w:szCs w:val="26"/>
          <w:shd w:val="clear" w:color="auto" w:fill="FFFFFF"/>
        </w:rPr>
        <w:t> </w:t>
      </w:r>
      <w:r w:rsidR="007C3CBB" w:rsidRPr="00E91D56">
        <w:rPr>
          <w:bCs/>
          <w:i/>
          <w:iCs/>
          <w:color w:val="000000" w:themeColor="text1"/>
          <w:szCs w:val="26"/>
          <w:shd w:val="clear" w:color="auto" w:fill="FFFFFF"/>
        </w:rPr>
        <w:t>euro</w:t>
      </w:r>
      <w:r w:rsidR="007C3CBB">
        <w:rPr>
          <w:bCs/>
          <w:i/>
          <w:iCs/>
          <w:color w:val="000000" w:themeColor="text1"/>
          <w:szCs w:val="26"/>
          <w:shd w:val="clear" w:color="auto" w:fill="FFFFFF"/>
        </w:rPr>
        <w:t xml:space="preserve"> </w:t>
      </w:r>
      <w:r w:rsidR="007C3CBB" w:rsidRPr="007C3CBB">
        <w:rPr>
          <w:bCs/>
          <w:color w:val="000000" w:themeColor="text1"/>
          <w:szCs w:val="26"/>
          <w:shd w:val="clear" w:color="auto" w:fill="FFFFFF"/>
        </w:rPr>
        <w:t>mēnesī</w:t>
      </w:r>
      <w:r w:rsidR="007C3CBB" w:rsidRPr="007C3CBB">
        <w:rPr>
          <w:bCs/>
          <w:szCs w:val="26"/>
          <w:shd w:val="clear" w:color="auto" w:fill="FFFFFF"/>
        </w:rPr>
        <w:t xml:space="preserve">. </w:t>
      </w:r>
    </w:p>
    <w:p w14:paraId="7AEDB867" w14:textId="287DA9AB" w:rsidR="00546202" w:rsidRPr="001B1642" w:rsidRDefault="00546202" w:rsidP="00546202">
      <w:pPr>
        <w:ind w:firstLine="567"/>
        <w:jc w:val="both"/>
        <w:rPr>
          <w:bCs/>
          <w:sz w:val="12"/>
          <w:szCs w:val="12"/>
          <w:shd w:val="clear" w:color="auto" w:fill="FFFFFF"/>
        </w:rPr>
      </w:pPr>
    </w:p>
    <w:p w14:paraId="7828EAAF" w14:textId="21CB62C2" w:rsidR="00546202" w:rsidRPr="00AE0B8C" w:rsidRDefault="00EC2B80" w:rsidP="00546202">
      <w:pPr>
        <w:spacing w:after="120"/>
        <w:jc w:val="center"/>
        <w:rPr>
          <w:bCs/>
          <w:sz w:val="20"/>
          <w:szCs w:val="20"/>
          <w:shd w:val="clear" w:color="auto" w:fill="FFFFFF"/>
        </w:rPr>
      </w:pPr>
      <w:r>
        <w:rPr>
          <w:bCs/>
          <w:sz w:val="20"/>
          <w:szCs w:val="20"/>
          <w:shd w:val="clear" w:color="auto" w:fill="FFFFFF"/>
        </w:rPr>
        <w:t>4</w:t>
      </w:r>
      <w:r w:rsidR="00546202" w:rsidRPr="00CD1EC4">
        <w:rPr>
          <w:bCs/>
          <w:sz w:val="20"/>
          <w:szCs w:val="20"/>
          <w:shd w:val="clear" w:color="auto" w:fill="FFFFFF"/>
        </w:rPr>
        <w:t>.tab.</w:t>
      </w:r>
      <w:r w:rsidR="00546202">
        <w:rPr>
          <w:b/>
          <w:sz w:val="20"/>
          <w:szCs w:val="20"/>
          <w:shd w:val="clear" w:color="auto" w:fill="FFFFFF"/>
        </w:rPr>
        <w:t xml:space="preserve"> </w:t>
      </w:r>
      <w:r w:rsidR="00546202" w:rsidRPr="00AE0B8C">
        <w:rPr>
          <w:b/>
          <w:sz w:val="20"/>
          <w:szCs w:val="20"/>
          <w:shd w:val="clear" w:color="auto" w:fill="FFFFFF"/>
        </w:rPr>
        <w:t>Strādājošo (</w:t>
      </w:r>
      <w:r w:rsidR="00546202" w:rsidRPr="00225070">
        <w:rPr>
          <w:b/>
          <w:sz w:val="20"/>
          <w:szCs w:val="20"/>
          <w:u w:val="single"/>
          <w:shd w:val="clear" w:color="auto" w:fill="FFFFFF"/>
        </w:rPr>
        <w:t>bez apgādībā esošām personām</w:t>
      </w:r>
      <w:r w:rsidR="00546202" w:rsidRPr="00AE0B8C">
        <w:rPr>
          <w:b/>
          <w:sz w:val="20"/>
          <w:szCs w:val="20"/>
          <w:shd w:val="clear" w:color="auto" w:fill="FFFFFF"/>
        </w:rPr>
        <w:t xml:space="preserve">) darba algas izmaiņas, </w:t>
      </w:r>
      <w:r w:rsidR="00546202" w:rsidRPr="00AE0B8C">
        <w:rPr>
          <w:bCs/>
          <w:i/>
          <w:iCs/>
          <w:sz w:val="20"/>
          <w:szCs w:val="20"/>
          <w:shd w:val="clear" w:color="auto" w:fill="FFFFFF"/>
        </w:rPr>
        <w:t>euro mēnesī</w:t>
      </w:r>
    </w:p>
    <w:tbl>
      <w:tblPr>
        <w:tblW w:w="9634" w:type="dxa"/>
        <w:tblLayout w:type="fixed"/>
        <w:tblCellMar>
          <w:left w:w="0" w:type="dxa"/>
          <w:right w:w="0" w:type="dxa"/>
        </w:tblCellMar>
        <w:tblLook w:val="04A0" w:firstRow="1" w:lastRow="0" w:firstColumn="1" w:lastColumn="0" w:noHBand="0" w:noVBand="1"/>
      </w:tblPr>
      <w:tblGrid>
        <w:gridCol w:w="1401"/>
        <w:gridCol w:w="705"/>
        <w:gridCol w:w="705"/>
        <w:gridCol w:w="706"/>
        <w:gridCol w:w="706"/>
        <w:gridCol w:w="616"/>
        <w:gridCol w:w="666"/>
        <w:gridCol w:w="616"/>
        <w:gridCol w:w="794"/>
        <w:gridCol w:w="616"/>
        <w:gridCol w:w="681"/>
        <w:gridCol w:w="616"/>
        <w:gridCol w:w="806"/>
      </w:tblGrid>
      <w:tr w:rsidR="00546202" w:rsidRPr="00E91D56" w14:paraId="5F588194" w14:textId="77777777" w:rsidTr="000803FC">
        <w:trPr>
          <w:trHeight w:val="253"/>
        </w:trPr>
        <w:tc>
          <w:tcPr>
            <w:tcW w:w="1401" w:type="dxa"/>
            <w:vMerge w:val="restart"/>
            <w:tcBorders>
              <w:top w:val="single" w:sz="4" w:space="0" w:color="auto"/>
              <w:left w:val="single" w:sz="4" w:space="0" w:color="auto"/>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hideMark/>
          </w:tcPr>
          <w:p w14:paraId="54C033E8" w14:textId="77777777" w:rsidR="00546202"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 xml:space="preserve">Bruto ienākums, </w:t>
            </w:r>
          </w:p>
          <w:p w14:paraId="6C9440B1" w14:textId="77777777" w:rsidR="00546202" w:rsidRPr="00E91D56" w:rsidRDefault="00546202" w:rsidP="000803FC">
            <w:pPr>
              <w:jc w:val="center"/>
              <w:rPr>
                <w:bCs/>
                <w:color w:val="FFFFFF" w:themeColor="background1"/>
                <w:sz w:val="18"/>
                <w:szCs w:val="18"/>
                <w:shd w:val="clear" w:color="auto" w:fill="FFFFFF"/>
              </w:rPr>
            </w:pPr>
            <w:r w:rsidRPr="00E91D56">
              <w:rPr>
                <w:rFonts w:eastAsia="Times New Roman" w:cs="Times New Roman"/>
                <w:i/>
                <w:iCs/>
                <w:color w:val="FFFFFF" w:themeColor="background1"/>
                <w:sz w:val="18"/>
                <w:szCs w:val="18"/>
                <w:lang w:eastAsia="lv-LV"/>
              </w:rPr>
              <w:t>euro</w:t>
            </w:r>
            <w:r w:rsidRPr="00E91D56">
              <w:rPr>
                <w:rFonts w:cstheme="minorHAnsi"/>
                <w:bCs/>
                <w:i/>
                <w:iCs/>
                <w:color w:val="FFFFFF" w:themeColor="background1"/>
                <w:sz w:val="18"/>
                <w:szCs w:val="18"/>
              </w:rPr>
              <w:t xml:space="preserve"> mēnesī</w:t>
            </w:r>
          </w:p>
        </w:tc>
        <w:tc>
          <w:tcPr>
            <w:tcW w:w="2822"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hideMark/>
          </w:tcPr>
          <w:p w14:paraId="0E82B858"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 xml:space="preserve">Neto ienākums, </w:t>
            </w:r>
            <w:r w:rsidRPr="00E91D56">
              <w:rPr>
                <w:rFonts w:eastAsia="Times New Roman" w:cs="Times New Roman"/>
                <w:i/>
                <w:iCs/>
                <w:color w:val="FFFFFF" w:themeColor="background1"/>
                <w:sz w:val="18"/>
                <w:szCs w:val="18"/>
                <w:lang w:eastAsia="lv-LV"/>
              </w:rPr>
              <w:t>euro</w:t>
            </w:r>
            <w:r w:rsidRPr="00E91D56">
              <w:rPr>
                <w:rFonts w:cstheme="minorHAnsi"/>
                <w:bCs/>
                <w:i/>
                <w:iCs/>
                <w:color w:val="FFFFFF" w:themeColor="background1"/>
                <w:sz w:val="18"/>
                <w:szCs w:val="18"/>
              </w:rPr>
              <w:t xml:space="preserve"> mēnesī</w:t>
            </w:r>
          </w:p>
        </w:tc>
        <w:tc>
          <w:tcPr>
            <w:tcW w:w="2692"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hideMark/>
          </w:tcPr>
          <w:p w14:paraId="47E6CD21"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 xml:space="preserve">Izmaiņas pret iepriekšējo gadu, </w:t>
            </w:r>
            <w:r w:rsidRPr="00E91D56">
              <w:rPr>
                <w:rFonts w:eastAsia="Times New Roman" w:cs="Times New Roman"/>
                <w:i/>
                <w:iCs/>
                <w:color w:val="FFFFFF" w:themeColor="background1"/>
                <w:sz w:val="18"/>
                <w:szCs w:val="18"/>
                <w:lang w:eastAsia="lv-LV"/>
              </w:rPr>
              <w:t>euro</w:t>
            </w:r>
            <w:r w:rsidRPr="00E91D56">
              <w:rPr>
                <w:rFonts w:cstheme="minorHAnsi"/>
                <w:bCs/>
                <w:i/>
                <w:iCs/>
                <w:color w:val="FFFFFF" w:themeColor="background1"/>
                <w:sz w:val="18"/>
                <w:szCs w:val="18"/>
              </w:rPr>
              <w:t xml:space="preserve"> mēnesī</w:t>
            </w:r>
          </w:p>
        </w:tc>
        <w:tc>
          <w:tcPr>
            <w:tcW w:w="2719" w:type="dxa"/>
            <w:gridSpan w:val="4"/>
            <w:tcBorders>
              <w:top w:val="single" w:sz="4" w:space="0" w:color="auto"/>
              <w:left w:val="single" w:sz="4" w:space="0" w:color="FFFFFF" w:themeColor="background1"/>
              <w:bottom w:val="single" w:sz="4" w:space="0" w:color="FFFFFF" w:themeColor="background1"/>
              <w:right w:val="single" w:sz="4" w:space="0" w:color="auto"/>
            </w:tcBorders>
            <w:shd w:val="clear" w:color="auto" w:fill="002060"/>
            <w:tcMar>
              <w:top w:w="15" w:type="dxa"/>
              <w:left w:w="108" w:type="dxa"/>
              <w:bottom w:w="0" w:type="dxa"/>
              <w:right w:w="108" w:type="dxa"/>
            </w:tcMar>
            <w:vAlign w:val="center"/>
            <w:hideMark/>
          </w:tcPr>
          <w:p w14:paraId="7C583790"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 xml:space="preserve">Izmaiņas pret iepriekšējo gadu, </w:t>
            </w:r>
            <w:r w:rsidRPr="00E91D56">
              <w:rPr>
                <w:rFonts w:cstheme="minorHAnsi"/>
                <w:bCs/>
                <w:i/>
                <w:iCs/>
                <w:color w:val="FFFFFF" w:themeColor="background1"/>
                <w:sz w:val="18"/>
                <w:szCs w:val="18"/>
              </w:rPr>
              <w:t>%</w:t>
            </w:r>
          </w:p>
        </w:tc>
      </w:tr>
      <w:tr w:rsidR="00546202" w:rsidRPr="00E91D56" w14:paraId="2E9E8E49" w14:textId="77777777" w:rsidTr="000803FC">
        <w:trPr>
          <w:trHeight w:val="119"/>
        </w:trPr>
        <w:tc>
          <w:tcPr>
            <w:tcW w:w="1401" w:type="dxa"/>
            <w:vMerge/>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02060"/>
            <w:vAlign w:val="center"/>
            <w:hideMark/>
          </w:tcPr>
          <w:p w14:paraId="616FE4C1" w14:textId="77777777" w:rsidR="00546202" w:rsidRPr="00E91D56" w:rsidRDefault="00546202" w:rsidP="000803FC">
            <w:pPr>
              <w:ind w:firstLine="709"/>
              <w:jc w:val="both"/>
              <w:rPr>
                <w:bCs/>
                <w:color w:val="FFFFFF" w:themeColor="background1"/>
                <w:sz w:val="18"/>
                <w:szCs w:val="18"/>
                <w:shd w:val="clear" w:color="auto" w:fill="FFFFFF"/>
              </w:rPr>
            </w:pPr>
          </w:p>
        </w:tc>
        <w:tc>
          <w:tcPr>
            <w:tcW w:w="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hideMark/>
          </w:tcPr>
          <w:p w14:paraId="1CA79FB9"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2024</w:t>
            </w:r>
          </w:p>
        </w:tc>
        <w:tc>
          <w:tcPr>
            <w:tcW w:w="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hideMark/>
          </w:tcPr>
          <w:p w14:paraId="65A74D5A"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2025</w:t>
            </w:r>
          </w:p>
        </w:tc>
        <w:tc>
          <w:tcPr>
            <w:tcW w:w="7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hideMark/>
          </w:tcPr>
          <w:p w14:paraId="5E4F6B08"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2026</w:t>
            </w:r>
          </w:p>
        </w:tc>
        <w:tc>
          <w:tcPr>
            <w:tcW w:w="7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hideMark/>
          </w:tcPr>
          <w:p w14:paraId="27C9FCFB"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2027</w:t>
            </w:r>
          </w:p>
        </w:tc>
        <w:tc>
          <w:tcPr>
            <w:tcW w:w="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hideMark/>
          </w:tcPr>
          <w:p w14:paraId="0AFAF251"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2025</w:t>
            </w:r>
          </w:p>
        </w:tc>
        <w:tc>
          <w:tcPr>
            <w:tcW w:w="6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hideMark/>
          </w:tcPr>
          <w:p w14:paraId="582ECBB1"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2026</w:t>
            </w:r>
          </w:p>
        </w:tc>
        <w:tc>
          <w:tcPr>
            <w:tcW w:w="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hideMark/>
          </w:tcPr>
          <w:p w14:paraId="16491CF8"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2027</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hideMark/>
          </w:tcPr>
          <w:p w14:paraId="0DE91D81"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KOPĀ</w:t>
            </w:r>
          </w:p>
        </w:tc>
        <w:tc>
          <w:tcPr>
            <w:tcW w:w="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hideMark/>
          </w:tcPr>
          <w:p w14:paraId="431D954F"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2025</w:t>
            </w:r>
          </w:p>
        </w:tc>
        <w:tc>
          <w:tcPr>
            <w:tcW w:w="6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hideMark/>
          </w:tcPr>
          <w:p w14:paraId="60F5E16C"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2026</w:t>
            </w:r>
          </w:p>
        </w:tc>
        <w:tc>
          <w:tcPr>
            <w:tcW w:w="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hideMark/>
          </w:tcPr>
          <w:p w14:paraId="53D5D163"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2027</w:t>
            </w:r>
          </w:p>
        </w:tc>
        <w:tc>
          <w:tcPr>
            <w:tcW w:w="806"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Mar>
              <w:top w:w="15" w:type="dxa"/>
              <w:left w:w="108" w:type="dxa"/>
              <w:bottom w:w="0" w:type="dxa"/>
              <w:right w:w="108" w:type="dxa"/>
            </w:tcMar>
            <w:vAlign w:val="center"/>
            <w:hideMark/>
          </w:tcPr>
          <w:p w14:paraId="4CCEA50C"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KOPĀ</w:t>
            </w:r>
          </w:p>
        </w:tc>
      </w:tr>
      <w:tr w:rsidR="00546202" w:rsidRPr="00E91D56" w14:paraId="65A3B856" w14:textId="77777777" w:rsidTr="000803FC">
        <w:tc>
          <w:tcPr>
            <w:tcW w:w="1401" w:type="dxa"/>
            <w:tcBorders>
              <w:top w:val="single" w:sz="4" w:space="0" w:color="FFFFFF" w:themeColor="background1"/>
              <w:left w:val="single" w:sz="4" w:space="0" w:color="auto"/>
              <w:bottom w:val="single" w:sz="4" w:space="0" w:color="7F7F7F"/>
              <w:right w:val="single" w:sz="4" w:space="0" w:color="7F7F7F"/>
            </w:tcBorders>
            <w:shd w:val="clear" w:color="auto" w:fill="auto"/>
            <w:tcMar>
              <w:top w:w="15" w:type="dxa"/>
              <w:left w:w="108" w:type="dxa"/>
              <w:bottom w:w="0" w:type="dxa"/>
              <w:right w:w="108" w:type="dxa"/>
            </w:tcMar>
            <w:vAlign w:val="bottom"/>
            <w:hideMark/>
          </w:tcPr>
          <w:p w14:paraId="13C54098" w14:textId="77777777" w:rsidR="00546202" w:rsidRPr="00E91D56" w:rsidRDefault="00546202" w:rsidP="000803FC">
            <w:pPr>
              <w:contextualSpacing/>
              <w:jc w:val="center"/>
              <w:rPr>
                <w:rFonts w:cstheme="minorHAnsi"/>
                <w:sz w:val="18"/>
                <w:szCs w:val="18"/>
              </w:rPr>
            </w:pPr>
            <w:r w:rsidRPr="00E91D56">
              <w:rPr>
                <w:rFonts w:cstheme="minorHAnsi"/>
                <w:sz w:val="18"/>
                <w:szCs w:val="18"/>
              </w:rPr>
              <w:t>MA*</w:t>
            </w:r>
          </w:p>
        </w:tc>
        <w:tc>
          <w:tcPr>
            <w:tcW w:w="705" w:type="dxa"/>
            <w:tcBorders>
              <w:top w:val="single" w:sz="4" w:space="0" w:color="FFFFFF" w:themeColor="background1"/>
              <w:left w:val="single" w:sz="4" w:space="0" w:color="7F7F7F"/>
              <w:bottom w:val="single" w:sz="4" w:space="0" w:color="7F7F7F"/>
              <w:right w:val="single" w:sz="4" w:space="0" w:color="7F7F7F"/>
            </w:tcBorders>
            <w:shd w:val="clear" w:color="auto" w:fill="D9D9D9" w:themeFill="background1" w:themeFillShade="D9"/>
            <w:tcMar>
              <w:top w:w="15" w:type="dxa"/>
              <w:left w:w="108" w:type="dxa"/>
              <w:bottom w:w="0" w:type="dxa"/>
              <w:right w:w="108" w:type="dxa"/>
            </w:tcMar>
            <w:vAlign w:val="center"/>
          </w:tcPr>
          <w:p w14:paraId="114BB1EE" w14:textId="77777777" w:rsidR="00546202" w:rsidRPr="00E91D56" w:rsidRDefault="00546202" w:rsidP="000803FC">
            <w:pPr>
              <w:contextualSpacing/>
              <w:jc w:val="center"/>
              <w:rPr>
                <w:rFonts w:cstheme="minorHAnsi"/>
                <w:sz w:val="18"/>
                <w:szCs w:val="18"/>
              </w:rPr>
            </w:pPr>
            <w:r w:rsidRPr="00E91D56">
              <w:rPr>
                <w:sz w:val="18"/>
                <w:szCs w:val="18"/>
              </w:rPr>
              <w:t>586</w:t>
            </w:r>
          </w:p>
        </w:tc>
        <w:tc>
          <w:tcPr>
            <w:tcW w:w="705" w:type="dxa"/>
            <w:tcBorders>
              <w:top w:val="single" w:sz="4" w:space="0" w:color="FFFFFF" w:themeColor="background1"/>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1FF5BF78" w14:textId="77777777" w:rsidR="00546202" w:rsidRPr="00E91D56" w:rsidRDefault="00546202" w:rsidP="000803FC">
            <w:pPr>
              <w:contextualSpacing/>
              <w:jc w:val="center"/>
              <w:rPr>
                <w:rFonts w:cstheme="minorHAnsi"/>
                <w:sz w:val="18"/>
                <w:szCs w:val="18"/>
              </w:rPr>
            </w:pPr>
            <w:r w:rsidRPr="00E91D56">
              <w:rPr>
                <w:sz w:val="18"/>
                <w:szCs w:val="18"/>
              </w:rPr>
              <w:t>623</w:t>
            </w:r>
          </w:p>
        </w:tc>
        <w:tc>
          <w:tcPr>
            <w:tcW w:w="706" w:type="dxa"/>
            <w:tcBorders>
              <w:top w:val="single" w:sz="4" w:space="0" w:color="FFFFFF" w:themeColor="background1"/>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31BF276D" w14:textId="77777777" w:rsidR="00546202" w:rsidRPr="00E91D56" w:rsidRDefault="00546202" w:rsidP="000803FC">
            <w:pPr>
              <w:contextualSpacing/>
              <w:jc w:val="center"/>
              <w:rPr>
                <w:rFonts w:cstheme="minorHAnsi"/>
                <w:sz w:val="18"/>
                <w:szCs w:val="18"/>
              </w:rPr>
            </w:pPr>
            <w:r w:rsidRPr="00E91D56">
              <w:rPr>
                <w:sz w:val="18"/>
                <w:szCs w:val="18"/>
              </w:rPr>
              <w:t>660</w:t>
            </w:r>
          </w:p>
        </w:tc>
        <w:tc>
          <w:tcPr>
            <w:tcW w:w="706" w:type="dxa"/>
            <w:tcBorders>
              <w:top w:val="single" w:sz="4" w:space="0" w:color="FFFFFF" w:themeColor="background1"/>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0D58495B" w14:textId="77777777" w:rsidR="00546202" w:rsidRPr="00E91D56" w:rsidRDefault="00546202" w:rsidP="000803FC">
            <w:pPr>
              <w:contextualSpacing/>
              <w:jc w:val="center"/>
              <w:rPr>
                <w:rFonts w:cstheme="minorHAnsi"/>
                <w:sz w:val="18"/>
                <w:szCs w:val="18"/>
              </w:rPr>
            </w:pPr>
            <w:r w:rsidRPr="00E91D56">
              <w:rPr>
                <w:sz w:val="18"/>
                <w:szCs w:val="18"/>
              </w:rPr>
              <w:t>692</w:t>
            </w:r>
          </w:p>
        </w:tc>
        <w:tc>
          <w:tcPr>
            <w:tcW w:w="616" w:type="dxa"/>
            <w:tcBorders>
              <w:top w:val="single" w:sz="4" w:space="0" w:color="FFFFFF" w:themeColor="background1"/>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hideMark/>
          </w:tcPr>
          <w:p w14:paraId="0F02E9D9" w14:textId="74E14F8D" w:rsidR="00546202" w:rsidRPr="00E91D56" w:rsidRDefault="00546202" w:rsidP="000803FC">
            <w:pPr>
              <w:contextualSpacing/>
              <w:jc w:val="center"/>
              <w:rPr>
                <w:rFonts w:cstheme="minorHAnsi"/>
                <w:color w:val="00B050"/>
                <w:sz w:val="18"/>
                <w:szCs w:val="18"/>
              </w:rPr>
            </w:pPr>
            <w:r w:rsidRPr="00E91D56">
              <w:rPr>
                <w:color w:val="00B050"/>
                <w:sz w:val="18"/>
                <w:szCs w:val="18"/>
              </w:rPr>
              <w:t>+3</w:t>
            </w:r>
            <w:r w:rsidR="00176A65">
              <w:rPr>
                <w:color w:val="00B050"/>
                <w:sz w:val="18"/>
                <w:szCs w:val="18"/>
              </w:rPr>
              <w:t>8</w:t>
            </w:r>
          </w:p>
        </w:tc>
        <w:tc>
          <w:tcPr>
            <w:tcW w:w="666" w:type="dxa"/>
            <w:tcBorders>
              <w:top w:val="single" w:sz="4" w:space="0" w:color="FFFFFF" w:themeColor="background1"/>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hideMark/>
          </w:tcPr>
          <w:p w14:paraId="7DD1EFBD" w14:textId="77777777" w:rsidR="00546202" w:rsidRPr="00E91D56" w:rsidRDefault="00546202" w:rsidP="000803FC">
            <w:pPr>
              <w:contextualSpacing/>
              <w:jc w:val="center"/>
              <w:rPr>
                <w:rFonts w:cstheme="minorHAnsi"/>
                <w:color w:val="00B050"/>
                <w:sz w:val="18"/>
                <w:szCs w:val="18"/>
              </w:rPr>
            </w:pPr>
            <w:r w:rsidRPr="00E91D56">
              <w:rPr>
                <w:color w:val="00B050"/>
                <w:sz w:val="18"/>
                <w:szCs w:val="18"/>
              </w:rPr>
              <w:t>+37</w:t>
            </w:r>
          </w:p>
        </w:tc>
        <w:tc>
          <w:tcPr>
            <w:tcW w:w="616" w:type="dxa"/>
            <w:tcBorders>
              <w:top w:val="single" w:sz="4" w:space="0" w:color="FFFFFF" w:themeColor="background1"/>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hideMark/>
          </w:tcPr>
          <w:p w14:paraId="79E7118E" w14:textId="77777777" w:rsidR="00546202" w:rsidRPr="00E91D56" w:rsidRDefault="00546202" w:rsidP="000803FC">
            <w:pPr>
              <w:contextualSpacing/>
              <w:jc w:val="center"/>
              <w:rPr>
                <w:rFonts w:cstheme="minorHAnsi"/>
                <w:color w:val="00B050"/>
                <w:sz w:val="18"/>
                <w:szCs w:val="18"/>
              </w:rPr>
            </w:pPr>
            <w:r w:rsidRPr="00E91D56">
              <w:rPr>
                <w:color w:val="00B050"/>
                <w:sz w:val="18"/>
                <w:szCs w:val="18"/>
              </w:rPr>
              <w:t>+32</w:t>
            </w:r>
          </w:p>
        </w:tc>
        <w:tc>
          <w:tcPr>
            <w:tcW w:w="794" w:type="dxa"/>
            <w:tcBorders>
              <w:top w:val="single" w:sz="4" w:space="0" w:color="FFFFFF" w:themeColor="background1"/>
              <w:left w:val="single" w:sz="4" w:space="0" w:color="7F7F7F"/>
              <w:bottom w:val="single" w:sz="4" w:space="0" w:color="7F7F7F"/>
              <w:right w:val="single" w:sz="4" w:space="0" w:color="7F7F7F"/>
            </w:tcBorders>
            <w:shd w:val="clear" w:color="auto" w:fill="FFF2CC" w:themeFill="accent4" w:themeFillTint="33"/>
            <w:tcMar>
              <w:top w:w="15" w:type="dxa"/>
              <w:left w:w="108" w:type="dxa"/>
              <w:bottom w:w="0" w:type="dxa"/>
              <w:right w:w="108" w:type="dxa"/>
            </w:tcMar>
            <w:vAlign w:val="center"/>
            <w:hideMark/>
          </w:tcPr>
          <w:p w14:paraId="30996401" w14:textId="77777777" w:rsidR="00546202" w:rsidRPr="00E91D56" w:rsidRDefault="00546202" w:rsidP="000803FC">
            <w:pPr>
              <w:contextualSpacing/>
              <w:jc w:val="center"/>
              <w:rPr>
                <w:rFonts w:cstheme="minorHAnsi"/>
                <w:b/>
                <w:bCs/>
                <w:color w:val="00B050"/>
                <w:sz w:val="18"/>
                <w:szCs w:val="18"/>
              </w:rPr>
            </w:pPr>
            <w:r w:rsidRPr="00E91D56">
              <w:rPr>
                <w:b/>
                <w:bCs/>
                <w:color w:val="00B050"/>
                <w:sz w:val="18"/>
                <w:szCs w:val="18"/>
              </w:rPr>
              <w:t>+133</w:t>
            </w:r>
          </w:p>
        </w:tc>
        <w:tc>
          <w:tcPr>
            <w:tcW w:w="616" w:type="dxa"/>
            <w:tcBorders>
              <w:top w:val="single" w:sz="4" w:space="0" w:color="FFFFFF" w:themeColor="background1"/>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079E581A" w14:textId="77777777" w:rsidR="00546202" w:rsidRPr="00E91D56" w:rsidRDefault="00546202" w:rsidP="000803FC">
            <w:pPr>
              <w:contextualSpacing/>
              <w:jc w:val="center"/>
              <w:rPr>
                <w:rFonts w:cstheme="minorHAnsi"/>
                <w:i/>
                <w:iCs/>
                <w:color w:val="00B050"/>
                <w:sz w:val="18"/>
                <w:szCs w:val="18"/>
              </w:rPr>
            </w:pPr>
            <w:r w:rsidRPr="00E91D56">
              <w:rPr>
                <w:i/>
                <w:iCs/>
                <w:color w:val="00B050"/>
                <w:sz w:val="18"/>
                <w:szCs w:val="18"/>
              </w:rPr>
              <w:t>6%</w:t>
            </w:r>
          </w:p>
        </w:tc>
        <w:tc>
          <w:tcPr>
            <w:tcW w:w="681" w:type="dxa"/>
            <w:tcBorders>
              <w:top w:val="single" w:sz="4" w:space="0" w:color="FFFFFF" w:themeColor="background1"/>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60A699D6" w14:textId="77777777" w:rsidR="00546202" w:rsidRPr="00E91D56" w:rsidRDefault="00546202" w:rsidP="000803FC">
            <w:pPr>
              <w:contextualSpacing/>
              <w:jc w:val="center"/>
              <w:rPr>
                <w:rFonts w:cstheme="minorHAnsi"/>
                <w:i/>
                <w:iCs/>
                <w:color w:val="00B050"/>
                <w:sz w:val="18"/>
                <w:szCs w:val="18"/>
              </w:rPr>
            </w:pPr>
            <w:r w:rsidRPr="00E91D56">
              <w:rPr>
                <w:i/>
                <w:iCs/>
                <w:color w:val="00B050"/>
                <w:sz w:val="18"/>
                <w:szCs w:val="18"/>
              </w:rPr>
              <w:t>6%</w:t>
            </w:r>
          </w:p>
        </w:tc>
        <w:tc>
          <w:tcPr>
            <w:tcW w:w="616" w:type="dxa"/>
            <w:tcBorders>
              <w:top w:val="single" w:sz="4" w:space="0" w:color="FFFFFF" w:themeColor="background1"/>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72689004" w14:textId="77777777" w:rsidR="00546202" w:rsidRPr="00E91D56" w:rsidRDefault="00546202" w:rsidP="000803FC">
            <w:pPr>
              <w:contextualSpacing/>
              <w:jc w:val="center"/>
              <w:rPr>
                <w:rFonts w:cstheme="minorHAnsi"/>
                <w:i/>
                <w:iCs/>
                <w:color w:val="00B050"/>
                <w:sz w:val="18"/>
                <w:szCs w:val="18"/>
              </w:rPr>
            </w:pPr>
            <w:r w:rsidRPr="00E91D56">
              <w:rPr>
                <w:i/>
                <w:iCs/>
                <w:color w:val="00B050"/>
                <w:sz w:val="18"/>
                <w:szCs w:val="18"/>
              </w:rPr>
              <w:t>5%</w:t>
            </w:r>
          </w:p>
        </w:tc>
        <w:tc>
          <w:tcPr>
            <w:tcW w:w="806" w:type="dxa"/>
            <w:tcBorders>
              <w:top w:val="single" w:sz="4" w:space="0" w:color="FFFFFF" w:themeColor="background1"/>
              <w:left w:val="single" w:sz="4" w:space="0" w:color="7F7F7F"/>
              <w:bottom w:val="single" w:sz="4" w:space="0" w:color="7F7F7F"/>
              <w:right w:val="single" w:sz="4" w:space="0" w:color="auto"/>
            </w:tcBorders>
            <w:shd w:val="clear" w:color="auto" w:fill="FFF2CC" w:themeFill="accent4" w:themeFillTint="33"/>
            <w:tcMar>
              <w:top w:w="15" w:type="dxa"/>
              <w:left w:w="108" w:type="dxa"/>
              <w:bottom w:w="0" w:type="dxa"/>
              <w:right w:w="108" w:type="dxa"/>
            </w:tcMar>
            <w:vAlign w:val="center"/>
          </w:tcPr>
          <w:p w14:paraId="3069CB29" w14:textId="77777777" w:rsidR="00546202" w:rsidRPr="00E91D56" w:rsidRDefault="00546202" w:rsidP="000803FC">
            <w:pPr>
              <w:contextualSpacing/>
              <w:jc w:val="center"/>
              <w:rPr>
                <w:rFonts w:cstheme="minorHAnsi"/>
                <w:b/>
                <w:bCs/>
                <w:i/>
                <w:iCs/>
                <w:color w:val="00B050"/>
                <w:sz w:val="18"/>
                <w:szCs w:val="18"/>
              </w:rPr>
            </w:pPr>
            <w:r w:rsidRPr="00E91D56">
              <w:rPr>
                <w:b/>
                <w:bCs/>
                <w:i/>
                <w:iCs/>
                <w:color w:val="00B050"/>
                <w:sz w:val="18"/>
                <w:szCs w:val="18"/>
              </w:rPr>
              <w:t>23%</w:t>
            </w:r>
          </w:p>
        </w:tc>
      </w:tr>
      <w:tr w:rsidR="00546202" w:rsidRPr="00E91D56" w14:paraId="3FC35577" w14:textId="77777777" w:rsidTr="000803FC">
        <w:trPr>
          <w:trHeight w:val="50"/>
        </w:trPr>
        <w:tc>
          <w:tcPr>
            <w:tcW w:w="1401" w:type="dxa"/>
            <w:tcBorders>
              <w:top w:val="single" w:sz="4" w:space="0" w:color="7F7F7F"/>
              <w:left w:val="single" w:sz="4" w:space="0" w:color="auto"/>
              <w:bottom w:val="single" w:sz="4" w:space="0" w:color="7F7F7F"/>
              <w:right w:val="single" w:sz="4" w:space="0" w:color="7F7F7F"/>
            </w:tcBorders>
            <w:shd w:val="clear" w:color="auto" w:fill="auto"/>
            <w:tcMar>
              <w:top w:w="15" w:type="dxa"/>
              <w:left w:w="108" w:type="dxa"/>
              <w:bottom w:w="0" w:type="dxa"/>
              <w:right w:w="108" w:type="dxa"/>
            </w:tcMar>
            <w:vAlign w:val="bottom"/>
            <w:hideMark/>
          </w:tcPr>
          <w:p w14:paraId="54E3B047" w14:textId="77777777" w:rsidR="00546202" w:rsidRPr="00E91D56" w:rsidRDefault="00546202" w:rsidP="000803FC">
            <w:pPr>
              <w:contextualSpacing/>
              <w:jc w:val="center"/>
              <w:rPr>
                <w:rFonts w:cstheme="minorHAnsi"/>
                <w:sz w:val="18"/>
                <w:szCs w:val="18"/>
              </w:rPr>
            </w:pPr>
            <w:r w:rsidRPr="00E91D56">
              <w:rPr>
                <w:rFonts w:cstheme="minorHAnsi"/>
                <w:sz w:val="18"/>
                <w:szCs w:val="18"/>
              </w:rPr>
              <w:t>1 000</w:t>
            </w:r>
          </w:p>
        </w:tc>
        <w:tc>
          <w:tcPr>
            <w:tcW w:w="705"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Mar>
              <w:top w:w="15" w:type="dxa"/>
              <w:left w:w="108" w:type="dxa"/>
              <w:bottom w:w="0" w:type="dxa"/>
              <w:right w:w="108" w:type="dxa"/>
            </w:tcMar>
            <w:vAlign w:val="center"/>
          </w:tcPr>
          <w:p w14:paraId="3DEE895B" w14:textId="77777777" w:rsidR="00546202" w:rsidRPr="00E91D56" w:rsidRDefault="00546202" w:rsidP="000803FC">
            <w:pPr>
              <w:contextualSpacing/>
              <w:jc w:val="center"/>
              <w:rPr>
                <w:rFonts w:cstheme="minorHAnsi"/>
                <w:sz w:val="18"/>
                <w:szCs w:val="18"/>
              </w:rPr>
            </w:pPr>
            <w:r w:rsidRPr="00E91D56">
              <w:rPr>
                <w:sz w:val="18"/>
                <w:szCs w:val="18"/>
              </w:rPr>
              <w:t>778</w:t>
            </w:r>
          </w:p>
        </w:tc>
        <w:tc>
          <w:tcPr>
            <w:tcW w:w="705"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031841AD" w14:textId="77777777" w:rsidR="00546202" w:rsidRPr="00E91D56" w:rsidRDefault="00546202" w:rsidP="000803FC">
            <w:pPr>
              <w:contextualSpacing/>
              <w:jc w:val="center"/>
              <w:rPr>
                <w:rFonts w:cstheme="minorHAnsi"/>
                <w:sz w:val="18"/>
                <w:szCs w:val="18"/>
              </w:rPr>
            </w:pPr>
            <w:r w:rsidRPr="00E91D56">
              <w:rPr>
                <w:sz w:val="18"/>
                <w:szCs w:val="18"/>
              </w:rPr>
              <w:t>797</w:t>
            </w:r>
          </w:p>
        </w:tc>
        <w:tc>
          <w:tcPr>
            <w:tcW w:w="70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549C469D" w14:textId="77777777" w:rsidR="00546202" w:rsidRPr="00E91D56" w:rsidRDefault="00546202" w:rsidP="000803FC">
            <w:pPr>
              <w:contextualSpacing/>
              <w:jc w:val="center"/>
              <w:rPr>
                <w:rFonts w:cstheme="minorHAnsi"/>
                <w:sz w:val="18"/>
                <w:szCs w:val="18"/>
              </w:rPr>
            </w:pPr>
            <w:r w:rsidRPr="00E91D56">
              <w:rPr>
                <w:sz w:val="18"/>
                <w:szCs w:val="18"/>
              </w:rPr>
              <w:t>807</w:t>
            </w:r>
          </w:p>
        </w:tc>
        <w:tc>
          <w:tcPr>
            <w:tcW w:w="70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0A4DDACB" w14:textId="77777777" w:rsidR="00546202" w:rsidRPr="00E91D56" w:rsidRDefault="00546202" w:rsidP="000803FC">
            <w:pPr>
              <w:contextualSpacing/>
              <w:jc w:val="center"/>
              <w:rPr>
                <w:rFonts w:cstheme="minorHAnsi"/>
                <w:sz w:val="18"/>
                <w:szCs w:val="18"/>
              </w:rPr>
            </w:pPr>
            <w:r w:rsidRPr="00E91D56">
              <w:rPr>
                <w:sz w:val="18"/>
                <w:szCs w:val="18"/>
              </w:rPr>
              <w:t>812</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67CF5B7C" w14:textId="77777777" w:rsidR="00546202" w:rsidRPr="00E91D56" w:rsidRDefault="00546202" w:rsidP="000803FC">
            <w:pPr>
              <w:contextualSpacing/>
              <w:jc w:val="center"/>
              <w:rPr>
                <w:rFonts w:cstheme="minorHAnsi"/>
                <w:color w:val="00B050"/>
                <w:sz w:val="18"/>
                <w:szCs w:val="18"/>
              </w:rPr>
            </w:pPr>
            <w:r w:rsidRPr="00E91D56">
              <w:rPr>
                <w:color w:val="00B050"/>
                <w:sz w:val="18"/>
                <w:szCs w:val="18"/>
              </w:rPr>
              <w:t>+19</w:t>
            </w:r>
          </w:p>
        </w:tc>
        <w:tc>
          <w:tcPr>
            <w:tcW w:w="66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hideMark/>
          </w:tcPr>
          <w:p w14:paraId="18F597AA" w14:textId="77777777" w:rsidR="00546202" w:rsidRPr="00E91D56" w:rsidRDefault="00546202" w:rsidP="000803FC">
            <w:pPr>
              <w:contextualSpacing/>
              <w:jc w:val="center"/>
              <w:rPr>
                <w:rFonts w:cstheme="minorHAnsi"/>
                <w:color w:val="00B050"/>
                <w:sz w:val="18"/>
                <w:szCs w:val="18"/>
              </w:rPr>
            </w:pPr>
            <w:r w:rsidRPr="00E91D56">
              <w:rPr>
                <w:color w:val="00B050"/>
                <w:sz w:val="18"/>
                <w:szCs w:val="18"/>
              </w:rPr>
              <w:t>+10</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20C812A7" w14:textId="77777777" w:rsidR="00546202" w:rsidRPr="00E91D56" w:rsidRDefault="00546202" w:rsidP="000803FC">
            <w:pPr>
              <w:contextualSpacing/>
              <w:jc w:val="center"/>
              <w:rPr>
                <w:rFonts w:cstheme="minorHAnsi"/>
                <w:sz w:val="18"/>
                <w:szCs w:val="18"/>
              </w:rPr>
            </w:pPr>
            <w:r w:rsidRPr="00E91D56">
              <w:rPr>
                <w:color w:val="00B050"/>
                <w:sz w:val="18"/>
                <w:szCs w:val="18"/>
              </w:rPr>
              <w:t>+5</w:t>
            </w:r>
          </w:p>
        </w:tc>
        <w:tc>
          <w:tcPr>
            <w:tcW w:w="794" w:type="dxa"/>
            <w:tcBorders>
              <w:top w:val="single" w:sz="4" w:space="0" w:color="7F7F7F"/>
              <w:left w:val="single" w:sz="4" w:space="0" w:color="7F7F7F"/>
              <w:bottom w:val="single" w:sz="4" w:space="0" w:color="7F7F7F"/>
              <w:right w:val="single" w:sz="4" w:space="0" w:color="7F7F7F"/>
            </w:tcBorders>
            <w:shd w:val="clear" w:color="auto" w:fill="FFF2CC" w:themeFill="accent4" w:themeFillTint="33"/>
            <w:tcMar>
              <w:top w:w="15" w:type="dxa"/>
              <w:left w:w="108" w:type="dxa"/>
              <w:bottom w:w="0" w:type="dxa"/>
              <w:right w:w="108" w:type="dxa"/>
            </w:tcMar>
            <w:vAlign w:val="center"/>
            <w:hideMark/>
          </w:tcPr>
          <w:p w14:paraId="3680457E" w14:textId="77777777" w:rsidR="00546202" w:rsidRPr="00E91D56" w:rsidRDefault="00546202" w:rsidP="000803FC">
            <w:pPr>
              <w:contextualSpacing/>
              <w:jc w:val="center"/>
              <w:rPr>
                <w:rFonts w:cstheme="minorHAnsi"/>
                <w:b/>
                <w:bCs/>
                <w:color w:val="00B050"/>
                <w:sz w:val="18"/>
                <w:szCs w:val="18"/>
              </w:rPr>
            </w:pPr>
            <w:r w:rsidRPr="00E91D56">
              <w:rPr>
                <w:b/>
                <w:bCs/>
                <w:color w:val="00B050"/>
                <w:sz w:val="18"/>
                <w:szCs w:val="18"/>
              </w:rPr>
              <w:t>+35</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71F6CEC8" w14:textId="77777777" w:rsidR="00546202" w:rsidRPr="00E91D56" w:rsidRDefault="00546202" w:rsidP="000803FC">
            <w:pPr>
              <w:contextualSpacing/>
              <w:jc w:val="center"/>
              <w:rPr>
                <w:rFonts w:cstheme="minorHAnsi"/>
                <w:i/>
                <w:iCs/>
                <w:color w:val="00B050"/>
                <w:sz w:val="18"/>
                <w:szCs w:val="18"/>
              </w:rPr>
            </w:pPr>
            <w:r w:rsidRPr="00E91D56">
              <w:rPr>
                <w:i/>
                <w:iCs/>
                <w:color w:val="00B050"/>
                <w:sz w:val="18"/>
                <w:szCs w:val="18"/>
              </w:rPr>
              <w:t>2%</w:t>
            </w:r>
          </w:p>
        </w:tc>
        <w:tc>
          <w:tcPr>
            <w:tcW w:w="681"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2467D0F5" w14:textId="77777777" w:rsidR="00546202" w:rsidRPr="00E91D56" w:rsidRDefault="00546202" w:rsidP="000803FC">
            <w:pPr>
              <w:contextualSpacing/>
              <w:jc w:val="center"/>
              <w:rPr>
                <w:rFonts w:cstheme="minorHAnsi"/>
                <w:i/>
                <w:iCs/>
                <w:color w:val="00B050"/>
                <w:sz w:val="18"/>
                <w:szCs w:val="18"/>
              </w:rPr>
            </w:pPr>
            <w:r w:rsidRPr="00E91D56">
              <w:rPr>
                <w:i/>
                <w:iCs/>
                <w:color w:val="00B050"/>
                <w:sz w:val="18"/>
                <w:szCs w:val="18"/>
              </w:rPr>
              <w:t>1%</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3DC81C0C" w14:textId="77777777" w:rsidR="00546202" w:rsidRPr="00E91D56" w:rsidRDefault="00546202" w:rsidP="000803FC">
            <w:pPr>
              <w:contextualSpacing/>
              <w:jc w:val="center"/>
              <w:rPr>
                <w:rFonts w:cstheme="minorHAnsi"/>
                <w:i/>
                <w:iCs/>
                <w:color w:val="00B050"/>
                <w:sz w:val="18"/>
                <w:szCs w:val="18"/>
              </w:rPr>
            </w:pPr>
            <w:r w:rsidRPr="00E91D56">
              <w:rPr>
                <w:i/>
                <w:iCs/>
                <w:color w:val="00B050"/>
                <w:sz w:val="18"/>
                <w:szCs w:val="18"/>
              </w:rPr>
              <w:t>1%</w:t>
            </w:r>
          </w:p>
        </w:tc>
        <w:tc>
          <w:tcPr>
            <w:tcW w:w="806" w:type="dxa"/>
            <w:tcBorders>
              <w:top w:val="single" w:sz="4" w:space="0" w:color="7F7F7F"/>
              <w:left w:val="single" w:sz="4" w:space="0" w:color="7F7F7F"/>
              <w:bottom w:val="single" w:sz="4" w:space="0" w:color="7F7F7F"/>
              <w:right w:val="single" w:sz="4" w:space="0" w:color="auto"/>
            </w:tcBorders>
            <w:shd w:val="clear" w:color="auto" w:fill="FFF2CC" w:themeFill="accent4" w:themeFillTint="33"/>
            <w:tcMar>
              <w:top w:w="15" w:type="dxa"/>
              <w:left w:w="108" w:type="dxa"/>
              <w:bottom w:w="0" w:type="dxa"/>
              <w:right w:w="108" w:type="dxa"/>
            </w:tcMar>
            <w:vAlign w:val="center"/>
          </w:tcPr>
          <w:p w14:paraId="40E8D86B" w14:textId="77777777" w:rsidR="00546202" w:rsidRPr="00E91D56" w:rsidRDefault="00546202" w:rsidP="000803FC">
            <w:pPr>
              <w:contextualSpacing/>
              <w:jc w:val="center"/>
              <w:rPr>
                <w:rFonts w:cstheme="minorHAnsi"/>
                <w:b/>
                <w:bCs/>
                <w:i/>
                <w:iCs/>
                <w:color w:val="00B050"/>
                <w:sz w:val="18"/>
                <w:szCs w:val="18"/>
              </w:rPr>
            </w:pPr>
            <w:r w:rsidRPr="00E91D56">
              <w:rPr>
                <w:b/>
                <w:bCs/>
                <w:i/>
                <w:iCs/>
                <w:color w:val="00B050"/>
                <w:sz w:val="18"/>
                <w:szCs w:val="18"/>
              </w:rPr>
              <w:t>4%</w:t>
            </w:r>
          </w:p>
        </w:tc>
      </w:tr>
      <w:tr w:rsidR="00546202" w:rsidRPr="00E91D56" w14:paraId="444A63C2" w14:textId="77777777" w:rsidTr="000803FC">
        <w:trPr>
          <w:trHeight w:val="185"/>
        </w:trPr>
        <w:tc>
          <w:tcPr>
            <w:tcW w:w="1401" w:type="dxa"/>
            <w:tcBorders>
              <w:top w:val="single" w:sz="4" w:space="0" w:color="7F7F7F"/>
              <w:left w:val="single" w:sz="4" w:space="0" w:color="auto"/>
              <w:bottom w:val="single" w:sz="4" w:space="0" w:color="7F7F7F"/>
              <w:right w:val="single" w:sz="4" w:space="0" w:color="7F7F7F"/>
            </w:tcBorders>
            <w:shd w:val="clear" w:color="auto" w:fill="auto"/>
            <w:tcMar>
              <w:top w:w="15" w:type="dxa"/>
              <w:left w:w="108" w:type="dxa"/>
              <w:bottom w:w="0" w:type="dxa"/>
              <w:right w:w="108" w:type="dxa"/>
            </w:tcMar>
            <w:vAlign w:val="bottom"/>
            <w:hideMark/>
          </w:tcPr>
          <w:p w14:paraId="43B292D8" w14:textId="77777777" w:rsidR="00546202" w:rsidRPr="00E91D56" w:rsidRDefault="00546202" w:rsidP="000803FC">
            <w:pPr>
              <w:contextualSpacing/>
              <w:jc w:val="center"/>
              <w:rPr>
                <w:rFonts w:cstheme="minorHAnsi"/>
                <w:sz w:val="18"/>
                <w:szCs w:val="18"/>
              </w:rPr>
            </w:pPr>
            <w:r w:rsidRPr="00E91D56">
              <w:rPr>
                <w:rFonts w:cstheme="minorHAnsi"/>
                <w:sz w:val="18"/>
                <w:szCs w:val="18"/>
              </w:rPr>
              <w:t>1 600</w:t>
            </w:r>
          </w:p>
        </w:tc>
        <w:tc>
          <w:tcPr>
            <w:tcW w:w="705"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Mar>
              <w:top w:w="15" w:type="dxa"/>
              <w:left w:w="108" w:type="dxa"/>
              <w:bottom w:w="0" w:type="dxa"/>
              <w:right w:w="108" w:type="dxa"/>
            </w:tcMar>
            <w:vAlign w:val="center"/>
          </w:tcPr>
          <w:p w14:paraId="34B82F6D" w14:textId="77777777" w:rsidR="00546202" w:rsidRPr="00E91D56" w:rsidRDefault="00546202" w:rsidP="000803FC">
            <w:pPr>
              <w:contextualSpacing/>
              <w:jc w:val="center"/>
              <w:rPr>
                <w:rFonts w:cstheme="minorHAnsi"/>
                <w:sz w:val="18"/>
                <w:szCs w:val="18"/>
              </w:rPr>
            </w:pPr>
            <w:r w:rsidRPr="00E91D56">
              <w:rPr>
                <w:sz w:val="18"/>
                <w:szCs w:val="18"/>
              </w:rPr>
              <w:t>1 161</w:t>
            </w:r>
          </w:p>
        </w:tc>
        <w:tc>
          <w:tcPr>
            <w:tcW w:w="705"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190042F7" w14:textId="77777777" w:rsidR="00546202" w:rsidRPr="00E91D56" w:rsidRDefault="00546202" w:rsidP="000803FC">
            <w:pPr>
              <w:contextualSpacing/>
              <w:jc w:val="center"/>
              <w:rPr>
                <w:rFonts w:cstheme="minorHAnsi"/>
                <w:sz w:val="18"/>
                <w:szCs w:val="18"/>
              </w:rPr>
            </w:pPr>
            <w:r w:rsidRPr="00E91D56">
              <w:rPr>
                <w:sz w:val="18"/>
                <w:szCs w:val="18"/>
              </w:rPr>
              <w:t>1 197</w:t>
            </w:r>
          </w:p>
        </w:tc>
        <w:tc>
          <w:tcPr>
            <w:tcW w:w="70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3A15B374" w14:textId="77777777" w:rsidR="00546202" w:rsidRPr="00E91D56" w:rsidRDefault="00546202" w:rsidP="000803FC">
            <w:pPr>
              <w:contextualSpacing/>
              <w:jc w:val="center"/>
              <w:rPr>
                <w:rFonts w:cstheme="minorHAnsi"/>
                <w:sz w:val="18"/>
                <w:szCs w:val="18"/>
              </w:rPr>
            </w:pPr>
            <w:r w:rsidRPr="00E91D56">
              <w:rPr>
                <w:sz w:val="18"/>
                <w:szCs w:val="18"/>
              </w:rPr>
              <w:t>1 207</w:t>
            </w:r>
          </w:p>
        </w:tc>
        <w:tc>
          <w:tcPr>
            <w:tcW w:w="70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6D924C0B" w14:textId="77777777" w:rsidR="00546202" w:rsidRPr="00E91D56" w:rsidRDefault="00546202" w:rsidP="000803FC">
            <w:pPr>
              <w:contextualSpacing/>
              <w:jc w:val="center"/>
              <w:rPr>
                <w:rFonts w:cstheme="minorHAnsi"/>
                <w:sz w:val="18"/>
                <w:szCs w:val="18"/>
              </w:rPr>
            </w:pPr>
            <w:r w:rsidRPr="00E91D56">
              <w:rPr>
                <w:sz w:val="18"/>
                <w:szCs w:val="18"/>
              </w:rPr>
              <w:t>1 212</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207C3936" w14:textId="77777777" w:rsidR="00546202" w:rsidRPr="00E91D56" w:rsidRDefault="00546202" w:rsidP="000803FC">
            <w:pPr>
              <w:contextualSpacing/>
              <w:jc w:val="center"/>
              <w:rPr>
                <w:rFonts w:cstheme="minorHAnsi"/>
                <w:color w:val="00B050"/>
                <w:sz w:val="18"/>
                <w:szCs w:val="18"/>
              </w:rPr>
            </w:pPr>
            <w:r w:rsidRPr="00E91D56">
              <w:rPr>
                <w:color w:val="00B050"/>
                <w:sz w:val="18"/>
                <w:szCs w:val="18"/>
              </w:rPr>
              <w:t>+36</w:t>
            </w:r>
          </w:p>
        </w:tc>
        <w:tc>
          <w:tcPr>
            <w:tcW w:w="66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hideMark/>
          </w:tcPr>
          <w:p w14:paraId="58AB7FCB" w14:textId="77777777" w:rsidR="00546202" w:rsidRPr="00E91D56" w:rsidRDefault="00546202" w:rsidP="000803FC">
            <w:pPr>
              <w:contextualSpacing/>
              <w:jc w:val="center"/>
              <w:rPr>
                <w:rFonts w:cstheme="minorHAnsi"/>
                <w:color w:val="00B050"/>
                <w:sz w:val="18"/>
                <w:szCs w:val="18"/>
              </w:rPr>
            </w:pPr>
            <w:r w:rsidRPr="00E91D56">
              <w:rPr>
                <w:color w:val="00B050"/>
                <w:sz w:val="18"/>
                <w:szCs w:val="18"/>
              </w:rPr>
              <w:t>+10</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46526AE8" w14:textId="77777777" w:rsidR="00546202" w:rsidRPr="00E91D56" w:rsidRDefault="00546202" w:rsidP="000803FC">
            <w:pPr>
              <w:contextualSpacing/>
              <w:jc w:val="center"/>
              <w:rPr>
                <w:rFonts w:cstheme="minorHAnsi"/>
                <w:sz w:val="18"/>
                <w:szCs w:val="18"/>
              </w:rPr>
            </w:pPr>
            <w:r w:rsidRPr="00E91D56">
              <w:rPr>
                <w:color w:val="00B050"/>
                <w:sz w:val="18"/>
                <w:szCs w:val="18"/>
              </w:rPr>
              <w:t>+5</w:t>
            </w:r>
          </w:p>
        </w:tc>
        <w:tc>
          <w:tcPr>
            <w:tcW w:w="794" w:type="dxa"/>
            <w:tcBorders>
              <w:top w:val="single" w:sz="4" w:space="0" w:color="7F7F7F"/>
              <w:left w:val="single" w:sz="4" w:space="0" w:color="7F7F7F"/>
              <w:bottom w:val="single" w:sz="4" w:space="0" w:color="7F7F7F"/>
              <w:right w:val="single" w:sz="4" w:space="0" w:color="7F7F7F"/>
            </w:tcBorders>
            <w:shd w:val="clear" w:color="auto" w:fill="FFF2CC" w:themeFill="accent4" w:themeFillTint="33"/>
            <w:tcMar>
              <w:top w:w="15" w:type="dxa"/>
              <w:left w:w="108" w:type="dxa"/>
              <w:bottom w:w="0" w:type="dxa"/>
              <w:right w:w="108" w:type="dxa"/>
            </w:tcMar>
            <w:vAlign w:val="center"/>
            <w:hideMark/>
          </w:tcPr>
          <w:p w14:paraId="62DC3027" w14:textId="77777777" w:rsidR="00546202" w:rsidRPr="00E91D56" w:rsidRDefault="00546202" w:rsidP="000803FC">
            <w:pPr>
              <w:contextualSpacing/>
              <w:jc w:val="center"/>
              <w:rPr>
                <w:rFonts w:cstheme="minorHAnsi"/>
                <w:b/>
                <w:bCs/>
                <w:color w:val="00B050"/>
                <w:sz w:val="18"/>
                <w:szCs w:val="18"/>
              </w:rPr>
            </w:pPr>
            <w:r w:rsidRPr="00E91D56">
              <w:rPr>
                <w:b/>
                <w:bCs/>
                <w:color w:val="00B050"/>
                <w:sz w:val="18"/>
                <w:szCs w:val="18"/>
              </w:rPr>
              <w:t>+51</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34303B42" w14:textId="77777777" w:rsidR="00546202" w:rsidRPr="00E91D56" w:rsidRDefault="00546202" w:rsidP="000803FC">
            <w:pPr>
              <w:contextualSpacing/>
              <w:jc w:val="center"/>
              <w:rPr>
                <w:rFonts w:cstheme="minorHAnsi"/>
                <w:i/>
                <w:iCs/>
                <w:sz w:val="18"/>
                <w:szCs w:val="18"/>
              </w:rPr>
            </w:pPr>
            <w:r w:rsidRPr="00E91D56">
              <w:rPr>
                <w:i/>
                <w:iCs/>
                <w:color w:val="00B050"/>
                <w:sz w:val="18"/>
                <w:szCs w:val="18"/>
              </w:rPr>
              <w:t>3%</w:t>
            </w:r>
          </w:p>
        </w:tc>
        <w:tc>
          <w:tcPr>
            <w:tcW w:w="681"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395E2CD1" w14:textId="77777777" w:rsidR="00546202" w:rsidRPr="00E91D56" w:rsidRDefault="00546202" w:rsidP="000803FC">
            <w:pPr>
              <w:contextualSpacing/>
              <w:jc w:val="center"/>
              <w:rPr>
                <w:rFonts w:cstheme="minorHAnsi"/>
                <w:i/>
                <w:iCs/>
                <w:color w:val="00B050"/>
                <w:sz w:val="18"/>
                <w:szCs w:val="18"/>
              </w:rPr>
            </w:pPr>
            <w:r w:rsidRPr="00E91D56">
              <w:rPr>
                <w:i/>
                <w:iCs/>
                <w:color w:val="00B050"/>
                <w:sz w:val="18"/>
                <w:szCs w:val="18"/>
              </w:rPr>
              <w:t>1%</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6CEA1F98" w14:textId="77777777" w:rsidR="00546202" w:rsidRPr="00E91D56" w:rsidRDefault="00546202" w:rsidP="000803FC">
            <w:pPr>
              <w:contextualSpacing/>
              <w:jc w:val="center"/>
              <w:rPr>
                <w:rFonts w:cstheme="minorHAnsi"/>
                <w:i/>
                <w:iCs/>
                <w:color w:val="00B050"/>
                <w:sz w:val="18"/>
                <w:szCs w:val="18"/>
              </w:rPr>
            </w:pPr>
            <w:r w:rsidRPr="00E91D56">
              <w:rPr>
                <w:i/>
                <w:iCs/>
                <w:color w:val="00B050"/>
                <w:sz w:val="18"/>
                <w:szCs w:val="18"/>
              </w:rPr>
              <w:t>0,4%</w:t>
            </w:r>
          </w:p>
        </w:tc>
        <w:tc>
          <w:tcPr>
            <w:tcW w:w="806" w:type="dxa"/>
            <w:tcBorders>
              <w:top w:val="single" w:sz="4" w:space="0" w:color="7F7F7F"/>
              <w:left w:val="single" w:sz="4" w:space="0" w:color="7F7F7F"/>
              <w:bottom w:val="single" w:sz="4" w:space="0" w:color="7F7F7F"/>
              <w:right w:val="single" w:sz="4" w:space="0" w:color="auto"/>
            </w:tcBorders>
            <w:shd w:val="clear" w:color="auto" w:fill="FFF2CC" w:themeFill="accent4" w:themeFillTint="33"/>
            <w:tcMar>
              <w:top w:w="15" w:type="dxa"/>
              <w:left w:w="108" w:type="dxa"/>
              <w:bottom w:w="0" w:type="dxa"/>
              <w:right w:w="108" w:type="dxa"/>
            </w:tcMar>
            <w:vAlign w:val="center"/>
          </w:tcPr>
          <w:p w14:paraId="6CCB09F8" w14:textId="77777777" w:rsidR="00546202" w:rsidRPr="00E91D56" w:rsidRDefault="00546202" w:rsidP="000803FC">
            <w:pPr>
              <w:contextualSpacing/>
              <w:jc w:val="center"/>
              <w:rPr>
                <w:rFonts w:cstheme="minorHAnsi"/>
                <w:b/>
                <w:bCs/>
                <w:i/>
                <w:iCs/>
                <w:color w:val="00B050"/>
                <w:sz w:val="18"/>
                <w:szCs w:val="18"/>
              </w:rPr>
            </w:pPr>
            <w:r w:rsidRPr="00E91D56">
              <w:rPr>
                <w:b/>
                <w:bCs/>
                <w:i/>
                <w:iCs/>
                <w:color w:val="00B050"/>
                <w:sz w:val="18"/>
                <w:szCs w:val="18"/>
              </w:rPr>
              <w:t>4%</w:t>
            </w:r>
          </w:p>
        </w:tc>
      </w:tr>
      <w:tr w:rsidR="00546202" w:rsidRPr="00E91D56" w14:paraId="437E3F53" w14:textId="77777777" w:rsidTr="000803FC">
        <w:trPr>
          <w:trHeight w:val="50"/>
        </w:trPr>
        <w:tc>
          <w:tcPr>
            <w:tcW w:w="1401" w:type="dxa"/>
            <w:tcBorders>
              <w:top w:val="single" w:sz="4" w:space="0" w:color="7F7F7F"/>
              <w:left w:val="single" w:sz="4" w:space="0" w:color="auto"/>
              <w:bottom w:val="single" w:sz="4" w:space="0" w:color="7F7F7F"/>
              <w:right w:val="single" w:sz="4" w:space="0" w:color="7F7F7F"/>
            </w:tcBorders>
            <w:shd w:val="clear" w:color="auto" w:fill="auto"/>
            <w:tcMar>
              <w:top w:w="15" w:type="dxa"/>
              <w:left w:w="108" w:type="dxa"/>
              <w:bottom w:w="0" w:type="dxa"/>
              <w:right w:w="108" w:type="dxa"/>
            </w:tcMar>
            <w:vAlign w:val="bottom"/>
            <w:hideMark/>
          </w:tcPr>
          <w:p w14:paraId="74E1DC45" w14:textId="77777777" w:rsidR="00546202" w:rsidRPr="00E91D56" w:rsidRDefault="00546202" w:rsidP="000803FC">
            <w:pPr>
              <w:contextualSpacing/>
              <w:jc w:val="center"/>
              <w:rPr>
                <w:rFonts w:cstheme="minorHAnsi"/>
                <w:sz w:val="18"/>
                <w:szCs w:val="18"/>
              </w:rPr>
            </w:pPr>
            <w:r w:rsidRPr="00E91D56">
              <w:rPr>
                <w:rFonts w:cstheme="minorHAnsi"/>
                <w:sz w:val="18"/>
                <w:szCs w:val="18"/>
              </w:rPr>
              <w:t>2 000</w:t>
            </w:r>
          </w:p>
        </w:tc>
        <w:tc>
          <w:tcPr>
            <w:tcW w:w="705"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Mar>
              <w:top w:w="15" w:type="dxa"/>
              <w:left w:w="108" w:type="dxa"/>
              <w:bottom w:w="0" w:type="dxa"/>
              <w:right w:w="108" w:type="dxa"/>
            </w:tcMar>
            <w:vAlign w:val="center"/>
          </w:tcPr>
          <w:p w14:paraId="17CC3842" w14:textId="77777777" w:rsidR="00546202" w:rsidRPr="00E91D56" w:rsidRDefault="00546202" w:rsidP="000803FC">
            <w:pPr>
              <w:contextualSpacing/>
              <w:jc w:val="center"/>
              <w:rPr>
                <w:rFonts w:cstheme="minorHAnsi"/>
                <w:sz w:val="18"/>
                <w:szCs w:val="18"/>
              </w:rPr>
            </w:pPr>
            <w:r w:rsidRPr="00E91D56">
              <w:rPr>
                <w:sz w:val="18"/>
                <w:szCs w:val="18"/>
              </w:rPr>
              <w:t>1 422</w:t>
            </w:r>
          </w:p>
        </w:tc>
        <w:tc>
          <w:tcPr>
            <w:tcW w:w="705"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1096F2C1" w14:textId="77777777" w:rsidR="00546202" w:rsidRPr="00E91D56" w:rsidRDefault="00546202" w:rsidP="000803FC">
            <w:pPr>
              <w:contextualSpacing/>
              <w:jc w:val="center"/>
              <w:rPr>
                <w:rFonts w:cstheme="minorHAnsi"/>
                <w:sz w:val="18"/>
                <w:szCs w:val="18"/>
              </w:rPr>
            </w:pPr>
            <w:r w:rsidRPr="00E91D56">
              <w:rPr>
                <w:sz w:val="18"/>
                <w:szCs w:val="18"/>
              </w:rPr>
              <w:t>1 464</w:t>
            </w:r>
          </w:p>
        </w:tc>
        <w:tc>
          <w:tcPr>
            <w:tcW w:w="70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09EB8120" w14:textId="77777777" w:rsidR="00546202" w:rsidRPr="00E91D56" w:rsidRDefault="00546202" w:rsidP="000803FC">
            <w:pPr>
              <w:contextualSpacing/>
              <w:jc w:val="center"/>
              <w:rPr>
                <w:rFonts w:cstheme="minorHAnsi"/>
                <w:sz w:val="18"/>
                <w:szCs w:val="18"/>
              </w:rPr>
            </w:pPr>
            <w:r w:rsidRPr="00E91D56">
              <w:rPr>
                <w:sz w:val="18"/>
                <w:szCs w:val="18"/>
              </w:rPr>
              <w:t>1 474</w:t>
            </w:r>
          </w:p>
        </w:tc>
        <w:tc>
          <w:tcPr>
            <w:tcW w:w="70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2AC56625" w14:textId="77777777" w:rsidR="00546202" w:rsidRPr="00E91D56" w:rsidRDefault="00546202" w:rsidP="000803FC">
            <w:pPr>
              <w:contextualSpacing/>
              <w:jc w:val="center"/>
              <w:rPr>
                <w:rFonts w:cstheme="minorHAnsi"/>
                <w:sz w:val="18"/>
                <w:szCs w:val="18"/>
              </w:rPr>
            </w:pPr>
            <w:r w:rsidRPr="00E91D56">
              <w:rPr>
                <w:sz w:val="18"/>
                <w:szCs w:val="18"/>
              </w:rPr>
              <w:t>1 479</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71EC51C9" w14:textId="77777777" w:rsidR="00546202" w:rsidRPr="00E91D56" w:rsidRDefault="00546202" w:rsidP="000803FC">
            <w:pPr>
              <w:contextualSpacing/>
              <w:jc w:val="center"/>
              <w:rPr>
                <w:rFonts w:cstheme="minorHAnsi"/>
                <w:sz w:val="18"/>
                <w:szCs w:val="18"/>
              </w:rPr>
            </w:pPr>
            <w:r w:rsidRPr="00E91D56">
              <w:rPr>
                <w:color w:val="00B050"/>
                <w:sz w:val="18"/>
                <w:szCs w:val="18"/>
              </w:rPr>
              <w:t>+42</w:t>
            </w:r>
          </w:p>
        </w:tc>
        <w:tc>
          <w:tcPr>
            <w:tcW w:w="66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hideMark/>
          </w:tcPr>
          <w:p w14:paraId="120A7CA4" w14:textId="77777777" w:rsidR="00546202" w:rsidRPr="00E91D56" w:rsidRDefault="00546202" w:rsidP="000803FC">
            <w:pPr>
              <w:contextualSpacing/>
              <w:jc w:val="center"/>
              <w:rPr>
                <w:rFonts w:cstheme="minorHAnsi"/>
                <w:color w:val="00B050"/>
                <w:sz w:val="18"/>
                <w:szCs w:val="18"/>
              </w:rPr>
            </w:pPr>
            <w:r w:rsidRPr="00E91D56">
              <w:rPr>
                <w:color w:val="00B050"/>
                <w:sz w:val="18"/>
                <w:szCs w:val="18"/>
              </w:rPr>
              <w:t>+10</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375C535B" w14:textId="77777777" w:rsidR="00546202" w:rsidRPr="00E91D56" w:rsidRDefault="00546202" w:rsidP="000803FC">
            <w:pPr>
              <w:contextualSpacing/>
              <w:jc w:val="center"/>
              <w:rPr>
                <w:rFonts w:cstheme="minorHAnsi"/>
                <w:sz w:val="18"/>
                <w:szCs w:val="18"/>
              </w:rPr>
            </w:pPr>
            <w:r w:rsidRPr="00E91D56">
              <w:rPr>
                <w:color w:val="00B050"/>
                <w:sz w:val="18"/>
                <w:szCs w:val="18"/>
              </w:rPr>
              <w:t>+5</w:t>
            </w:r>
          </w:p>
        </w:tc>
        <w:tc>
          <w:tcPr>
            <w:tcW w:w="794" w:type="dxa"/>
            <w:tcBorders>
              <w:top w:val="single" w:sz="4" w:space="0" w:color="7F7F7F"/>
              <w:left w:val="single" w:sz="4" w:space="0" w:color="7F7F7F"/>
              <w:bottom w:val="single" w:sz="4" w:space="0" w:color="7F7F7F"/>
              <w:right w:val="single" w:sz="4" w:space="0" w:color="7F7F7F"/>
            </w:tcBorders>
            <w:shd w:val="clear" w:color="auto" w:fill="FFF2CC" w:themeFill="accent4" w:themeFillTint="33"/>
            <w:tcMar>
              <w:top w:w="15" w:type="dxa"/>
              <w:left w:w="108" w:type="dxa"/>
              <w:bottom w:w="0" w:type="dxa"/>
              <w:right w:w="108" w:type="dxa"/>
            </w:tcMar>
            <w:vAlign w:val="center"/>
            <w:hideMark/>
          </w:tcPr>
          <w:p w14:paraId="6BF6913D" w14:textId="77777777" w:rsidR="00546202" w:rsidRPr="00E91D56" w:rsidRDefault="00546202" w:rsidP="000803FC">
            <w:pPr>
              <w:contextualSpacing/>
              <w:jc w:val="center"/>
              <w:rPr>
                <w:rFonts w:cstheme="minorHAnsi"/>
                <w:b/>
                <w:bCs/>
                <w:color w:val="00B050"/>
                <w:sz w:val="18"/>
                <w:szCs w:val="18"/>
              </w:rPr>
            </w:pPr>
            <w:r w:rsidRPr="00E91D56">
              <w:rPr>
                <w:b/>
                <w:bCs/>
                <w:color w:val="00B050"/>
                <w:sz w:val="18"/>
                <w:szCs w:val="18"/>
              </w:rPr>
              <w:t>+57</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6D2EC06D" w14:textId="77777777" w:rsidR="00546202" w:rsidRPr="00E91D56" w:rsidRDefault="00546202" w:rsidP="000803FC">
            <w:pPr>
              <w:contextualSpacing/>
              <w:jc w:val="center"/>
              <w:rPr>
                <w:rFonts w:cstheme="minorHAnsi"/>
                <w:i/>
                <w:iCs/>
                <w:sz w:val="18"/>
                <w:szCs w:val="18"/>
              </w:rPr>
            </w:pPr>
            <w:r w:rsidRPr="00E91D56">
              <w:rPr>
                <w:i/>
                <w:iCs/>
                <w:color w:val="00B050"/>
                <w:sz w:val="18"/>
                <w:szCs w:val="18"/>
              </w:rPr>
              <w:t>3%</w:t>
            </w:r>
          </w:p>
        </w:tc>
        <w:tc>
          <w:tcPr>
            <w:tcW w:w="681"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35990BC3" w14:textId="77777777" w:rsidR="00546202" w:rsidRPr="00E91D56" w:rsidRDefault="00546202" w:rsidP="000803FC">
            <w:pPr>
              <w:contextualSpacing/>
              <w:jc w:val="center"/>
              <w:rPr>
                <w:rFonts w:cstheme="minorHAnsi"/>
                <w:i/>
                <w:iCs/>
                <w:color w:val="00B050"/>
                <w:sz w:val="18"/>
                <w:szCs w:val="18"/>
              </w:rPr>
            </w:pPr>
            <w:r w:rsidRPr="00E91D56">
              <w:rPr>
                <w:i/>
                <w:iCs/>
                <w:color w:val="00B050"/>
                <w:sz w:val="18"/>
                <w:szCs w:val="18"/>
              </w:rPr>
              <w:t>1%</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4B64FC8C" w14:textId="77777777" w:rsidR="00546202" w:rsidRPr="00E91D56" w:rsidRDefault="00546202" w:rsidP="000803FC">
            <w:pPr>
              <w:contextualSpacing/>
              <w:jc w:val="center"/>
              <w:rPr>
                <w:rFonts w:cstheme="minorHAnsi"/>
                <w:i/>
                <w:iCs/>
                <w:color w:val="00B050"/>
                <w:sz w:val="18"/>
                <w:szCs w:val="18"/>
              </w:rPr>
            </w:pPr>
            <w:r w:rsidRPr="00E91D56">
              <w:rPr>
                <w:i/>
                <w:iCs/>
                <w:color w:val="00B050"/>
                <w:sz w:val="18"/>
                <w:szCs w:val="18"/>
              </w:rPr>
              <w:t>0,3%</w:t>
            </w:r>
          </w:p>
        </w:tc>
        <w:tc>
          <w:tcPr>
            <w:tcW w:w="806" w:type="dxa"/>
            <w:tcBorders>
              <w:top w:val="single" w:sz="4" w:space="0" w:color="7F7F7F"/>
              <w:left w:val="single" w:sz="4" w:space="0" w:color="7F7F7F"/>
              <w:bottom w:val="single" w:sz="4" w:space="0" w:color="7F7F7F"/>
              <w:right w:val="single" w:sz="4" w:space="0" w:color="auto"/>
            </w:tcBorders>
            <w:shd w:val="clear" w:color="auto" w:fill="FFF2CC" w:themeFill="accent4" w:themeFillTint="33"/>
            <w:tcMar>
              <w:top w:w="15" w:type="dxa"/>
              <w:left w:w="108" w:type="dxa"/>
              <w:bottom w:w="0" w:type="dxa"/>
              <w:right w:w="108" w:type="dxa"/>
            </w:tcMar>
            <w:vAlign w:val="center"/>
          </w:tcPr>
          <w:p w14:paraId="7C397659" w14:textId="77777777" w:rsidR="00546202" w:rsidRPr="00E91D56" w:rsidRDefault="00546202" w:rsidP="000803FC">
            <w:pPr>
              <w:contextualSpacing/>
              <w:jc w:val="center"/>
              <w:rPr>
                <w:rFonts w:cstheme="minorHAnsi"/>
                <w:b/>
                <w:bCs/>
                <w:i/>
                <w:iCs/>
                <w:color w:val="00B050"/>
                <w:sz w:val="18"/>
                <w:szCs w:val="18"/>
              </w:rPr>
            </w:pPr>
            <w:r w:rsidRPr="00E91D56">
              <w:rPr>
                <w:b/>
                <w:bCs/>
                <w:i/>
                <w:iCs/>
                <w:color w:val="00B050"/>
                <w:sz w:val="18"/>
                <w:szCs w:val="18"/>
              </w:rPr>
              <w:t>4%</w:t>
            </w:r>
          </w:p>
        </w:tc>
      </w:tr>
      <w:tr w:rsidR="00546202" w:rsidRPr="00E91D56" w14:paraId="73896706" w14:textId="77777777" w:rsidTr="000803FC">
        <w:trPr>
          <w:trHeight w:val="50"/>
        </w:trPr>
        <w:tc>
          <w:tcPr>
            <w:tcW w:w="1401" w:type="dxa"/>
            <w:tcBorders>
              <w:top w:val="single" w:sz="4" w:space="0" w:color="7F7F7F"/>
              <w:left w:val="single" w:sz="4" w:space="0" w:color="auto"/>
              <w:bottom w:val="single" w:sz="4" w:space="0" w:color="7F7F7F"/>
              <w:right w:val="single" w:sz="4" w:space="0" w:color="7F7F7F"/>
            </w:tcBorders>
            <w:shd w:val="clear" w:color="auto" w:fill="auto"/>
            <w:tcMar>
              <w:top w:w="15" w:type="dxa"/>
              <w:left w:w="108" w:type="dxa"/>
              <w:bottom w:w="0" w:type="dxa"/>
              <w:right w:w="108" w:type="dxa"/>
            </w:tcMar>
            <w:vAlign w:val="bottom"/>
            <w:hideMark/>
          </w:tcPr>
          <w:p w14:paraId="5D502AE4" w14:textId="77777777" w:rsidR="00546202" w:rsidRPr="00E91D56" w:rsidRDefault="00546202" w:rsidP="000803FC">
            <w:pPr>
              <w:contextualSpacing/>
              <w:jc w:val="center"/>
              <w:rPr>
                <w:rFonts w:cstheme="minorHAnsi"/>
                <w:sz w:val="18"/>
                <w:szCs w:val="18"/>
              </w:rPr>
            </w:pPr>
            <w:r w:rsidRPr="00E91D56">
              <w:rPr>
                <w:rFonts w:cstheme="minorHAnsi"/>
                <w:sz w:val="18"/>
                <w:szCs w:val="18"/>
              </w:rPr>
              <w:t>2 500</w:t>
            </w:r>
          </w:p>
        </w:tc>
        <w:tc>
          <w:tcPr>
            <w:tcW w:w="705"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Mar>
              <w:top w:w="15" w:type="dxa"/>
              <w:left w:w="108" w:type="dxa"/>
              <w:bottom w:w="0" w:type="dxa"/>
              <w:right w:w="108" w:type="dxa"/>
            </w:tcMar>
            <w:vAlign w:val="center"/>
          </w:tcPr>
          <w:p w14:paraId="678A6190" w14:textId="77777777" w:rsidR="00546202" w:rsidRPr="00E91D56" w:rsidRDefault="00546202" w:rsidP="000803FC">
            <w:pPr>
              <w:contextualSpacing/>
              <w:jc w:val="center"/>
              <w:rPr>
                <w:rFonts w:cstheme="minorHAnsi"/>
                <w:sz w:val="18"/>
                <w:szCs w:val="18"/>
              </w:rPr>
            </w:pPr>
            <w:r w:rsidRPr="00E91D56">
              <w:rPr>
                <w:sz w:val="18"/>
                <w:szCs w:val="18"/>
              </w:rPr>
              <w:t>1 765</w:t>
            </w:r>
          </w:p>
        </w:tc>
        <w:tc>
          <w:tcPr>
            <w:tcW w:w="705"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42CDD15D" w14:textId="77777777" w:rsidR="00546202" w:rsidRPr="00E91D56" w:rsidRDefault="00546202" w:rsidP="000803FC">
            <w:pPr>
              <w:contextualSpacing/>
              <w:jc w:val="center"/>
              <w:rPr>
                <w:rFonts w:cstheme="minorHAnsi"/>
                <w:sz w:val="18"/>
                <w:szCs w:val="18"/>
              </w:rPr>
            </w:pPr>
            <w:r w:rsidRPr="00E91D56">
              <w:rPr>
                <w:sz w:val="18"/>
                <w:szCs w:val="18"/>
              </w:rPr>
              <w:t>1 797</w:t>
            </w:r>
          </w:p>
        </w:tc>
        <w:tc>
          <w:tcPr>
            <w:tcW w:w="70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6CE5C6E2" w14:textId="77777777" w:rsidR="00546202" w:rsidRPr="00E91D56" w:rsidRDefault="00546202" w:rsidP="000803FC">
            <w:pPr>
              <w:contextualSpacing/>
              <w:jc w:val="center"/>
              <w:rPr>
                <w:rFonts w:cstheme="minorHAnsi"/>
                <w:sz w:val="18"/>
                <w:szCs w:val="18"/>
              </w:rPr>
            </w:pPr>
            <w:r w:rsidRPr="00E91D56">
              <w:rPr>
                <w:sz w:val="18"/>
                <w:szCs w:val="18"/>
              </w:rPr>
              <w:t>1 807</w:t>
            </w:r>
          </w:p>
        </w:tc>
        <w:tc>
          <w:tcPr>
            <w:tcW w:w="70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460BADBC" w14:textId="77777777" w:rsidR="00546202" w:rsidRPr="00E91D56" w:rsidRDefault="00546202" w:rsidP="000803FC">
            <w:pPr>
              <w:contextualSpacing/>
              <w:jc w:val="center"/>
              <w:rPr>
                <w:rFonts w:cstheme="minorHAnsi"/>
                <w:sz w:val="18"/>
                <w:szCs w:val="18"/>
              </w:rPr>
            </w:pPr>
            <w:r w:rsidRPr="00E91D56">
              <w:rPr>
                <w:sz w:val="18"/>
                <w:szCs w:val="18"/>
              </w:rPr>
              <w:t>1 812</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4914D2D9" w14:textId="77777777" w:rsidR="00546202" w:rsidRPr="00E91D56" w:rsidRDefault="00546202" w:rsidP="000803FC">
            <w:pPr>
              <w:contextualSpacing/>
              <w:jc w:val="center"/>
              <w:rPr>
                <w:rFonts w:cstheme="minorHAnsi"/>
                <w:sz w:val="18"/>
                <w:szCs w:val="18"/>
              </w:rPr>
            </w:pPr>
            <w:r w:rsidRPr="00E91D56">
              <w:rPr>
                <w:color w:val="00B050"/>
                <w:sz w:val="18"/>
                <w:szCs w:val="18"/>
              </w:rPr>
              <w:t>+32</w:t>
            </w:r>
          </w:p>
        </w:tc>
        <w:tc>
          <w:tcPr>
            <w:tcW w:w="66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hideMark/>
          </w:tcPr>
          <w:p w14:paraId="3EE9A899" w14:textId="77777777" w:rsidR="00546202" w:rsidRPr="00E91D56" w:rsidRDefault="00546202" w:rsidP="000803FC">
            <w:pPr>
              <w:contextualSpacing/>
              <w:jc w:val="center"/>
              <w:rPr>
                <w:rFonts w:cstheme="minorHAnsi"/>
                <w:color w:val="00B050"/>
                <w:sz w:val="18"/>
                <w:szCs w:val="18"/>
              </w:rPr>
            </w:pPr>
            <w:r w:rsidRPr="00E91D56">
              <w:rPr>
                <w:color w:val="00B050"/>
                <w:sz w:val="18"/>
                <w:szCs w:val="18"/>
              </w:rPr>
              <w:t>+10</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24F5C04A" w14:textId="77777777" w:rsidR="00546202" w:rsidRPr="00E91D56" w:rsidRDefault="00546202" w:rsidP="000803FC">
            <w:pPr>
              <w:contextualSpacing/>
              <w:jc w:val="center"/>
              <w:rPr>
                <w:rFonts w:cstheme="minorHAnsi"/>
                <w:sz w:val="18"/>
                <w:szCs w:val="18"/>
              </w:rPr>
            </w:pPr>
            <w:r w:rsidRPr="00E91D56">
              <w:rPr>
                <w:color w:val="00B050"/>
                <w:sz w:val="18"/>
                <w:szCs w:val="18"/>
              </w:rPr>
              <w:t>+5</w:t>
            </w:r>
          </w:p>
        </w:tc>
        <w:tc>
          <w:tcPr>
            <w:tcW w:w="794" w:type="dxa"/>
            <w:tcBorders>
              <w:top w:val="single" w:sz="4" w:space="0" w:color="7F7F7F"/>
              <w:left w:val="single" w:sz="4" w:space="0" w:color="7F7F7F"/>
              <w:bottom w:val="single" w:sz="4" w:space="0" w:color="7F7F7F"/>
              <w:right w:val="single" w:sz="4" w:space="0" w:color="7F7F7F"/>
            </w:tcBorders>
            <w:shd w:val="clear" w:color="auto" w:fill="FFF2CC" w:themeFill="accent4" w:themeFillTint="33"/>
            <w:tcMar>
              <w:top w:w="15" w:type="dxa"/>
              <w:left w:w="108" w:type="dxa"/>
              <w:bottom w:w="0" w:type="dxa"/>
              <w:right w:w="108" w:type="dxa"/>
            </w:tcMar>
            <w:vAlign w:val="center"/>
            <w:hideMark/>
          </w:tcPr>
          <w:p w14:paraId="02DE8E09" w14:textId="77777777" w:rsidR="00546202" w:rsidRPr="00E91D56" w:rsidRDefault="00546202" w:rsidP="000803FC">
            <w:pPr>
              <w:contextualSpacing/>
              <w:jc w:val="center"/>
              <w:rPr>
                <w:rFonts w:cstheme="minorHAnsi"/>
                <w:b/>
                <w:bCs/>
                <w:color w:val="00B050"/>
                <w:sz w:val="18"/>
                <w:szCs w:val="18"/>
              </w:rPr>
            </w:pPr>
            <w:r w:rsidRPr="00E91D56">
              <w:rPr>
                <w:b/>
                <w:bCs/>
                <w:color w:val="00B050"/>
                <w:sz w:val="18"/>
                <w:szCs w:val="18"/>
              </w:rPr>
              <w:t>+47</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2EFB96C2" w14:textId="77777777" w:rsidR="00546202" w:rsidRPr="00E91D56" w:rsidRDefault="00546202" w:rsidP="000803FC">
            <w:pPr>
              <w:contextualSpacing/>
              <w:jc w:val="center"/>
              <w:rPr>
                <w:rFonts w:cstheme="minorHAnsi"/>
                <w:i/>
                <w:iCs/>
                <w:sz w:val="18"/>
                <w:szCs w:val="18"/>
              </w:rPr>
            </w:pPr>
            <w:r w:rsidRPr="00E91D56">
              <w:rPr>
                <w:i/>
                <w:iCs/>
                <w:color w:val="00B050"/>
                <w:sz w:val="18"/>
                <w:szCs w:val="18"/>
              </w:rPr>
              <w:t>2%</w:t>
            </w:r>
          </w:p>
        </w:tc>
        <w:tc>
          <w:tcPr>
            <w:tcW w:w="681"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04D35FC2" w14:textId="77777777" w:rsidR="00546202" w:rsidRPr="00E91D56" w:rsidRDefault="00546202" w:rsidP="000803FC">
            <w:pPr>
              <w:contextualSpacing/>
              <w:jc w:val="center"/>
              <w:rPr>
                <w:rFonts w:cstheme="minorHAnsi"/>
                <w:i/>
                <w:iCs/>
                <w:color w:val="00B050"/>
                <w:sz w:val="18"/>
                <w:szCs w:val="18"/>
              </w:rPr>
            </w:pPr>
            <w:r w:rsidRPr="00E91D56">
              <w:rPr>
                <w:i/>
                <w:iCs/>
                <w:color w:val="00B050"/>
                <w:sz w:val="18"/>
                <w:szCs w:val="18"/>
              </w:rPr>
              <w:t>1%</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3C0D4056" w14:textId="77777777" w:rsidR="00546202" w:rsidRPr="00E91D56" w:rsidRDefault="00546202" w:rsidP="000803FC">
            <w:pPr>
              <w:contextualSpacing/>
              <w:jc w:val="center"/>
              <w:rPr>
                <w:rFonts w:cstheme="minorHAnsi"/>
                <w:i/>
                <w:iCs/>
                <w:color w:val="00B050"/>
                <w:sz w:val="18"/>
                <w:szCs w:val="18"/>
              </w:rPr>
            </w:pPr>
            <w:r w:rsidRPr="00E91D56">
              <w:rPr>
                <w:i/>
                <w:iCs/>
                <w:color w:val="00B050"/>
                <w:sz w:val="18"/>
                <w:szCs w:val="18"/>
              </w:rPr>
              <w:t>0,3%</w:t>
            </w:r>
          </w:p>
        </w:tc>
        <w:tc>
          <w:tcPr>
            <w:tcW w:w="806" w:type="dxa"/>
            <w:tcBorders>
              <w:top w:val="single" w:sz="4" w:space="0" w:color="7F7F7F"/>
              <w:left w:val="single" w:sz="4" w:space="0" w:color="7F7F7F"/>
              <w:bottom w:val="single" w:sz="4" w:space="0" w:color="7F7F7F"/>
              <w:right w:val="single" w:sz="4" w:space="0" w:color="auto"/>
            </w:tcBorders>
            <w:shd w:val="clear" w:color="auto" w:fill="FFF2CC" w:themeFill="accent4" w:themeFillTint="33"/>
            <w:tcMar>
              <w:top w:w="15" w:type="dxa"/>
              <w:left w:w="108" w:type="dxa"/>
              <w:bottom w:w="0" w:type="dxa"/>
              <w:right w:w="108" w:type="dxa"/>
            </w:tcMar>
            <w:vAlign w:val="center"/>
          </w:tcPr>
          <w:p w14:paraId="6369F92F" w14:textId="77777777" w:rsidR="00546202" w:rsidRPr="00E91D56" w:rsidRDefault="00546202" w:rsidP="000803FC">
            <w:pPr>
              <w:contextualSpacing/>
              <w:jc w:val="center"/>
              <w:rPr>
                <w:rFonts w:cstheme="minorHAnsi"/>
                <w:b/>
                <w:bCs/>
                <w:i/>
                <w:iCs/>
                <w:color w:val="00B050"/>
                <w:sz w:val="18"/>
                <w:szCs w:val="18"/>
              </w:rPr>
            </w:pPr>
            <w:r w:rsidRPr="00E91D56">
              <w:rPr>
                <w:b/>
                <w:bCs/>
                <w:i/>
                <w:iCs/>
                <w:color w:val="00B050"/>
                <w:sz w:val="18"/>
                <w:szCs w:val="18"/>
              </w:rPr>
              <w:t>3%</w:t>
            </w:r>
          </w:p>
        </w:tc>
      </w:tr>
      <w:tr w:rsidR="00546202" w:rsidRPr="00E91D56" w14:paraId="7589A9F0" w14:textId="77777777" w:rsidTr="000803FC">
        <w:trPr>
          <w:trHeight w:val="50"/>
        </w:trPr>
        <w:tc>
          <w:tcPr>
            <w:tcW w:w="1401" w:type="dxa"/>
            <w:tcBorders>
              <w:top w:val="single" w:sz="4" w:space="0" w:color="7F7F7F"/>
              <w:left w:val="single" w:sz="4" w:space="0" w:color="auto"/>
              <w:bottom w:val="single" w:sz="4" w:space="0" w:color="7F7F7F"/>
              <w:right w:val="single" w:sz="4" w:space="0" w:color="7F7F7F"/>
            </w:tcBorders>
            <w:shd w:val="clear" w:color="auto" w:fill="auto"/>
            <w:tcMar>
              <w:top w:w="15" w:type="dxa"/>
              <w:left w:w="108" w:type="dxa"/>
              <w:bottom w:w="0" w:type="dxa"/>
              <w:right w:w="108" w:type="dxa"/>
            </w:tcMar>
            <w:vAlign w:val="bottom"/>
            <w:hideMark/>
          </w:tcPr>
          <w:p w14:paraId="7942410B" w14:textId="77777777" w:rsidR="00546202" w:rsidRPr="00E91D56" w:rsidRDefault="00546202" w:rsidP="000803FC">
            <w:pPr>
              <w:contextualSpacing/>
              <w:jc w:val="center"/>
              <w:rPr>
                <w:rFonts w:cstheme="minorHAnsi"/>
                <w:sz w:val="18"/>
                <w:szCs w:val="18"/>
              </w:rPr>
            </w:pPr>
            <w:r w:rsidRPr="00E91D56">
              <w:rPr>
                <w:rFonts w:cstheme="minorHAnsi"/>
                <w:sz w:val="18"/>
                <w:szCs w:val="18"/>
              </w:rPr>
              <w:t>3 000</w:t>
            </w:r>
          </w:p>
        </w:tc>
        <w:tc>
          <w:tcPr>
            <w:tcW w:w="705"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Mar>
              <w:top w:w="15" w:type="dxa"/>
              <w:left w:w="108" w:type="dxa"/>
              <w:bottom w:w="0" w:type="dxa"/>
              <w:right w:w="108" w:type="dxa"/>
            </w:tcMar>
            <w:vAlign w:val="center"/>
          </w:tcPr>
          <w:p w14:paraId="7DC64A8A" w14:textId="77777777" w:rsidR="00546202" w:rsidRPr="00E91D56" w:rsidRDefault="00546202" w:rsidP="000803FC">
            <w:pPr>
              <w:contextualSpacing/>
              <w:jc w:val="center"/>
              <w:rPr>
                <w:rFonts w:cstheme="minorHAnsi"/>
                <w:sz w:val="18"/>
                <w:szCs w:val="18"/>
              </w:rPr>
            </w:pPr>
            <w:r w:rsidRPr="00E91D56">
              <w:rPr>
                <w:color w:val="000000"/>
                <w:sz w:val="18"/>
                <w:szCs w:val="18"/>
              </w:rPr>
              <w:t>2 108</w:t>
            </w:r>
          </w:p>
        </w:tc>
        <w:tc>
          <w:tcPr>
            <w:tcW w:w="705"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3B26809A" w14:textId="77777777" w:rsidR="00546202" w:rsidRPr="00E91D56" w:rsidRDefault="00546202" w:rsidP="000803FC">
            <w:pPr>
              <w:contextualSpacing/>
              <w:jc w:val="center"/>
              <w:rPr>
                <w:rFonts w:cstheme="minorHAnsi"/>
                <w:sz w:val="18"/>
                <w:szCs w:val="18"/>
              </w:rPr>
            </w:pPr>
            <w:r w:rsidRPr="00E91D56">
              <w:rPr>
                <w:color w:val="000000"/>
                <w:sz w:val="18"/>
                <w:szCs w:val="18"/>
              </w:rPr>
              <w:t>2 130</w:t>
            </w:r>
          </w:p>
        </w:tc>
        <w:tc>
          <w:tcPr>
            <w:tcW w:w="70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4F206026" w14:textId="77777777" w:rsidR="00546202" w:rsidRPr="00E91D56" w:rsidRDefault="00546202" w:rsidP="000803FC">
            <w:pPr>
              <w:contextualSpacing/>
              <w:jc w:val="center"/>
              <w:rPr>
                <w:rFonts w:cstheme="minorHAnsi"/>
                <w:sz w:val="18"/>
                <w:szCs w:val="18"/>
              </w:rPr>
            </w:pPr>
            <w:r w:rsidRPr="00E91D56">
              <w:rPr>
                <w:color w:val="000000"/>
                <w:sz w:val="18"/>
                <w:szCs w:val="18"/>
              </w:rPr>
              <w:t>2 141</w:t>
            </w:r>
          </w:p>
        </w:tc>
        <w:tc>
          <w:tcPr>
            <w:tcW w:w="70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2815613B" w14:textId="77777777" w:rsidR="00546202" w:rsidRPr="00E91D56" w:rsidRDefault="00546202" w:rsidP="000803FC">
            <w:pPr>
              <w:contextualSpacing/>
              <w:jc w:val="center"/>
              <w:rPr>
                <w:rFonts w:cstheme="minorHAnsi"/>
                <w:sz w:val="18"/>
                <w:szCs w:val="18"/>
              </w:rPr>
            </w:pPr>
            <w:r w:rsidRPr="00E91D56">
              <w:rPr>
                <w:color w:val="000000"/>
                <w:sz w:val="18"/>
                <w:szCs w:val="18"/>
              </w:rPr>
              <w:t>2 146</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573FDC97" w14:textId="77777777" w:rsidR="00546202" w:rsidRPr="00E91D56" w:rsidRDefault="00546202" w:rsidP="000803FC">
            <w:pPr>
              <w:contextualSpacing/>
              <w:jc w:val="center"/>
              <w:rPr>
                <w:rFonts w:cstheme="minorHAnsi"/>
                <w:sz w:val="18"/>
                <w:szCs w:val="18"/>
              </w:rPr>
            </w:pPr>
            <w:r w:rsidRPr="00E91D56">
              <w:rPr>
                <w:color w:val="00B050"/>
                <w:sz w:val="18"/>
                <w:szCs w:val="18"/>
              </w:rPr>
              <w:t>+22</w:t>
            </w:r>
          </w:p>
        </w:tc>
        <w:tc>
          <w:tcPr>
            <w:tcW w:w="66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hideMark/>
          </w:tcPr>
          <w:p w14:paraId="47FE639F" w14:textId="77777777" w:rsidR="00546202" w:rsidRPr="00E91D56" w:rsidRDefault="00546202" w:rsidP="000803FC">
            <w:pPr>
              <w:contextualSpacing/>
              <w:jc w:val="center"/>
              <w:rPr>
                <w:rFonts w:cstheme="minorHAnsi"/>
                <w:color w:val="00B050"/>
                <w:sz w:val="18"/>
                <w:szCs w:val="18"/>
              </w:rPr>
            </w:pPr>
            <w:r w:rsidRPr="00E91D56">
              <w:rPr>
                <w:color w:val="00B050"/>
                <w:sz w:val="18"/>
                <w:szCs w:val="18"/>
              </w:rPr>
              <w:t>+10</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0540B1A4" w14:textId="77777777" w:rsidR="00546202" w:rsidRPr="00E91D56" w:rsidRDefault="00546202" w:rsidP="000803FC">
            <w:pPr>
              <w:contextualSpacing/>
              <w:jc w:val="center"/>
              <w:rPr>
                <w:rFonts w:cstheme="minorHAnsi"/>
                <w:sz w:val="18"/>
                <w:szCs w:val="18"/>
              </w:rPr>
            </w:pPr>
            <w:r w:rsidRPr="00E91D56">
              <w:rPr>
                <w:color w:val="00B050"/>
                <w:sz w:val="18"/>
                <w:szCs w:val="18"/>
              </w:rPr>
              <w:t>+5</w:t>
            </w:r>
          </w:p>
        </w:tc>
        <w:tc>
          <w:tcPr>
            <w:tcW w:w="794" w:type="dxa"/>
            <w:tcBorders>
              <w:top w:val="single" w:sz="4" w:space="0" w:color="7F7F7F"/>
              <w:left w:val="single" w:sz="4" w:space="0" w:color="7F7F7F"/>
              <w:bottom w:val="single" w:sz="4" w:space="0" w:color="7F7F7F"/>
              <w:right w:val="single" w:sz="4" w:space="0" w:color="7F7F7F"/>
            </w:tcBorders>
            <w:shd w:val="clear" w:color="auto" w:fill="FFF2CC" w:themeFill="accent4" w:themeFillTint="33"/>
            <w:tcMar>
              <w:top w:w="15" w:type="dxa"/>
              <w:left w:w="108" w:type="dxa"/>
              <w:bottom w:w="0" w:type="dxa"/>
              <w:right w:w="108" w:type="dxa"/>
            </w:tcMar>
            <w:vAlign w:val="center"/>
            <w:hideMark/>
          </w:tcPr>
          <w:p w14:paraId="1DEBA31E" w14:textId="77777777" w:rsidR="00546202" w:rsidRPr="00E91D56" w:rsidRDefault="00546202" w:rsidP="000803FC">
            <w:pPr>
              <w:contextualSpacing/>
              <w:jc w:val="center"/>
              <w:rPr>
                <w:rFonts w:cstheme="minorHAnsi"/>
                <w:b/>
                <w:bCs/>
                <w:color w:val="00B050"/>
                <w:sz w:val="18"/>
                <w:szCs w:val="18"/>
              </w:rPr>
            </w:pPr>
            <w:r w:rsidRPr="00E91D56">
              <w:rPr>
                <w:b/>
                <w:bCs/>
                <w:color w:val="00B050"/>
                <w:sz w:val="18"/>
                <w:szCs w:val="18"/>
              </w:rPr>
              <w:t>+38</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73DD74C3" w14:textId="77777777" w:rsidR="00546202" w:rsidRPr="00E91D56" w:rsidRDefault="00546202" w:rsidP="000803FC">
            <w:pPr>
              <w:contextualSpacing/>
              <w:jc w:val="center"/>
              <w:rPr>
                <w:rFonts w:cstheme="minorHAnsi"/>
                <w:i/>
                <w:iCs/>
                <w:sz w:val="18"/>
                <w:szCs w:val="18"/>
              </w:rPr>
            </w:pPr>
            <w:r w:rsidRPr="00E91D56">
              <w:rPr>
                <w:i/>
                <w:iCs/>
                <w:color w:val="00B050"/>
                <w:sz w:val="18"/>
                <w:szCs w:val="18"/>
              </w:rPr>
              <w:t>1%</w:t>
            </w:r>
          </w:p>
        </w:tc>
        <w:tc>
          <w:tcPr>
            <w:tcW w:w="681"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11D545E4" w14:textId="77777777" w:rsidR="00546202" w:rsidRPr="00E91D56" w:rsidRDefault="00546202" w:rsidP="000803FC">
            <w:pPr>
              <w:contextualSpacing/>
              <w:jc w:val="center"/>
              <w:rPr>
                <w:rFonts w:cstheme="minorHAnsi"/>
                <w:i/>
                <w:iCs/>
                <w:sz w:val="18"/>
                <w:szCs w:val="18"/>
              </w:rPr>
            </w:pPr>
            <w:r w:rsidRPr="00E91D56">
              <w:rPr>
                <w:i/>
                <w:iCs/>
                <w:color w:val="00B050"/>
                <w:sz w:val="18"/>
                <w:szCs w:val="18"/>
              </w:rPr>
              <w:t>0,5%</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3DE708C8" w14:textId="77777777" w:rsidR="00546202" w:rsidRPr="00E91D56" w:rsidRDefault="00546202" w:rsidP="000803FC">
            <w:pPr>
              <w:contextualSpacing/>
              <w:jc w:val="center"/>
              <w:rPr>
                <w:rFonts w:cstheme="minorHAnsi"/>
                <w:i/>
                <w:iCs/>
                <w:sz w:val="18"/>
                <w:szCs w:val="18"/>
              </w:rPr>
            </w:pPr>
            <w:r w:rsidRPr="00E91D56">
              <w:rPr>
                <w:i/>
                <w:iCs/>
                <w:color w:val="00B050"/>
                <w:sz w:val="18"/>
                <w:szCs w:val="18"/>
              </w:rPr>
              <w:t>0,2%</w:t>
            </w:r>
          </w:p>
        </w:tc>
        <w:tc>
          <w:tcPr>
            <w:tcW w:w="806" w:type="dxa"/>
            <w:tcBorders>
              <w:top w:val="single" w:sz="4" w:space="0" w:color="7F7F7F"/>
              <w:left w:val="single" w:sz="4" w:space="0" w:color="7F7F7F"/>
              <w:bottom w:val="single" w:sz="4" w:space="0" w:color="7F7F7F"/>
              <w:right w:val="single" w:sz="4" w:space="0" w:color="auto"/>
            </w:tcBorders>
            <w:shd w:val="clear" w:color="auto" w:fill="FFF2CC" w:themeFill="accent4" w:themeFillTint="33"/>
            <w:tcMar>
              <w:top w:w="15" w:type="dxa"/>
              <w:left w:w="108" w:type="dxa"/>
              <w:bottom w:w="0" w:type="dxa"/>
              <w:right w:w="108" w:type="dxa"/>
            </w:tcMar>
            <w:vAlign w:val="center"/>
          </w:tcPr>
          <w:p w14:paraId="6348A909" w14:textId="77777777" w:rsidR="00546202" w:rsidRPr="00E91D56" w:rsidRDefault="00546202" w:rsidP="000803FC">
            <w:pPr>
              <w:contextualSpacing/>
              <w:jc w:val="center"/>
              <w:rPr>
                <w:rFonts w:cstheme="minorHAnsi"/>
                <w:b/>
                <w:bCs/>
                <w:i/>
                <w:iCs/>
                <w:sz w:val="18"/>
                <w:szCs w:val="18"/>
              </w:rPr>
            </w:pPr>
            <w:r w:rsidRPr="00E91D56">
              <w:rPr>
                <w:b/>
                <w:bCs/>
                <w:i/>
                <w:iCs/>
                <w:color w:val="00B050"/>
                <w:sz w:val="18"/>
                <w:szCs w:val="18"/>
              </w:rPr>
              <w:t>2%</w:t>
            </w:r>
          </w:p>
        </w:tc>
      </w:tr>
      <w:tr w:rsidR="00546202" w:rsidRPr="00E91D56" w14:paraId="31EC2F78" w14:textId="77777777" w:rsidTr="000803FC">
        <w:trPr>
          <w:trHeight w:val="50"/>
        </w:trPr>
        <w:tc>
          <w:tcPr>
            <w:tcW w:w="1401" w:type="dxa"/>
            <w:tcBorders>
              <w:top w:val="single" w:sz="4" w:space="0" w:color="7F7F7F"/>
              <w:left w:val="single" w:sz="4" w:space="0" w:color="auto"/>
              <w:bottom w:val="single" w:sz="4" w:space="0" w:color="7F7F7F"/>
              <w:right w:val="single" w:sz="4" w:space="0" w:color="7F7F7F"/>
            </w:tcBorders>
            <w:shd w:val="clear" w:color="auto" w:fill="auto"/>
            <w:tcMar>
              <w:top w:w="15" w:type="dxa"/>
              <w:left w:w="108" w:type="dxa"/>
              <w:bottom w:w="0" w:type="dxa"/>
              <w:right w:w="108" w:type="dxa"/>
            </w:tcMar>
            <w:vAlign w:val="bottom"/>
            <w:hideMark/>
          </w:tcPr>
          <w:p w14:paraId="3D495D11" w14:textId="77777777" w:rsidR="00546202" w:rsidRPr="00E91D56" w:rsidRDefault="00546202" w:rsidP="000803FC">
            <w:pPr>
              <w:contextualSpacing/>
              <w:jc w:val="center"/>
              <w:rPr>
                <w:rFonts w:cstheme="minorHAnsi"/>
                <w:sz w:val="18"/>
                <w:szCs w:val="18"/>
              </w:rPr>
            </w:pPr>
            <w:r w:rsidRPr="00E91D56">
              <w:rPr>
                <w:rFonts w:cstheme="minorHAnsi"/>
                <w:sz w:val="18"/>
                <w:szCs w:val="18"/>
              </w:rPr>
              <w:t>4 000</w:t>
            </w:r>
          </w:p>
        </w:tc>
        <w:tc>
          <w:tcPr>
            <w:tcW w:w="705"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Mar>
              <w:top w:w="15" w:type="dxa"/>
              <w:left w:w="108" w:type="dxa"/>
              <w:bottom w:w="0" w:type="dxa"/>
              <w:right w:w="108" w:type="dxa"/>
            </w:tcMar>
            <w:vAlign w:val="center"/>
          </w:tcPr>
          <w:p w14:paraId="428418D6" w14:textId="77777777" w:rsidR="00546202" w:rsidRPr="00E91D56" w:rsidRDefault="00546202" w:rsidP="000803FC">
            <w:pPr>
              <w:contextualSpacing/>
              <w:jc w:val="center"/>
              <w:rPr>
                <w:rFonts w:cstheme="minorHAnsi"/>
                <w:sz w:val="18"/>
                <w:szCs w:val="18"/>
              </w:rPr>
            </w:pPr>
            <w:r w:rsidRPr="00E91D56">
              <w:rPr>
                <w:sz w:val="18"/>
                <w:szCs w:val="18"/>
              </w:rPr>
              <w:t>2 794</w:t>
            </w:r>
          </w:p>
        </w:tc>
        <w:tc>
          <w:tcPr>
            <w:tcW w:w="705"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60B9A467" w14:textId="77777777" w:rsidR="00546202" w:rsidRPr="00E91D56" w:rsidRDefault="00546202" w:rsidP="000803FC">
            <w:pPr>
              <w:contextualSpacing/>
              <w:jc w:val="center"/>
              <w:rPr>
                <w:rFonts w:cstheme="minorHAnsi"/>
                <w:sz w:val="18"/>
                <w:szCs w:val="18"/>
              </w:rPr>
            </w:pPr>
            <w:r w:rsidRPr="00E91D56">
              <w:rPr>
                <w:sz w:val="18"/>
                <w:szCs w:val="18"/>
              </w:rPr>
              <w:t>2 797</w:t>
            </w:r>
          </w:p>
        </w:tc>
        <w:tc>
          <w:tcPr>
            <w:tcW w:w="70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4CE4FB61" w14:textId="77777777" w:rsidR="00546202" w:rsidRPr="00E91D56" w:rsidRDefault="00546202" w:rsidP="000803FC">
            <w:pPr>
              <w:contextualSpacing/>
              <w:jc w:val="center"/>
              <w:rPr>
                <w:rFonts w:cstheme="minorHAnsi"/>
                <w:sz w:val="18"/>
                <w:szCs w:val="18"/>
              </w:rPr>
            </w:pPr>
            <w:r w:rsidRPr="00E91D56">
              <w:rPr>
                <w:sz w:val="18"/>
                <w:szCs w:val="18"/>
              </w:rPr>
              <w:t>2 807</w:t>
            </w:r>
          </w:p>
        </w:tc>
        <w:tc>
          <w:tcPr>
            <w:tcW w:w="70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078C8AAA" w14:textId="77777777" w:rsidR="00546202" w:rsidRPr="00E91D56" w:rsidRDefault="00546202" w:rsidP="000803FC">
            <w:pPr>
              <w:contextualSpacing/>
              <w:jc w:val="center"/>
              <w:rPr>
                <w:rFonts w:cstheme="minorHAnsi"/>
                <w:sz w:val="18"/>
                <w:szCs w:val="18"/>
              </w:rPr>
            </w:pPr>
            <w:r w:rsidRPr="00E91D56">
              <w:rPr>
                <w:sz w:val="18"/>
                <w:szCs w:val="18"/>
              </w:rPr>
              <w:t>2 812</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35B047BE" w14:textId="77777777" w:rsidR="00546202" w:rsidRPr="00E91D56" w:rsidRDefault="00546202" w:rsidP="000803FC">
            <w:pPr>
              <w:contextualSpacing/>
              <w:jc w:val="center"/>
              <w:rPr>
                <w:rFonts w:cstheme="minorHAnsi"/>
                <w:sz w:val="18"/>
                <w:szCs w:val="18"/>
              </w:rPr>
            </w:pPr>
            <w:r w:rsidRPr="00E91D56">
              <w:rPr>
                <w:color w:val="00B050"/>
                <w:sz w:val="18"/>
                <w:szCs w:val="18"/>
              </w:rPr>
              <w:t>+3</w:t>
            </w:r>
          </w:p>
        </w:tc>
        <w:tc>
          <w:tcPr>
            <w:tcW w:w="66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hideMark/>
          </w:tcPr>
          <w:p w14:paraId="46BD0F67" w14:textId="77777777" w:rsidR="00546202" w:rsidRPr="00E91D56" w:rsidRDefault="00546202" w:rsidP="000803FC">
            <w:pPr>
              <w:contextualSpacing/>
              <w:jc w:val="center"/>
              <w:rPr>
                <w:rFonts w:cstheme="minorHAnsi"/>
                <w:color w:val="C00000"/>
                <w:sz w:val="18"/>
                <w:szCs w:val="18"/>
              </w:rPr>
            </w:pPr>
            <w:r w:rsidRPr="00E91D56">
              <w:rPr>
                <w:color w:val="00B050"/>
                <w:sz w:val="18"/>
                <w:szCs w:val="18"/>
              </w:rPr>
              <w:t>+10</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5E04B1EA" w14:textId="77777777" w:rsidR="00546202" w:rsidRPr="00E91D56" w:rsidRDefault="00546202" w:rsidP="000803FC">
            <w:pPr>
              <w:contextualSpacing/>
              <w:jc w:val="center"/>
              <w:rPr>
                <w:rFonts w:cstheme="minorHAnsi"/>
                <w:sz w:val="18"/>
                <w:szCs w:val="18"/>
              </w:rPr>
            </w:pPr>
            <w:r w:rsidRPr="00E91D56">
              <w:rPr>
                <w:color w:val="00B050"/>
                <w:sz w:val="18"/>
                <w:szCs w:val="18"/>
              </w:rPr>
              <w:t>+5</w:t>
            </w:r>
          </w:p>
        </w:tc>
        <w:tc>
          <w:tcPr>
            <w:tcW w:w="794" w:type="dxa"/>
            <w:tcBorders>
              <w:top w:val="single" w:sz="4" w:space="0" w:color="7F7F7F"/>
              <w:left w:val="single" w:sz="4" w:space="0" w:color="7F7F7F"/>
              <w:bottom w:val="single" w:sz="4" w:space="0" w:color="7F7F7F"/>
              <w:right w:val="single" w:sz="4" w:space="0" w:color="7F7F7F"/>
            </w:tcBorders>
            <w:shd w:val="clear" w:color="auto" w:fill="FFF2CC" w:themeFill="accent4" w:themeFillTint="33"/>
            <w:tcMar>
              <w:top w:w="15" w:type="dxa"/>
              <w:left w:w="108" w:type="dxa"/>
              <w:bottom w:w="0" w:type="dxa"/>
              <w:right w:w="108" w:type="dxa"/>
            </w:tcMar>
            <w:vAlign w:val="center"/>
            <w:hideMark/>
          </w:tcPr>
          <w:p w14:paraId="752A537E" w14:textId="77777777" w:rsidR="00546202" w:rsidRPr="00E91D56" w:rsidRDefault="00546202" w:rsidP="000803FC">
            <w:pPr>
              <w:contextualSpacing/>
              <w:jc w:val="center"/>
              <w:rPr>
                <w:rFonts w:cstheme="minorHAnsi"/>
                <w:b/>
                <w:bCs/>
                <w:color w:val="00B050"/>
                <w:sz w:val="18"/>
                <w:szCs w:val="18"/>
              </w:rPr>
            </w:pPr>
            <w:r w:rsidRPr="00E91D56">
              <w:rPr>
                <w:b/>
                <w:bCs/>
                <w:color w:val="00B050"/>
                <w:sz w:val="18"/>
                <w:szCs w:val="18"/>
              </w:rPr>
              <w:t>+18</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73D201C8" w14:textId="77777777" w:rsidR="00546202" w:rsidRPr="00E91D56" w:rsidRDefault="00546202" w:rsidP="000803FC">
            <w:pPr>
              <w:contextualSpacing/>
              <w:jc w:val="center"/>
              <w:rPr>
                <w:rFonts w:cstheme="minorHAnsi"/>
                <w:i/>
                <w:iCs/>
                <w:sz w:val="18"/>
                <w:szCs w:val="18"/>
              </w:rPr>
            </w:pPr>
            <w:r w:rsidRPr="00E91D56">
              <w:rPr>
                <w:i/>
                <w:iCs/>
                <w:color w:val="00B050"/>
                <w:sz w:val="18"/>
                <w:szCs w:val="18"/>
              </w:rPr>
              <w:t>0,1%</w:t>
            </w:r>
          </w:p>
        </w:tc>
        <w:tc>
          <w:tcPr>
            <w:tcW w:w="681"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5A9B3CFB" w14:textId="77777777" w:rsidR="00546202" w:rsidRPr="00E91D56" w:rsidRDefault="00546202" w:rsidP="000803FC">
            <w:pPr>
              <w:contextualSpacing/>
              <w:jc w:val="center"/>
              <w:rPr>
                <w:rFonts w:cstheme="minorHAnsi"/>
                <w:i/>
                <w:iCs/>
                <w:sz w:val="18"/>
                <w:szCs w:val="18"/>
              </w:rPr>
            </w:pPr>
            <w:r w:rsidRPr="00E91D56">
              <w:rPr>
                <w:i/>
                <w:iCs/>
                <w:color w:val="00B050"/>
                <w:sz w:val="18"/>
                <w:szCs w:val="18"/>
              </w:rPr>
              <w:t>0,4%</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107F559C" w14:textId="77777777" w:rsidR="00546202" w:rsidRPr="00E91D56" w:rsidRDefault="00546202" w:rsidP="000803FC">
            <w:pPr>
              <w:contextualSpacing/>
              <w:jc w:val="center"/>
              <w:rPr>
                <w:rFonts w:cstheme="minorHAnsi"/>
                <w:i/>
                <w:iCs/>
                <w:sz w:val="18"/>
                <w:szCs w:val="18"/>
              </w:rPr>
            </w:pPr>
            <w:r w:rsidRPr="00E91D56">
              <w:rPr>
                <w:i/>
                <w:iCs/>
                <w:color w:val="00B050"/>
                <w:sz w:val="18"/>
                <w:szCs w:val="18"/>
              </w:rPr>
              <w:t>0,2%</w:t>
            </w:r>
          </w:p>
        </w:tc>
        <w:tc>
          <w:tcPr>
            <w:tcW w:w="806" w:type="dxa"/>
            <w:tcBorders>
              <w:top w:val="single" w:sz="4" w:space="0" w:color="7F7F7F"/>
              <w:left w:val="single" w:sz="4" w:space="0" w:color="7F7F7F"/>
              <w:bottom w:val="single" w:sz="4" w:space="0" w:color="7F7F7F"/>
              <w:right w:val="single" w:sz="4" w:space="0" w:color="auto"/>
            </w:tcBorders>
            <w:shd w:val="clear" w:color="auto" w:fill="FFF2CC" w:themeFill="accent4" w:themeFillTint="33"/>
            <w:tcMar>
              <w:top w:w="15" w:type="dxa"/>
              <w:left w:w="108" w:type="dxa"/>
              <w:bottom w:w="0" w:type="dxa"/>
              <w:right w:w="108" w:type="dxa"/>
            </w:tcMar>
            <w:vAlign w:val="center"/>
          </w:tcPr>
          <w:p w14:paraId="0003EEC8" w14:textId="77777777" w:rsidR="00546202" w:rsidRPr="00E91D56" w:rsidRDefault="00546202" w:rsidP="000803FC">
            <w:pPr>
              <w:contextualSpacing/>
              <w:jc w:val="center"/>
              <w:rPr>
                <w:rFonts w:cstheme="minorHAnsi"/>
                <w:b/>
                <w:bCs/>
                <w:i/>
                <w:iCs/>
                <w:sz w:val="18"/>
                <w:szCs w:val="18"/>
              </w:rPr>
            </w:pPr>
            <w:r w:rsidRPr="00E91D56">
              <w:rPr>
                <w:b/>
                <w:bCs/>
                <w:i/>
                <w:iCs/>
                <w:color w:val="00B050"/>
                <w:sz w:val="18"/>
                <w:szCs w:val="18"/>
              </w:rPr>
              <w:t>1%</w:t>
            </w:r>
          </w:p>
        </w:tc>
      </w:tr>
      <w:tr w:rsidR="000D626A" w:rsidRPr="00E91D56" w14:paraId="70D05D74" w14:textId="77777777" w:rsidTr="004E2CDE">
        <w:trPr>
          <w:trHeight w:val="50"/>
        </w:trPr>
        <w:tc>
          <w:tcPr>
            <w:tcW w:w="1401" w:type="dxa"/>
            <w:tcBorders>
              <w:top w:val="single" w:sz="4" w:space="0" w:color="7F7F7F"/>
              <w:left w:val="single" w:sz="4" w:space="0" w:color="auto"/>
              <w:bottom w:val="single" w:sz="4" w:space="0" w:color="7F7F7F"/>
              <w:right w:val="single" w:sz="4" w:space="0" w:color="7F7F7F"/>
            </w:tcBorders>
            <w:shd w:val="clear" w:color="auto" w:fill="auto"/>
            <w:tcMar>
              <w:top w:w="15" w:type="dxa"/>
              <w:left w:w="108" w:type="dxa"/>
              <w:bottom w:w="0" w:type="dxa"/>
              <w:right w:w="108" w:type="dxa"/>
            </w:tcMar>
            <w:vAlign w:val="bottom"/>
          </w:tcPr>
          <w:p w14:paraId="704B3C5D" w14:textId="0CA48D94" w:rsidR="000D626A" w:rsidRPr="00E91D56" w:rsidRDefault="000D626A" w:rsidP="000D626A">
            <w:pPr>
              <w:contextualSpacing/>
              <w:jc w:val="center"/>
              <w:rPr>
                <w:rFonts w:cstheme="minorHAnsi"/>
                <w:sz w:val="18"/>
                <w:szCs w:val="18"/>
              </w:rPr>
            </w:pPr>
            <w:r>
              <w:rPr>
                <w:rFonts w:cstheme="minorHAnsi"/>
                <w:sz w:val="18"/>
                <w:szCs w:val="18"/>
              </w:rPr>
              <w:t>5 000</w:t>
            </w:r>
          </w:p>
        </w:tc>
        <w:tc>
          <w:tcPr>
            <w:tcW w:w="705"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Mar>
              <w:top w:w="15" w:type="dxa"/>
              <w:left w:w="108" w:type="dxa"/>
              <w:bottom w:w="0" w:type="dxa"/>
              <w:right w:w="108" w:type="dxa"/>
            </w:tcMar>
            <w:vAlign w:val="bottom"/>
          </w:tcPr>
          <w:p w14:paraId="1157AFED" w14:textId="0832B7AA" w:rsidR="000D626A" w:rsidRPr="000D626A" w:rsidRDefault="000D626A" w:rsidP="000D626A">
            <w:pPr>
              <w:contextualSpacing/>
              <w:jc w:val="center"/>
              <w:rPr>
                <w:sz w:val="18"/>
                <w:szCs w:val="18"/>
              </w:rPr>
            </w:pPr>
            <w:r w:rsidRPr="000D626A">
              <w:rPr>
                <w:sz w:val="18"/>
                <w:szCs w:val="18"/>
              </w:rPr>
              <w:t>3 480</w:t>
            </w:r>
          </w:p>
        </w:tc>
        <w:tc>
          <w:tcPr>
            <w:tcW w:w="705"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6C04DF8D" w14:textId="1CBCAFE1" w:rsidR="000D626A" w:rsidRPr="000D626A" w:rsidRDefault="000D626A" w:rsidP="000D626A">
            <w:pPr>
              <w:contextualSpacing/>
              <w:jc w:val="center"/>
              <w:rPr>
                <w:sz w:val="18"/>
                <w:szCs w:val="18"/>
              </w:rPr>
            </w:pPr>
            <w:r w:rsidRPr="000D626A">
              <w:rPr>
                <w:sz w:val="18"/>
                <w:szCs w:val="18"/>
              </w:rPr>
              <w:t>3 464</w:t>
            </w:r>
          </w:p>
        </w:tc>
        <w:tc>
          <w:tcPr>
            <w:tcW w:w="70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120116DE" w14:textId="0DB40A48" w:rsidR="000D626A" w:rsidRPr="000D626A" w:rsidRDefault="000D626A" w:rsidP="000D626A">
            <w:pPr>
              <w:contextualSpacing/>
              <w:jc w:val="center"/>
              <w:rPr>
                <w:sz w:val="18"/>
                <w:szCs w:val="18"/>
              </w:rPr>
            </w:pPr>
            <w:r w:rsidRPr="000D626A">
              <w:rPr>
                <w:sz w:val="18"/>
                <w:szCs w:val="18"/>
              </w:rPr>
              <w:t>3 474</w:t>
            </w:r>
          </w:p>
        </w:tc>
        <w:tc>
          <w:tcPr>
            <w:tcW w:w="70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4ED6F2D4" w14:textId="4EFB20D5" w:rsidR="000D626A" w:rsidRPr="000D626A" w:rsidRDefault="000D626A" w:rsidP="000D626A">
            <w:pPr>
              <w:contextualSpacing/>
              <w:jc w:val="center"/>
              <w:rPr>
                <w:sz w:val="18"/>
                <w:szCs w:val="18"/>
              </w:rPr>
            </w:pPr>
            <w:r w:rsidRPr="000D626A">
              <w:rPr>
                <w:sz w:val="18"/>
                <w:szCs w:val="18"/>
              </w:rPr>
              <w:t>3 479</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272E80FD" w14:textId="523BEB31" w:rsidR="000D626A" w:rsidRPr="00E91D56" w:rsidRDefault="000D626A" w:rsidP="000D626A">
            <w:pPr>
              <w:contextualSpacing/>
              <w:jc w:val="center"/>
              <w:rPr>
                <w:color w:val="00B050"/>
                <w:sz w:val="18"/>
                <w:szCs w:val="18"/>
              </w:rPr>
            </w:pPr>
            <w:r w:rsidRPr="000D626A">
              <w:rPr>
                <w:color w:val="C00000"/>
                <w:sz w:val="18"/>
                <w:szCs w:val="18"/>
              </w:rPr>
              <w:t>-16</w:t>
            </w:r>
          </w:p>
        </w:tc>
        <w:tc>
          <w:tcPr>
            <w:tcW w:w="66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3E1738CF" w14:textId="7275DD49" w:rsidR="000D626A" w:rsidRPr="00E91D56" w:rsidRDefault="000D626A" w:rsidP="000D626A">
            <w:pPr>
              <w:contextualSpacing/>
              <w:jc w:val="center"/>
              <w:rPr>
                <w:color w:val="00B050"/>
                <w:sz w:val="18"/>
                <w:szCs w:val="18"/>
              </w:rPr>
            </w:pPr>
            <w:r w:rsidRPr="00E91D56">
              <w:rPr>
                <w:color w:val="00B050"/>
                <w:sz w:val="18"/>
                <w:szCs w:val="18"/>
              </w:rPr>
              <w:t>+10</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1BEB414E" w14:textId="2EB720FF" w:rsidR="000D626A" w:rsidRPr="00E91D56" w:rsidRDefault="000D626A" w:rsidP="000D626A">
            <w:pPr>
              <w:contextualSpacing/>
              <w:jc w:val="center"/>
              <w:rPr>
                <w:color w:val="00B050"/>
                <w:sz w:val="18"/>
                <w:szCs w:val="18"/>
              </w:rPr>
            </w:pPr>
            <w:r w:rsidRPr="00E91D56">
              <w:rPr>
                <w:color w:val="00B050"/>
                <w:sz w:val="18"/>
                <w:szCs w:val="18"/>
              </w:rPr>
              <w:t>+5</w:t>
            </w:r>
          </w:p>
        </w:tc>
        <w:tc>
          <w:tcPr>
            <w:tcW w:w="794" w:type="dxa"/>
            <w:tcBorders>
              <w:top w:val="single" w:sz="4" w:space="0" w:color="7F7F7F"/>
              <w:left w:val="single" w:sz="4" w:space="0" w:color="7F7F7F"/>
              <w:bottom w:val="single" w:sz="4" w:space="0" w:color="7F7F7F"/>
              <w:right w:val="single" w:sz="4" w:space="0" w:color="7F7F7F"/>
            </w:tcBorders>
            <w:shd w:val="clear" w:color="auto" w:fill="FFF2CC" w:themeFill="accent4" w:themeFillTint="33"/>
            <w:tcMar>
              <w:top w:w="15" w:type="dxa"/>
              <w:left w:w="108" w:type="dxa"/>
              <w:bottom w:w="0" w:type="dxa"/>
              <w:right w:w="108" w:type="dxa"/>
            </w:tcMar>
            <w:vAlign w:val="center"/>
          </w:tcPr>
          <w:p w14:paraId="2B351A97" w14:textId="1CA585D8" w:rsidR="000D626A" w:rsidRPr="00E91D56" w:rsidRDefault="000D626A" w:rsidP="000D626A">
            <w:pPr>
              <w:contextualSpacing/>
              <w:jc w:val="center"/>
              <w:rPr>
                <w:b/>
                <w:bCs/>
                <w:color w:val="00B050"/>
                <w:sz w:val="18"/>
                <w:szCs w:val="18"/>
              </w:rPr>
            </w:pPr>
            <w:r w:rsidRPr="000D626A">
              <w:rPr>
                <w:b/>
                <w:bCs/>
                <w:color w:val="C00000"/>
                <w:sz w:val="18"/>
                <w:szCs w:val="18"/>
              </w:rPr>
              <w:t>-1</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2F49D0BF" w14:textId="2C8F63D7" w:rsidR="000D626A" w:rsidRPr="00E91D56" w:rsidRDefault="000D626A" w:rsidP="000D626A">
            <w:pPr>
              <w:contextualSpacing/>
              <w:jc w:val="center"/>
              <w:rPr>
                <w:i/>
                <w:iCs/>
                <w:color w:val="00B050"/>
                <w:sz w:val="18"/>
                <w:szCs w:val="18"/>
              </w:rPr>
            </w:pPr>
            <w:r w:rsidRPr="000D626A">
              <w:rPr>
                <w:i/>
                <w:iCs/>
                <w:color w:val="C00000"/>
                <w:sz w:val="16"/>
                <w:szCs w:val="16"/>
              </w:rPr>
              <w:t>-0,5%</w:t>
            </w:r>
          </w:p>
        </w:tc>
        <w:tc>
          <w:tcPr>
            <w:tcW w:w="681"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3DDA0A93" w14:textId="4E05EFDF" w:rsidR="000D626A" w:rsidRPr="00E91D56" w:rsidRDefault="000D626A" w:rsidP="000D626A">
            <w:pPr>
              <w:contextualSpacing/>
              <w:jc w:val="center"/>
              <w:rPr>
                <w:i/>
                <w:iCs/>
                <w:color w:val="00B050"/>
                <w:sz w:val="18"/>
                <w:szCs w:val="18"/>
              </w:rPr>
            </w:pPr>
            <w:r>
              <w:rPr>
                <w:i/>
                <w:iCs/>
                <w:color w:val="00B050"/>
                <w:sz w:val="18"/>
                <w:szCs w:val="18"/>
              </w:rPr>
              <w:t>0,3%</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70D48569" w14:textId="477960CB" w:rsidR="000D626A" w:rsidRPr="00E91D56" w:rsidRDefault="000D626A" w:rsidP="000D626A">
            <w:pPr>
              <w:contextualSpacing/>
              <w:jc w:val="center"/>
              <w:rPr>
                <w:i/>
                <w:iCs/>
                <w:color w:val="00B050"/>
                <w:sz w:val="18"/>
                <w:szCs w:val="18"/>
              </w:rPr>
            </w:pPr>
            <w:r>
              <w:rPr>
                <w:i/>
                <w:iCs/>
                <w:color w:val="00B050"/>
                <w:sz w:val="18"/>
                <w:szCs w:val="18"/>
              </w:rPr>
              <w:t>0,1%</w:t>
            </w:r>
          </w:p>
        </w:tc>
        <w:tc>
          <w:tcPr>
            <w:tcW w:w="806" w:type="dxa"/>
            <w:tcBorders>
              <w:top w:val="single" w:sz="4" w:space="0" w:color="7F7F7F"/>
              <w:left w:val="single" w:sz="4" w:space="0" w:color="7F7F7F"/>
              <w:bottom w:val="single" w:sz="4" w:space="0" w:color="7F7F7F"/>
              <w:right w:val="single" w:sz="4" w:space="0" w:color="auto"/>
            </w:tcBorders>
            <w:shd w:val="clear" w:color="auto" w:fill="FFF2CC" w:themeFill="accent4" w:themeFillTint="33"/>
            <w:tcMar>
              <w:top w:w="15" w:type="dxa"/>
              <w:left w:w="108" w:type="dxa"/>
              <w:bottom w:w="0" w:type="dxa"/>
              <w:right w:w="108" w:type="dxa"/>
            </w:tcMar>
            <w:vAlign w:val="center"/>
          </w:tcPr>
          <w:p w14:paraId="240F0F72" w14:textId="11833A41" w:rsidR="000D626A" w:rsidRPr="00E91D56" w:rsidRDefault="000D626A" w:rsidP="000D626A">
            <w:pPr>
              <w:contextualSpacing/>
              <w:jc w:val="center"/>
              <w:rPr>
                <w:b/>
                <w:bCs/>
                <w:i/>
                <w:iCs/>
                <w:color w:val="00B050"/>
                <w:sz w:val="18"/>
                <w:szCs w:val="18"/>
              </w:rPr>
            </w:pPr>
            <w:r w:rsidRPr="000D626A">
              <w:rPr>
                <w:b/>
                <w:bCs/>
                <w:i/>
                <w:iCs/>
                <w:color w:val="C00000"/>
                <w:sz w:val="18"/>
                <w:szCs w:val="18"/>
              </w:rPr>
              <w:t>-0,02%</w:t>
            </w:r>
          </w:p>
        </w:tc>
      </w:tr>
      <w:tr w:rsidR="00546202" w:rsidRPr="00E91D56" w14:paraId="7C6643AC" w14:textId="77777777" w:rsidTr="000803FC">
        <w:trPr>
          <w:trHeight w:val="50"/>
        </w:trPr>
        <w:tc>
          <w:tcPr>
            <w:tcW w:w="1401" w:type="dxa"/>
            <w:tcBorders>
              <w:top w:val="single" w:sz="4" w:space="0" w:color="7F7F7F"/>
              <w:left w:val="single" w:sz="4" w:space="0" w:color="auto"/>
              <w:bottom w:val="single" w:sz="4" w:space="0" w:color="7F7F7F"/>
              <w:right w:val="single" w:sz="4" w:space="0" w:color="7F7F7F"/>
            </w:tcBorders>
            <w:shd w:val="clear" w:color="auto" w:fill="auto"/>
            <w:tcMar>
              <w:top w:w="15" w:type="dxa"/>
              <w:left w:w="108" w:type="dxa"/>
              <w:bottom w:w="0" w:type="dxa"/>
              <w:right w:w="108" w:type="dxa"/>
            </w:tcMar>
            <w:vAlign w:val="bottom"/>
            <w:hideMark/>
          </w:tcPr>
          <w:p w14:paraId="4CE5ED01" w14:textId="77777777" w:rsidR="00546202" w:rsidRPr="00E91D56" w:rsidRDefault="00546202" w:rsidP="000803FC">
            <w:pPr>
              <w:contextualSpacing/>
              <w:jc w:val="center"/>
              <w:rPr>
                <w:rFonts w:cstheme="minorHAnsi"/>
                <w:sz w:val="18"/>
                <w:szCs w:val="18"/>
              </w:rPr>
            </w:pPr>
            <w:r w:rsidRPr="00E91D56">
              <w:rPr>
                <w:rFonts w:cstheme="minorHAnsi"/>
                <w:sz w:val="18"/>
                <w:szCs w:val="18"/>
              </w:rPr>
              <w:t>6 000</w:t>
            </w:r>
          </w:p>
        </w:tc>
        <w:tc>
          <w:tcPr>
            <w:tcW w:w="705"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Mar>
              <w:top w:w="15" w:type="dxa"/>
              <w:left w:w="108" w:type="dxa"/>
              <w:bottom w:w="0" w:type="dxa"/>
              <w:right w:w="108" w:type="dxa"/>
            </w:tcMar>
            <w:vAlign w:val="center"/>
          </w:tcPr>
          <w:p w14:paraId="2BC221EF" w14:textId="77777777" w:rsidR="00546202" w:rsidRPr="00E91D56" w:rsidRDefault="00546202" w:rsidP="000803FC">
            <w:pPr>
              <w:contextualSpacing/>
              <w:jc w:val="center"/>
              <w:rPr>
                <w:rFonts w:cstheme="minorHAnsi"/>
                <w:sz w:val="18"/>
                <w:szCs w:val="18"/>
              </w:rPr>
            </w:pPr>
            <w:r w:rsidRPr="00E91D56">
              <w:rPr>
                <w:color w:val="000000"/>
                <w:sz w:val="18"/>
                <w:szCs w:val="18"/>
              </w:rPr>
              <w:t>4 166</w:t>
            </w:r>
          </w:p>
        </w:tc>
        <w:tc>
          <w:tcPr>
            <w:tcW w:w="705"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519C9275" w14:textId="77777777" w:rsidR="00546202" w:rsidRPr="00E91D56" w:rsidRDefault="00546202" w:rsidP="000803FC">
            <w:pPr>
              <w:contextualSpacing/>
              <w:jc w:val="center"/>
              <w:rPr>
                <w:rFonts w:cstheme="minorHAnsi"/>
                <w:sz w:val="18"/>
                <w:szCs w:val="18"/>
              </w:rPr>
            </w:pPr>
            <w:r w:rsidRPr="00E91D56">
              <w:rPr>
                <w:color w:val="000000"/>
                <w:sz w:val="18"/>
                <w:szCs w:val="18"/>
              </w:rPr>
              <w:t>4 131</w:t>
            </w:r>
          </w:p>
        </w:tc>
        <w:tc>
          <w:tcPr>
            <w:tcW w:w="70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7EAB7B06" w14:textId="77777777" w:rsidR="00546202" w:rsidRPr="00E91D56" w:rsidRDefault="00546202" w:rsidP="000803FC">
            <w:pPr>
              <w:contextualSpacing/>
              <w:jc w:val="center"/>
              <w:rPr>
                <w:rFonts w:cstheme="minorHAnsi"/>
                <w:sz w:val="18"/>
                <w:szCs w:val="18"/>
              </w:rPr>
            </w:pPr>
            <w:r w:rsidRPr="00E91D56">
              <w:rPr>
                <w:color w:val="000000"/>
                <w:sz w:val="18"/>
                <w:szCs w:val="18"/>
              </w:rPr>
              <w:t>4 141</w:t>
            </w:r>
          </w:p>
        </w:tc>
        <w:tc>
          <w:tcPr>
            <w:tcW w:w="70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139BA44C" w14:textId="77777777" w:rsidR="00546202" w:rsidRPr="00E91D56" w:rsidRDefault="00546202" w:rsidP="000803FC">
            <w:pPr>
              <w:contextualSpacing/>
              <w:jc w:val="center"/>
              <w:rPr>
                <w:rFonts w:cstheme="minorHAnsi"/>
                <w:sz w:val="18"/>
                <w:szCs w:val="18"/>
              </w:rPr>
            </w:pPr>
            <w:r w:rsidRPr="00E91D56">
              <w:rPr>
                <w:color w:val="000000"/>
                <w:sz w:val="18"/>
                <w:szCs w:val="18"/>
              </w:rPr>
              <w:t>4 146</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hideMark/>
          </w:tcPr>
          <w:p w14:paraId="54FAA8B0" w14:textId="77777777" w:rsidR="00546202" w:rsidRPr="00E91D56" w:rsidRDefault="00546202" w:rsidP="000803FC">
            <w:pPr>
              <w:contextualSpacing/>
              <w:jc w:val="center"/>
              <w:rPr>
                <w:rFonts w:cstheme="minorHAnsi"/>
                <w:color w:val="C00000"/>
                <w:sz w:val="18"/>
                <w:szCs w:val="18"/>
              </w:rPr>
            </w:pPr>
            <w:r w:rsidRPr="00E91D56">
              <w:rPr>
                <w:color w:val="C00000"/>
                <w:sz w:val="18"/>
                <w:szCs w:val="18"/>
              </w:rPr>
              <w:t>-35</w:t>
            </w:r>
          </w:p>
        </w:tc>
        <w:tc>
          <w:tcPr>
            <w:tcW w:w="66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hideMark/>
          </w:tcPr>
          <w:p w14:paraId="2F2640CE" w14:textId="77777777" w:rsidR="00546202" w:rsidRPr="00E91D56" w:rsidRDefault="00546202" w:rsidP="000803FC">
            <w:pPr>
              <w:contextualSpacing/>
              <w:jc w:val="center"/>
              <w:rPr>
                <w:rFonts w:cstheme="minorHAnsi"/>
                <w:color w:val="C00000"/>
                <w:sz w:val="18"/>
                <w:szCs w:val="18"/>
              </w:rPr>
            </w:pPr>
            <w:r w:rsidRPr="00E91D56">
              <w:rPr>
                <w:color w:val="00B050"/>
                <w:sz w:val="18"/>
                <w:szCs w:val="18"/>
              </w:rPr>
              <w:t>+10</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6990E2A5" w14:textId="77777777" w:rsidR="00546202" w:rsidRPr="00E91D56" w:rsidRDefault="00546202" w:rsidP="000803FC">
            <w:pPr>
              <w:contextualSpacing/>
              <w:jc w:val="center"/>
              <w:rPr>
                <w:rFonts w:cstheme="minorHAnsi"/>
                <w:sz w:val="18"/>
                <w:szCs w:val="18"/>
              </w:rPr>
            </w:pPr>
            <w:r w:rsidRPr="00E91D56">
              <w:rPr>
                <w:color w:val="00B050"/>
                <w:sz w:val="18"/>
                <w:szCs w:val="18"/>
              </w:rPr>
              <w:t>+5</w:t>
            </w:r>
          </w:p>
        </w:tc>
        <w:tc>
          <w:tcPr>
            <w:tcW w:w="794" w:type="dxa"/>
            <w:tcBorders>
              <w:top w:val="single" w:sz="4" w:space="0" w:color="7F7F7F"/>
              <w:left w:val="single" w:sz="4" w:space="0" w:color="7F7F7F"/>
              <w:bottom w:val="single" w:sz="4" w:space="0" w:color="7F7F7F"/>
              <w:right w:val="single" w:sz="4" w:space="0" w:color="7F7F7F"/>
            </w:tcBorders>
            <w:shd w:val="clear" w:color="auto" w:fill="FFF2CC" w:themeFill="accent4" w:themeFillTint="33"/>
            <w:tcMar>
              <w:top w:w="15" w:type="dxa"/>
              <w:left w:w="108" w:type="dxa"/>
              <w:bottom w:w="0" w:type="dxa"/>
              <w:right w:w="108" w:type="dxa"/>
            </w:tcMar>
            <w:vAlign w:val="center"/>
            <w:hideMark/>
          </w:tcPr>
          <w:p w14:paraId="7653BC8A" w14:textId="77777777" w:rsidR="00546202" w:rsidRPr="00E91D56" w:rsidRDefault="00546202" w:rsidP="000803FC">
            <w:pPr>
              <w:contextualSpacing/>
              <w:jc w:val="center"/>
              <w:rPr>
                <w:rFonts w:cstheme="minorHAnsi"/>
                <w:b/>
                <w:bCs/>
                <w:color w:val="C00000"/>
                <w:sz w:val="18"/>
                <w:szCs w:val="18"/>
              </w:rPr>
            </w:pPr>
            <w:r w:rsidRPr="00E91D56">
              <w:rPr>
                <w:b/>
                <w:bCs/>
                <w:color w:val="C00000"/>
                <w:sz w:val="18"/>
                <w:szCs w:val="18"/>
              </w:rPr>
              <w:t>-20</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0574E9DB" w14:textId="77777777" w:rsidR="00546202" w:rsidRPr="000D626A" w:rsidRDefault="00546202" w:rsidP="000803FC">
            <w:pPr>
              <w:contextualSpacing/>
              <w:jc w:val="center"/>
              <w:rPr>
                <w:rFonts w:cstheme="minorHAnsi"/>
                <w:i/>
                <w:iCs/>
                <w:color w:val="C00000"/>
                <w:sz w:val="18"/>
                <w:szCs w:val="18"/>
              </w:rPr>
            </w:pPr>
            <w:r w:rsidRPr="000D626A">
              <w:rPr>
                <w:i/>
                <w:iCs/>
                <w:color w:val="C00000"/>
                <w:sz w:val="18"/>
                <w:szCs w:val="18"/>
              </w:rPr>
              <w:t>-1%</w:t>
            </w:r>
          </w:p>
        </w:tc>
        <w:tc>
          <w:tcPr>
            <w:tcW w:w="681"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713C2370" w14:textId="77777777" w:rsidR="00546202" w:rsidRPr="00E91D56" w:rsidRDefault="00546202" w:rsidP="000803FC">
            <w:pPr>
              <w:contextualSpacing/>
              <w:jc w:val="center"/>
              <w:rPr>
                <w:rFonts w:cstheme="minorHAnsi"/>
                <w:i/>
                <w:iCs/>
                <w:sz w:val="18"/>
                <w:szCs w:val="18"/>
              </w:rPr>
            </w:pPr>
            <w:r w:rsidRPr="00E91D56">
              <w:rPr>
                <w:i/>
                <w:iCs/>
                <w:color w:val="00B050"/>
                <w:sz w:val="18"/>
                <w:szCs w:val="18"/>
              </w:rPr>
              <w:t>0,2%</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2B287853" w14:textId="77777777" w:rsidR="00546202" w:rsidRPr="00E91D56" w:rsidRDefault="00546202" w:rsidP="000803FC">
            <w:pPr>
              <w:contextualSpacing/>
              <w:jc w:val="center"/>
              <w:rPr>
                <w:rFonts w:cstheme="minorHAnsi"/>
                <w:i/>
                <w:iCs/>
                <w:sz w:val="18"/>
                <w:szCs w:val="18"/>
              </w:rPr>
            </w:pPr>
            <w:r w:rsidRPr="00E91D56">
              <w:rPr>
                <w:i/>
                <w:iCs/>
                <w:color w:val="00B050"/>
                <w:sz w:val="18"/>
                <w:szCs w:val="18"/>
              </w:rPr>
              <w:t>0,1%</w:t>
            </w:r>
          </w:p>
        </w:tc>
        <w:tc>
          <w:tcPr>
            <w:tcW w:w="806" w:type="dxa"/>
            <w:tcBorders>
              <w:top w:val="single" w:sz="4" w:space="0" w:color="7F7F7F"/>
              <w:left w:val="single" w:sz="4" w:space="0" w:color="7F7F7F"/>
              <w:bottom w:val="single" w:sz="4" w:space="0" w:color="7F7F7F"/>
              <w:right w:val="single" w:sz="4" w:space="0" w:color="auto"/>
            </w:tcBorders>
            <w:shd w:val="clear" w:color="auto" w:fill="FFF2CC" w:themeFill="accent4" w:themeFillTint="33"/>
            <w:tcMar>
              <w:top w:w="15" w:type="dxa"/>
              <w:left w:w="108" w:type="dxa"/>
              <w:bottom w:w="0" w:type="dxa"/>
              <w:right w:w="108" w:type="dxa"/>
            </w:tcMar>
            <w:vAlign w:val="center"/>
          </w:tcPr>
          <w:p w14:paraId="4A9CCCB6" w14:textId="77777777" w:rsidR="00546202" w:rsidRPr="000D626A" w:rsidRDefault="00546202" w:rsidP="000803FC">
            <w:pPr>
              <w:contextualSpacing/>
              <w:jc w:val="center"/>
              <w:rPr>
                <w:rFonts w:cstheme="minorHAnsi"/>
                <w:b/>
                <w:bCs/>
                <w:i/>
                <w:iCs/>
                <w:color w:val="C00000"/>
                <w:sz w:val="18"/>
                <w:szCs w:val="18"/>
              </w:rPr>
            </w:pPr>
            <w:r w:rsidRPr="000D626A">
              <w:rPr>
                <w:b/>
                <w:bCs/>
                <w:i/>
                <w:iCs/>
                <w:color w:val="C00000"/>
                <w:sz w:val="18"/>
                <w:szCs w:val="18"/>
              </w:rPr>
              <w:t>-0,5%</w:t>
            </w:r>
          </w:p>
        </w:tc>
      </w:tr>
      <w:tr w:rsidR="00546202" w:rsidRPr="00E91D56" w14:paraId="2CCAC2FD" w14:textId="77777777" w:rsidTr="000803FC">
        <w:trPr>
          <w:trHeight w:val="50"/>
        </w:trPr>
        <w:tc>
          <w:tcPr>
            <w:tcW w:w="1401" w:type="dxa"/>
            <w:tcBorders>
              <w:top w:val="single" w:sz="4" w:space="0" w:color="7F7F7F"/>
              <w:left w:val="single" w:sz="4" w:space="0" w:color="auto"/>
              <w:bottom w:val="single" w:sz="4" w:space="0" w:color="7F7F7F"/>
              <w:right w:val="single" w:sz="4" w:space="0" w:color="7F7F7F"/>
            </w:tcBorders>
            <w:shd w:val="clear" w:color="auto" w:fill="FFFFFF"/>
            <w:tcMar>
              <w:top w:w="15" w:type="dxa"/>
              <w:left w:w="108" w:type="dxa"/>
              <w:bottom w:w="0" w:type="dxa"/>
              <w:right w:w="108" w:type="dxa"/>
            </w:tcMar>
            <w:vAlign w:val="bottom"/>
            <w:hideMark/>
          </w:tcPr>
          <w:p w14:paraId="7A3F0A5A" w14:textId="77777777" w:rsidR="00546202" w:rsidRPr="00E91D56" w:rsidRDefault="00546202" w:rsidP="000803FC">
            <w:pPr>
              <w:contextualSpacing/>
              <w:jc w:val="center"/>
              <w:rPr>
                <w:rFonts w:cstheme="minorHAnsi"/>
                <w:sz w:val="18"/>
                <w:szCs w:val="18"/>
              </w:rPr>
            </w:pPr>
            <w:r w:rsidRPr="00E91D56">
              <w:rPr>
                <w:rFonts w:cstheme="minorHAnsi"/>
                <w:sz w:val="18"/>
                <w:szCs w:val="18"/>
              </w:rPr>
              <w:t>7 000</w:t>
            </w:r>
          </w:p>
        </w:tc>
        <w:tc>
          <w:tcPr>
            <w:tcW w:w="705"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Mar>
              <w:top w:w="15" w:type="dxa"/>
              <w:left w:w="108" w:type="dxa"/>
              <w:bottom w:w="0" w:type="dxa"/>
              <w:right w:w="108" w:type="dxa"/>
            </w:tcMar>
            <w:vAlign w:val="center"/>
          </w:tcPr>
          <w:p w14:paraId="5F7D1C0C" w14:textId="77777777" w:rsidR="00546202" w:rsidRPr="00E91D56" w:rsidRDefault="00546202" w:rsidP="000803FC">
            <w:pPr>
              <w:contextualSpacing/>
              <w:jc w:val="center"/>
              <w:rPr>
                <w:rFonts w:cstheme="minorHAnsi"/>
                <w:sz w:val="18"/>
                <w:szCs w:val="18"/>
              </w:rPr>
            </w:pPr>
            <w:r w:rsidRPr="00E91D56">
              <w:rPr>
                <w:sz w:val="18"/>
                <w:szCs w:val="18"/>
              </w:rPr>
              <w:t>4 852</w:t>
            </w:r>
          </w:p>
        </w:tc>
        <w:tc>
          <w:tcPr>
            <w:tcW w:w="705" w:type="dxa"/>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tcPr>
          <w:p w14:paraId="5DA9F437" w14:textId="77777777" w:rsidR="00546202" w:rsidRPr="00E91D56" w:rsidRDefault="00546202" w:rsidP="000803FC">
            <w:pPr>
              <w:contextualSpacing/>
              <w:jc w:val="center"/>
              <w:rPr>
                <w:rFonts w:cstheme="minorHAnsi"/>
                <w:sz w:val="18"/>
                <w:szCs w:val="18"/>
              </w:rPr>
            </w:pPr>
            <w:r w:rsidRPr="00E91D56">
              <w:rPr>
                <w:sz w:val="18"/>
                <w:szCs w:val="18"/>
              </w:rPr>
              <w:t>4 797</w:t>
            </w:r>
          </w:p>
        </w:tc>
        <w:tc>
          <w:tcPr>
            <w:tcW w:w="706" w:type="dxa"/>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tcPr>
          <w:p w14:paraId="5C0AC57C" w14:textId="77777777" w:rsidR="00546202" w:rsidRPr="00E91D56" w:rsidRDefault="00546202" w:rsidP="000803FC">
            <w:pPr>
              <w:contextualSpacing/>
              <w:jc w:val="center"/>
              <w:rPr>
                <w:rFonts w:cstheme="minorHAnsi"/>
                <w:sz w:val="18"/>
                <w:szCs w:val="18"/>
              </w:rPr>
            </w:pPr>
            <w:r w:rsidRPr="00E91D56">
              <w:rPr>
                <w:sz w:val="18"/>
                <w:szCs w:val="18"/>
              </w:rPr>
              <w:t>4 808</w:t>
            </w:r>
          </w:p>
        </w:tc>
        <w:tc>
          <w:tcPr>
            <w:tcW w:w="706" w:type="dxa"/>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center"/>
          </w:tcPr>
          <w:p w14:paraId="24470848" w14:textId="77777777" w:rsidR="00546202" w:rsidRPr="00E91D56" w:rsidRDefault="00546202" w:rsidP="000803FC">
            <w:pPr>
              <w:contextualSpacing/>
              <w:jc w:val="center"/>
              <w:rPr>
                <w:rFonts w:cstheme="minorHAnsi"/>
                <w:sz w:val="18"/>
                <w:szCs w:val="18"/>
              </w:rPr>
            </w:pPr>
            <w:r w:rsidRPr="00E91D56">
              <w:rPr>
                <w:sz w:val="18"/>
                <w:szCs w:val="18"/>
              </w:rPr>
              <w:t>4 813</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hideMark/>
          </w:tcPr>
          <w:p w14:paraId="54156AA7" w14:textId="77777777" w:rsidR="00546202" w:rsidRPr="00E91D56" w:rsidRDefault="00546202" w:rsidP="000803FC">
            <w:pPr>
              <w:contextualSpacing/>
              <w:jc w:val="center"/>
              <w:rPr>
                <w:rFonts w:cstheme="minorHAnsi"/>
                <w:color w:val="C00000"/>
                <w:sz w:val="18"/>
                <w:szCs w:val="18"/>
              </w:rPr>
            </w:pPr>
            <w:r w:rsidRPr="00E91D56">
              <w:rPr>
                <w:color w:val="C00000"/>
                <w:sz w:val="18"/>
                <w:szCs w:val="18"/>
              </w:rPr>
              <w:t>-55</w:t>
            </w:r>
          </w:p>
        </w:tc>
        <w:tc>
          <w:tcPr>
            <w:tcW w:w="66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hideMark/>
          </w:tcPr>
          <w:p w14:paraId="54A960DC" w14:textId="77777777" w:rsidR="00546202" w:rsidRPr="00E91D56" w:rsidRDefault="00546202" w:rsidP="000803FC">
            <w:pPr>
              <w:contextualSpacing/>
              <w:jc w:val="center"/>
              <w:rPr>
                <w:rFonts w:cstheme="minorHAnsi"/>
                <w:color w:val="C00000"/>
                <w:sz w:val="18"/>
                <w:szCs w:val="18"/>
              </w:rPr>
            </w:pPr>
            <w:r w:rsidRPr="00E91D56">
              <w:rPr>
                <w:color w:val="00B050"/>
                <w:sz w:val="18"/>
                <w:szCs w:val="18"/>
              </w:rPr>
              <w:t>+10</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00F5A9BF" w14:textId="77777777" w:rsidR="00546202" w:rsidRPr="00E91D56" w:rsidRDefault="00546202" w:rsidP="000803FC">
            <w:pPr>
              <w:contextualSpacing/>
              <w:jc w:val="center"/>
              <w:rPr>
                <w:rFonts w:cstheme="minorHAnsi"/>
                <w:sz w:val="18"/>
                <w:szCs w:val="18"/>
              </w:rPr>
            </w:pPr>
            <w:r w:rsidRPr="00E91D56">
              <w:rPr>
                <w:color w:val="00B050"/>
                <w:sz w:val="18"/>
                <w:szCs w:val="18"/>
              </w:rPr>
              <w:t>+5</w:t>
            </w:r>
          </w:p>
        </w:tc>
        <w:tc>
          <w:tcPr>
            <w:tcW w:w="794" w:type="dxa"/>
            <w:tcBorders>
              <w:top w:val="single" w:sz="4" w:space="0" w:color="7F7F7F"/>
              <w:left w:val="single" w:sz="4" w:space="0" w:color="7F7F7F"/>
              <w:bottom w:val="single" w:sz="4" w:space="0" w:color="7F7F7F"/>
              <w:right w:val="single" w:sz="4" w:space="0" w:color="7F7F7F"/>
            </w:tcBorders>
            <w:shd w:val="clear" w:color="auto" w:fill="FFF2CC" w:themeFill="accent4" w:themeFillTint="33"/>
            <w:tcMar>
              <w:top w:w="15" w:type="dxa"/>
              <w:left w:w="108" w:type="dxa"/>
              <w:bottom w:w="0" w:type="dxa"/>
              <w:right w:w="108" w:type="dxa"/>
            </w:tcMar>
            <w:vAlign w:val="center"/>
            <w:hideMark/>
          </w:tcPr>
          <w:p w14:paraId="6B7DC559" w14:textId="77777777" w:rsidR="00546202" w:rsidRPr="00E91D56" w:rsidRDefault="00546202" w:rsidP="000803FC">
            <w:pPr>
              <w:contextualSpacing/>
              <w:jc w:val="center"/>
              <w:rPr>
                <w:rFonts w:cstheme="minorHAnsi"/>
                <w:b/>
                <w:bCs/>
                <w:color w:val="C00000"/>
                <w:sz w:val="18"/>
                <w:szCs w:val="18"/>
              </w:rPr>
            </w:pPr>
            <w:r w:rsidRPr="00E91D56">
              <w:rPr>
                <w:b/>
                <w:bCs/>
                <w:color w:val="C00000"/>
                <w:sz w:val="18"/>
                <w:szCs w:val="18"/>
              </w:rPr>
              <w:t>-39</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5308D3AE" w14:textId="77777777" w:rsidR="00546202" w:rsidRPr="000D626A" w:rsidRDefault="00546202" w:rsidP="000803FC">
            <w:pPr>
              <w:contextualSpacing/>
              <w:jc w:val="center"/>
              <w:rPr>
                <w:rFonts w:cstheme="minorHAnsi"/>
                <w:i/>
                <w:iCs/>
                <w:color w:val="C00000"/>
                <w:sz w:val="18"/>
                <w:szCs w:val="18"/>
              </w:rPr>
            </w:pPr>
            <w:r w:rsidRPr="000D626A">
              <w:rPr>
                <w:i/>
                <w:iCs/>
                <w:color w:val="C00000"/>
                <w:sz w:val="18"/>
                <w:szCs w:val="18"/>
              </w:rPr>
              <w:t>-1%</w:t>
            </w:r>
          </w:p>
        </w:tc>
        <w:tc>
          <w:tcPr>
            <w:tcW w:w="681"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14AD9241" w14:textId="77777777" w:rsidR="00546202" w:rsidRPr="00E91D56" w:rsidRDefault="00546202" w:rsidP="000803FC">
            <w:pPr>
              <w:contextualSpacing/>
              <w:jc w:val="center"/>
              <w:rPr>
                <w:rFonts w:cstheme="minorHAnsi"/>
                <w:i/>
                <w:iCs/>
                <w:sz w:val="18"/>
                <w:szCs w:val="18"/>
              </w:rPr>
            </w:pPr>
            <w:r w:rsidRPr="00E91D56">
              <w:rPr>
                <w:i/>
                <w:iCs/>
                <w:color w:val="00B050"/>
                <w:sz w:val="18"/>
                <w:szCs w:val="18"/>
              </w:rPr>
              <w:t>0,2%</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61D08B7F" w14:textId="77777777" w:rsidR="00546202" w:rsidRPr="00E91D56" w:rsidRDefault="00546202" w:rsidP="000803FC">
            <w:pPr>
              <w:contextualSpacing/>
              <w:jc w:val="center"/>
              <w:rPr>
                <w:rFonts w:cstheme="minorHAnsi"/>
                <w:i/>
                <w:iCs/>
                <w:sz w:val="18"/>
                <w:szCs w:val="18"/>
              </w:rPr>
            </w:pPr>
            <w:r w:rsidRPr="00E91D56">
              <w:rPr>
                <w:i/>
                <w:iCs/>
                <w:color w:val="00B050"/>
                <w:sz w:val="18"/>
                <w:szCs w:val="18"/>
              </w:rPr>
              <w:t>0,1%</w:t>
            </w:r>
          </w:p>
        </w:tc>
        <w:tc>
          <w:tcPr>
            <w:tcW w:w="806" w:type="dxa"/>
            <w:tcBorders>
              <w:top w:val="single" w:sz="4" w:space="0" w:color="7F7F7F"/>
              <w:left w:val="single" w:sz="4" w:space="0" w:color="7F7F7F"/>
              <w:bottom w:val="single" w:sz="4" w:space="0" w:color="7F7F7F"/>
              <w:right w:val="single" w:sz="4" w:space="0" w:color="auto"/>
            </w:tcBorders>
            <w:shd w:val="clear" w:color="auto" w:fill="FFF2CC" w:themeFill="accent4" w:themeFillTint="33"/>
            <w:tcMar>
              <w:top w:w="15" w:type="dxa"/>
              <w:left w:w="108" w:type="dxa"/>
              <w:bottom w:w="0" w:type="dxa"/>
              <w:right w:w="108" w:type="dxa"/>
            </w:tcMar>
            <w:vAlign w:val="center"/>
          </w:tcPr>
          <w:p w14:paraId="188476B5" w14:textId="77777777" w:rsidR="00546202" w:rsidRPr="000D626A" w:rsidRDefault="00546202" w:rsidP="000803FC">
            <w:pPr>
              <w:contextualSpacing/>
              <w:jc w:val="center"/>
              <w:rPr>
                <w:rFonts w:cstheme="minorHAnsi"/>
                <w:b/>
                <w:bCs/>
                <w:i/>
                <w:iCs/>
                <w:color w:val="C00000"/>
                <w:sz w:val="18"/>
                <w:szCs w:val="18"/>
              </w:rPr>
            </w:pPr>
            <w:r w:rsidRPr="000D626A">
              <w:rPr>
                <w:b/>
                <w:bCs/>
                <w:i/>
                <w:iCs/>
                <w:color w:val="C00000"/>
                <w:sz w:val="18"/>
                <w:szCs w:val="18"/>
              </w:rPr>
              <w:t>-1%</w:t>
            </w:r>
          </w:p>
        </w:tc>
      </w:tr>
      <w:tr w:rsidR="00546202" w:rsidRPr="00E91D56" w14:paraId="6FDACF06" w14:textId="77777777" w:rsidTr="000803FC">
        <w:trPr>
          <w:trHeight w:val="50"/>
        </w:trPr>
        <w:tc>
          <w:tcPr>
            <w:tcW w:w="1401" w:type="dxa"/>
            <w:tcBorders>
              <w:top w:val="single" w:sz="4" w:space="0" w:color="7F7F7F"/>
              <w:left w:val="single" w:sz="4" w:space="0" w:color="auto"/>
              <w:bottom w:val="single" w:sz="4" w:space="0" w:color="auto"/>
              <w:right w:val="single" w:sz="4" w:space="0" w:color="7F7F7F"/>
            </w:tcBorders>
            <w:shd w:val="clear" w:color="auto" w:fill="FFFFFF"/>
            <w:tcMar>
              <w:top w:w="15" w:type="dxa"/>
              <w:left w:w="108" w:type="dxa"/>
              <w:bottom w:w="0" w:type="dxa"/>
              <w:right w:w="108" w:type="dxa"/>
            </w:tcMar>
            <w:vAlign w:val="bottom"/>
          </w:tcPr>
          <w:p w14:paraId="79A73774" w14:textId="77777777" w:rsidR="00546202" w:rsidRPr="00E91D56" w:rsidRDefault="00546202" w:rsidP="000803FC">
            <w:pPr>
              <w:contextualSpacing/>
              <w:jc w:val="center"/>
              <w:rPr>
                <w:rFonts w:cstheme="minorHAnsi"/>
                <w:sz w:val="18"/>
                <w:szCs w:val="18"/>
              </w:rPr>
            </w:pPr>
            <w:r w:rsidRPr="00E91D56">
              <w:rPr>
                <w:rFonts w:cstheme="minorHAnsi"/>
                <w:sz w:val="18"/>
                <w:szCs w:val="18"/>
              </w:rPr>
              <w:t>8 000</w:t>
            </w:r>
          </w:p>
        </w:tc>
        <w:tc>
          <w:tcPr>
            <w:tcW w:w="705" w:type="dxa"/>
            <w:tcBorders>
              <w:top w:val="single" w:sz="4" w:space="0" w:color="7F7F7F"/>
              <w:left w:val="single" w:sz="4" w:space="0" w:color="7F7F7F"/>
              <w:bottom w:val="single" w:sz="4" w:space="0" w:color="auto"/>
              <w:right w:val="single" w:sz="4" w:space="0" w:color="7F7F7F"/>
            </w:tcBorders>
            <w:shd w:val="clear" w:color="auto" w:fill="D9D9D9" w:themeFill="background1" w:themeFillShade="D9"/>
            <w:tcMar>
              <w:top w:w="15" w:type="dxa"/>
              <w:left w:w="108" w:type="dxa"/>
              <w:bottom w:w="0" w:type="dxa"/>
              <w:right w:w="108" w:type="dxa"/>
            </w:tcMar>
            <w:vAlign w:val="center"/>
          </w:tcPr>
          <w:p w14:paraId="1F074B4A" w14:textId="77777777" w:rsidR="00546202" w:rsidRPr="00E91D56" w:rsidRDefault="00546202" w:rsidP="000803FC">
            <w:pPr>
              <w:contextualSpacing/>
              <w:jc w:val="center"/>
              <w:rPr>
                <w:rFonts w:cstheme="minorHAnsi"/>
                <w:sz w:val="18"/>
                <w:szCs w:val="18"/>
              </w:rPr>
            </w:pPr>
            <w:r w:rsidRPr="00E91D56">
              <w:rPr>
                <w:color w:val="000000"/>
                <w:sz w:val="18"/>
                <w:szCs w:val="18"/>
              </w:rPr>
              <w:t>5 538</w:t>
            </w:r>
          </w:p>
        </w:tc>
        <w:tc>
          <w:tcPr>
            <w:tcW w:w="705" w:type="dxa"/>
            <w:tcBorders>
              <w:top w:val="single" w:sz="4" w:space="0" w:color="7F7F7F"/>
              <w:left w:val="single" w:sz="4" w:space="0" w:color="7F7F7F"/>
              <w:bottom w:val="single" w:sz="4" w:space="0" w:color="auto"/>
              <w:right w:val="single" w:sz="4" w:space="0" w:color="7F7F7F"/>
            </w:tcBorders>
            <w:shd w:val="clear" w:color="auto" w:fill="FFFFFF"/>
            <w:tcMar>
              <w:top w:w="15" w:type="dxa"/>
              <w:left w:w="108" w:type="dxa"/>
              <w:bottom w:w="0" w:type="dxa"/>
              <w:right w:w="108" w:type="dxa"/>
            </w:tcMar>
            <w:vAlign w:val="center"/>
          </w:tcPr>
          <w:p w14:paraId="75E009F4" w14:textId="77777777" w:rsidR="00546202" w:rsidRPr="00E91D56" w:rsidRDefault="00546202" w:rsidP="000803FC">
            <w:pPr>
              <w:contextualSpacing/>
              <w:jc w:val="center"/>
              <w:rPr>
                <w:rFonts w:cstheme="minorHAnsi"/>
                <w:sz w:val="18"/>
                <w:szCs w:val="18"/>
              </w:rPr>
            </w:pPr>
            <w:r w:rsidRPr="00E91D56">
              <w:rPr>
                <w:color w:val="000000"/>
                <w:sz w:val="18"/>
                <w:szCs w:val="18"/>
              </w:rPr>
              <w:t>5 464</w:t>
            </w:r>
          </w:p>
        </w:tc>
        <w:tc>
          <w:tcPr>
            <w:tcW w:w="706" w:type="dxa"/>
            <w:tcBorders>
              <w:top w:val="single" w:sz="4" w:space="0" w:color="7F7F7F"/>
              <w:left w:val="single" w:sz="4" w:space="0" w:color="7F7F7F"/>
              <w:bottom w:val="single" w:sz="4" w:space="0" w:color="auto"/>
              <w:right w:val="single" w:sz="4" w:space="0" w:color="7F7F7F"/>
            </w:tcBorders>
            <w:shd w:val="clear" w:color="auto" w:fill="FFFFFF"/>
            <w:tcMar>
              <w:top w:w="15" w:type="dxa"/>
              <w:left w:w="108" w:type="dxa"/>
              <w:bottom w:w="0" w:type="dxa"/>
              <w:right w:w="108" w:type="dxa"/>
            </w:tcMar>
            <w:vAlign w:val="center"/>
          </w:tcPr>
          <w:p w14:paraId="2EEADF0F" w14:textId="77777777" w:rsidR="00546202" w:rsidRPr="00E91D56" w:rsidRDefault="00546202" w:rsidP="000803FC">
            <w:pPr>
              <w:contextualSpacing/>
              <w:jc w:val="center"/>
              <w:rPr>
                <w:rFonts w:cstheme="minorHAnsi"/>
                <w:sz w:val="18"/>
                <w:szCs w:val="18"/>
              </w:rPr>
            </w:pPr>
            <w:r w:rsidRPr="00E91D56">
              <w:rPr>
                <w:color w:val="000000"/>
                <w:sz w:val="18"/>
                <w:szCs w:val="18"/>
              </w:rPr>
              <w:t>5 474</w:t>
            </w:r>
          </w:p>
        </w:tc>
        <w:tc>
          <w:tcPr>
            <w:tcW w:w="706" w:type="dxa"/>
            <w:tcBorders>
              <w:top w:val="single" w:sz="4" w:space="0" w:color="7F7F7F"/>
              <w:left w:val="single" w:sz="4" w:space="0" w:color="7F7F7F"/>
              <w:bottom w:val="single" w:sz="4" w:space="0" w:color="auto"/>
              <w:right w:val="single" w:sz="4" w:space="0" w:color="7F7F7F"/>
            </w:tcBorders>
            <w:shd w:val="clear" w:color="auto" w:fill="FFFFFF"/>
            <w:tcMar>
              <w:top w:w="15" w:type="dxa"/>
              <w:left w:w="108" w:type="dxa"/>
              <w:bottom w:w="0" w:type="dxa"/>
              <w:right w:w="108" w:type="dxa"/>
            </w:tcMar>
            <w:vAlign w:val="center"/>
          </w:tcPr>
          <w:p w14:paraId="037C2163" w14:textId="77777777" w:rsidR="00546202" w:rsidRPr="00E91D56" w:rsidRDefault="00546202" w:rsidP="000803FC">
            <w:pPr>
              <w:contextualSpacing/>
              <w:jc w:val="center"/>
              <w:rPr>
                <w:rFonts w:cstheme="minorHAnsi"/>
                <w:sz w:val="18"/>
                <w:szCs w:val="18"/>
              </w:rPr>
            </w:pPr>
            <w:r w:rsidRPr="00E91D56">
              <w:rPr>
                <w:color w:val="000000"/>
                <w:sz w:val="18"/>
                <w:szCs w:val="18"/>
              </w:rPr>
              <w:t>5 480</w:t>
            </w:r>
          </w:p>
        </w:tc>
        <w:tc>
          <w:tcPr>
            <w:tcW w:w="616" w:type="dxa"/>
            <w:tcBorders>
              <w:top w:val="single" w:sz="4" w:space="0" w:color="7F7F7F"/>
              <w:left w:val="single" w:sz="4" w:space="0" w:color="7F7F7F"/>
              <w:bottom w:val="single" w:sz="4" w:space="0" w:color="auto"/>
              <w:right w:val="single" w:sz="4" w:space="0" w:color="7F7F7F"/>
            </w:tcBorders>
            <w:shd w:val="clear" w:color="auto" w:fill="auto"/>
            <w:tcMar>
              <w:top w:w="15" w:type="dxa"/>
              <w:left w:w="108" w:type="dxa"/>
              <w:bottom w:w="0" w:type="dxa"/>
              <w:right w:w="108" w:type="dxa"/>
            </w:tcMar>
            <w:vAlign w:val="center"/>
          </w:tcPr>
          <w:p w14:paraId="4C198BC3" w14:textId="77777777" w:rsidR="00546202" w:rsidRPr="00E91D56" w:rsidRDefault="00546202" w:rsidP="000803FC">
            <w:pPr>
              <w:contextualSpacing/>
              <w:jc w:val="center"/>
              <w:rPr>
                <w:color w:val="C00000"/>
                <w:sz w:val="18"/>
                <w:szCs w:val="18"/>
              </w:rPr>
            </w:pPr>
            <w:r w:rsidRPr="00E91D56">
              <w:rPr>
                <w:color w:val="C00000"/>
                <w:sz w:val="18"/>
                <w:szCs w:val="18"/>
              </w:rPr>
              <w:t>-74</w:t>
            </w:r>
          </w:p>
        </w:tc>
        <w:tc>
          <w:tcPr>
            <w:tcW w:w="666" w:type="dxa"/>
            <w:tcBorders>
              <w:top w:val="single" w:sz="4" w:space="0" w:color="7F7F7F"/>
              <w:left w:val="single" w:sz="4" w:space="0" w:color="7F7F7F"/>
              <w:bottom w:val="single" w:sz="4" w:space="0" w:color="auto"/>
              <w:right w:val="single" w:sz="4" w:space="0" w:color="7F7F7F"/>
            </w:tcBorders>
            <w:shd w:val="clear" w:color="auto" w:fill="auto"/>
            <w:tcMar>
              <w:top w:w="15" w:type="dxa"/>
              <w:left w:w="108" w:type="dxa"/>
              <w:bottom w:w="0" w:type="dxa"/>
              <w:right w:w="108" w:type="dxa"/>
            </w:tcMar>
            <w:vAlign w:val="center"/>
          </w:tcPr>
          <w:p w14:paraId="0B13858B" w14:textId="77777777" w:rsidR="00546202" w:rsidRPr="00E91D56" w:rsidRDefault="00546202" w:rsidP="000803FC">
            <w:pPr>
              <w:contextualSpacing/>
              <w:jc w:val="center"/>
              <w:rPr>
                <w:color w:val="00B050"/>
                <w:sz w:val="18"/>
                <w:szCs w:val="18"/>
              </w:rPr>
            </w:pPr>
            <w:r w:rsidRPr="00E91D56">
              <w:rPr>
                <w:color w:val="00B050"/>
                <w:sz w:val="18"/>
                <w:szCs w:val="18"/>
              </w:rPr>
              <w:t>+10</w:t>
            </w:r>
          </w:p>
        </w:tc>
        <w:tc>
          <w:tcPr>
            <w:tcW w:w="616" w:type="dxa"/>
            <w:tcBorders>
              <w:top w:val="single" w:sz="4" w:space="0" w:color="7F7F7F"/>
              <w:left w:val="single" w:sz="4" w:space="0" w:color="7F7F7F"/>
              <w:bottom w:val="single" w:sz="4" w:space="0" w:color="auto"/>
              <w:right w:val="single" w:sz="4" w:space="0" w:color="7F7F7F"/>
            </w:tcBorders>
            <w:shd w:val="clear" w:color="auto" w:fill="auto"/>
            <w:tcMar>
              <w:top w:w="15" w:type="dxa"/>
              <w:left w:w="108" w:type="dxa"/>
              <w:bottom w:w="0" w:type="dxa"/>
              <w:right w:w="108" w:type="dxa"/>
            </w:tcMar>
            <w:vAlign w:val="center"/>
          </w:tcPr>
          <w:p w14:paraId="06F6E6D6" w14:textId="77777777" w:rsidR="00546202" w:rsidRPr="00E91D56" w:rsidRDefault="00546202" w:rsidP="000803FC">
            <w:pPr>
              <w:contextualSpacing/>
              <w:jc w:val="center"/>
              <w:rPr>
                <w:color w:val="00B050"/>
                <w:sz w:val="18"/>
                <w:szCs w:val="18"/>
              </w:rPr>
            </w:pPr>
            <w:r w:rsidRPr="00E91D56">
              <w:rPr>
                <w:color w:val="00B050"/>
                <w:sz w:val="18"/>
                <w:szCs w:val="18"/>
              </w:rPr>
              <w:t>+5</w:t>
            </w:r>
          </w:p>
        </w:tc>
        <w:tc>
          <w:tcPr>
            <w:tcW w:w="794" w:type="dxa"/>
            <w:tcBorders>
              <w:top w:val="single" w:sz="4" w:space="0" w:color="7F7F7F"/>
              <w:left w:val="single" w:sz="4" w:space="0" w:color="7F7F7F"/>
              <w:bottom w:val="single" w:sz="4" w:space="0" w:color="auto"/>
              <w:right w:val="single" w:sz="4" w:space="0" w:color="7F7F7F"/>
            </w:tcBorders>
            <w:shd w:val="clear" w:color="auto" w:fill="FFF2CC" w:themeFill="accent4" w:themeFillTint="33"/>
            <w:tcMar>
              <w:top w:w="15" w:type="dxa"/>
              <w:left w:w="108" w:type="dxa"/>
              <w:bottom w:w="0" w:type="dxa"/>
              <w:right w:w="108" w:type="dxa"/>
            </w:tcMar>
            <w:vAlign w:val="center"/>
          </w:tcPr>
          <w:p w14:paraId="49026234" w14:textId="77777777" w:rsidR="00546202" w:rsidRPr="00E91D56" w:rsidRDefault="00546202" w:rsidP="000803FC">
            <w:pPr>
              <w:contextualSpacing/>
              <w:jc w:val="center"/>
              <w:rPr>
                <w:b/>
                <w:bCs/>
                <w:color w:val="C00000"/>
                <w:sz w:val="18"/>
                <w:szCs w:val="18"/>
              </w:rPr>
            </w:pPr>
            <w:r w:rsidRPr="00E91D56">
              <w:rPr>
                <w:b/>
                <w:bCs/>
                <w:color w:val="C00000"/>
                <w:sz w:val="18"/>
                <w:szCs w:val="18"/>
              </w:rPr>
              <w:t>-58</w:t>
            </w:r>
          </w:p>
        </w:tc>
        <w:tc>
          <w:tcPr>
            <w:tcW w:w="616" w:type="dxa"/>
            <w:tcBorders>
              <w:top w:val="single" w:sz="4" w:space="0" w:color="7F7F7F"/>
              <w:left w:val="single" w:sz="4" w:space="0" w:color="7F7F7F"/>
              <w:bottom w:val="single" w:sz="4" w:space="0" w:color="auto"/>
              <w:right w:val="single" w:sz="4" w:space="0" w:color="7F7F7F"/>
            </w:tcBorders>
            <w:shd w:val="clear" w:color="auto" w:fill="auto"/>
            <w:tcMar>
              <w:top w:w="15" w:type="dxa"/>
              <w:left w:w="108" w:type="dxa"/>
              <w:bottom w:w="0" w:type="dxa"/>
              <w:right w:w="108" w:type="dxa"/>
            </w:tcMar>
            <w:vAlign w:val="center"/>
          </w:tcPr>
          <w:p w14:paraId="7B7E4326" w14:textId="77777777" w:rsidR="00546202" w:rsidRPr="000D626A" w:rsidRDefault="00546202" w:rsidP="000803FC">
            <w:pPr>
              <w:contextualSpacing/>
              <w:jc w:val="center"/>
              <w:rPr>
                <w:rFonts w:cstheme="minorHAnsi"/>
                <w:i/>
                <w:iCs/>
                <w:color w:val="C00000"/>
                <w:sz w:val="18"/>
                <w:szCs w:val="18"/>
              </w:rPr>
            </w:pPr>
            <w:r w:rsidRPr="000D626A">
              <w:rPr>
                <w:i/>
                <w:iCs/>
                <w:color w:val="C00000"/>
                <w:sz w:val="18"/>
                <w:szCs w:val="18"/>
              </w:rPr>
              <w:t>-1%</w:t>
            </w:r>
          </w:p>
        </w:tc>
        <w:tc>
          <w:tcPr>
            <w:tcW w:w="681" w:type="dxa"/>
            <w:tcBorders>
              <w:top w:val="single" w:sz="4" w:space="0" w:color="7F7F7F"/>
              <w:left w:val="single" w:sz="4" w:space="0" w:color="7F7F7F"/>
              <w:bottom w:val="single" w:sz="4" w:space="0" w:color="auto"/>
              <w:right w:val="single" w:sz="4" w:space="0" w:color="7F7F7F"/>
            </w:tcBorders>
            <w:shd w:val="clear" w:color="auto" w:fill="auto"/>
            <w:tcMar>
              <w:top w:w="15" w:type="dxa"/>
              <w:left w:w="108" w:type="dxa"/>
              <w:bottom w:w="0" w:type="dxa"/>
              <w:right w:w="108" w:type="dxa"/>
            </w:tcMar>
            <w:vAlign w:val="center"/>
          </w:tcPr>
          <w:p w14:paraId="35E2F5FA" w14:textId="77777777" w:rsidR="00546202" w:rsidRPr="00E91D56" w:rsidRDefault="00546202" w:rsidP="000803FC">
            <w:pPr>
              <w:contextualSpacing/>
              <w:jc w:val="center"/>
              <w:rPr>
                <w:rFonts w:cstheme="minorHAnsi"/>
                <w:i/>
                <w:iCs/>
                <w:sz w:val="18"/>
                <w:szCs w:val="18"/>
              </w:rPr>
            </w:pPr>
            <w:r w:rsidRPr="00E91D56">
              <w:rPr>
                <w:i/>
                <w:iCs/>
                <w:color w:val="00B050"/>
                <w:sz w:val="18"/>
                <w:szCs w:val="18"/>
              </w:rPr>
              <w:t>0,2%</w:t>
            </w:r>
          </w:p>
        </w:tc>
        <w:tc>
          <w:tcPr>
            <w:tcW w:w="616" w:type="dxa"/>
            <w:tcBorders>
              <w:top w:val="single" w:sz="4" w:space="0" w:color="7F7F7F"/>
              <w:left w:val="single" w:sz="4" w:space="0" w:color="7F7F7F"/>
              <w:bottom w:val="single" w:sz="4" w:space="0" w:color="auto"/>
              <w:right w:val="single" w:sz="4" w:space="0" w:color="7F7F7F"/>
            </w:tcBorders>
            <w:shd w:val="clear" w:color="auto" w:fill="auto"/>
            <w:tcMar>
              <w:top w:w="15" w:type="dxa"/>
              <w:left w:w="108" w:type="dxa"/>
              <w:bottom w:w="0" w:type="dxa"/>
              <w:right w:w="108" w:type="dxa"/>
            </w:tcMar>
            <w:vAlign w:val="center"/>
          </w:tcPr>
          <w:p w14:paraId="5F034452" w14:textId="77777777" w:rsidR="00546202" w:rsidRPr="00E91D56" w:rsidRDefault="00546202" w:rsidP="000803FC">
            <w:pPr>
              <w:contextualSpacing/>
              <w:jc w:val="center"/>
              <w:rPr>
                <w:rFonts w:cstheme="minorHAnsi"/>
                <w:i/>
                <w:iCs/>
                <w:sz w:val="18"/>
                <w:szCs w:val="18"/>
              </w:rPr>
            </w:pPr>
            <w:r w:rsidRPr="00E91D56">
              <w:rPr>
                <w:i/>
                <w:iCs/>
                <w:color w:val="00B050"/>
                <w:sz w:val="18"/>
                <w:szCs w:val="18"/>
              </w:rPr>
              <w:t>0,1%</w:t>
            </w:r>
          </w:p>
        </w:tc>
        <w:tc>
          <w:tcPr>
            <w:tcW w:w="806" w:type="dxa"/>
            <w:tcBorders>
              <w:top w:val="single" w:sz="4" w:space="0" w:color="7F7F7F"/>
              <w:left w:val="single" w:sz="4" w:space="0" w:color="7F7F7F"/>
              <w:bottom w:val="single" w:sz="4" w:space="0" w:color="auto"/>
              <w:right w:val="single" w:sz="4" w:space="0" w:color="auto"/>
            </w:tcBorders>
            <w:shd w:val="clear" w:color="auto" w:fill="FFF2CC" w:themeFill="accent4" w:themeFillTint="33"/>
            <w:tcMar>
              <w:top w:w="15" w:type="dxa"/>
              <w:left w:w="108" w:type="dxa"/>
              <w:bottom w:w="0" w:type="dxa"/>
              <w:right w:w="108" w:type="dxa"/>
            </w:tcMar>
            <w:vAlign w:val="center"/>
          </w:tcPr>
          <w:p w14:paraId="1B60E917" w14:textId="77777777" w:rsidR="00546202" w:rsidRPr="000D626A" w:rsidRDefault="00546202" w:rsidP="000803FC">
            <w:pPr>
              <w:contextualSpacing/>
              <w:jc w:val="center"/>
              <w:rPr>
                <w:rFonts w:cstheme="minorHAnsi"/>
                <w:b/>
                <w:bCs/>
                <w:i/>
                <w:iCs/>
                <w:color w:val="C00000"/>
                <w:sz w:val="18"/>
                <w:szCs w:val="18"/>
              </w:rPr>
            </w:pPr>
            <w:r w:rsidRPr="000D626A">
              <w:rPr>
                <w:b/>
                <w:bCs/>
                <w:i/>
                <w:iCs/>
                <w:color w:val="C00000"/>
                <w:sz w:val="18"/>
                <w:szCs w:val="18"/>
              </w:rPr>
              <w:t>-1%</w:t>
            </w:r>
          </w:p>
        </w:tc>
      </w:tr>
    </w:tbl>
    <w:p w14:paraId="384517CF" w14:textId="658CB4C1" w:rsidR="00546202" w:rsidRPr="00AD7A5D" w:rsidRDefault="00546202" w:rsidP="00546202">
      <w:pPr>
        <w:spacing w:before="60"/>
        <w:jc w:val="both"/>
        <w:rPr>
          <w:sz w:val="16"/>
          <w:szCs w:val="16"/>
          <w:shd w:val="clear" w:color="auto" w:fill="FFFFFF"/>
        </w:rPr>
      </w:pPr>
      <w:r w:rsidRPr="00AD7A5D">
        <w:rPr>
          <w:i/>
          <w:iCs/>
          <w:sz w:val="16"/>
          <w:szCs w:val="16"/>
          <w:shd w:val="clear" w:color="auto" w:fill="FFFFFF"/>
        </w:rPr>
        <w:t xml:space="preserve">*Minimālā darba alga (MA): </w:t>
      </w:r>
      <w:r w:rsidR="001B1642">
        <w:rPr>
          <w:i/>
          <w:iCs/>
          <w:sz w:val="16"/>
          <w:szCs w:val="16"/>
          <w:shd w:val="clear" w:color="auto" w:fill="FFFFFF"/>
        </w:rPr>
        <w:t xml:space="preserve">provizoriski </w:t>
      </w:r>
      <w:r w:rsidRPr="00AD7A5D">
        <w:rPr>
          <w:i/>
          <w:iCs/>
          <w:sz w:val="16"/>
          <w:szCs w:val="16"/>
          <w:shd w:val="clear" w:color="auto" w:fill="FFFFFF"/>
        </w:rPr>
        <w:t>2025.</w:t>
      </w:r>
      <w:r w:rsidR="001B1642">
        <w:rPr>
          <w:i/>
          <w:iCs/>
          <w:sz w:val="16"/>
          <w:szCs w:val="16"/>
          <w:shd w:val="clear" w:color="auto" w:fill="FFFFFF"/>
        </w:rPr>
        <w:t> </w:t>
      </w:r>
      <w:r w:rsidRPr="00AD7A5D">
        <w:rPr>
          <w:i/>
          <w:iCs/>
          <w:sz w:val="16"/>
          <w:szCs w:val="16"/>
          <w:shd w:val="clear" w:color="auto" w:fill="FFFFFF"/>
        </w:rPr>
        <w:t>g</w:t>
      </w:r>
      <w:r w:rsidR="001B1642">
        <w:rPr>
          <w:i/>
          <w:iCs/>
          <w:sz w:val="16"/>
          <w:szCs w:val="16"/>
          <w:shd w:val="clear" w:color="auto" w:fill="FFFFFF"/>
        </w:rPr>
        <w:t>adā</w:t>
      </w:r>
      <w:r w:rsidRPr="00AD7A5D">
        <w:rPr>
          <w:i/>
          <w:iCs/>
          <w:sz w:val="16"/>
          <w:szCs w:val="16"/>
          <w:shd w:val="clear" w:color="auto" w:fill="FFFFFF"/>
        </w:rPr>
        <w:t xml:space="preserve"> – </w:t>
      </w:r>
      <w:r w:rsidRPr="00AD7A5D">
        <w:rPr>
          <w:i/>
          <w:iCs/>
          <w:color w:val="C00000"/>
          <w:sz w:val="16"/>
          <w:szCs w:val="16"/>
          <w:shd w:val="clear" w:color="auto" w:fill="FFFFFF"/>
        </w:rPr>
        <w:t xml:space="preserve">740 </w:t>
      </w:r>
      <w:r w:rsidRPr="00AD7A5D">
        <w:rPr>
          <w:i/>
          <w:iCs/>
          <w:sz w:val="16"/>
          <w:szCs w:val="16"/>
          <w:shd w:val="clear" w:color="auto" w:fill="FFFFFF"/>
        </w:rPr>
        <w:t>euro mēnesī, 2026.</w:t>
      </w:r>
      <w:r w:rsidR="001B1642">
        <w:rPr>
          <w:i/>
          <w:iCs/>
          <w:sz w:val="16"/>
          <w:szCs w:val="16"/>
          <w:shd w:val="clear" w:color="auto" w:fill="FFFFFF"/>
        </w:rPr>
        <w:t xml:space="preserve"> </w:t>
      </w:r>
      <w:r w:rsidR="001B1642" w:rsidRPr="00AD7A5D">
        <w:rPr>
          <w:i/>
          <w:iCs/>
          <w:sz w:val="16"/>
          <w:szCs w:val="16"/>
          <w:shd w:val="clear" w:color="auto" w:fill="FFFFFF"/>
        </w:rPr>
        <w:t>g</w:t>
      </w:r>
      <w:r w:rsidR="001B1642">
        <w:rPr>
          <w:i/>
          <w:iCs/>
          <w:sz w:val="16"/>
          <w:szCs w:val="16"/>
          <w:shd w:val="clear" w:color="auto" w:fill="FFFFFF"/>
        </w:rPr>
        <w:t>adā</w:t>
      </w:r>
      <w:r w:rsidRPr="00AD7A5D">
        <w:rPr>
          <w:i/>
          <w:iCs/>
          <w:sz w:val="16"/>
          <w:szCs w:val="16"/>
          <w:shd w:val="clear" w:color="auto" w:fill="FFFFFF"/>
        </w:rPr>
        <w:t xml:space="preserve"> – </w:t>
      </w:r>
      <w:r w:rsidRPr="00AD7A5D">
        <w:rPr>
          <w:i/>
          <w:iCs/>
          <w:color w:val="C00000"/>
          <w:sz w:val="16"/>
          <w:szCs w:val="16"/>
          <w:shd w:val="clear" w:color="auto" w:fill="FFFFFF"/>
        </w:rPr>
        <w:t xml:space="preserve">780 </w:t>
      </w:r>
      <w:r w:rsidRPr="00AD7A5D">
        <w:rPr>
          <w:i/>
          <w:iCs/>
          <w:sz w:val="16"/>
          <w:szCs w:val="16"/>
          <w:shd w:val="clear" w:color="auto" w:fill="FFFFFF"/>
        </w:rPr>
        <w:t>euro mēnesī, 2027.</w:t>
      </w:r>
      <w:r w:rsidR="001B1642" w:rsidRPr="001B1642">
        <w:rPr>
          <w:i/>
          <w:iCs/>
          <w:sz w:val="16"/>
          <w:szCs w:val="16"/>
          <w:shd w:val="clear" w:color="auto" w:fill="FFFFFF"/>
        </w:rPr>
        <w:t xml:space="preserve"> </w:t>
      </w:r>
      <w:r w:rsidR="001B1642" w:rsidRPr="00AD7A5D">
        <w:rPr>
          <w:i/>
          <w:iCs/>
          <w:sz w:val="16"/>
          <w:szCs w:val="16"/>
          <w:shd w:val="clear" w:color="auto" w:fill="FFFFFF"/>
        </w:rPr>
        <w:t>g</w:t>
      </w:r>
      <w:r w:rsidR="001B1642">
        <w:rPr>
          <w:i/>
          <w:iCs/>
          <w:sz w:val="16"/>
          <w:szCs w:val="16"/>
          <w:shd w:val="clear" w:color="auto" w:fill="FFFFFF"/>
        </w:rPr>
        <w:t>adā</w:t>
      </w:r>
      <w:r w:rsidRPr="00AD7A5D">
        <w:rPr>
          <w:i/>
          <w:iCs/>
          <w:sz w:val="16"/>
          <w:szCs w:val="16"/>
          <w:shd w:val="clear" w:color="auto" w:fill="FFFFFF"/>
        </w:rPr>
        <w:t xml:space="preserve"> – </w:t>
      </w:r>
      <w:r w:rsidRPr="00AD7A5D">
        <w:rPr>
          <w:i/>
          <w:iCs/>
          <w:color w:val="C00000"/>
          <w:sz w:val="16"/>
          <w:szCs w:val="16"/>
          <w:shd w:val="clear" w:color="auto" w:fill="FFFFFF"/>
        </w:rPr>
        <w:t xml:space="preserve">820 </w:t>
      </w:r>
      <w:r w:rsidRPr="00AD7A5D">
        <w:rPr>
          <w:i/>
          <w:iCs/>
          <w:sz w:val="16"/>
          <w:szCs w:val="16"/>
          <w:shd w:val="clear" w:color="auto" w:fill="FFFFFF"/>
        </w:rPr>
        <w:t>euro mēnesī.</w:t>
      </w:r>
    </w:p>
    <w:p w14:paraId="4DAF3923" w14:textId="77FAB71B" w:rsidR="00546202" w:rsidRPr="00AD7A5D" w:rsidRDefault="00546202" w:rsidP="00546202">
      <w:pPr>
        <w:spacing w:before="40"/>
        <w:jc w:val="both"/>
        <w:rPr>
          <w:bCs/>
          <w:color w:val="000000" w:themeColor="text1"/>
          <w:sz w:val="22"/>
          <w:szCs w:val="24"/>
          <w:shd w:val="clear" w:color="auto" w:fill="FFFFFF"/>
        </w:rPr>
      </w:pPr>
      <w:r w:rsidRPr="00AD7A5D">
        <w:rPr>
          <w:rFonts w:cs="Times New Roman"/>
          <w:b/>
          <w:bCs/>
          <w:i/>
          <w:iCs/>
          <w:sz w:val="18"/>
          <w:szCs w:val="18"/>
        </w:rPr>
        <w:t>Avots</w:t>
      </w:r>
      <w:r w:rsidRPr="00AD7A5D">
        <w:rPr>
          <w:rFonts w:cs="Times New Roman"/>
          <w:i/>
          <w:iCs/>
          <w:sz w:val="18"/>
          <w:szCs w:val="18"/>
        </w:rPr>
        <w:t xml:space="preserve">: </w:t>
      </w:r>
      <w:r w:rsidR="00FA7FB6">
        <w:rPr>
          <w:rFonts w:cs="Times New Roman"/>
          <w:i/>
          <w:iCs/>
          <w:sz w:val="18"/>
          <w:szCs w:val="18"/>
        </w:rPr>
        <w:t>FM</w:t>
      </w:r>
      <w:r w:rsidRPr="00AD7A5D">
        <w:rPr>
          <w:rFonts w:cs="Times New Roman"/>
          <w:i/>
          <w:iCs/>
          <w:sz w:val="18"/>
          <w:szCs w:val="18"/>
        </w:rPr>
        <w:t xml:space="preserve"> aprēķini. </w:t>
      </w:r>
    </w:p>
    <w:p w14:paraId="562FE4DB" w14:textId="77777777" w:rsidR="00546202" w:rsidRPr="007C3CBB" w:rsidRDefault="00546202" w:rsidP="00546202">
      <w:pPr>
        <w:ind w:firstLine="709"/>
        <w:jc w:val="both"/>
        <w:rPr>
          <w:bCs/>
          <w:sz w:val="12"/>
          <w:szCs w:val="12"/>
          <w:shd w:val="clear" w:color="auto" w:fill="FFFFFF"/>
        </w:rPr>
      </w:pPr>
    </w:p>
    <w:p w14:paraId="28BCDE56" w14:textId="77777777" w:rsidR="00725CD9" w:rsidRDefault="00725CD9">
      <w:pPr>
        <w:rPr>
          <w:b/>
          <w:bCs/>
          <w:color w:val="000000" w:themeColor="text1"/>
          <w:szCs w:val="24"/>
          <w:u w:val="single"/>
          <w:shd w:val="clear" w:color="auto" w:fill="FFFFFF"/>
        </w:rPr>
      </w:pPr>
      <w:r>
        <w:rPr>
          <w:b/>
          <w:bCs/>
          <w:color w:val="000000" w:themeColor="text1"/>
          <w:szCs w:val="24"/>
          <w:u w:val="single"/>
          <w:shd w:val="clear" w:color="auto" w:fill="FFFFFF"/>
        </w:rPr>
        <w:br w:type="page"/>
      </w:r>
    </w:p>
    <w:p w14:paraId="5F8A36A4" w14:textId="672244F8" w:rsidR="00EC2B80" w:rsidRPr="001B77C7" w:rsidRDefault="00EC2B80" w:rsidP="00EC2B80">
      <w:pPr>
        <w:spacing w:after="120"/>
        <w:rPr>
          <w:b/>
          <w:bCs/>
          <w:color w:val="000000" w:themeColor="text1"/>
          <w:szCs w:val="24"/>
          <w:u w:val="single"/>
          <w:shd w:val="clear" w:color="auto" w:fill="FFFFFF"/>
        </w:rPr>
      </w:pPr>
      <w:r w:rsidRPr="001B77C7">
        <w:rPr>
          <w:b/>
          <w:bCs/>
          <w:color w:val="000000" w:themeColor="text1"/>
          <w:szCs w:val="24"/>
          <w:u w:val="single"/>
          <w:shd w:val="clear" w:color="auto" w:fill="FFFFFF"/>
        </w:rPr>
        <w:lastRenderedPageBreak/>
        <w:t xml:space="preserve">Piemēri algas aprēķinam: </w:t>
      </w:r>
    </w:p>
    <w:p w14:paraId="213A4731" w14:textId="1F57C492" w:rsidR="00EC2B80" w:rsidRPr="00602E84" w:rsidRDefault="00EC2B80" w:rsidP="007C3CBB">
      <w:pPr>
        <w:pStyle w:val="ListParagraph"/>
        <w:numPr>
          <w:ilvl w:val="0"/>
          <w:numId w:val="27"/>
        </w:numPr>
        <w:tabs>
          <w:tab w:val="left" w:pos="3402"/>
        </w:tabs>
        <w:ind w:left="714" w:hanging="357"/>
        <w:rPr>
          <w:color w:val="000000" w:themeColor="text1"/>
          <w:sz w:val="20"/>
          <w:szCs w:val="20"/>
          <w:u w:val="single"/>
          <w:shd w:val="clear" w:color="auto" w:fill="FFFFFF"/>
        </w:rPr>
      </w:pPr>
      <w:r w:rsidRPr="00602E84">
        <w:rPr>
          <w:b/>
          <w:bCs/>
          <w:color w:val="000000" w:themeColor="text1"/>
          <w:sz w:val="20"/>
          <w:szCs w:val="20"/>
          <w:u w:val="single"/>
          <w:shd w:val="clear" w:color="auto" w:fill="FFFFFF"/>
        </w:rPr>
        <w:t xml:space="preserve">minimālas </w:t>
      </w:r>
      <w:r w:rsidR="001B77C7" w:rsidRPr="00602E84">
        <w:rPr>
          <w:b/>
          <w:bCs/>
          <w:color w:val="000000" w:themeColor="text1"/>
          <w:sz w:val="20"/>
          <w:szCs w:val="20"/>
          <w:u w:val="single"/>
          <w:shd w:val="clear" w:color="auto" w:fill="FFFFFF"/>
        </w:rPr>
        <w:t xml:space="preserve">darba </w:t>
      </w:r>
      <w:r w:rsidRPr="00602E84">
        <w:rPr>
          <w:b/>
          <w:bCs/>
          <w:color w:val="000000" w:themeColor="text1"/>
          <w:sz w:val="20"/>
          <w:szCs w:val="20"/>
          <w:u w:val="single"/>
          <w:shd w:val="clear" w:color="auto" w:fill="FFFFFF"/>
        </w:rPr>
        <w:t>algas saņēmējs</w:t>
      </w:r>
      <w:r w:rsidRPr="00602E84">
        <w:rPr>
          <w:color w:val="000000" w:themeColor="text1"/>
          <w:sz w:val="20"/>
          <w:szCs w:val="20"/>
          <w:u w:val="single"/>
          <w:shd w:val="clear" w:color="auto" w:fill="FFFFFF"/>
        </w:rPr>
        <w:t xml:space="preserve">  </w:t>
      </w:r>
    </w:p>
    <w:tbl>
      <w:tblPr>
        <w:tblStyle w:val="TableGrid"/>
        <w:tblW w:w="0" w:type="auto"/>
        <w:tblLook w:val="04A0" w:firstRow="1" w:lastRow="0" w:firstColumn="1" w:lastColumn="0" w:noHBand="0" w:noVBand="1"/>
      </w:tblPr>
      <w:tblGrid>
        <w:gridCol w:w="4106"/>
        <w:gridCol w:w="2552"/>
        <w:gridCol w:w="2404"/>
      </w:tblGrid>
      <w:tr w:rsidR="00E9333E" w14:paraId="6042E406" w14:textId="77777777" w:rsidTr="00005BE2">
        <w:tc>
          <w:tcPr>
            <w:tcW w:w="4106" w:type="dxa"/>
            <w:tcBorders>
              <w:top w:val="nil"/>
              <w:left w:val="nil"/>
            </w:tcBorders>
          </w:tcPr>
          <w:p w14:paraId="1BAE603F" w14:textId="77777777" w:rsidR="00E9333E" w:rsidRDefault="00E9333E" w:rsidP="00005BE2">
            <w:pPr>
              <w:rPr>
                <w:color w:val="000000" w:themeColor="text1"/>
                <w:sz w:val="20"/>
                <w:szCs w:val="20"/>
                <w:shd w:val="clear" w:color="auto" w:fill="FFFFFF"/>
              </w:rPr>
            </w:pPr>
          </w:p>
        </w:tc>
        <w:tc>
          <w:tcPr>
            <w:tcW w:w="2552" w:type="dxa"/>
            <w:tcBorders>
              <w:top w:val="nil"/>
            </w:tcBorders>
            <w:vAlign w:val="center"/>
          </w:tcPr>
          <w:p w14:paraId="0BAF0E8E" w14:textId="1E5EA303" w:rsidR="00E9333E" w:rsidRDefault="00E9333E" w:rsidP="00005BE2">
            <w:pPr>
              <w:jc w:val="center"/>
              <w:rPr>
                <w:color w:val="000000" w:themeColor="text1"/>
                <w:sz w:val="20"/>
                <w:szCs w:val="20"/>
                <w:shd w:val="clear" w:color="auto" w:fill="FFFFFF"/>
              </w:rPr>
            </w:pPr>
            <w:r w:rsidRPr="00EC2B80">
              <w:rPr>
                <w:b/>
                <w:bCs/>
                <w:color w:val="000000" w:themeColor="text1"/>
                <w:sz w:val="20"/>
                <w:szCs w:val="20"/>
                <w:shd w:val="clear" w:color="auto" w:fill="FFFFFF"/>
              </w:rPr>
              <w:t>2024.</w:t>
            </w:r>
            <w:r w:rsidR="00212BD8">
              <w:rPr>
                <w:b/>
                <w:bCs/>
                <w:color w:val="000000" w:themeColor="text1"/>
                <w:sz w:val="20"/>
                <w:szCs w:val="20"/>
                <w:shd w:val="clear" w:color="auto" w:fill="FFFFFF"/>
              </w:rPr>
              <w:t> </w:t>
            </w:r>
            <w:r w:rsidRPr="00EC2B80">
              <w:rPr>
                <w:b/>
                <w:bCs/>
                <w:color w:val="000000" w:themeColor="text1"/>
                <w:sz w:val="20"/>
                <w:szCs w:val="20"/>
                <w:shd w:val="clear" w:color="auto" w:fill="FFFFFF"/>
              </w:rPr>
              <w:t>gadā</w:t>
            </w:r>
          </w:p>
        </w:tc>
        <w:tc>
          <w:tcPr>
            <w:tcW w:w="2404" w:type="dxa"/>
            <w:tcBorders>
              <w:top w:val="nil"/>
              <w:right w:val="nil"/>
            </w:tcBorders>
            <w:vAlign w:val="center"/>
          </w:tcPr>
          <w:p w14:paraId="55CE23DE" w14:textId="2E634CD6" w:rsidR="00E9333E" w:rsidRDefault="00E9333E" w:rsidP="00005BE2">
            <w:pPr>
              <w:jc w:val="center"/>
              <w:rPr>
                <w:color w:val="000000" w:themeColor="text1"/>
                <w:sz w:val="20"/>
                <w:szCs w:val="20"/>
                <w:shd w:val="clear" w:color="auto" w:fill="FFFFFF"/>
              </w:rPr>
            </w:pPr>
            <w:r w:rsidRPr="00EC2B80">
              <w:rPr>
                <w:b/>
                <w:bCs/>
                <w:color w:val="000000" w:themeColor="text1"/>
                <w:sz w:val="20"/>
                <w:szCs w:val="20"/>
                <w:shd w:val="clear" w:color="auto" w:fill="FFFFFF"/>
              </w:rPr>
              <w:t>2025.</w:t>
            </w:r>
            <w:r w:rsidR="00212BD8">
              <w:rPr>
                <w:b/>
                <w:bCs/>
                <w:color w:val="000000" w:themeColor="text1"/>
                <w:sz w:val="20"/>
                <w:szCs w:val="20"/>
                <w:shd w:val="clear" w:color="auto" w:fill="FFFFFF"/>
              </w:rPr>
              <w:t> </w:t>
            </w:r>
            <w:r w:rsidRPr="00EC2B80">
              <w:rPr>
                <w:b/>
                <w:bCs/>
                <w:color w:val="000000" w:themeColor="text1"/>
                <w:sz w:val="20"/>
                <w:szCs w:val="20"/>
                <w:shd w:val="clear" w:color="auto" w:fill="FFFFFF"/>
              </w:rPr>
              <w:t>gadā</w:t>
            </w:r>
          </w:p>
        </w:tc>
      </w:tr>
      <w:tr w:rsidR="00E9333E" w14:paraId="46CD25D6" w14:textId="77777777" w:rsidTr="00B87450">
        <w:tc>
          <w:tcPr>
            <w:tcW w:w="4106" w:type="dxa"/>
            <w:tcBorders>
              <w:left w:val="nil"/>
            </w:tcBorders>
            <w:shd w:val="clear" w:color="auto" w:fill="FFF2CC" w:themeFill="accent4" w:themeFillTint="33"/>
          </w:tcPr>
          <w:p w14:paraId="013294FF" w14:textId="786A2145" w:rsidR="00E9333E" w:rsidRPr="00B87450" w:rsidRDefault="00E9333E" w:rsidP="00B87450">
            <w:pPr>
              <w:contextualSpacing/>
              <w:rPr>
                <w:b/>
                <w:bCs/>
                <w:sz w:val="20"/>
                <w:szCs w:val="20"/>
              </w:rPr>
            </w:pPr>
            <w:r w:rsidRPr="00B87450">
              <w:rPr>
                <w:b/>
                <w:bCs/>
                <w:sz w:val="20"/>
                <w:szCs w:val="20"/>
              </w:rPr>
              <w:t xml:space="preserve">Bruto </w:t>
            </w:r>
            <w:r w:rsidR="001D2593" w:rsidRPr="001D2593">
              <w:rPr>
                <w:b/>
                <w:bCs/>
                <w:sz w:val="20"/>
                <w:szCs w:val="20"/>
              </w:rPr>
              <w:t>darba</w:t>
            </w:r>
            <w:r w:rsidR="001D2593">
              <w:rPr>
                <w:b/>
                <w:bCs/>
                <w:sz w:val="20"/>
                <w:szCs w:val="20"/>
              </w:rPr>
              <w:t xml:space="preserve"> alga</w:t>
            </w:r>
            <w:r w:rsidRPr="00B87450">
              <w:rPr>
                <w:i/>
                <w:iCs/>
                <w:sz w:val="20"/>
                <w:szCs w:val="20"/>
              </w:rPr>
              <w:t>, euro mēnesī</w:t>
            </w:r>
          </w:p>
        </w:tc>
        <w:tc>
          <w:tcPr>
            <w:tcW w:w="2552" w:type="dxa"/>
            <w:shd w:val="clear" w:color="auto" w:fill="FFF2CC" w:themeFill="accent4" w:themeFillTint="33"/>
            <w:vAlign w:val="center"/>
          </w:tcPr>
          <w:p w14:paraId="0C8AB3CF" w14:textId="77777777" w:rsidR="00E9333E" w:rsidRPr="00B87450" w:rsidRDefault="00E9333E" w:rsidP="00005BE2">
            <w:pPr>
              <w:jc w:val="center"/>
              <w:rPr>
                <w:b/>
                <w:bCs/>
                <w:sz w:val="20"/>
                <w:szCs w:val="20"/>
                <w:shd w:val="clear" w:color="auto" w:fill="FFFFFF"/>
              </w:rPr>
            </w:pPr>
            <w:r w:rsidRPr="00B87450">
              <w:rPr>
                <w:b/>
                <w:bCs/>
                <w:sz w:val="20"/>
                <w:szCs w:val="20"/>
              </w:rPr>
              <w:t>700</w:t>
            </w:r>
          </w:p>
        </w:tc>
        <w:tc>
          <w:tcPr>
            <w:tcW w:w="2404" w:type="dxa"/>
            <w:tcBorders>
              <w:right w:val="nil"/>
            </w:tcBorders>
            <w:shd w:val="clear" w:color="auto" w:fill="FFF2CC" w:themeFill="accent4" w:themeFillTint="33"/>
            <w:vAlign w:val="center"/>
          </w:tcPr>
          <w:p w14:paraId="4020D661" w14:textId="77777777" w:rsidR="00E9333E" w:rsidRPr="00B87450" w:rsidRDefault="00E9333E" w:rsidP="00005BE2">
            <w:pPr>
              <w:jc w:val="center"/>
              <w:rPr>
                <w:b/>
                <w:bCs/>
                <w:sz w:val="20"/>
                <w:szCs w:val="20"/>
              </w:rPr>
            </w:pPr>
            <w:r w:rsidRPr="00B87450">
              <w:rPr>
                <w:b/>
                <w:bCs/>
                <w:sz w:val="20"/>
                <w:szCs w:val="20"/>
              </w:rPr>
              <w:t>740</w:t>
            </w:r>
          </w:p>
        </w:tc>
      </w:tr>
      <w:tr w:rsidR="00E9333E" w14:paraId="0BFB2E56" w14:textId="77777777" w:rsidTr="00005BE2">
        <w:tc>
          <w:tcPr>
            <w:tcW w:w="4106" w:type="dxa"/>
            <w:tcBorders>
              <w:left w:val="nil"/>
            </w:tcBorders>
          </w:tcPr>
          <w:p w14:paraId="473155C3" w14:textId="77777777" w:rsidR="00E9333E" w:rsidRPr="00E9333E" w:rsidRDefault="00E9333E" w:rsidP="00005BE2">
            <w:pPr>
              <w:rPr>
                <w:color w:val="000000" w:themeColor="text1"/>
                <w:sz w:val="20"/>
                <w:szCs w:val="20"/>
                <w:shd w:val="clear" w:color="auto" w:fill="FFFFFF"/>
              </w:rPr>
            </w:pPr>
            <w:r w:rsidRPr="00EC2B80">
              <w:rPr>
                <w:color w:val="000000" w:themeColor="text1"/>
                <w:sz w:val="20"/>
                <w:szCs w:val="20"/>
                <w:shd w:val="clear" w:color="auto" w:fill="FFFFFF"/>
              </w:rPr>
              <w:t>Darba ņēmēja VSAOI</w:t>
            </w:r>
            <w:r w:rsidRPr="00E9333E">
              <w:rPr>
                <w:color w:val="000000" w:themeColor="text1"/>
                <w:sz w:val="20"/>
                <w:szCs w:val="20"/>
                <w:shd w:val="clear" w:color="auto" w:fill="FFFFFF"/>
              </w:rPr>
              <w:t xml:space="preserve">, </w:t>
            </w:r>
            <w:r w:rsidRPr="00E9333E">
              <w:rPr>
                <w:i/>
                <w:iCs/>
                <w:color w:val="000000" w:themeColor="text1"/>
                <w:sz w:val="20"/>
                <w:szCs w:val="20"/>
                <w:shd w:val="clear" w:color="auto" w:fill="FFFFFF"/>
              </w:rPr>
              <w:t>euro mēnesī</w:t>
            </w:r>
            <w:r w:rsidRPr="00EC2B80">
              <w:rPr>
                <w:color w:val="000000" w:themeColor="text1"/>
                <w:sz w:val="20"/>
                <w:szCs w:val="20"/>
                <w:shd w:val="clear" w:color="auto" w:fill="FFFFFF"/>
              </w:rPr>
              <w:t xml:space="preserve">   </w:t>
            </w:r>
          </w:p>
        </w:tc>
        <w:tc>
          <w:tcPr>
            <w:tcW w:w="2552" w:type="dxa"/>
            <w:vAlign w:val="center"/>
          </w:tcPr>
          <w:p w14:paraId="4AB3FD92" w14:textId="77777777" w:rsidR="00E9333E" w:rsidRPr="00B87450" w:rsidRDefault="00E9333E" w:rsidP="00005BE2">
            <w:pPr>
              <w:jc w:val="center"/>
              <w:rPr>
                <w:b/>
                <w:bCs/>
                <w:color w:val="000000" w:themeColor="text1"/>
                <w:sz w:val="20"/>
                <w:szCs w:val="20"/>
                <w:shd w:val="clear" w:color="auto" w:fill="FFFFFF"/>
              </w:rPr>
            </w:pPr>
            <w:r w:rsidRPr="00B87450">
              <w:rPr>
                <w:b/>
                <w:bCs/>
                <w:color w:val="000000" w:themeColor="text1"/>
                <w:sz w:val="20"/>
                <w:szCs w:val="20"/>
                <w:shd w:val="clear" w:color="auto" w:fill="FFFFFF"/>
              </w:rPr>
              <w:t xml:space="preserve">73,50 </w:t>
            </w:r>
          </w:p>
          <w:p w14:paraId="76139ACF" w14:textId="77777777" w:rsidR="00E9333E" w:rsidRPr="00E9333E" w:rsidRDefault="00E9333E" w:rsidP="00005BE2">
            <w:pPr>
              <w:jc w:val="center"/>
              <w:rPr>
                <w:i/>
                <w:iCs/>
                <w:color w:val="000000" w:themeColor="text1"/>
                <w:sz w:val="18"/>
                <w:szCs w:val="18"/>
                <w:shd w:val="clear" w:color="auto" w:fill="FFFFFF"/>
              </w:rPr>
            </w:pPr>
            <w:r w:rsidRPr="00E9333E">
              <w:rPr>
                <w:i/>
                <w:iCs/>
                <w:color w:val="000000" w:themeColor="text1"/>
                <w:sz w:val="18"/>
                <w:szCs w:val="18"/>
                <w:shd w:val="clear" w:color="auto" w:fill="FFFFFF"/>
              </w:rPr>
              <w:t>[</w:t>
            </w:r>
            <w:r w:rsidRPr="00B87450">
              <w:rPr>
                <w:b/>
                <w:bCs/>
                <w:i/>
                <w:iCs/>
                <w:color w:val="000000" w:themeColor="text1"/>
                <w:sz w:val="18"/>
                <w:szCs w:val="18"/>
                <w:shd w:val="clear" w:color="auto" w:fill="FFFFFF"/>
              </w:rPr>
              <w:t>700</w:t>
            </w:r>
            <w:r w:rsidRPr="00EC2B80">
              <w:rPr>
                <w:i/>
                <w:iCs/>
                <w:color w:val="000000" w:themeColor="text1"/>
                <w:sz w:val="18"/>
                <w:szCs w:val="18"/>
                <w:shd w:val="clear" w:color="auto" w:fill="FFFFFF"/>
              </w:rPr>
              <w:t xml:space="preserve"> x 10,5%</w:t>
            </w:r>
            <w:r w:rsidRPr="00E9333E">
              <w:rPr>
                <w:i/>
                <w:iCs/>
                <w:color w:val="000000" w:themeColor="text1"/>
                <w:sz w:val="18"/>
                <w:szCs w:val="18"/>
                <w:shd w:val="clear" w:color="auto" w:fill="FFFFFF"/>
              </w:rPr>
              <w:t>]</w:t>
            </w:r>
          </w:p>
        </w:tc>
        <w:tc>
          <w:tcPr>
            <w:tcW w:w="2404" w:type="dxa"/>
            <w:tcBorders>
              <w:right w:val="nil"/>
            </w:tcBorders>
            <w:vAlign w:val="center"/>
          </w:tcPr>
          <w:p w14:paraId="6926F00E" w14:textId="77777777" w:rsidR="00E9333E" w:rsidRPr="00B87450" w:rsidRDefault="00E9333E" w:rsidP="00005BE2">
            <w:pPr>
              <w:jc w:val="center"/>
              <w:rPr>
                <w:b/>
                <w:bCs/>
                <w:color w:val="000000" w:themeColor="text1"/>
                <w:sz w:val="20"/>
                <w:szCs w:val="20"/>
                <w:shd w:val="clear" w:color="auto" w:fill="FFFFFF"/>
              </w:rPr>
            </w:pPr>
            <w:r w:rsidRPr="00B87450">
              <w:rPr>
                <w:b/>
                <w:bCs/>
                <w:color w:val="000000" w:themeColor="text1"/>
                <w:sz w:val="20"/>
                <w:szCs w:val="20"/>
                <w:shd w:val="clear" w:color="auto" w:fill="FFFFFF"/>
              </w:rPr>
              <w:t xml:space="preserve">77,70 </w:t>
            </w:r>
          </w:p>
          <w:p w14:paraId="15D448D7" w14:textId="77777777" w:rsidR="00E9333E" w:rsidRPr="00E9333E" w:rsidRDefault="00E9333E" w:rsidP="00005BE2">
            <w:pPr>
              <w:jc w:val="center"/>
              <w:rPr>
                <w:i/>
                <w:iCs/>
                <w:color w:val="000000" w:themeColor="text1"/>
                <w:sz w:val="18"/>
                <w:szCs w:val="18"/>
                <w:shd w:val="clear" w:color="auto" w:fill="FFFFFF"/>
              </w:rPr>
            </w:pPr>
            <w:r w:rsidRPr="00E9333E">
              <w:rPr>
                <w:i/>
                <w:iCs/>
                <w:color w:val="000000" w:themeColor="text1"/>
                <w:sz w:val="18"/>
                <w:szCs w:val="18"/>
                <w:shd w:val="clear" w:color="auto" w:fill="FFFFFF"/>
              </w:rPr>
              <w:t>[</w:t>
            </w:r>
            <w:r w:rsidRPr="00B87450">
              <w:rPr>
                <w:b/>
                <w:bCs/>
                <w:i/>
                <w:iCs/>
                <w:color w:val="000000" w:themeColor="text1"/>
                <w:sz w:val="18"/>
                <w:szCs w:val="18"/>
                <w:shd w:val="clear" w:color="auto" w:fill="FFFFFF"/>
              </w:rPr>
              <w:t>740</w:t>
            </w:r>
            <w:r w:rsidRPr="00EC2B80">
              <w:rPr>
                <w:i/>
                <w:iCs/>
                <w:color w:val="000000" w:themeColor="text1"/>
                <w:sz w:val="18"/>
                <w:szCs w:val="18"/>
                <w:shd w:val="clear" w:color="auto" w:fill="FFFFFF"/>
              </w:rPr>
              <w:t xml:space="preserve"> x 10,5%</w:t>
            </w:r>
            <w:r w:rsidRPr="00E9333E">
              <w:rPr>
                <w:i/>
                <w:iCs/>
                <w:color w:val="000000" w:themeColor="text1"/>
                <w:sz w:val="18"/>
                <w:szCs w:val="18"/>
                <w:shd w:val="clear" w:color="auto" w:fill="FFFFFF"/>
              </w:rPr>
              <w:t>]</w:t>
            </w:r>
          </w:p>
        </w:tc>
      </w:tr>
      <w:tr w:rsidR="00E9333E" w14:paraId="720FCF8B" w14:textId="77777777" w:rsidTr="00005BE2">
        <w:tc>
          <w:tcPr>
            <w:tcW w:w="4106" w:type="dxa"/>
            <w:tcBorders>
              <w:left w:val="nil"/>
            </w:tcBorders>
          </w:tcPr>
          <w:p w14:paraId="3E2D3EA2" w14:textId="77777777" w:rsidR="00E9333E" w:rsidRPr="00E9333E" w:rsidRDefault="00E9333E" w:rsidP="00005BE2">
            <w:pPr>
              <w:rPr>
                <w:color w:val="000000" w:themeColor="text1"/>
                <w:sz w:val="20"/>
                <w:szCs w:val="20"/>
                <w:shd w:val="clear" w:color="auto" w:fill="FFFFFF"/>
              </w:rPr>
            </w:pPr>
            <w:r w:rsidRPr="00E9333E">
              <w:rPr>
                <w:color w:val="000000" w:themeColor="text1"/>
                <w:sz w:val="20"/>
                <w:szCs w:val="20"/>
                <w:shd w:val="clear" w:color="auto" w:fill="FFFFFF"/>
              </w:rPr>
              <w:t xml:space="preserve">Ar IIN neapliekamais minimums, </w:t>
            </w:r>
            <w:r w:rsidRPr="00E9333E">
              <w:rPr>
                <w:i/>
                <w:iCs/>
                <w:color w:val="000000" w:themeColor="text1"/>
                <w:sz w:val="20"/>
                <w:szCs w:val="20"/>
                <w:shd w:val="clear" w:color="auto" w:fill="FFFFFF"/>
              </w:rPr>
              <w:t>euro mēnesī</w:t>
            </w:r>
            <w:r w:rsidRPr="00EC2B80">
              <w:rPr>
                <w:color w:val="000000" w:themeColor="text1"/>
                <w:sz w:val="20"/>
                <w:szCs w:val="20"/>
                <w:shd w:val="clear" w:color="auto" w:fill="FFFFFF"/>
              </w:rPr>
              <w:t xml:space="preserve">   </w:t>
            </w:r>
          </w:p>
        </w:tc>
        <w:tc>
          <w:tcPr>
            <w:tcW w:w="2552" w:type="dxa"/>
            <w:vAlign w:val="center"/>
          </w:tcPr>
          <w:p w14:paraId="68C898D4" w14:textId="77777777" w:rsidR="00E9333E" w:rsidRPr="00B87450" w:rsidRDefault="00E9333E" w:rsidP="00005BE2">
            <w:pPr>
              <w:jc w:val="center"/>
              <w:rPr>
                <w:b/>
                <w:bCs/>
                <w:color w:val="000000" w:themeColor="text1"/>
                <w:sz w:val="20"/>
                <w:szCs w:val="20"/>
                <w:shd w:val="clear" w:color="auto" w:fill="FFFFFF"/>
              </w:rPr>
            </w:pPr>
            <w:r w:rsidRPr="00B87450">
              <w:rPr>
                <w:b/>
                <w:bCs/>
                <w:color w:val="000000" w:themeColor="text1"/>
                <w:sz w:val="20"/>
                <w:szCs w:val="20"/>
                <w:shd w:val="clear" w:color="auto" w:fill="FFFFFF"/>
              </w:rPr>
              <w:t xml:space="preserve">423,08 </w:t>
            </w:r>
          </w:p>
          <w:p w14:paraId="729BDDE5" w14:textId="77777777" w:rsidR="00E9333E" w:rsidRPr="00E9333E" w:rsidRDefault="00E9333E" w:rsidP="00005BE2">
            <w:pPr>
              <w:jc w:val="center"/>
              <w:rPr>
                <w:i/>
                <w:iCs/>
                <w:color w:val="000000" w:themeColor="text1"/>
                <w:sz w:val="18"/>
                <w:szCs w:val="18"/>
                <w:shd w:val="clear" w:color="auto" w:fill="FFFFFF"/>
              </w:rPr>
            </w:pPr>
            <w:r w:rsidRPr="00E9333E">
              <w:rPr>
                <w:i/>
                <w:iCs/>
                <w:color w:val="000000" w:themeColor="text1"/>
                <w:sz w:val="18"/>
                <w:szCs w:val="18"/>
                <w:shd w:val="clear" w:color="auto" w:fill="FFFFFF"/>
              </w:rPr>
              <w:t>[</w:t>
            </w:r>
            <w:r w:rsidRPr="00EC2B80">
              <w:rPr>
                <w:i/>
                <w:iCs/>
                <w:color w:val="000000" w:themeColor="text1"/>
                <w:sz w:val="18"/>
                <w:szCs w:val="18"/>
                <w:shd w:val="clear" w:color="auto" w:fill="FFFFFF"/>
              </w:rPr>
              <w:t>500 – 0,38462 x (</w:t>
            </w:r>
            <w:r w:rsidRPr="00B87450">
              <w:rPr>
                <w:b/>
                <w:bCs/>
                <w:i/>
                <w:iCs/>
                <w:color w:val="000000" w:themeColor="text1"/>
                <w:sz w:val="18"/>
                <w:szCs w:val="18"/>
                <w:shd w:val="clear" w:color="auto" w:fill="FFFFFF"/>
              </w:rPr>
              <w:t>700</w:t>
            </w:r>
            <w:r w:rsidRPr="00EC2B80">
              <w:rPr>
                <w:i/>
                <w:iCs/>
                <w:color w:val="000000" w:themeColor="text1"/>
                <w:sz w:val="18"/>
                <w:szCs w:val="18"/>
                <w:shd w:val="clear" w:color="auto" w:fill="FFFFFF"/>
              </w:rPr>
              <w:t xml:space="preserve"> – 500)</w:t>
            </w:r>
            <w:r w:rsidRPr="00E9333E">
              <w:rPr>
                <w:i/>
                <w:iCs/>
                <w:color w:val="000000" w:themeColor="text1"/>
                <w:sz w:val="18"/>
                <w:szCs w:val="18"/>
                <w:shd w:val="clear" w:color="auto" w:fill="FFFFFF"/>
              </w:rPr>
              <w:t>]</w:t>
            </w:r>
          </w:p>
        </w:tc>
        <w:tc>
          <w:tcPr>
            <w:tcW w:w="2404" w:type="dxa"/>
            <w:tcBorders>
              <w:right w:val="nil"/>
            </w:tcBorders>
            <w:vAlign w:val="center"/>
          </w:tcPr>
          <w:p w14:paraId="609C9512" w14:textId="77777777" w:rsidR="00E9333E" w:rsidRPr="00B87450" w:rsidRDefault="00E9333E" w:rsidP="00005BE2">
            <w:pPr>
              <w:jc w:val="center"/>
              <w:rPr>
                <w:b/>
                <w:bCs/>
                <w:color w:val="000000" w:themeColor="text1"/>
                <w:sz w:val="20"/>
                <w:szCs w:val="20"/>
                <w:shd w:val="clear" w:color="auto" w:fill="FFFFFF"/>
              </w:rPr>
            </w:pPr>
            <w:r w:rsidRPr="00B87450">
              <w:rPr>
                <w:b/>
                <w:bCs/>
                <w:color w:val="000000" w:themeColor="text1"/>
                <w:sz w:val="20"/>
                <w:szCs w:val="20"/>
                <w:shd w:val="clear" w:color="auto" w:fill="FFFFFF"/>
              </w:rPr>
              <w:t>510</w:t>
            </w:r>
          </w:p>
        </w:tc>
      </w:tr>
      <w:tr w:rsidR="00E9333E" w14:paraId="35D6BBE4" w14:textId="77777777" w:rsidTr="00005BE2">
        <w:tc>
          <w:tcPr>
            <w:tcW w:w="4106" w:type="dxa"/>
            <w:tcBorders>
              <w:left w:val="nil"/>
            </w:tcBorders>
          </w:tcPr>
          <w:p w14:paraId="6399F8F0" w14:textId="675A9C4D" w:rsidR="00E9333E" w:rsidRPr="00E9333E" w:rsidRDefault="0057227B" w:rsidP="00005BE2">
            <w:pPr>
              <w:rPr>
                <w:color w:val="000000" w:themeColor="text1"/>
                <w:sz w:val="20"/>
                <w:szCs w:val="20"/>
                <w:shd w:val="clear" w:color="auto" w:fill="FFFFFF"/>
              </w:rPr>
            </w:pPr>
            <w:r>
              <w:rPr>
                <w:color w:val="000000" w:themeColor="text1"/>
                <w:sz w:val="20"/>
                <w:szCs w:val="20"/>
                <w:shd w:val="clear" w:color="auto" w:fill="FFFFFF"/>
              </w:rPr>
              <w:t>IIN</w:t>
            </w:r>
            <w:r w:rsidR="00E9333E" w:rsidRPr="00E9333E">
              <w:rPr>
                <w:color w:val="000000" w:themeColor="text1"/>
                <w:sz w:val="20"/>
                <w:szCs w:val="20"/>
                <w:shd w:val="clear" w:color="auto" w:fill="FFFFFF"/>
              </w:rPr>
              <w:t xml:space="preserve">, </w:t>
            </w:r>
            <w:r w:rsidR="00E9333E" w:rsidRPr="00E9333E">
              <w:rPr>
                <w:i/>
                <w:iCs/>
                <w:color w:val="000000" w:themeColor="text1"/>
                <w:sz w:val="20"/>
                <w:szCs w:val="20"/>
                <w:shd w:val="clear" w:color="auto" w:fill="FFFFFF"/>
              </w:rPr>
              <w:t>euro mēnesī</w:t>
            </w:r>
            <w:r w:rsidR="00E9333E" w:rsidRPr="00EC2B80">
              <w:rPr>
                <w:color w:val="000000" w:themeColor="text1"/>
                <w:sz w:val="20"/>
                <w:szCs w:val="20"/>
                <w:shd w:val="clear" w:color="auto" w:fill="FFFFFF"/>
              </w:rPr>
              <w:t xml:space="preserve">   </w:t>
            </w:r>
          </w:p>
        </w:tc>
        <w:tc>
          <w:tcPr>
            <w:tcW w:w="2552" w:type="dxa"/>
            <w:vAlign w:val="center"/>
          </w:tcPr>
          <w:p w14:paraId="24EFE954" w14:textId="77777777" w:rsidR="00E9333E" w:rsidRPr="00B87450" w:rsidRDefault="00E9333E" w:rsidP="00005BE2">
            <w:pPr>
              <w:jc w:val="center"/>
              <w:rPr>
                <w:b/>
                <w:bCs/>
                <w:color w:val="000000" w:themeColor="text1"/>
                <w:sz w:val="20"/>
                <w:szCs w:val="20"/>
                <w:shd w:val="clear" w:color="auto" w:fill="FFFFFF"/>
              </w:rPr>
            </w:pPr>
            <w:r w:rsidRPr="00B87450">
              <w:rPr>
                <w:b/>
                <w:bCs/>
                <w:color w:val="000000" w:themeColor="text1"/>
                <w:sz w:val="20"/>
                <w:szCs w:val="20"/>
                <w:shd w:val="clear" w:color="auto" w:fill="FFFFFF"/>
              </w:rPr>
              <w:t>40,68</w:t>
            </w:r>
          </w:p>
          <w:p w14:paraId="22D702B3" w14:textId="77777777" w:rsidR="00E9333E" w:rsidRPr="00E9333E" w:rsidRDefault="00E9333E" w:rsidP="00005BE2">
            <w:pPr>
              <w:jc w:val="center"/>
              <w:rPr>
                <w:i/>
                <w:iCs/>
                <w:color w:val="000000" w:themeColor="text1"/>
                <w:sz w:val="18"/>
                <w:szCs w:val="18"/>
                <w:shd w:val="clear" w:color="auto" w:fill="FFFFFF"/>
              </w:rPr>
            </w:pPr>
            <w:r w:rsidRPr="00E9333E">
              <w:rPr>
                <w:i/>
                <w:iCs/>
                <w:color w:val="000000" w:themeColor="text1"/>
                <w:sz w:val="18"/>
                <w:szCs w:val="18"/>
                <w:shd w:val="clear" w:color="auto" w:fill="FFFFFF"/>
              </w:rPr>
              <w:t>[</w:t>
            </w:r>
            <w:r w:rsidRPr="00B87450">
              <w:rPr>
                <w:b/>
                <w:bCs/>
                <w:i/>
                <w:iCs/>
                <w:color w:val="000000" w:themeColor="text1"/>
                <w:sz w:val="18"/>
                <w:szCs w:val="18"/>
                <w:shd w:val="clear" w:color="auto" w:fill="FFFFFF"/>
              </w:rPr>
              <w:t>700</w:t>
            </w:r>
            <w:r w:rsidRPr="00EC2B80">
              <w:rPr>
                <w:i/>
                <w:iCs/>
                <w:color w:val="000000" w:themeColor="text1"/>
                <w:sz w:val="18"/>
                <w:szCs w:val="18"/>
                <w:shd w:val="clear" w:color="auto" w:fill="FFFFFF"/>
              </w:rPr>
              <w:t xml:space="preserve"> - 73,50 –  423,08) x 20%</w:t>
            </w:r>
            <w:r w:rsidRPr="00E9333E">
              <w:rPr>
                <w:i/>
                <w:iCs/>
                <w:color w:val="000000" w:themeColor="text1"/>
                <w:sz w:val="18"/>
                <w:szCs w:val="18"/>
                <w:shd w:val="clear" w:color="auto" w:fill="FFFFFF"/>
              </w:rPr>
              <w:t>]</w:t>
            </w:r>
          </w:p>
        </w:tc>
        <w:tc>
          <w:tcPr>
            <w:tcW w:w="2404" w:type="dxa"/>
            <w:tcBorders>
              <w:right w:val="nil"/>
            </w:tcBorders>
            <w:vAlign w:val="center"/>
          </w:tcPr>
          <w:p w14:paraId="2D8F55EF" w14:textId="77777777" w:rsidR="00E9333E" w:rsidRPr="00B87450" w:rsidRDefault="00E9333E" w:rsidP="00005BE2">
            <w:pPr>
              <w:jc w:val="center"/>
              <w:rPr>
                <w:b/>
                <w:bCs/>
                <w:color w:val="000000" w:themeColor="text1"/>
                <w:sz w:val="20"/>
                <w:szCs w:val="20"/>
                <w:shd w:val="clear" w:color="auto" w:fill="FFFFFF"/>
              </w:rPr>
            </w:pPr>
            <w:r w:rsidRPr="00B87450">
              <w:rPr>
                <w:b/>
                <w:bCs/>
                <w:color w:val="000000" w:themeColor="text1"/>
                <w:sz w:val="20"/>
                <w:szCs w:val="20"/>
                <w:shd w:val="clear" w:color="auto" w:fill="FFFFFF"/>
              </w:rPr>
              <w:t xml:space="preserve">38,84 </w:t>
            </w:r>
          </w:p>
          <w:p w14:paraId="6EE0818C" w14:textId="77777777" w:rsidR="00E9333E" w:rsidRPr="00E9333E" w:rsidRDefault="00E9333E" w:rsidP="00005BE2">
            <w:pPr>
              <w:jc w:val="center"/>
              <w:rPr>
                <w:i/>
                <w:iCs/>
                <w:color w:val="000000" w:themeColor="text1"/>
                <w:sz w:val="18"/>
                <w:szCs w:val="18"/>
                <w:shd w:val="clear" w:color="auto" w:fill="FFFFFF"/>
              </w:rPr>
            </w:pPr>
            <w:r w:rsidRPr="00E9333E">
              <w:rPr>
                <w:i/>
                <w:iCs/>
                <w:color w:val="000000" w:themeColor="text1"/>
                <w:sz w:val="18"/>
                <w:szCs w:val="18"/>
                <w:shd w:val="clear" w:color="auto" w:fill="FFFFFF"/>
              </w:rPr>
              <w:t>[</w:t>
            </w:r>
            <w:r w:rsidRPr="00B87450">
              <w:rPr>
                <w:b/>
                <w:bCs/>
                <w:i/>
                <w:iCs/>
                <w:color w:val="000000" w:themeColor="text1"/>
                <w:sz w:val="18"/>
                <w:szCs w:val="18"/>
                <w:shd w:val="clear" w:color="auto" w:fill="FFFFFF"/>
              </w:rPr>
              <w:t>740</w:t>
            </w:r>
            <w:r w:rsidRPr="00EC2B80">
              <w:rPr>
                <w:i/>
                <w:iCs/>
                <w:color w:val="000000" w:themeColor="text1"/>
                <w:sz w:val="18"/>
                <w:szCs w:val="18"/>
                <w:shd w:val="clear" w:color="auto" w:fill="FFFFFF"/>
              </w:rPr>
              <w:t xml:space="preserve"> – 77,70 – 510) x 25,5%</w:t>
            </w:r>
            <w:r w:rsidRPr="00E9333E">
              <w:rPr>
                <w:i/>
                <w:iCs/>
                <w:color w:val="000000" w:themeColor="text1"/>
                <w:sz w:val="18"/>
                <w:szCs w:val="18"/>
                <w:shd w:val="clear" w:color="auto" w:fill="FFFFFF"/>
              </w:rPr>
              <w:t>]</w:t>
            </w:r>
            <w:r w:rsidRPr="00EC2B80">
              <w:rPr>
                <w:i/>
                <w:iCs/>
                <w:color w:val="000000" w:themeColor="text1"/>
                <w:sz w:val="18"/>
                <w:szCs w:val="18"/>
                <w:shd w:val="clear" w:color="auto" w:fill="FFFFFF"/>
              </w:rPr>
              <w:t xml:space="preserve"> </w:t>
            </w:r>
          </w:p>
        </w:tc>
      </w:tr>
      <w:tr w:rsidR="00E9333E" w14:paraId="7F972AA3" w14:textId="77777777" w:rsidTr="00B87450">
        <w:tc>
          <w:tcPr>
            <w:tcW w:w="4106" w:type="dxa"/>
            <w:tcBorders>
              <w:left w:val="nil"/>
            </w:tcBorders>
            <w:shd w:val="clear" w:color="auto" w:fill="FFF2CC" w:themeFill="accent4" w:themeFillTint="33"/>
          </w:tcPr>
          <w:p w14:paraId="09F2E030" w14:textId="373C9E0B" w:rsidR="00E9333E" w:rsidRPr="00B87450" w:rsidRDefault="00E9333E" w:rsidP="00005BE2">
            <w:pPr>
              <w:contextualSpacing/>
              <w:rPr>
                <w:b/>
                <w:bCs/>
                <w:sz w:val="20"/>
                <w:szCs w:val="20"/>
              </w:rPr>
            </w:pPr>
            <w:r w:rsidRPr="00B87450">
              <w:rPr>
                <w:b/>
                <w:bCs/>
                <w:sz w:val="20"/>
                <w:szCs w:val="20"/>
              </w:rPr>
              <w:t xml:space="preserve">Neto </w:t>
            </w:r>
            <w:r w:rsidR="001D2593" w:rsidRPr="001D2593">
              <w:rPr>
                <w:b/>
                <w:bCs/>
                <w:sz w:val="20"/>
                <w:szCs w:val="20"/>
              </w:rPr>
              <w:t>darba</w:t>
            </w:r>
            <w:r w:rsidR="001D2593">
              <w:rPr>
                <w:b/>
                <w:bCs/>
                <w:sz w:val="20"/>
                <w:szCs w:val="20"/>
              </w:rPr>
              <w:t xml:space="preserve"> alga</w:t>
            </w:r>
            <w:r w:rsidRPr="00B87450">
              <w:rPr>
                <w:b/>
                <w:bCs/>
                <w:sz w:val="20"/>
                <w:szCs w:val="20"/>
              </w:rPr>
              <w:t xml:space="preserve">, </w:t>
            </w:r>
            <w:r w:rsidRPr="001D2593">
              <w:rPr>
                <w:i/>
                <w:iCs/>
                <w:sz w:val="20"/>
                <w:szCs w:val="20"/>
              </w:rPr>
              <w:t>euro</w:t>
            </w:r>
            <w:r w:rsidRPr="001D2593">
              <w:rPr>
                <w:sz w:val="20"/>
                <w:szCs w:val="20"/>
              </w:rPr>
              <w:t xml:space="preserve"> </w:t>
            </w:r>
            <w:r w:rsidRPr="001D2593">
              <w:rPr>
                <w:i/>
                <w:iCs/>
                <w:sz w:val="20"/>
                <w:szCs w:val="20"/>
              </w:rPr>
              <w:t>mēnesī</w:t>
            </w:r>
            <w:r w:rsidRPr="00B87450">
              <w:rPr>
                <w:b/>
                <w:bCs/>
                <w:sz w:val="20"/>
                <w:szCs w:val="20"/>
              </w:rPr>
              <w:t xml:space="preserve">   </w:t>
            </w:r>
          </w:p>
        </w:tc>
        <w:tc>
          <w:tcPr>
            <w:tcW w:w="2552" w:type="dxa"/>
            <w:shd w:val="clear" w:color="auto" w:fill="FFF2CC" w:themeFill="accent4" w:themeFillTint="33"/>
            <w:vAlign w:val="center"/>
          </w:tcPr>
          <w:p w14:paraId="458F5A6B" w14:textId="77777777" w:rsidR="00E9333E" w:rsidRPr="00B87450" w:rsidRDefault="00E9333E" w:rsidP="00005BE2">
            <w:pPr>
              <w:contextualSpacing/>
              <w:jc w:val="center"/>
              <w:rPr>
                <w:b/>
                <w:bCs/>
                <w:sz w:val="20"/>
                <w:szCs w:val="20"/>
              </w:rPr>
            </w:pPr>
            <w:r w:rsidRPr="00B87450">
              <w:rPr>
                <w:b/>
                <w:bCs/>
                <w:sz w:val="20"/>
                <w:szCs w:val="20"/>
              </w:rPr>
              <w:t xml:space="preserve">585,82 </w:t>
            </w:r>
          </w:p>
          <w:p w14:paraId="278C9191" w14:textId="77777777" w:rsidR="00E9333E" w:rsidRPr="00B87450" w:rsidRDefault="00E9333E" w:rsidP="00005BE2">
            <w:pPr>
              <w:contextualSpacing/>
              <w:jc w:val="center"/>
              <w:rPr>
                <w:i/>
                <w:iCs/>
                <w:sz w:val="18"/>
                <w:szCs w:val="18"/>
              </w:rPr>
            </w:pPr>
            <w:r w:rsidRPr="00B87450">
              <w:rPr>
                <w:i/>
                <w:iCs/>
                <w:sz w:val="18"/>
                <w:szCs w:val="18"/>
              </w:rPr>
              <w:t>[</w:t>
            </w:r>
            <w:r w:rsidRPr="00B87450">
              <w:rPr>
                <w:b/>
                <w:bCs/>
                <w:i/>
                <w:iCs/>
                <w:sz w:val="18"/>
                <w:szCs w:val="18"/>
              </w:rPr>
              <w:t>700</w:t>
            </w:r>
            <w:r w:rsidRPr="00B87450">
              <w:rPr>
                <w:i/>
                <w:iCs/>
                <w:sz w:val="18"/>
                <w:szCs w:val="18"/>
              </w:rPr>
              <w:t xml:space="preserve"> - 73,50 – 40,68]</w:t>
            </w:r>
          </w:p>
        </w:tc>
        <w:tc>
          <w:tcPr>
            <w:tcW w:w="2404" w:type="dxa"/>
            <w:tcBorders>
              <w:right w:val="nil"/>
            </w:tcBorders>
            <w:shd w:val="clear" w:color="auto" w:fill="FFF2CC" w:themeFill="accent4" w:themeFillTint="33"/>
            <w:vAlign w:val="center"/>
          </w:tcPr>
          <w:p w14:paraId="56B92138" w14:textId="77777777" w:rsidR="00E9333E" w:rsidRPr="00B87450" w:rsidRDefault="00E9333E" w:rsidP="00005BE2">
            <w:pPr>
              <w:contextualSpacing/>
              <w:jc w:val="center"/>
              <w:rPr>
                <w:b/>
                <w:bCs/>
                <w:sz w:val="20"/>
                <w:szCs w:val="20"/>
              </w:rPr>
            </w:pPr>
            <w:r w:rsidRPr="00B87450">
              <w:rPr>
                <w:b/>
                <w:bCs/>
                <w:sz w:val="20"/>
                <w:szCs w:val="20"/>
              </w:rPr>
              <w:t>623,46</w:t>
            </w:r>
          </w:p>
          <w:p w14:paraId="173C4E5E" w14:textId="77777777" w:rsidR="00E9333E" w:rsidRPr="00B87450" w:rsidRDefault="00E9333E" w:rsidP="00005BE2">
            <w:pPr>
              <w:contextualSpacing/>
              <w:jc w:val="center"/>
              <w:rPr>
                <w:i/>
                <w:iCs/>
                <w:sz w:val="18"/>
                <w:szCs w:val="18"/>
              </w:rPr>
            </w:pPr>
            <w:r w:rsidRPr="00B87450">
              <w:rPr>
                <w:i/>
                <w:iCs/>
                <w:sz w:val="18"/>
                <w:szCs w:val="18"/>
              </w:rPr>
              <w:t>[</w:t>
            </w:r>
            <w:r w:rsidRPr="00B87450">
              <w:rPr>
                <w:b/>
                <w:bCs/>
                <w:i/>
                <w:iCs/>
                <w:sz w:val="18"/>
                <w:szCs w:val="18"/>
              </w:rPr>
              <w:t>740</w:t>
            </w:r>
            <w:r w:rsidRPr="00B87450">
              <w:rPr>
                <w:i/>
                <w:iCs/>
                <w:sz w:val="18"/>
                <w:szCs w:val="18"/>
              </w:rPr>
              <w:t xml:space="preserve"> – 77,70 - 38,84]</w:t>
            </w:r>
          </w:p>
        </w:tc>
      </w:tr>
      <w:tr w:rsidR="00E9333E" w14:paraId="19109575" w14:textId="77777777" w:rsidTr="00005BE2">
        <w:tc>
          <w:tcPr>
            <w:tcW w:w="4106" w:type="dxa"/>
            <w:tcBorders>
              <w:left w:val="nil"/>
              <w:bottom w:val="nil"/>
            </w:tcBorders>
          </w:tcPr>
          <w:p w14:paraId="654B9BC9" w14:textId="18079254" w:rsidR="00E9333E" w:rsidRPr="00EC2B80" w:rsidRDefault="00E9333E" w:rsidP="00005BE2">
            <w:pPr>
              <w:rPr>
                <w:b/>
                <w:bCs/>
                <w:color w:val="000000" w:themeColor="text1"/>
                <w:sz w:val="20"/>
                <w:szCs w:val="20"/>
                <w:shd w:val="clear" w:color="auto" w:fill="FFFFFF"/>
              </w:rPr>
            </w:pPr>
            <w:r w:rsidRPr="00EC2B80">
              <w:rPr>
                <w:b/>
                <w:bCs/>
                <w:color w:val="000000" w:themeColor="text1"/>
                <w:sz w:val="20"/>
                <w:szCs w:val="20"/>
                <w:shd w:val="clear" w:color="auto" w:fill="FFFFFF"/>
              </w:rPr>
              <w:t xml:space="preserve">Starpība starp neto </w:t>
            </w:r>
            <w:r w:rsidR="001B1642" w:rsidRPr="001D2593">
              <w:rPr>
                <w:b/>
                <w:bCs/>
                <w:sz w:val="20"/>
                <w:szCs w:val="20"/>
              </w:rPr>
              <w:t xml:space="preserve">darba </w:t>
            </w:r>
            <w:r w:rsidR="001B1642" w:rsidRPr="00B87450">
              <w:rPr>
                <w:b/>
                <w:bCs/>
                <w:sz w:val="20"/>
                <w:szCs w:val="20"/>
              </w:rPr>
              <w:t>alg</w:t>
            </w:r>
            <w:r w:rsidR="001B1642">
              <w:rPr>
                <w:b/>
                <w:bCs/>
                <w:sz w:val="20"/>
                <w:szCs w:val="20"/>
              </w:rPr>
              <w:t>u</w:t>
            </w:r>
            <w:r w:rsidR="001B1642" w:rsidRPr="00EC2B80">
              <w:rPr>
                <w:b/>
                <w:bCs/>
                <w:color w:val="000000" w:themeColor="text1"/>
                <w:sz w:val="20"/>
                <w:szCs w:val="20"/>
                <w:shd w:val="clear" w:color="auto" w:fill="FFFFFF"/>
              </w:rPr>
              <w:t xml:space="preserve"> </w:t>
            </w:r>
            <w:r w:rsidRPr="00EC2B80">
              <w:rPr>
                <w:b/>
                <w:bCs/>
                <w:color w:val="000000" w:themeColor="text1"/>
                <w:sz w:val="20"/>
                <w:szCs w:val="20"/>
                <w:shd w:val="clear" w:color="auto" w:fill="FFFFFF"/>
              </w:rPr>
              <w:t>2025.</w:t>
            </w:r>
            <w:r w:rsidR="00212BD8">
              <w:rPr>
                <w:b/>
                <w:bCs/>
                <w:color w:val="000000" w:themeColor="text1"/>
                <w:sz w:val="20"/>
                <w:szCs w:val="20"/>
                <w:shd w:val="clear" w:color="auto" w:fill="FFFFFF"/>
              </w:rPr>
              <w:t> </w:t>
            </w:r>
            <w:r w:rsidRPr="00EC2B80">
              <w:rPr>
                <w:b/>
                <w:bCs/>
                <w:color w:val="000000" w:themeColor="text1"/>
                <w:sz w:val="20"/>
                <w:szCs w:val="20"/>
                <w:shd w:val="clear" w:color="auto" w:fill="FFFFFF"/>
              </w:rPr>
              <w:t>gadā un 2024.</w:t>
            </w:r>
            <w:r w:rsidR="00212BD8">
              <w:rPr>
                <w:b/>
                <w:bCs/>
                <w:color w:val="000000" w:themeColor="text1"/>
                <w:sz w:val="20"/>
                <w:szCs w:val="20"/>
                <w:shd w:val="clear" w:color="auto" w:fill="FFFFFF"/>
              </w:rPr>
              <w:t> </w:t>
            </w:r>
            <w:r w:rsidRPr="00EC2B80">
              <w:rPr>
                <w:b/>
                <w:bCs/>
                <w:color w:val="000000" w:themeColor="text1"/>
                <w:sz w:val="20"/>
                <w:szCs w:val="20"/>
                <w:shd w:val="clear" w:color="auto" w:fill="FFFFFF"/>
              </w:rPr>
              <w:t>gadā</w:t>
            </w:r>
            <w:r w:rsidR="001D2593" w:rsidRPr="001D2593">
              <w:rPr>
                <w:sz w:val="20"/>
                <w:szCs w:val="20"/>
              </w:rPr>
              <w:t>,</w:t>
            </w:r>
            <w:r w:rsidR="001D2593" w:rsidRPr="00B87450">
              <w:rPr>
                <w:b/>
                <w:bCs/>
                <w:sz w:val="20"/>
                <w:szCs w:val="20"/>
              </w:rPr>
              <w:t xml:space="preserve"> </w:t>
            </w:r>
            <w:r w:rsidR="001D2593" w:rsidRPr="001D2593">
              <w:rPr>
                <w:i/>
                <w:iCs/>
                <w:sz w:val="20"/>
                <w:szCs w:val="20"/>
              </w:rPr>
              <w:t>euro</w:t>
            </w:r>
            <w:r w:rsidR="001D2593" w:rsidRPr="001D2593">
              <w:rPr>
                <w:sz w:val="20"/>
                <w:szCs w:val="20"/>
              </w:rPr>
              <w:t xml:space="preserve"> </w:t>
            </w:r>
            <w:r w:rsidR="001D2593" w:rsidRPr="001D2593">
              <w:rPr>
                <w:i/>
                <w:iCs/>
                <w:sz w:val="20"/>
                <w:szCs w:val="20"/>
              </w:rPr>
              <w:t>mēnesī</w:t>
            </w:r>
            <w:r w:rsidR="001D2593" w:rsidRPr="00B87450">
              <w:rPr>
                <w:b/>
                <w:bCs/>
                <w:sz w:val="20"/>
                <w:szCs w:val="20"/>
              </w:rPr>
              <w:t xml:space="preserve">   </w:t>
            </w:r>
          </w:p>
        </w:tc>
        <w:tc>
          <w:tcPr>
            <w:tcW w:w="4956" w:type="dxa"/>
            <w:gridSpan w:val="2"/>
            <w:tcBorders>
              <w:bottom w:val="nil"/>
              <w:right w:val="nil"/>
            </w:tcBorders>
            <w:vAlign w:val="center"/>
          </w:tcPr>
          <w:p w14:paraId="20A44F81" w14:textId="77777777" w:rsidR="00E9333E" w:rsidRPr="00E9333E" w:rsidRDefault="00E9333E" w:rsidP="00005BE2">
            <w:pPr>
              <w:jc w:val="center"/>
              <w:rPr>
                <w:b/>
                <w:bCs/>
                <w:color w:val="00B050"/>
                <w:sz w:val="20"/>
                <w:szCs w:val="20"/>
                <w:shd w:val="clear" w:color="auto" w:fill="FFFFFF"/>
              </w:rPr>
            </w:pPr>
            <w:r w:rsidRPr="00EC2B80">
              <w:rPr>
                <w:b/>
                <w:bCs/>
                <w:color w:val="00B050"/>
                <w:sz w:val="20"/>
                <w:szCs w:val="20"/>
                <w:shd w:val="clear" w:color="auto" w:fill="FFFFFF"/>
              </w:rPr>
              <w:t>+37,64</w:t>
            </w:r>
          </w:p>
          <w:p w14:paraId="62019687" w14:textId="77777777" w:rsidR="00E9333E" w:rsidRDefault="00E9333E" w:rsidP="00005BE2">
            <w:pPr>
              <w:jc w:val="center"/>
              <w:rPr>
                <w:i/>
                <w:iCs/>
                <w:color w:val="000000" w:themeColor="text1"/>
                <w:sz w:val="18"/>
                <w:szCs w:val="18"/>
                <w:shd w:val="clear" w:color="auto" w:fill="FFFFFF"/>
              </w:rPr>
            </w:pPr>
            <w:r w:rsidRPr="00E9333E">
              <w:rPr>
                <w:i/>
                <w:iCs/>
                <w:color w:val="000000" w:themeColor="text1"/>
                <w:sz w:val="18"/>
                <w:szCs w:val="18"/>
                <w:shd w:val="clear" w:color="auto" w:fill="FFFFFF"/>
              </w:rPr>
              <w:t>[</w:t>
            </w:r>
            <w:r w:rsidRPr="00EC2B80">
              <w:rPr>
                <w:i/>
                <w:iCs/>
                <w:color w:val="000000" w:themeColor="text1"/>
                <w:sz w:val="18"/>
                <w:szCs w:val="18"/>
                <w:shd w:val="clear" w:color="auto" w:fill="FFFFFF"/>
              </w:rPr>
              <w:t>585,82 – 623,46</w:t>
            </w:r>
            <w:r w:rsidRPr="00E9333E">
              <w:rPr>
                <w:i/>
                <w:iCs/>
                <w:color w:val="000000" w:themeColor="text1"/>
                <w:sz w:val="18"/>
                <w:szCs w:val="18"/>
                <w:shd w:val="clear" w:color="auto" w:fill="FFFFFF"/>
              </w:rPr>
              <w:t>]</w:t>
            </w:r>
          </w:p>
          <w:p w14:paraId="5A8AC767" w14:textId="77777777" w:rsidR="001B1642" w:rsidRPr="00E9333E" w:rsidRDefault="001B1642" w:rsidP="00005BE2">
            <w:pPr>
              <w:jc w:val="center"/>
              <w:rPr>
                <w:b/>
                <w:bCs/>
                <w:i/>
                <w:iCs/>
                <w:color w:val="000000" w:themeColor="text1"/>
                <w:sz w:val="18"/>
                <w:szCs w:val="18"/>
                <w:shd w:val="clear" w:color="auto" w:fill="FFFFFF"/>
              </w:rPr>
            </w:pPr>
          </w:p>
        </w:tc>
      </w:tr>
    </w:tbl>
    <w:p w14:paraId="161CE72E" w14:textId="55A4FA17" w:rsidR="00E9333E" w:rsidRPr="001D2593" w:rsidRDefault="001D2593" w:rsidP="00E9333E">
      <w:pPr>
        <w:pStyle w:val="ListParagraph"/>
        <w:numPr>
          <w:ilvl w:val="0"/>
          <w:numId w:val="27"/>
        </w:numPr>
        <w:tabs>
          <w:tab w:val="left" w:pos="3402"/>
        </w:tabs>
        <w:spacing w:after="120"/>
        <w:rPr>
          <w:color w:val="000000" w:themeColor="text1"/>
          <w:sz w:val="20"/>
          <w:szCs w:val="20"/>
          <w:shd w:val="clear" w:color="auto" w:fill="FFFFFF"/>
        </w:rPr>
      </w:pPr>
      <w:r w:rsidRPr="001D2593">
        <w:rPr>
          <w:b/>
          <w:bCs/>
          <w:color w:val="000000" w:themeColor="text1"/>
          <w:sz w:val="20"/>
          <w:szCs w:val="20"/>
          <w:u w:val="single"/>
          <w:shd w:val="clear" w:color="auto" w:fill="FFFFFF"/>
        </w:rPr>
        <w:t xml:space="preserve">darbinieks ar </w:t>
      </w:r>
      <w:r>
        <w:rPr>
          <w:b/>
          <w:bCs/>
          <w:color w:val="000000" w:themeColor="text1"/>
          <w:sz w:val="20"/>
          <w:szCs w:val="20"/>
          <w:u w:val="single"/>
          <w:shd w:val="clear" w:color="auto" w:fill="FFFFFF"/>
        </w:rPr>
        <w:t xml:space="preserve">darba </w:t>
      </w:r>
      <w:r w:rsidR="00E9333E" w:rsidRPr="001D2593">
        <w:rPr>
          <w:b/>
          <w:bCs/>
          <w:color w:val="000000" w:themeColor="text1"/>
          <w:sz w:val="20"/>
          <w:szCs w:val="20"/>
          <w:u w:val="single"/>
          <w:shd w:val="clear" w:color="auto" w:fill="FFFFFF"/>
        </w:rPr>
        <w:t>alg</w:t>
      </w:r>
      <w:r w:rsidRPr="001D2593">
        <w:rPr>
          <w:b/>
          <w:bCs/>
          <w:color w:val="000000" w:themeColor="text1"/>
          <w:sz w:val="20"/>
          <w:szCs w:val="20"/>
          <w:u w:val="single"/>
          <w:shd w:val="clear" w:color="auto" w:fill="FFFFFF"/>
        </w:rPr>
        <w:t>u</w:t>
      </w:r>
      <w:r w:rsidR="00E9333E" w:rsidRPr="001D2593">
        <w:rPr>
          <w:color w:val="000000" w:themeColor="text1"/>
          <w:sz w:val="20"/>
          <w:szCs w:val="20"/>
          <w:u w:val="single"/>
          <w:shd w:val="clear" w:color="auto" w:fill="FFFFFF"/>
        </w:rPr>
        <w:t xml:space="preserve">– </w:t>
      </w:r>
      <w:r w:rsidR="00E9333E" w:rsidRPr="001D2593">
        <w:rPr>
          <w:b/>
          <w:bCs/>
          <w:color w:val="000000" w:themeColor="text1"/>
          <w:sz w:val="20"/>
          <w:szCs w:val="20"/>
          <w:u w:val="single"/>
          <w:shd w:val="clear" w:color="auto" w:fill="FFFFFF"/>
        </w:rPr>
        <w:t>1 </w:t>
      </w:r>
      <w:r w:rsidR="00FA7133" w:rsidRPr="001D2593">
        <w:rPr>
          <w:b/>
          <w:bCs/>
          <w:color w:val="000000" w:themeColor="text1"/>
          <w:sz w:val="20"/>
          <w:szCs w:val="20"/>
          <w:u w:val="single"/>
          <w:shd w:val="clear" w:color="auto" w:fill="FFFFFF"/>
        </w:rPr>
        <w:t>600</w:t>
      </w:r>
      <w:r w:rsidR="00E9333E" w:rsidRPr="001D2593">
        <w:rPr>
          <w:b/>
          <w:bCs/>
          <w:color w:val="000000" w:themeColor="text1"/>
          <w:sz w:val="20"/>
          <w:szCs w:val="20"/>
          <w:u w:val="single"/>
          <w:shd w:val="clear" w:color="auto" w:fill="FFFFFF"/>
        </w:rPr>
        <w:t xml:space="preserve"> </w:t>
      </w:r>
      <w:r w:rsidR="00E9333E" w:rsidRPr="001D2593">
        <w:rPr>
          <w:i/>
          <w:iCs/>
          <w:color w:val="000000" w:themeColor="text1"/>
          <w:sz w:val="20"/>
          <w:szCs w:val="20"/>
          <w:u w:val="single"/>
          <w:shd w:val="clear" w:color="auto" w:fill="FFFFFF"/>
        </w:rPr>
        <w:t>euro</w:t>
      </w:r>
      <w:r w:rsidR="00E9333E" w:rsidRPr="001D2593">
        <w:rPr>
          <w:color w:val="000000" w:themeColor="text1"/>
          <w:sz w:val="20"/>
          <w:szCs w:val="20"/>
          <w:u w:val="single"/>
          <w:shd w:val="clear" w:color="auto" w:fill="FFFFFF"/>
        </w:rPr>
        <w:t xml:space="preserve"> mēnesī</w:t>
      </w:r>
      <w:r w:rsidRPr="001D2593">
        <w:rPr>
          <w:b/>
          <w:bCs/>
          <w:color w:val="000000" w:themeColor="text1"/>
          <w:sz w:val="20"/>
          <w:szCs w:val="20"/>
          <w:shd w:val="clear" w:color="auto" w:fill="FFFFFF"/>
        </w:rPr>
        <w:t xml:space="preserve"> </w:t>
      </w:r>
      <w:r w:rsidRPr="001D2593">
        <w:rPr>
          <w:color w:val="000000" w:themeColor="text1"/>
          <w:sz w:val="20"/>
          <w:szCs w:val="20"/>
          <w:shd w:val="clear" w:color="auto" w:fill="FFFFFF"/>
        </w:rPr>
        <w:t>pirms nodokļu nomaksas</w:t>
      </w:r>
    </w:p>
    <w:tbl>
      <w:tblPr>
        <w:tblStyle w:val="TableGrid"/>
        <w:tblW w:w="9356" w:type="dxa"/>
        <w:tblLook w:val="04A0" w:firstRow="1" w:lastRow="0" w:firstColumn="1" w:lastColumn="0" w:noHBand="0" w:noVBand="1"/>
      </w:tblPr>
      <w:tblGrid>
        <w:gridCol w:w="3828"/>
        <w:gridCol w:w="2835"/>
        <w:gridCol w:w="2693"/>
      </w:tblGrid>
      <w:tr w:rsidR="0095554D" w14:paraId="3EF3876D" w14:textId="77777777" w:rsidTr="00277A2F">
        <w:tc>
          <w:tcPr>
            <w:tcW w:w="3828" w:type="dxa"/>
            <w:tcBorders>
              <w:top w:val="nil"/>
              <w:left w:val="nil"/>
            </w:tcBorders>
          </w:tcPr>
          <w:p w14:paraId="1E3DE994" w14:textId="77777777" w:rsidR="0095554D" w:rsidRDefault="0095554D" w:rsidP="00277A2F">
            <w:pPr>
              <w:rPr>
                <w:color w:val="000000" w:themeColor="text1"/>
                <w:sz w:val="20"/>
                <w:szCs w:val="20"/>
                <w:shd w:val="clear" w:color="auto" w:fill="FFFFFF"/>
              </w:rPr>
            </w:pPr>
          </w:p>
        </w:tc>
        <w:tc>
          <w:tcPr>
            <w:tcW w:w="2835" w:type="dxa"/>
            <w:tcBorders>
              <w:top w:val="nil"/>
            </w:tcBorders>
            <w:vAlign w:val="center"/>
          </w:tcPr>
          <w:p w14:paraId="4836A1BD" w14:textId="2C0DEBD9" w:rsidR="0095554D" w:rsidRDefault="0095554D" w:rsidP="00277A2F">
            <w:pPr>
              <w:jc w:val="center"/>
              <w:rPr>
                <w:color w:val="000000" w:themeColor="text1"/>
                <w:sz w:val="20"/>
                <w:szCs w:val="20"/>
                <w:shd w:val="clear" w:color="auto" w:fill="FFFFFF"/>
              </w:rPr>
            </w:pPr>
            <w:r w:rsidRPr="00EC2B80">
              <w:rPr>
                <w:b/>
                <w:bCs/>
                <w:color w:val="000000" w:themeColor="text1"/>
                <w:sz w:val="20"/>
                <w:szCs w:val="20"/>
                <w:shd w:val="clear" w:color="auto" w:fill="FFFFFF"/>
              </w:rPr>
              <w:t>2024.</w:t>
            </w:r>
            <w:r w:rsidR="00212BD8">
              <w:rPr>
                <w:b/>
                <w:bCs/>
                <w:color w:val="000000" w:themeColor="text1"/>
                <w:sz w:val="20"/>
                <w:szCs w:val="20"/>
                <w:shd w:val="clear" w:color="auto" w:fill="FFFFFF"/>
              </w:rPr>
              <w:t> </w:t>
            </w:r>
            <w:r w:rsidRPr="00EC2B80">
              <w:rPr>
                <w:b/>
                <w:bCs/>
                <w:color w:val="000000" w:themeColor="text1"/>
                <w:sz w:val="20"/>
                <w:szCs w:val="20"/>
                <w:shd w:val="clear" w:color="auto" w:fill="FFFFFF"/>
              </w:rPr>
              <w:t>gadā</w:t>
            </w:r>
          </w:p>
        </w:tc>
        <w:tc>
          <w:tcPr>
            <w:tcW w:w="2693" w:type="dxa"/>
            <w:tcBorders>
              <w:top w:val="nil"/>
              <w:right w:val="nil"/>
            </w:tcBorders>
            <w:vAlign w:val="center"/>
          </w:tcPr>
          <w:p w14:paraId="72E7BABB" w14:textId="7F3BAF2B" w:rsidR="0095554D" w:rsidRDefault="0095554D" w:rsidP="00277A2F">
            <w:pPr>
              <w:jc w:val="center"/>
              <w:rPr>
                <w:color w:val="000000" w:themeColor="text1"/>
                <w:sz w:val="20"/>
                <w:szCs w:val="20"/>
                <w:shd w:val="clear" w:color="auto" w:fill="FFFFFF"/>
              </w:rPr>
            </w:pPr>
            <w:r w:rsidRPr="00EC2B80">
              <w:rPr>
                <w:b/>
                <w:bCs/>
                <w:color w:val="000000" w:themeColor="text1"/>
                <w:sz w:val="20"/>
                <w:szCs w:val="20"/>
                <w:shd w:val="clear" w:color="auto" w:fill="FFFFFF"/>
              </w:rPr>
              <w:t>2025.</w:t>
            </w:r>
            <w:r w:rsidR="00212BD8">
              <w:rPr>
                <w:b/>
                <w:bCs/>
                <w:color w:val="000000" w:themeColor="text1"/>
                <w:sz w:val="20"/>
                <w:szCs w:val="20"/>
                <w:shd w:val="clear" w:color="auto" w:fill="FFFFFF"/>
              </w:rPr>
              <w:t> </w:t>
            </w:r>
            <w:r w:rsidRPr="00EC2B80">
              <w:rPr>
                <w:b/>
                <w:bCs/>
                <w:color w:val="000000" w:themeColor="text1"/>
                <w:sz w:val="20"/>
                <w:szCs w:val="20"/>
                <w:shd w:val="clear" w:color="auto" w:fill="FFFFFF"/>
              </w:rPr>
              <w:t>gadā</w:t>
            </w:r>
          </w:p>
        </w:tc>
      </w:tr>
      <w:tr w:rsidR="0095554D" w:rsidRPr="00E9333E" w14:paraId="1F2DFCFD" w14:textId="77777777" w:rsidTr="00277A2F">
        <w:tc>
          <w:tcPr>
            <w:tcW w:w="3828" w:type="dxa"/>
            <w:tcBorders>
              <w:left w:val="nil"/>
            </w:tcBorders>
            <w:shd w:val="clear" w:color="auto" w:fill="FFF2CC" w:themeFill="accent4" w:themeFillTint="33"/>
          </w:tcPr>
          <w:p w14:paraId="1F9F453B" w14:textId="51EF453F" w:rsidR="0095554D" w:rsidRPr="00E9333E" w:rsidRDefault="0095554D" w:rsidP="00277A2F">
            <w:pPr>
              <w:rPr>
                <w:color w:val="000000" w:themeColor="text1"/>
                <w:sz w:val="20"/>
                <w:szCs w:val="20"/>
                <w:shd w:val="clear" w:color="auto" w:fill="FFFFFF"/>
              </w:rPr>
            </w:pPr>
            <w:r w:rsidRPr="00B87450">
              <w:rPr>
                <w:b/>
                <w:bCs/>
                <w:sz w:val="20"/>
                <w:szCs w:val="20"/>
              </w:rPr>
              <w:t xml:space="preserve">Bruto </w:t>
            </w:r>
            <w:r w:rsidR="001D2593" w:rsidRPr="001D2593">
              <w:rPr>
                <w:b/>
                <w:bCs/>
                <w:sz w:val="20"/>
                <w:szCs w:val="20"/>
              </w:rPr>
              <w:t>darba</w:t>
            </w:r>
            <w:r w:rsidR="001D2593">
              <w:rPr>
                <w:b/>
                <w:bCs/>
                <w:sz w:val="20"/>
                <w:szCs w:val="20"/>
              </w:rPr>
              <w:t xml:space="preserve"> alga</w:t>
            </w:r>
            <w:r w:rsidRPr="00B87450">
              <w:rPr>
                <w:i/>
                <w:iCs/>
                <w:sz w:val="20"/>
                <w:szCs w:val="20"/>
              </w:rPr>
              <w:t>, euro mēnesī</w:t>
            </w:r>
          </w:p>
        </w:tc>
        <w:tc>
          <w:tcPr>
            <w:tcW w:w="2835" w:type="dxa"/>
            <w:shd w:val="clear" w:color="auto" w:fill="FFF2CC" w:themeFill="accent4" w:themeFillTint="33"/>
            <w:vAlign w:val="center"/>
          </w:tcPr>
          <w:p w14:paraId="3C2F99BD" w14:textId="2960777C" w:rsidR="0095554D" w:rsidRPr="00E9333E" w:rsidRDefault="0095554D" w:rsidP="00277A2F">
            <w:pPr>
              <w:jc w:val="center"/>
              <w:rPr>
                <w:b/>
                <w:bCs/>
                <w:color w:val="000000" w:themeColor="text1"/>
                <w:sz w:val="20"/>
                <w:szCs w:val="20"/>
                <w:shd w:val="clear" w:color="auto" w:fill="FFFFFF"/>
              </w:rPr>
            </w:pPr>
            <w:r>
              <w:rPr>
                <w:b/>
                <w:bCs/>
                <w:sz w:val="20"/>
                <w:szCs w:val="20"/>
              </w:rPr>
              <w:t>1 </w:t>
            </w:r>
            <w:r w:rsidR="00FA7133">
              <w:rPr>
                <w:b/>
                <w:bCs/>
                <w:sz w:val="20"/>
                <w:szCs w:val="20"/>
              </w:rPr>
              <w:t>600</w:t>
            </w:r>
          </w:p>
        </w:tc>
        <w:tc>
          <w:tcPr>
            <w:tcW w:w="2693" w:type="dxa"/>
            <w:tcBorders>
              <w:right w:val="nil"/>
            </w:tcBorders>
            <w:shd w:val="clear" w:color="auto" w:fill="FFF2CC" w:themeFill="accent4" w:themeFillTint="33"/>
            <w:vAlign w:val="center"/>
          </w:tcPr>
          <w:p w14:paraId="0929AF12" w14:textId="5AC8AC4B" w:rsidR="0095554D" w:rsidRPr="00E9333E" w:rsidRDefault="0095554D" w:rsidP="00277A2F">
            <w:pPr>
              <w:jc w:val="center"/>
              <w:rPr>
                <w:color w:val="000000" w:themeColor="text1"/>
                <w:sz w:val="20"/>
                <w:szCs w:val="20"/>
                <w:shd w:val="clear" w:color="auto" w:fill="FFFFFF"/>
              </w:rPr>
            </w:pPr>
            <w:r>
              <w:rPr>
                <w:b/>
                <w:bCs/>
                <w:sz w:val="20"/>
                <w:szCs w:val="20"/>
              </w:rPr>
              <w:t>1 </w:t>
            </w:r>
            <w:r w:rsidR="00FA7133">
              <w:rPr>
                <w:b/>
                <w:bCs/>
                <w:sz w:val="20"/>
                <w:szCs w:val="20"/>
              </w:rPr>
              <w:t>600</w:t>
            </w:r>
          </w:p>
        </w:tc>
      </w:tr>
      <w:tr w:rsidR="0095554D" w:rsidRPr="00E9333E" w14:paraId="0A4CABAA" w14:textId="77777777" w:rsidTr="00277A2F">
        <w:tc>
          <w:tcPr>
            <w:tcW w:w="3828" w:type="dxa"/>
            <w:tcBorders>
              <w:left w:val="nil"/>
            </w:tcBorders>
          </w:tcPr>
          <w:p w14:paraId="424F3945" w14:textId="77777777" w:rsidR="0095554D" w:rsidRPr="00E9333E" w:rsidRDefault="0095554D" w:rsidP="00277A2F">
            <w:pPr>
              <w:rPr>
                <w:color w:val="000000" w:themeColor="text1"/>
                <w:sz w:val="20"/>
                <w:szCs w:val="20"/>
                <w:shd w:val="clear" w:color="auto" w:fill="FFFFFF"/>
              </w:rPr>
            </w:pPr>
            <w:r w:rsidRPr="00EC2B80">
              <w:rPr>
                <w:color w:val="000000" w:themeColor="text1"/>
                <w:sz w:val="20"/>
                <w:szCs w:val="20"/>
                <w:shd w:val="clear" w:color="auto" w:fill="FFFFFF"/>
              </w:rPr>
              <w:t>Darba ņēmēja VSAOI</w:t>
            </w:r>
            <w:r w:rsidRPr="00E9333E">
              <w:rPr>
                <w:color w:val="000000" w:themeColor="text1"/>
                <w:sz w:val="20"/>
                <w:szCs w:val="20"/>
                <w:shd w:val="clear" w:color="auto" w:fill="FFFFFF"/>
              </w:rPr>
              <w:t xml:space="preserve">, </w:t>
            </w:r>
            <w:r w:rsidRPr="00E9333E">
              <w:rPr>
                <w:i/>
                <w:iCs/>
                <w:color w:val="000000" w:themeColor="text1"/>
                <w:sz w:val="20"/>
                <w:szCs w:val="20"/>
                <w:shd w:val="clear" w:color="auto" w:fill="FFFFFF"/>
              </w:rPr>
              <w:t>euro mēnesī</w:t>
            </w:r>
            <w:r w:rsidRPr="00EC2B80">
              <w:rPr>
                <w:color w:val="000000" w:themeColor="text1"/>
                <w:sz w:val="20"/>
                <w:szCs w:val="20"/>
                <w:shd w:val="clear" w:color="auto" w:fill="FFFFFF"/>
              </w:rPr>
              <w:t xml:space="preserve">   </w:t>
            </w:r>
          </w:p>
        </w:tc>
        <w:tc>
          <w:tcPr>
            <w:tcW w:w="2835" w:type="dxa"/>
            <w:vAlign w:val="center"/>
          </w:tcPr>
          <w:p w14:paraId="7454F137" w14:textId="0037E7E6" w:rsidR="0095554D" w:rsidRDefault="0095554D" w:rsidP="00277A2F">
            <w:pPr>
              <w:jc w:val="center"/>
              <w:rPr>
                <w:color w:val="000000" w:themeColor="text1"/>
                <w:sz w:val="20"/>
                <w:szCs w:val="20"/>
                <w:shd w:val="clear" w:color="auto" w:fill="FFFFFF"/>
              </w:rPr>
            </w:pPr>
            <w:r w:rsidRPr="00EC2B80">
              <w:rPr>
                <w:b/>
                <w:bCs/>
                <w:color w:val="000000" w:themeColor="text1"/>
                <w:sz w:val="20"/>
                <w:szCs w:val="20"/>
                <w:shd w:val="clear" w:color="auto" w:fill="FFFFFF"/>
              </w:rPr>
              <w:t>16</w:t>
            </w:r>
            <w:r w:rsidR="00FA7133">
              <w:rPr>
                <w:b/>
                <w:bCs/>
                <w:color w:val="000000" w:themeColor="text1"/>
                <w:sz w:val="20"/>
                <w:szCs w:val="20"/>
                <w:shd w:val="clear" w:color="auto" w:fill="FFFFFF"/>
              </w:rPr>
              <w:t>8</w:t>
            </w:r>
            <w:r w:rsidRPr="00EC2B80">
              <w:rPr>
                <w:b/>
                <w:bCs/>
                <w:color w:val="000000" w:themeColor="text1"/>
                <w:sz w:val="20"/>
                <w:szCs w:val="20"/>
                <w:shd w:val="clear" w:color="auto" w:fill="FFFFFF"/>
              </w:rPr>
              <w:t>,</w:t>
            </w:r>
            <w:r w:rsidR="00FA7133">
              <w:rPr>
                <w:b/>
                <w:bCs/>
                <w:color w:val="000000" w:themeColor="text1"/>
                <w:sz w:val="20"/>
                <w:szCs w:val="20"/>
                <w:shd w:val="clear" w:color="auto" w:fill="FFFFFF"/>
              </w:rPr>
              <w:t>00</w:t>
            </w:r>
            <w:r w:rsidRPr="00EC2B80">
              <w:rPr>
                <w:color w:val="000000" w:themeColor="text1"/>
                <w:sz w:val="20"/>
                <w:szCs w:val="20"/>
                <w:shd w:val="clear" w:color="auto" w:fill="FFFFFF"/>
              </w:rPr>
              <w:t xml:space="preserve"> </w:t>
            </w:r>
          </w:p>
          <w:p w14:paraId="79B6D36C" w14:textId="16D6C169" w:rsidR="0095554D" w:rsidRPr="00E9333E" w:rsidRDefault="0095554D" w:rsidP="00277A2F">
            <w:pPr>
              <w:jc w:val="center"/>
              <w:rPr>
                <w:i/>
                <w:iCs/>
                <w:color w:val="000000" w:themeColor="text1"/>
                <w:sz w:val="18"/>
                <w:szCs w:val="18"/>
                <w:shd w:val="clear" w:color="auto" w:fill="FFFFFF"/>
              </w:rPr>
            </w:pPr>
            <w:r w:rsidRPr="00E9333E">
              <w:rPr>
                <w:i/>
                <w:iCs/>
                <w:color w:val="000000" w:themeColor="text1"/>
                <w:sz w:val="18"/>
                <w:szCs w:val="18"/>
                <w:shd w:val="clear" w:color="auto" w:fill="FFFFFF"/>
              </w:rPr>
              <w:t>[</w:t>
            </w:r>
            <w:r w:rsidRPr="00B87450">
              <w:rPr>
                <w:b/>
                <w:bCs/>
                <w:i/>
                <w:iCs/>
                <w:sz w:val="18"/>
                <w:szCs w:val="18"/>
              </w:rPr>
              <w:t>1</w:t>
            </w:r>
            <w:r>
              <w:rPr>
                <w:b/>
                <w:bCs/>
                <w:i/>
                <w:iCs/>
                <w:sz w:val="18"/>
                <w:szCs w:val="18"/>
              </w:rPr>
              <w:t> </w:t>
            </w:r>
            <w:r w:rsidR="00FA7133">
              <w:rPr>
                <w:b/>
                <w:bCs/>
                <w:i/>
                <w:iCs/>
                <w:sz w:val="18"/>
                <w:szCs w:val="18"/>
              </w:rPr>
              <w:t>600</w:t>
            </w:r>
            <w:r>
              <w:rPr>
                <w:b/>
                <w:bCs/>
                <w:i/>
                <w:iCs/>
                <w:sz w:val="18"/>
                <w:szCs w:val="18"/>
              </w:rPr>
              <w:t xml:space="preserve"> </w:t>
            </w:r>
            <w:r w:rsidRPr="00EC2B80">
              <w:rPr>
                <w:i/>
                <w:iCs/>
                <w:color w:val="000000" w:themeColor="text1"/>
                <w:sz w:val="18"/>
                <w:szCs w:val="18"/>
                <w:shd w:val="clear" w:color="auto" w:fill="FFFFFF"/>
              </w:rPr>
              <w:t>x 10,5%</w:t>
            </w:r>
            <w:r w:rsidRPr="00E9333E">
              <w:rPr>
                <w:i/>
                <w:iCs/>
                <w:color w:val="000000" w:themeColor="text1"/>
                <w:sz w:val="18"/>
                <w:szCs w:val="18"/>
                <w:shd w:val="clear" w:color="auto" w:fill="FFFFFF"/>
              </w:rPr>
              <w:t>]</w:t>
            </w:r>
          </w:p>
        </w:tc>
        <w:tc>
          <w:tcPr>
            <w:tcW w:w="2693" w:type="dxa"/>
            <w:tcBorders>
              <w:right w:val="nil"/>
            </w:tcBorders>
            <w:vAlign w:val="center"/>
          </w:tcPr>
          <w:p w14:paraId="75D9CD98" w14:textId="5ADB0887" w:rsidR="0095554D" w:rsidRDefault="0095554D" w:rsidP="00277A2F">
            <w:pPr>
              <w:jc w:val="center"/>
              <w:rPr>
                <w:color w:val="000000" w:themeColor="text1"/>
                <w:sz w:val="20"/>
                <w:szCs w:val="20"/>
                <w:shd w:val="clear" w:color="auto" w:fill="FFFFFF"/>
              </w:rPr>
            </w:pPr>
            <w:r w:rsidRPr="00EC2B80">
              <w:rPr>
                <w:b/>
                <w:bCs/>
                <w:color w:val="000000" w:themeColor="text1"/>
                <w:sz w:val="20"/>
                <w:szCs w:val="20"/>
                <w:shd w:val="clear" w:color="auto" w:fill="FFFFFF"/>
              </w:rPr>
              <w:t>16</w:t>
            </w:r>
            <w:r w:rsidR="00FA7133">
              <w:rPr>
                <w:b/>
                <w:bCs/>
                <w:color w:val="000000" w:themeColor="text1"/>
                <w:sz w:val="20"/>
                <w:szCs w:val="20"/>
                <w:shd w:val="clear" w:color="auto" w:fill="FFFFFF"/>
              </w:rPr>
              <w:t>8</w:t>
            </w:r>
            <w:r w:rsidRPr="00EC2B80">
              <w:rPr>
                <w:b/>
                <w:bCs/>
                <w:color w:val="000000" w:themeColor="text1"/>
                <w:sz w:val="20"/>
                <w:szCs w:val="20"/>
                <w:shd w:val="clear" w:color="auto" w:fill="FFFFFF"/>
              </w:rPr>
              <w:t>,</w:t>
            </w:r>
            <w:r w:rsidR="00FA7133">
              <w:rPr>
                <w:b/>
                <w:bCs/>
                <w:color w:val="000000" w:themeColor="text1"/>
                <w:sz w:val="20"/>
                <w:szCs w:val="20"/>
                <w:shd w:val="clear" w:color="auto" w:fill="FFFFFF"/>
              </w:rPr>
              <w:t>00</w:t>
            </w:r>
            <w:r w:rsidRPr="00EC2B80">
              <w:rPr>
                <w:color w:val="000000" w:themeColor="text1"/>
                <w:sz w:val="20"/>
                <w:szCs w:val="20"/>
                <w:shd w:val="clear" w:color="auto" w:fill="FFFFFF"/>
              </w:rPr>
              <w:t xml:space="preserve"> </w:t>
            </w:r>
          </w:p>
          <w:p w14:paraId="3FB127B2" w14:textId="3073C974" w:rsidR="0095554D" w:rsidRPr="00E9333E" w:rsidRDefault="0095554D" w:rsidP="00277A2F">
            <w:pPr>
              <w:jc w:val="center"/>
              <w:rPr>
                <w:i/>
                <w:iCs/>
                <w:color w:val="000000" w:themeColor="text1"/>
                <w:sz w:val="18"/>
                <w:szCs w:val="18"/>
                <w:shd w:val="clear" w:color="auto" w:fill="FFFFFF"/>
              </w:rPr>
            </w:pPr>
            <w:r w:rsidRPr="00E9333E">
              <w:rPr>
                <w:i/>
                <w:iCs/>
                <w:color w:val="000000" w:themeColor="text1"/>
                <w:sz w:val="18"/>
                <w:szCs w:val="18"/>
                <w:shd w:val="clear" w:color="auto" w:fill="FFFFFF"/>
              </w:rPr>
              <w:t>[</w:t>
            </w:r>
            <w:r w:rsidRPr="00B87450">
              <w:rPr>
                <w:b/>
                <w:bCs/>
                <w:i/>
                <w:iCs/>
                <w:sz w:val="18"/>
                <w:szCs w:val="18"/>
              </w:rPr>
              <w:t>1</w:t>
            </w:r>
            <w:r>
              <w:rPr>
                <w:b/>
                <w:bCs/>
                <w:i/>
                <w:iCs/>
                <w:sz w:val="18"/>
                <w:szCs w:val="18"/>
              </w:rPr>
              <w:t> </w:t>
            </w:r>
            <w:r w:rsidR="00FA7133">
              <w:rPr>
                <w:b/>
                <w:bCs/>
                <w:i/>
                <w:iCs/>
                <w:sz w:val="18"/>
                <w:szCs w:val="18"/>
              </w:rPr>
              <w:t>600</w:t>
            </w:r>
            <w:r>
              <w:rPr>
                <w:b/>
                <w:bCs/>
                <w:i/>
                <w:iCs/>
                <w:sz w:val="18"/>
                <w:szCs w:val="18"/>
              </w:rPr>
              <w:t xml:space="preserve"> </w:t>
            </w:r>
            <w:r w:rsidRPr="00EC2B80">
              <w:rPr>
                <w:i/>
                <w:iCs/>
                <w:color w:val="000000" w:themeColor="text1"/>
                <w:sz w:val="18"/>
                <w:szCs w:val="18"/>
                <w:shd w:val="clear" w:color="auto" w:fill="FFFFFF"/>
              </w:rPr>
              <w:t>x 10,5%</w:t>
            </w:r>
            <w:r w:rsidRPr="00E9333E">
              <w:rPr>
                <w:i/>
                <w:iCs/>
                <w:color w:val="000000" w:themeColor="text1"/>
                <w:sz w:val="18"/>
                <w:szCs w:val="18"/>
                <w:shd w:val="clear" w:color="auto" w:fill="FFFFFF"/>
              </w:rPr>
              <w:t>]</w:t>
            </w:r>
          </w:p>
        </w:tc>
      </w:tr>
      <w:tr w:rsidR="0095554D" w:rsidRPr="00E9333E" w14:paraId="103CA2BB" w14:textId="77777777" w:rsidTr="00277A2F">
        <w:tc>
          <w:tcPr>
            <w:tcW w:w="3828" w:type="dxa"/>
            <w:tcBorders>
              <w:left w:val="nil"/>
            </w:tcBorders>
          </w:tcPr>
          <w:p w14:paraId="3A623DA0" w14:textId="77777777" w:rsidR="0095554D" w:rsidRPr="00E9333E" w:rsidRDefault="0095554D" w:rsidP="00277A2F">
            <w:pPr>
              <w:rPr>
                <w:color w:val="000000" w:themeColor="text1"/>
                <w:sz w:val="20"/>
                <w:szCs w:val="20"/>
                <w:shd w:val="clear" w:color="auto" w:fill="FFFFFF"/>
              </w:rPr>
            </w:pPr>
            <w:r w:rsidRPr="00E9333E">
              <w:rPr>
                <w:color w:val="000000" w:themeColor="text1"/>
                <w:sz w:val="20"/>
                <w:szCs w:val="20"/>
                <w:shd w:val="clear" w:color="auto" w:fill="FFFFFF"/>
              </w:rPr>
              <w:t xml:space="preserve">Ar IIN neapliekamais minimums, </w:t>
            </w:r>
            <w:r w:rsidRPr="00E9333E">
              <w:rPr>
                <w:i/>
                <w:iCs/>
                <w:color w:val="000000" w:themeColor="text1"/>
                <w:sz w:val="20"/>
                <w:szCs w:val="20"/>
                <w:shd w:val="clear" w:color="auto" w:fill="FFFFFF"/>
              </w:rPr>
              <w:t>euro mēnesī</w:t>
            </w:r>
            <w:r w:rsidRPr="00EC2B80">
              <w:rPr>
                <w:color w:val="000000" w:themeColor="text1"/>
                <w:sz w:val="20"/>
                <w:szCs w:val="20"/>
                <w:shd w:val="clear" w:color="auto" w:fill="FFFFFF"/>
              </w:rPr>
              <w:t xml:space="preserve">   </w:t>
            </w:r>
          </w:p>
        </w:tc>
        <w:tc>
          <w:tcPr>
            <w:tcW w:w="2835" w:type="dxa"/>
            <w:vAlign w:val="center"/>
          </w:tcPr>
          <w:p w14:paraId="65E2E4AF" w14:textId="23DD2001" w:rsidR="0095554D" w:rsidRDefault="00FA7133" w:rsidP="00277A2F">
            <w:pPr>
              <w:jc w:val="center"/>
              <w:rPr>
                <w:b/>
                <w:bCs/>
                <w:color w:val="000000" w:themeColor="text1"/>
                <w:sz w:val="20"/>
                <w:szCs w:val="20"/>
                <w:shd w:val="clear" w:color="auto" w:fill="FFFFFF"/>
              </w:rPr>
            </w:pPr>
            <w:r>
              <w:rPr>
                <w:b/>
                <w:bCs/>
                <w:color w:val="000000" w:themeColor="text1"/>
                <w:sz w:val="20"/>
                <w:szCs w:val="20"/>
                <w:shd w:val="clear" w:color="auto" w:fill="FFFFFF"/>
              </w:rPr>
              <w:t>76,92</w:t>
            </w:r>
            <w:r w:rsidR="0095554D" w:rsidRPr="00EC2B80">
              <w:rPr>
                <w:b/>
                <w:bCs/>
                <w:color w:val="000000" w:themeColor="text1"/>
                <w:sz w:val="20"/>
                <w:szCs w:val="20"/>
                <w:shd w:val="clear" w:color="auto" w:fill="FFFFFF"/>
              </w:rPr>
              <w:t xml:space="preserve"> </w:t>
            </w:r>
          </w:p>
          <w:p w14:paraId="4C6C0B4E" w14:textId="73A728C2" w:rsidR="0095554D" w:rsidRPr="00E9333E" w:rsidRDefault="0095554D" w:rsidP="00277A2F">
            <w:pPr>
              <w:jc w:val="center"/>
              <w:rPr>
                <w:i/>
                <w:iCs/>
                <w:color w:val="000000" w:themeColor="text1"/>
                <w:sz w:val="18"/>
                <w:szCs w:val="18"/>
                <w:shd w:val="clear" w:color="auto" w:fill="FFFFFF"/>
              </w:rPr>
            </w:pPr>
            <w:r w:rsidRPr="00E9333E">
              <w:rPr>
                <w:i/>
                <w:iCs/>
                <w:color w:val="000000" w:themeColor="text1"/>
                <w:sz w:val="18"/>
                <w:szCs w:val="18"/>
                <w:shd w:val="clear" w:color="auto" w:fill="FFFFFF"/>
              </w:rPr>
              <w:t>[</w:t>
            </w:r>
            <w:r w:rsidRPr="00EC2B80">
              <w:rPr>
                <w:i/>
                <w:iCs/>
                <w:color w:val="000000" w:themeColor="text1"/>
                <w:sz w:val="18"/>
                <w:szCs w:val="18"/>
                <w:shd w:val="clear" w:color="auto" w:fill="FFFFFF"/>
              </w:rPr>
              <w:t>500 – 0,38462 x (</w:t>
            </w:r>
            <w:r w:rsidRPr="00B87450">
              <w:rPr>
                <w:b/>
                <w:bCs/>
                <w:i/>
                <w:iCs/>
                <w:sz w:val="18"/>
                <w:szCs w:val="18"/>
              </w:rPr>
              <w:t>1</w:t>
            </w:r>
            <w:r>
              <w:rPr>
                <w:b/>
                <w:bCs/>
                <w:i/>
                <w:iCs/>
                <w:sz w:val="18"/>
                <w:szCs w:val="18"/>
              </w:rPr>
              <w:t> </w:t>
            </w:r>
            <w:r w:rsidR="00FA7133">
              <w:rPr>
                <w:b/>
                <w:bCs/>
                <w:i/>
                <w:iCs/>
                <w:sz w:val="18"/>
                <w:szCs w:val="18"/>
              </w:rPr>
              <w:t>600</w:t>
            </w:r>
            <w:r>
              <w:rPr>
                <w:b/>
                <w:bCs/>
                <w:i/>
                <w:iCs/>
                <w:sz w:val="18"/>
                <w:szCs w:val="18"/>
              </w:rPr>
              <w:t xml:space="preserve"> </w:t>
            </w:r>
            <w:r w:rsidRPr="00EC2B80">
              <w:rPr>
                <w:i/>
                <w:iCs/>
                <w:color w:val="000000" w:themeColor="text1"/>
                <w:sz w:val="18"/>
                <w:szCs w:val="18"/>
                <w:shd w:val="clear" w:color="auto" w:fill="FFFFFF"/>
              </w:rPr>
              <w:t xml:space="preserve"> – 500)</w:t>
            </w:r>
            <w:r w:rsidRPr="00E9333E">
              <w:rPr>
                <w:i/>
                <w:iCs/>
                <w:color w:val="000000" w:themeColor="text1"/>
                <w:sz w:val="18"/>
                <w:szCs w:val="18"/>
                <w:shd w:val="clear" w:color="auto" w:fill="FFFFFF"/>
              </w:rPr>
              <w:t>]</w:t>
            </w:r>
          </w:p>
        </w:tc>
        <w:tc>
          <w:tcPr>
            <w:tcW w:w="2693" w:type="dxa"/>
            <w:tcBorders>
              <w:right w:val="nil"/>
            </w:tcBorders>
            <w:vAlign w:val="center"/>
          </w:tcPr>
          <w:p w14:paraId="67FA813B" w14:textId="77777777" w:rsidR="0095554D" w:rsidRPr="00E9333E" w:rsidRDefault="0095554D" w:rsidP="00277A2F">
            <w:pPr>
              <w:jc w:val="center"/>
              <w:rPr>
                <w:color w:val="000000" w:themeColor="text1"/>
                <w:sz w:val="20"/>
                <w:szCs w:val="20"/>
                <w:shd w:val="clear" w:color="auto" w:fill="FFFFFF"/>
              </w:rPr>
            </w:pPr>
            <w:r w:rsidRPr="00B87450">
              <w:rPr>
                <w:b/>
                <w:bCs/>
                <w:color w:val="000000" w:themeColor="text1"/>
                <w:sz w:val="20"/>
                <w:szCs w:val="20"/>
                <w:shd w:val="clear" w:color="auto" w:fill="FFFFFF"/>
              </w:rPr>
              <w:t>510</w:t>
            </w:r>
          </w:p>
        </w:tc>
      </w:tr>
      <w:tr w:rsidR="0095554D" w:rsidRPr="00E9333E" w14:paraId="50EA0085" w14:textId="77777777" w:rsidTr="00277A2F">
        <w:tc>
          <w:tcPr>
            <w:tcW w:w="3828" w:type="dxa"/>
            <w:tcBorders>
              <w:left w:val="nil"/>
            </w:tcBorders>
          </w:tcPr>
          <w:p w14:paraId="013BA1CD" w14:textId="47B28370" w:rsidR="0095554D" w:rsidRPr="00E9333E" w:rsidRDefault="00FE3E4A" w:rsidP="00277A2F">
            <w:pPr>
              <w:rPr>
                <w:color w:val="000000" w:themeColor="text1"/>
                <w:sz w:val="20"/>
                <w:szCs w:val="20"/>
                <w:shd w:val="clear" w:color="auto" w:fill="FFFFFF"/>
              </w:rPr>
            </w:pPr>
            <w:r>
              <w:rPr>
                <w:color w:val="000000" w:themeColor="text1"/>
                <w:sz w:val="20"/>
                <w:szCs w:val="20"/>
                <w:shd w:val="clear" w:color="auto" w:fill="FFFFFF"/>
              </w:rPr>
              <w:t>IIN</w:t>
            </w:r>
            <w:r w:rsidR="0095554D" w:rsidRPr="00E9333E">
              <w:rPr>
                <w:color w:val="000000" w:themeColor="text1"/>
                <w:sz w:val="20"/>
                <w:szCs w:val="20"/>
                <w:shd w:val="clear" w:color="auto" w:fill="FFFFFF"/>
              </w:rPr>
              <w:t xml:space="preserve">, </w:t>
            </w:r>
            <w:r w:rsidR="0095554D" w:rsidRPr="00E9333E">
              <w:rPr>
                <w:i/>
                <w:iCs/>
                <w:color w:val="000000" w:themeColor="text1"/>
                <w:sz w:val="20"/>
                <w:szCs w:val="20"/>
                <w:shd w:val="clear" w:color="auto" w:fill="FFFFFF"/>
              </w:rPr>
              <w:t>euro mēnesī</w:t>
            </w:r>
            <w:r w:rsidR="0095554D" w:rsidRPr="00EC2B80">
              <w:rPr>
                <w:color w:val="000000" w:themeColor="text1"/>
                <w:sz w:val="20"/>
                <w:szCs w:val="20"/>
                <w:shd w:val="clear" w:color="auto" w:fill="FFFFFF"/>
              </w:rPr>
              <w:t xml:space="preserve">   </w:t>
            </w:r>
          </w:p>
        </w:tc>
        <w:tc>
          <w:tcPr>
            <w:tcW w:w="2835" w:type="dxa"/>
            <w:vAlign w:val="center"/>
          </w:tcPr>
          <w:p w14:paraId="67BADBFC" w14:textId="49DF864C" w:rsidR="0095554D" w:rsidRDefault="0095554D" w:rsidP="00277A2F">
            <w:pPr>
              <w:jc w:val="center"/>
              <w:rPr>
                <w:i/>
                <w:iCs/>
                <w:color w:val="000000" w:themeColor="text1"/>
                <w:sz w:val="20"/>
                <w:szCs w:val="20"/>
                <w:shd w:val="clear" w:color="auto" w:fill="FFFFFF"/>
              </w:rPr>
            </w:pPr>
            <w:r w:rsidRPr="00EC2B80">
              <w:rPr>
                <w:b/>
                <w:bCs/>
                <w:color w:val="000000" w:themeColor="text1"/>
                <w:sz w:val="20"/>
                <w:szCs w:val="20"/>
                <w:shd w:val="clear" w:color="auto" w:fill="FFFFFF"/>
              </w:rPr>
              <w:t>2</w:t>
            </w:r>
            <w:r w:rsidR="00FA7133">
              <w:rPr>
                <w:b/>
                <w:bCs/>
                <w:color w:val="000000" w:themeColor="text1"/>
                <w:sz w:val="20"/>
                <w:szCs w:val="20"/>
                <w:shd w:val="clear" w:color="auto" w:fill="FFFFFF"/>
              </w:rPr>
              <w:t>71</w:t>
            </w:r>
            <w:r w:rsidRPr="00EC2B80">
              <w:rPr>
                <w:b/>
                <w:bCs/>
                <w:color w:val="000000" w:themeColor="text1"/>
                <w:sz w:val="20"/>
                <w:szCs w:val="20"/>
                <w:shd w:val="clear" w:color="auto" w:fill="FFFFFF"/>
              </w:rPr>
              <w:t>,0</w:t>
            </w:r>
            <w:r w:rsidR="00FA7133">
              <w:rPr>
                <w:b/>
                <w:bCs/>
                <w:color w:val="000000" w:themeColor="text1"/>
                <w:sz w:val="20"/>
                <w:szCs w:val="20"/>
                <w:shd w:val="clear" w:color="auto" w:fill="FFFFFF"/>
              </w:rPr>
              <w:t>2</w:t>
            </w:r>
            <w:r w:rsidRPr="00EC2B80">
              <w:rPr>
                <w:i/>
                <w:iCs/>
                <w:color w:val="000000" w:themeColor="text1"/>
                <w:sz w:val="20"/>
                <w:szCs w:val="20"/>
                <w:shd w:val="clear" w:color="auto" w:fill="FFFFFF"/>
              </w:rPr>
              <w:t xml:space="preserve"> </w:t>
            </w:r>
          </w:p>
          <w:p w14:paraId="06963A54" w14:textId="15F33E0A" w:rsidR="0095554D" w:rsidRPr="00E9333E" w:rsidRDefault="0095554D" w:rsidP="00277A2F">
            <w:pPr>
              <w:jc w:val="center"/>
              <w:rPr>
                <w:i/>
                <w:iCs/>
                <w:color w:val="000000" w:themeColor="text1"/>
                <w:sz w:val="18"/>
                <w:szCs w:val="18"/>
                <w:shd w:val="clear" w:color="auto" w:fill="FFFFFF"/>
              </w:rPr>
            </w:pPr>
            <w:r w:rsidRPr="00E9333E">
              <w:rPr>
                <w:i/>
                <w:iCs/>
                <w:color w:val="000000" w:themeColor="text1"/>
                <w:sz w:val="18"/>
                <w:szCs w:val="18"/>
                <w:shd w:val="clear" w:color="auto" w:fill="FFFFFF"/>
              </w:rPr>
              <w:t>[</w:t>
            </w:r>
            <w:r>
              <w:rPr>
                <w:i/>
                <w:iCs/>
                <w:color w:val="000000" w:themeColor="text1"/>
                <w:sz w:val="18"/>
                <w:szCs w:val="18"/>
                <w:shd w:val="clear" w:color="auto" w:fill="FFFFFF"/>
              </w:rPr>
              <w:t>(</w:t>
            </w:r>
            <w:r w:rsidRPr="00B87450">
              <w:rPr>
                <w:b/>
                <w:bCs/>
                <w:i/>
                <w:iCs/>
                <w:color w:val="000000" w:themeColor="text1"/>
                <w:sz w:val="18"/>
                <w:szCs w:val="18"/>
                <w:shd w:val="clear" w:color="auto" w:fill="FFFFFF"/>
              </w:rPr>
              <w:t>1 </w:t>
            </w:r>
            <w:r w:rsidR="00FA7133">
              <w:rPr>
                <w:b/>
                <w:bCs/>
                <w:i/>
                <w:iCs/>
                <w:color w:val="000000" w:themeColor="text1"/>
                <w:sz w:val="18"/>
                <w:szCs w:val="18"/>
                <w:shd w:val="clear" w:color="auto" w:fill="FFFFFF"/>
              </w:rPr>
              <w:t>600</w:t>
            </w:r>
            <w:r w:rsidRPr="00B87450">
              <w:rPr>
                <w:b/>
                <w:bCs/>
                <w:i/>
                <w:iCs/>
                <w:color w:val="000000" w:themeColor="text1"/>
                <w:sz w:val="18"/>
                <w:szCs w:val="18"/>
                <w:shd w:val="clear" w:color="auto" w:fill="FFFFFF"/>
              </w:rPr>
              <w:t xml:space="preserve"> </w:t>
            </w:r>
            <w:r w:rsidRPr="00B87450">
              <w:rPr>
                <w:i/>
                <w:iCs/>
                <w:color w:val="000000" w:themeColor="text1"/>
                <w:sz w:val="18"/>
                <w:szCs w:val="18"/>
                <w:shd w:val="clear" w:color="auto" w:fill="FFFFFF"/>
              </w:rPr>
              <w:t>- 16</w:t>
            </w:r>
            <w:r w:rsidR="00FA7133">
              <w:rPr>
                <w:i/>
                <w:iCs/>
                <w:color w:val="000000" w:themeColor="text1"/>
                <w:sz w:val="18"/>
                <w:szCs w:val="18"/>
                <w:shd w:val="clear" w:color="auto" w:fill="FFFFFF"/>
              </w:rPr>
              <w:t>8</w:t>
            </w:r>
            <w:r w:rsidRPr="00B87450">
              <w:rPr>
                <w:i/>
                <w:iCs/>
                <w:color w:val="000000" w:themeColor="text1"/>
                <w:sz w:val="18"/>
                <w:szCs w:val="18"/>
                <w:shd w:val="clear" w:color="auto" w:fill="FFFFFF"/>
              </w:rPr>
              <w:t>,</w:t>
            </w:r>
            <w:r w:rsidR="00FA7133">
              <w:rPr>
                <w:i/>
                <w:iCs/>
                <w:color w:val="000000" w:themeColor="text1"/>
                <w:sz w:val="18"/>
                <w:szCs w:val="18"/>
                <w:shd w:val="clear" w:color="auto" w:fill="FFFFFF"/>
              </w:rPr>
              <w:t>0</w:t>
            </w:r>
            <w:r w:rsidRPr="00B87450">
              <w:rPr>
                <w:i/>
                <w:iCs/>
                <w:color w:val="000000" w:themeColor="text1"/>
                <w:sz w:val="18"/>
                <w:szCs w:val="18"/>
                <w:shd w:val="clear" w:color="auto" w:fill="FFFFFF"/>
              </w:rPr>
              <w:t xml:space="preserve"> –  </w:t>
            </w:r>
            <w:r w:rsidR="00FA7133">
              <w:rPr>
                <w:i/>
                <w:iCs/>
                <w:color w:val="000000" w:themeColor="text1"/>
                <w:sz w:val="18"/>
                <w:szCs w:val="18"/>
                <w:shd w:val="clear" w:color="auto" w:fill="FFFFFF"/>
              </w:rPr>
              <w:t>76,92</w:t>
            </w:r>
            <w:r w:rsidRPr="00EC2B80">
              <w:rPr>
                <w:i/>
                <w:iCs/>
                <w:color w:val="000000" w:themeColor="text1"/>
                <w:sz w:val="18"/>
                <w:szCs w:val="18"/>
                <w:shd w:val="clear" w:color="auto" w:fill="FFFFFF"/>
              </w:rPr>
              <w:t>) x 20%</w:t>
            </w:r>
            <w:r w:rsidRPr="00E9333E">
              <w:rPr>
                <w:i/>
                <w:iCs/>
                <w:color w:val="000000" w:themeColor="text1"/>
                <w:sz w:val="18"/>
                <w:szCs w:val="18"/>
                <w:shd w:val="clear" w:color="auto" w:fill="FFFFFF"/>
              </w:rPr>
              <w:t>]</w:t>
            </w:r>
          </w:p>
        </w:tc>
        <w:tc>
          <w:tcPr>
            <w:tcW w:w="2693" w:type="dxa"/>
            <w:tcBorders>
              <w:right w:val="nil"/>
            </w:tcBorders>
            <w:vAlign w:val="center"/>
          </w:tcPr>
          <w:p w14:paraId="4C48570C" w14:textId="07BEFBF0" w:rsidR="0095554D" w:rsidRDefault="0095554D" w:rsidP="00277A2F">
            <w:pPr>
              <w:jc w:val="center"/>
              <w:rPr>
                <w:i/>
                <w:iCs/>
                <w:color w:val="000000" w:themeColor="text1"/>
                <w:sz w:val="20"/>
                <w:szCs w:val="20"/>
                <w:shd w:val="clear" w:color="auto" w:fill="FFFFFF"/>
              </w:rPr>
            </w:pPr>
            <w:r w:rsidRPr="00EC2B80">
              <w:rPr>
                <w:b/>
                <w:bCs/>
                <w:color w:val="000000" w:themeColor="text1"/>
                <w:sz w:val="20"/>
                <w:szCs w:val="20"/>
                <w:shd w:val="clear" w:color="auto" w:fill="FFFFFF"/>
              </w:rPr>
              <w:t>2</w:t>
            </w:r>
            <w:r w:rsidR="00FA7133">
              <w:rPr>
                <w:b/>
                <w:bCs/>
                <w:color w:val="000000" w:themeColor="text1"/>
                <w:sz w:val="20"/>
                <w:szCs w:val="20"/>
                <w:shd w:val="clear" w:color="auto" w:fill="FFFFFF"/>
              </w:rPr>
              <w:t>35</w:t>
            </w:r>
            <w:r w:rsidRPr="00EC2B80">
              <w:rPr>
                <w:b/>
                <w:bCs/>
                <w:color w:val="000000" w:themeColor="text1"/>
                <w:sz w:val="20"/>
                <w:szCs w:val="20"/>
                <w:shd w:val="clear" w:color="auto" w:fill="FFFFFF"/>
              </w:rPr>
              <w:t>,</w:t>
            </w:r>
            <w:r w:rsidR="00FA7133">
              <w:rPr>
                <w:b/>
                <w:bCs/>
                <w:color w:val="000000" w:themeColor="text1"/>
                <w:sz w:val="20"/>
                <w:szCs w:val="20"/>
                <w:shd w:val="clear" w:color="auto" w:fill="FFFFFF"/>
              </w:rPr>
              <w:t>11</w:t>
            </w:r>
            <w:r w:rsidRPr="00EC2B80">
              <w:rPr>
                <w:i/>
                <w:iCs/>
                <w:color w:val="000000" w:themeColor="text1"/>
                <w:sz w:val="20"/>
                <w:szCs w:val="20"/>
                <w:shd w:val="clear" w:color="auto" w:fill="FFFFFF"/>
              </w:rPr>
              <w:t xml:space="preserve"> </w:t>
            </w:r>
          </w:p>
          <w:p w14:paraId="0E40397C" w14:textId="30ED1A91" w:rsidR="0095554D" w:rsidRPr="00E9333E" w:rsidRDefault="0095554D" w:rsidP="00277A2F">
            <w:pPr>
              <w:jc w:val="center"/>
              <w:rPr>
                <w:i/>
                <w:iCs/>
                <w:color w:val="000000" w:themeColor="text1"/>
                <w:sz w:val="18"/>
                <w:szCs w:val="18"/>
                <w:shd w:val="clear" w:color="auto" w:fill="FFFFFF"/>
              </w:rPr>
            </w:pPr>
            <w:r w:rsidRPr="00E9333E">
              <w:rPr>
                <w:i/>
                <w:iCs/>
                <w:color w:val="000000" w:themeColor="text1"/>
                <w:sz w:val="18"/>
                <w:szCs w:val="18"/>
                <w:shd w:val="clear" w:color="auto" w:fill="FFFFFF"/>
              </w:rPr>
              <w:t>[</w:t>
            </w:r>
            <w:r w:rsidRPr="00B87450">
              <w:rPr>
                <w:b/>
                <w:bCs/>
                <w:i/>
                <w:iCs/>
                <w:sz w:val="18"/>
                <w:szCs w:val="18"/>
              </w:rPr>
              <w:t>1</w:t>
            </w:r>
            <w:r>
              <w:rPr>
                <w:b/>
                <w:bCs/>
                <w:i/>
                <w:iCs/>
                <w:sz w:val="18"/>
                <w:szCs w:val="18"/>
              </w:rPr>
              <w:t> </w:t>
            </w:r>
            <w:r w:rsidR="00FA7133">
              <w:rPr>
                <w:b/>
                <w:bCs/>
                <w:i/>
                <w:iCs/>
                <w:sz w:val="18"/>
                <w:szCs w:val="18"/>
              </w:rPr>
              <w:t>600</w:t>
            </w:r>
            <w:r>
              <w:rPr>
                <w:b/>
                <w:bCs/>
                <w:i/>
                <w:iCs/>
                <w:sz w:val="18"/>
                <w:szCs w:val="18"/>
              </w:rPr>
              <w:t xml:space="preserve"> </w:t>
            </w:r>
            <w:r w:rsidRPr="00EC2B80">
              <w:rPr>
                <w:i/>
                <w:iCs/>
                <w:color w:val="000000" w:themeColor="text1"/>
                <w:sz w:val="18"/>
                <w:szCs w:val="18"/>
                <w:shd w:val="clear" w:color="auto" w:fill="FFFFFF"/>
              </w:rPr>
              <w:t xml:space="preserve">– </w:t>
            </w:r>
            <w:r w:rsidRPr="00B87450">
              <w:rPr>
                <w:i/>
                <w:iCs/>
                <w:color w:val="000000" w:themeColor="text1"/>
                <w:sz w:val="18"/>
                <w:szCs w:val="18"/>
                <w:shd w:val="clear" w:color="auto" w:fill="FFFFFF"/>
              </w:rPr>
              <w:t>16</w:t>
            </w:r>
            <w:r w:rsidR="00FA7133">
              <w:rPr>
                <w:i/>
                <w:iCs/>
                <w:color w:val="000000" w:themeColor="text1"/>
                <w:sz w:val="18"/>
                <w:szCs w:val="18"/>
                <w:shd w:val="clear" w:color="auto" w:fill="FFFFFF"/>
              </w:rPr>
              <w:t>8</w:t>
            </w:r>
            <w:r w:rsidRPr="00B87450">
              <w:rPr>
                <w:i/>
                <w:iCs/>
                <w:color w:val="000000" w:themeColor="text1"/>
                <w:sz w:val="18"/>
                <w:szCs w:val="18"/>
                <w:shd w:val="clear" w:color="auto" w:fill="FFFFFF"/>
              </w:rPr>
              <w:t>,</w:t>
            </w:r>
            <w:r w:rsidR="00FA7133">
              <w:rPr>
                <w:i/>
                <w:iCs/>
                <w:color w:val="000000" w:themeColor="text1"/>
                <w:sz w:val="18"/>
                <w:szCs w:val="18"/>
                <w:shd w:val="clear" w:color="auto" w:fill="FFFFFF"/>
              </w:rPr>
              <w:t>0</w:t>
            </w:r>
            <w:r w:rsidRPr="00B87450">
              <w:rPr>
                <w:i/>
                <w:iCs/>
                <w:color w:val="000000" w:themeColor="text1"/>
                <w:sz w:val="18"/>
                <w:szCs w:val="18"/>
                <w:shd w:val="clear" w:color="auto" w:fill="FFFFFF"/>
              </w:rPr>
              <w:t xml:space="preserve"> </w:t>
            </w:r>
            <w:r w:rsidRPr="00EC2B80">
              <w:rPr>
                <w:i/>
                <w:iCs/>
                <w:color w:val="000000" w:themeColor="text1"/>
                <w:sz w:val="18"/>
                <w:szCs w:val="18"/>
                <w:shd w:val="clear" w:color="auto" w:fill="FFFFFF"/>
              </w:rPr>
              <w:t>– 510) x 25,5%</w:t>
            </w:r>
            <w:r w:rsidRPr="00E9333E">
              <w:rPr>
                <w:i/>
                <w:iCs/>
                <w:color w:val="000000" w:themeColor="text1"/>
                <w:sz w:val="18"/>
                <w:szCs w:val="18"/>
                <w:shd w:val="clear" w:color="auto" w:fill="FFFFFF"/>
              </w:rPr>
              <w:t>]</w:t>
            </w:r>
            <w:r w:rsidRPr="00EC2B80">
              <w:rPr>
                <w:i/>
                <w:iCs/>
                <w:color w:val="000000" w:themeColor="text1"/>
                <w:sz w:val="18"/>
                <w:szCs w:val="18"/>
                <w:shd w:val="clear" w:color="auto" w:fill="FFFFFF"/>
              </w:rPr>
              <w:t xml:space="preserve"> </w:t>
            </w:r>
          </w:p>
        </w:tc>
      </w:tr>
      <w:tr w:rsidR="0095554D" w:rsidRPr="00A01EF3" w14:paraId="6A889061" w14:textId="77777777" w:rsidTr="00277A2F">
        <w:tc>
          <w:tcPr>
            <w:tcW w:w="3828" w:type="dxa"/>
            <w:tcBorders>
              <w:left w:val="nil"/>
            </w:tcBorders>
            <w:shd w:val="clear" w:color="auto" w:fill="FFF2CC" w:themeFill="accent4" w:themeFillTint="33"/>
          </w:tcPr>
          <w:p w14:paraId="3C22CA2E" w14:textId="4021C458" w:rsidR="0095554D" w:rsidRPr="00EC2B80" w:rsidRDefault="0095554D" w:rsidP="00277A2F">
            <w:pPr>
              <w:rPr>
                <w:b/>
                <w:bCs/>
                <w:color w:val="000000" w:themeColor="text1"/>
                <w:sz w:val="20"/>
                <w:szCs w:val="20"/>
                <w:shd w:val="clear" w:color="auto" w:fill="FFFFFF"/>
              </w:rPr>
            </w:pPr>
            <w:r w:rsidRPr="00B87450">
              <w:rPr>
                <w:b/>
                <w:bCs/>
                <w:sz w:val="20"/>
                <w:szCs w:val="20"/>
              </w:rPr>
              <w:t xml:space="preserve">Neto </w:t>
            </w:r>
            <w:r w:rsidR="001D2593" w:rsidRPr="001D2593">
              <w:rPr>
                <w:b/>
                <w:bCs/>
                <w:sz w:val="20"/>
                <w:szCs w:val="20"/>
              </w:rPr>
              <w:t>darba</w:t>
            </w:r>
            <w:r w:rsidR="001D2593">
              <w:rPr>
                <w:b/>
                <w:bCs/>
                <w:sz w:val="20"/>
                <w:szCs w:val="20"/>
              </w:rPr>
              <w:t xml:space="preserve"> alga</w:t>
            </w:r>
            <w:r w:rsidRPr="00B87450">
              <w:rPr>
                <w:b/>
                <w:bCs/>
                <w:sz w:val="20"/>
                <w:szCs w:val="20"/>
              </w:rPr>
              <w:t xml:space="preserve">, </w:t>
            </w:r>
            <w:r w:rsidRPr="001B1642">
              <w:rPr>
                <w:i/>
                <w:iCs/>
                <w:sz w:val="20"/>
                <w:szCs w:val="20"/>
              </w:rPr>
              <w:t>euro mēnesī</w:t>
            </w:r>
            <w:r w:rsidRPr="00B87450">
              <w:rPr>
                <w:b/>
                <w:bCs/>
                <w:sz w:val="20"/>
                <w:szCs w:val="20"/>
              </w:rPr>
              <w:t xml:space="preserve">   </w:t>
            </w:r>
          </w:p>
        </w:tc>
        <w:tc>
          <w:tcPr>
            <w:tcW w:w="2835" w:type="dxa"/>
            <w:shd w:val="clear" w:color="auto" w:fill="FFF2CC" w:themeFill="accent4" w:themeFillTint="33"/>
            <w:vAlign w:val="center"/>
          </w:tcPr>
          <w:p w14:paraId="1DB314B7" w14:textId="050AE11F" w:rsidR="0095554D" w:rsidRPr="00B87450" w:rsidRDefault="0095554D" w:rsidP="00277A2F">
            <w:pPr>
              <w:contextualSpacing/>
              <w:jc w:val="center"/>
              <w:rPr>
                <w:b/>
                <w:bCs/>
                <w:sz w:val="20"/>
                <w:szCs w:val="20"/>
              </w:rPr>
            </w:pPr>
            <w:r>
              <w:rPr>
                <w:b/>
                <w:bCs/>
                <w:sz w:val="20"/>
                <w:szCs w:val="20"/>
              </w:rPr>
              <w:t>1 1</w:t>
            </w:r>
            <w:r w:rsidR="00FA7133">
              <w:rPr>
                <w:b/>
                <w:bCs/>
                <w:sz w:val="20"/>
                <w:szCs w:val="20"/>
              </w:rPr>
              <w:t>60</w:t>
            </w:r>
            <w:r>
              <w:rPr>
                <w:b/>
                <w:bCs/>
                <w:sz w:val="20"/>
                <w:szCs w:val="20"/>
              </w:rPr>
              <w:t>,9</w:t>
            </w:r>
            <w:r w:rsidR="00FA7133">
              <w:rPr>
                <w:b/>
                <w:bCs/>
                <w:sz w:val="20"/>
                <w:szCs w:val="20"/>
              </w:rPr>
              <w:t>8</w:t>
            </w:r>
          </w:p>
          <w:p w14:paraId="7A2E6753" w14:textId="15A83033" w:rsidR="0095554D" w:rsidRPr="00A01EF3" w:rsidRDefault="0095554D" w:rsidP="00277A2F">
            <w:pPr>
              <w:jc w:val="center"/>
              <w:rPr>
                <w:b/>
                <w:bCs/>
                <w:i/>
                <w:iCs/>
                <w:color w:val="000000" w:themeColor="text1"/>
                <w:sz w:val="18"/>
                <w:szCs w:val="18"/>
                <w:shd w:val="clear" w:color="auto" w:fill="FFFFFF"/>
              </w:rPr>
            </w:pPr>
            <w:r w:rsidRPr="00B87450">
              <w:rPr>
                <w:i/>
                <w:iCs/>
                <w:sz w:val="18"/>
                <w:szCs w:val="18"/>
              </w:rPr>
              <w:t>[</w:t>
            </w:r>
            <w:r>
              <w:rPr>
                <w:b/>
                <w:bCs/>
                <w:i/>
                <w:iCs/>
                <w:sz w:val="18"/>
                <w:szCs w:val="18"/>
              </w:rPr>
              <w:t xml:space="preserve">1 </w:t>
            </w:r>
            <w:r w:rsidR="00FA7133">
              <w:rPr>
                <w:b/>
                <w:bCs/>
                <w:i/>
                <w:iCs/>
                <w:sz w:val="18"/>
                <w:szCs w:val="18"/>
              </w:rPr>
              <w:t>600</w:t>
            </w:r>
            <w:r w:rsidRPr="00B87450">
              <w:rPr>
                <w:i/>
                <w:iCs/>
                <w:sz w:val="18"/>
                <w:szCs w:val="18"/>
              </w:rPr>
              <w:t xml:space="preserve"> </w:t>
            </w:r>
            <w:r>
              <w:rPr>
                <w:i/>
                <w:iCs/>
                <w:sz w:val="18"/>
                <w:szCs w:val="18"/>
              </w:rPr>
              <w:t>–</w:t>
            </w:r>
            <w:r w:rsidRPr="00B87450">
              <w:rPr>
                <w:i/>
                <w:iCs/>
                <w:sz w:val="18"/>
                <w:szCs w:val="18"/>
              </w:rPr>
              <w:t xml:space="preserve"> </w:t>
            </w:r>
            <w:r>
              <w:rPr>
                <w:i/>
                <w:iCs/>
                <w:sz w:val="18"/>
                <w:szCs w:val="18"/>
              </w:rPr>
              <w:t>16</w:t>
            </w:r>
            <w:r w:rsidR="00FA7133">
              <w:rPr>
                <w:i/>
                <w:iCs/>
                <w:sz w:val="18"/>
                <w:szCs w:val="18"/>
              </w:rPr>
              <w:t>8</w:t>
            </w:r>
            <w:r>
              <w:rPr>
                <w:i/>
                <w:iCs/>
                <w:sz w:val="18"/>
                <w:szCs w:val="18"/>
              </w:rPr>
              <w:t>,</w:t>
            </w:r>
            <w:r w:rsidR="00FA7133">
              <w:rPr>
                <w:i/>
                <w:iCs/>
                <w:sz w:val="18"/>
                <w:szCs w:val="18"/>
              </w:rPr>
              <w:t>0</w:t>
            </w:r>
            <w:r w:rsidRPr="00B87450">
              <w:rPr>
                <w:i/>
                <w:iCs/>
                <w:sz w:val="18"/>
                <w:szCs w:val="18"/>
              </w:rPr>
              <w:t xml:space="preserve"> – </w:t>
            </w:r>
            <w:r>
              <w:rPr>
                <w:i/>
                <w:iCs/>
                <w:sz w:val="18"/>
                <w:szCs w:val="18"/>
              </w:rPr>
              <w:t>2</w:t>
            </w:r>
            <w:r w:rsidR="00FA7133">
              <w:rPr>
                <w:i/>
                <w:iCs/>
                <w:sz w:val="18"/>
                <w:szCs w:val="18"/>
              </w:rPr>
              <w:t>71</w:t>
            </w:r>
            <w:r>
              <w:rPr>
                <w:i/>
                <w:iCs/>
                <w:sz w:val="18"/>
                <w:szCs w:val="18"/>
              </w:rPr>
              <w:t>,0</w:t>
            </w:r>
            <w:r w:rsidR="00FA7133">
              <w:rPr>
                <w:i/>
                <w:iCs/>
                <w:sz w:val="18"/>
                <w:szCs w:val="18"/>
              </w:rPr>
              <w:t>2</w:t>
            </w:r>
            <w:r w:rsidRPr="00B87450">
              <w:rPr>
                <w:i/>
                <w:iCs/>
                <w:sz w:val="18"/>
                <w:szCs w:val="18"/>
              </w:rPr>
              <w:t>]</w:t>
            </w:r>
          </w:p>
        </w:tc>
        <w:tc>
          <w:tcPr>
            <w:tcW w:w="2693" w:type="dxa"/>
            <w:tcBorders>
              <w:right w:val="nil"/>
            </w:tcBorders>
            <w:shd w:val="clear" w:color="auto" w:fill="FFF2CC" w:themeFill="accent4" w:themeFillTint="33"/>
            <w:vAlign w:val="center"/>
          </w:tcPr>
          <w:p w14:paraId="613ED9DB" w14:textId="5D608457" w:rsidR="0095554D" w:rsidRPr="00B87450" w:rsidRDefault="0095554D" w:rsidP="00277A2F">
            <w:pPr>
              <w:contextualSpacing/>
              <w:jc w:val="center"/>
              <w:rPr>
                <w:b/>
                <w:bCs/>
                <w:sz w:val="20"/>
                <w:szCs w:val="20"/>
              </w:rPr>
            </w:pPr>
            <w:r>
              <w:rPr>
                <w:b/>
                <w:bCs/>
                <w:sz w:val="20"/>
                <w:szCs w:val="20"/>
              </w:rPr>
              <w:t>1 1</w:t>
            </w:r>
            <w:r w:rsidR="00FA7133">
              <w:rPr>
                <w:b/>
                <w:bCs/>
                <w:sz w:val="20"/>
                <w:szCs w:val="20"/>
              </w:rPr>
              <w:t>96</w:t>
            </w:r>
            <w:r>
              <w:rPr>
                <w:b/>
                <w:bCs/>
                <w:sz w:val="20"/>
                <w:szCs w:val="20"/>
              </w:rPr>
              <w:t>,</w:t>
            </w:r>
            <w:r w:rsidR="00FA7133">
              <w:rPr>
                <w:b/>
                <w:bCs/>
                <w:sz w:val="20"/>
                <w:szCs w:val="20"/>
              </w:rPr>
              <w:t>89</w:t>
            </w:r>
          </w:p>
          <w:p w14:paraId="43388664" w14:textId="0A3E69C2" w:rsidR="0095554D" w:rsidRPr="00A01EF3" w:rsidRDefault="0095554D" w:rsidP="00277A2F">
            <w:pPr>
              <w:jc w:val="center"/>
              <w:rPr>
                <w:b/>
                <w:bCs/>
                <w:i/>
                <w:iCs/>
                <w:color w:val="000000" w:themeColor="text1"/>
                <w:sz w:val="18"/>
                <w:szCs w:val="18"/>
                <w:shd w:val="clear" w:color="auto" w:fill="FFFFFF"/>
              </w:rPr>
            </w:pPr>
            <w:r w:rsidRPr="00B87450">
              <w:rPr>
                <w:i/>
                <w:iCs/>
                <w:sz w:val="18"/>
                <w:szCs w:val="18"/>
              </w:rPr>
              <w:t>[</w:t>
            </w:r>
            <w:r>
              <w:rPr>
                <w:b/>
                <w:bCs/>
                <w:i/>
                <w:iCs/>
                <w:sz w:val="18"/>
                <w:szCs w:val="18"/>
              </w:rPr>
              <w:t>1 </w:t>
            </w:r>
            <w:r w:rsidR="00FA7133">
              <w:rPr>
                <w:b/>
                <w:bCs/>
                <w:i/>
                <w:iCs/>
                <w:sz w:val="18"/>
                <w:szCs w:val="18"/>
              </w:rPr>
              <w:t>600</w:t>
            </w:r>
            <w:r w:rsidRPr="00B87450">
              <w:rPr>
                <w:i/>
                <w:iCs/>
                <w:sz w:val="18"/>
                <w:szCs w:val="18"/>
              </w:rPr>
              <w:t xml:space="preserve"> – </w:t>
            </w:r>
            <w:r>
              <w:rPr>
                <w:i/>
                <w:iCs/>
                <w:sz w:val="18"/>
                <w:szCs w:val="18"/>
              </w:rPr>
              <w:t>16</w:t>
            </w:r>
            <w:r w:rsidR="00FA7133">
              <w:rPr>
                <w:i/>
                <w:iCs/>
                <w:sz w:val="18"/>
                <w:szCs w:val="18"/>
              </w:rPr>
              <w:t>8</w:t>
            </w:r>
            <w:r>
              <w:rPr>
                <w:i/>
                <w:iCs/>
                <w:sz w:val="18"/>
                <w:szCs w:val="18"/>
              </w:rPr>
              <w:t>,</w:t>
            </w:r>
            <w:r w:rsidR="00FA7133">
              <w:rPr>
                <w:i/>
                <w:iCs/>
                <w:sz w:val="18"/>
                <w:szCs w:val="18"/>
              </w:rPr>
              <w:t>0</w:t>
            </w:r>
            <w:r w:rsidRPr="00B87450">
              <w:rPr>
                <w:i/>
                <w:iCs/>
                <w:sz w:val="18"/>
                <w:szCs w:val="18"/>
              </w:rPr>
              <w:t xml:space="preserve"> </w:t>
            </w:r>
            <w:r>
              <w:rPr>
                <w:i/>
                <w:iCs/>
                <w:sz w:val="18"/>
                <w:szCs w:val="18"/>
              </w:rPr>
              <w:t>–</w:t>
            </w:r>
            <w:r w:rsidRPr="00B87450">
              <w:rPr>
                <w:i/>
                <w:iCs/>
                <w:sz w:val="18"/>
                <w:szCs w:val="18"/>
              </w:rPr>
              <w:t xml:space="preserve"> </w:t>
            </w:r>
            <w:r>
              <w:rPr>
                <w:i/>
                <w:iCs/>
                <w:sz w:val="18"/>
                <w:szCs w:val="18"/>
              </w:rPr>
              <w:t>2</w:t>
            </w:r>
            <w:r w:rsidR="00FA7133">
              <w:rPr>
                <w:i/>
                <w:iCs/>
                <w:sz w:val="18"/>
                <w:szCs w:val="18"/>
              </w:rPr>
              <w:t>35</w:t>
            </w:r>
            <w:r w:rsidRPr="00B87450">
              <w:rPr>
                <w:i/>
                <w:iCs/>
                <w:sz w:val="18"/>
                <w:szCs w:val="18"/>
              </w:rPr>
              <w:t>,</w:t>
            </w:r>
            <w:r w:rsidR="00FA7133">
              <w:rPr>
                <w:i/>
                <w:iCs/>
                <w:sz w:val="18"/>
                <w:szCs w:val="18"/>
              </w:rPr>
              <w:t>11</w:t>
            </w:r>
            <w:r w:rsidRPr="00B87450">
              <w:rPr>
                <w:i/>
                <w:iCs/>
                <w:sz w:val="18"/>
                <w:szCs w:val="18"/>
              </w:rPr>
              <w:t>]</w:t>
            </w:r>
          </w:p>
        </w:tc>
      </w:tr>
      <w:tr w:rsidR="0095554D" w:rsidRPr="00E9333E" w14:paraId="623EA406" w14:textId="77777777" w:rsidTr="00277A2F">
        <w:tc>
          <w:tcPr>
            <w:tcW w:w="3828" w:type="dxa"/>
            <w:tcBorders>
              <w:left w:val="nil"/>
              <w:bottom w:val="nil"/>
            </w:tcBorders>
          </w:tcPr>
          <w:p w14:paraId="1417C237" w14:textId="37661A2C" w:rsidR="0095554D" w:rsidRPr="00EC2B80" w:rsidRDefault="0095554D" w:rsidP="00277A2F">
            <w:pPr>
              <w:rPr>
                <w:b/>
                <w:bCs/>
                <w:color w:val="000000" w:themeColor="text1"/>
                <w:sz w:val="20"/>
                <w:szCs w:val="20"/>
                <w:shd w:val="clear" w:color="auto" w:fill="FFFFFF"/>
              </w:rPr>
            </w:pPr>
            <w:r w:rsidRPr="00EC2B80">
              <w:rPr>
                <w:b/>
                <w:bCs/>
                <w:color w:val="000000" w:themeColor="text1"/>
                <w:sz w:val="20"/>
                <w:szCs w:val="20"/>
                <w:shd w:val="clear" w:color="auto" w:fill="FFFFFF"/>
              </w:rPr>
              <w:t xml:space="preserve">Starpība starp neto </w:t>
            </w:r>
            <w:r w:rsidR="001B1642" w:rsidRPr="001D2593">
              <w:rPr>
                <w:b/>
                <w:bCs/>
                <w:sz w:val="20"/>
                <w:szCs w:val="20"/>
              </w:rPr>
              <w:t xml:space="preserve">darba </w:t>
            </w:r>
            <w:r w:rsidR="001B1642" w:rsidRPr="00B87450">
              <w:rPr>
                <w:b/>
                <w:bCs/>
                <w:sz w:val="20"/>
                <w:szCs w:val="20"/>
              </w:rPr>
              <w:t>alg</w:t>
            </w:r>
            <w:r w:rsidR="001B1642">
              <w:rPr>
                <w:b/>
                <w:bCs/>
                <w:sz w:val="20"/>
                <w:szCs w:val="20"/>
              </w:rPr>
              <w:t>u</w:t>
            </w:r>
            <w:r w:rsidR="001B1642" w:rsidRPr="00EC2B80">
              <w:rPr>
                <w:b/>
                <w:bCs/>
                <w:color w:val="000000" w:themeColor="text1"/>
                <w:sz w:val="20"/>
                <w:szCs w:val="20"/>
                <w:shd w:val="clear" w:color="auto" w:fill="FFFFFF"/>
              </w:rPr>
              <w:t xml:space="preserve"> </w:t>
            </w:r>
            <w:r w:rsidRPr="00EC2B80">
              <w:rPr>
                <w:b/>
                <w:bCs/>
                <w:color w:val="000000" w:themeColor="text1"/>
                <w:sz w:val="20"/>
                <w:szCs w:val="20"/>
                <w:shd w:val="clear" w:color="auto" w:fill="FFFFFF"/>
              </w:rPr>
              <w:t>2025.</w:t>
            </w:r>
            <w:r w:rsidR="00212BD8">
              <w:rPr>
                <w:b/>
                <w:bCs/>
                <w:color w:val="000000" w:themeColor="text1"/>
                <w:sz w:val="20"/>
                <w:szCs w:val="20"/>
                <w:shd w:val="clear" w:color="auto" w:fill="FFFFFF"/>
              </w:rPr>
              <w:t> </w:t>
            </w:r>
            <w:r w:rsidRPr="00EC2B80">
              <w:rPr>
                <w:b/>
                <w:bCs/>
                <w:color w:val="000000" w:themeColor="text1"/>
                <w:sz w:val="20"/>
                <w:szCs w:val="20"/>
                <w:shd w:val="clear" w:color="auto" w:fill="FFFFFF"/>
              </w:rPr>
              <w:t>gadā un 2024.</w:t>
            </w:r>
            <w:r w:rsidR="00212BD8">
              <w:rPr>
                <w:b/>
                <w:bCs/>
                <w:color w:val="000000" w:themeColor="text1"/>
                <w:sz w:val="20"/>
                <w:szCs w:val="20"/>
                <w:shd w:val="clear" w:color="auto" w:fill="FFFFFF"/>
              </w:rPr>
              <w:t> </w:t>
            </w:r>
            <w:r w:rsidRPr="00EC2B80">
              <w:rPr>
                <w:b/>
                <w:bCs/>
                <w:color w:val="000000" w:themeColor="text1"/>
                <w:sz w:val="20"/>
                <w:szCs w:val="20"/>
                <w:shd w:val="clear" w:color="auto" w:fill="FFFFFF"/>
              </w:rPr>
              <w:t>gadā</w:t>
            </w:r>
            <w:r w:rsidR="001D2593" w:rsidRPr="001D2593">
              <w:rPr>
                <w:sz w:val="20"/>
                <w:szCs w:val="20"/>
              </w:rPr>
              <w:t>,</w:t>
            </w:r>
            <w:r w:rsidR="001D2593" w:rsidRPr="00B87450">
              <w:rPr>
                <w:b/>
                <w:bCs/>
                <w:sz w:val="20"/>
                <w:szCs w:val="20"/>
              </w:rPr>
              <w:t xml:space="preserve"> </w:t>
            </w:r>
            <w:r w:rsidR="001D2593" w:rsidRPr="001D2593">
              <w:rPr>
                <w:i/>
                <w:iCs/>
                <w:sz w:val="20"/>
                <w:szCs w:val="20"/>
              </w:rPr>
              <w:t>euro</w:t>
            </w:r>
            <w:r w:rsidR="001D2593" w:rsidRPr="001D2593">
              <w:rPr>
                <w:sz w:val="20"/>
                <w:szCs w:val="20"/>
              </w:rPr>
              <w:t xml:space="preserve"> </w:t>
            </w:r>
            <w:r w:rsidR="001D2593" w:rsidRPr="001D2593">
              <w:rPr>
                <w:i/>
                <w:iCs/>
                <w:sz w:val="20"/>
                <w:szCs w:val="20"/>
              </w:rPr>
              <w:t>mēnesī</w:t>
            </w:r>
            <w:r w:rsidR="001D2593" w:rsidRPr="00B87450">
              <w:rPr>
                <w:b/>
                <w:bCs/>
                <w:sz w:val="20"/>
                <w:szCs w:val="20"/>
              </w:rPr>
              <w:t xml:space="preserve">   </w:t>
            </w:r>
          </w:p>
        </w:tc>
        <w:tc>
          <w:tcPr>
            <w:tcW w:w="5528" w:type="dxa"/>
            <w:gridSpan w:val="2"/>
            <w:tcBorders>
              <w:bottom w:val="nil"/>
              <w:right w:val="nil"/>
            </w:tcBorders>
            <w:vAlign w:val="center"/>
          </w:tcPr>
          <w:p w14:paraId="6E827DD0" w14:textId="5630A890" w:rsidR="0095554D" w:rsidRPr="00E9333E" w:rsidRDefault="0095554D" w:rsidP="00277A2F">
            <w:pPr>
              <w:jc w:val="center"/>
              <w:rPr>
                <w:b/>
                <w:bCs/>
                <w:color w:val="00B050"/>
                <w:sz w:val="20"/>
                <w:szCs w:val="20"/>
                <w:shd w:val="clear" w:color="auto" w:fill="FFFFFF"/>
              </w:rPr>
            </w:pPr>
            <w:r w:rsidRPr="00EC2B80">
              <w:rPr>
                <w:b/>
                <w:bCs/>
                <w:color w:val="00B050"/>
                <w:sz w:val="20"/>
                <w:szCs w:val="20"/>
                <w:shd w:val="clear" w:color="auto" w:fill="FFFFFF"/>
              </w:rPr>
              <w:t>+3</w:t>
            </w:r>
            <w:r w:rsidR="00FA7133">
              <w:rPr>
                <w:b/>
                <w:bCs/>
                <w:color w:val="00B050"/>
                <w:sz w:val="20"/>
                <w:szCs w:val="20"/>
                <w:shd w:val="clear" w:color="auto" w:fill="FFFFFF"/>
              </w:rPr>
              <w:t>5</w:t>
            </w:r>
            <w:r w:rsidRPr="00EC2B80">
              <w:rPr>
                <w:b/>
                <w:bCs/>
                <w:color w:val="00B050"/>
                <w:sz w:val="20"/>
                <w:szCs w:val="20"/>
                <w:shd w:val="clear" w:color="auto" w:fill="FFFFFF"/>
              </w:rPr>
              <w:t>,</w:t>
            </w:r>
            <w:r w:rsidR="00FA7133">
              <w:rPr>
                <w:b/>
                <w:bCs/>
                <w:color w:val="00B050"/>
                <w:sz w:val="20"/>
                <w:szCs w:val="20"/>
                <w:shd w:val="clear" w:color="auto" w:fill="FFFFFF"/>
              </w:rPr>
              <w:t>9</w:t>
            </w:r>
            <w:r>
              <w:rPr>
                <w:b/>
                <w:bCs/>
                <w:color w:val="00B050"/>
                <w:sz w:val="20"/>
                <w:szCs w:val="20"/>
                <w:shd w:val="clear" w:color="auto" w:fill="FFFFFF"/>
              </w:rPr>
              <w:t>1</w:t>
            </w:r>
          </w:p>
          <w:p w14:paraId="1F21797E" w14:textId="0853D1B1" w:rsidR="0095554D" w:rsidRPr="00E9333E" w:rsidRDefault="0095554D" w:rsidP="00277A2F">
            <w:pPr>
              <w:jc w:val="center"/>
              <w:rPr>
                <w:b/>
                <w:bCs/>
                <w:i/>
                <w:iCs/>
                <w:color w:val="000000" w:themeColor="text1"/>
                <w:sz w:val="18"/>
                <w:szCs w:val="18"/>
                <w:shd w:val="clear" w:color="auto" w:fill="FFFFFF"/>
              </w:rPr>
            </w:pPr>
            <w:r w:rsidRPr="00E9333E">
              <w:rPr>
                <w:i/>
                <w:iCs/>
                <w:color w:val="000000" w:themeColor="text1"/>
                <w:sz w:val="18"/>
                <w:szCs w:val="18"/>
                <w:shd w:val="clear" w:color="auto" w:fill="FFFFFF"/>
              </w:rPr>
              <w:t>[</w:t>
            </w:r>
            <w:r w:rsidRPr="0095554D">
              <w:rPr>
                <w:i/>
                <w:iCs/>
                <w:color w:val="000000" w:themeColor="text1"/>
                <w:sz w:val="18"/>
                <w:szCs w:val="18"/>
                <w:shd w:val="clear" w:color="auto" w:fill="FFFFFF"/>
              </w:rPr>
              <w:t>1 1</w:t>
            </w:r>
            <w:r w:rsidR="00FA7133">
              <w:rPr>
                <w:i/>
                <w:iCs/>
                <w:color w:val="000000" w:themeColor="text1"/>
                <w:sz w:val="18"/>
                <w:szCs w:val="18"/>
                <w:shd w:val="clear" w:color="auto" w:fill="FFFFFF"/>
              </w:rPr>
              <w:t>96</w:t>
            </w:r>
            <w:r w:rsidRPr="0095554D">
              <w:rPr>
                <w:i/>
                <w:iCs/>
                <w:color w:val="000000" w:themeColor="text1"/>
                <w:sz w:val="18"/>
                <w:szCs w:val="18"/>
                <w:shd w:val="clear" w:color="auto" w:fill="FFFFFF"/>
              </w:rPr>
              <w:t>,</w:t>
            </w:r>
            <w:r w:rsidR="00FA7133">
              <w:rPr>
                <w:i/>
                <w:iCs/>
                <w:color w:val="000000" w:themeColor="text1"/>
                <w:sz w:val="18"/>
                <w:szCs w:val="18"/>
                <w:shd w:val="clear" w:color="auto" w:fill="FFFFFF"/>
              </w:rPr>
              <w:t>89</w:t>
            </w:r>
            <w:r w:rsidRPr="0095554D">
              <w:rPr>
                <w:i/>
                <w:iCs/>
                <w:color w:val="000000" w:themeColor="text1"/>
                <w:sz w:val="18"/>
                <w:szCs w:val="18"/>
                <w:shd w:val="clear" w:color="auto" w:fill="FFFFFF"/>
              </w:rPr>
              <w:t xml:space="preserve"> – 1 1</w:t>
            </w:r>
            <w:r w:rsidR="00FA7133">
              <w:rPr>
                <w:i/>
                <w:iCs/>
                <w:color w:val="000000" w:themeColor="text1"/>
                <w:sz w:val="18"/>
                <w:szCs w:val="18"/>
                <w:shd w:val="clear" w:color="auto" w:fill="FFFFFF"/>
              </w:rPr>
              <w:t>60</w:t>
            </w:r>
            <w:r w:rsidRPr="0095554D">
              <w:rPr>
                <w:i/>
                <w:iCs/>
                <w:color w:val="000000" w:themeColor="text1"/>
                <w:sz w:val="18"/>
                <w:szCs w:val="18"/>
                <w:shd w:val="clear" w:color="auto" w:fill="FFFFFF"/>
              </w:rPr>
              <w:t>,9</w:t>
            </w:r>
            <w:r w:rsidR="00FA7133">
              <w:rPr>
                <w:i/>
                <w:iCs/>
                <w:color w:val="000000" w:themeColor="text1"/>
                <w:sz w:val="18"/>
                <w:szCs w:val="18"/>
                <w:shd w:val="clear" w:color="auto" w:fill="FFFFFF"/>
              </w:rPr>
              <w:t>8</w:t>
            </w:r>
            <w:r w:rsidRPr="00E9333E">
              <w:rPr>
                <w:i/>
                <w:iCs/>
                <w:color w:val="000000" w:themeColor="text1"/>
                <w:sz w:val="18"/>
                <w:szCs w:val="18"/>
                <w:shd w:val="clear" w:color="auto" w:fill="FFFFFF"/>
              </w:rPr>
              <w:t>]</w:t>
            </w:r>
          </w:p>
        </w:tc>
      </w:tr>
    </w:tbl>
    <w:p w14:paraId="4E372A5F" w14:textId="77777777" w:rsidR="0095554D" w:rsidRDefault="0095554D" w:rsidP="0095554D">
      <w:pPr>
        <w:pStyle w:val="ListParagraph"/>
        <w:tabs>
          <w:tab w:val="left" w:pos="3402"/>
        </w:tabs>
        <w:spacing w:after="120"/>
        <w:rPr>
          <w:color w:val="000000" w:themeColor="text1"/>
          <w:sz w:val="20"/>
          <w:szCs w:val="20"/>
          <w:shd w:val="clear" w:color="auto" w:fill="FFFFFF"/>
        </w:rPr>
      </w:pPr>
    </w:p>
    <w:p w14:paraId="083C1AFF" w14:textId="497A7D8B" w:rsidR="0095554D" w:rsidRDefault="001D2593" w:rsidP="00E9333E">
      <w:pPr>
        <w:pStyle w:val="ListParagraph"/>
        <w:numPr>
          <w:ilvl w:val="0"/>
          <w:numId w:val="27"/>
        </w:numPr>
        <w:tabs>
          <w:tab w:val="left" w:pos="3402"/>
        </w:tabs>
        <w:spacing w:after="120"/>
        <w:rPr>
          <w:color w:val="000000" w:themeColor="text1"/>
          <w:sz w:val="20"/>
          <w:szCs w:val="20"/>
          <w:shd w:val="clear" w:color="auto" w:fill="FFFFFF"/>
        </w:rPr>
      </w:pPr>
      <w:r w:rsidRPr="001D2593">
        <w:rPr>
          <w:b/>
          <w:bCs/>
          <w:color w:val="000000" w:themeColor="text1"/>
          <w:sz w:val="20"/>
          <w:szCs w:val="20"/>
          <w:u w:val="single"/>
          <w:shd w:val="clear" w:color="auto" w:fill="FFFFFF"/>
        </w:rPr>
        <w:t xml:space="preserve">darbinieks ar </w:t>
      </w:r>
      <w:r>
        <w:rPr>
          <w:b/>
          <w:bCs/>
          <w:color w:val="000000" w:themeColor="text1"/>
          <w:sz w:val="20"/>
          <w:szCs w:val="20"/>
          <w:u w:val="single"/>
          <w:shd w:val="clear" w:color="auto" w:fill="FFFFFF"/>
        </w:rPr>
        <w:t xml:space="preserve">darba </w:t>
      </w:r>
      <w:r w:rsidRPr="001D2593">
        <w:rPr>
          <w:b/>
          <w:bCs/>
          <w:color w:val="000000" w:themeColor="text1"/>
          <w:sz w:val="20"/>
          <w:szCs w:val="20"/>
          <w:u w:val="single"/>
          <w:shd w:val="clear" w:color="auto" w:fill="FFFFFF"/>
        </w:rPr>
        <w:t xml:space="preserve">algu </w:t>
      </w:r>
      <w:r w:rsidR="0095554D" w:rsidRPr="001D2593">
        <w:rPr>
          <w:color w:val="000000" w:themeColor="text1"/>
          <w:sz w:val="20"/>
          <w:szCs w:val="20"/>
          <w:u w:val="single"/>
          <w:shd w:val="clear" w:color="auto" w:fill="FFFFFF"/>
        </w:rPr>
        <w:t xml:space="preserve">– </w:t>
      </w:r>
      <w:r w:rsidR="0095554D" w:rsidRPr="001D2593">
        <w:rPr>
          <w:b/>
          <w:bCs/>
          <w:color w:val="000000" w:themeColor="text1"/>
          <w:sz w:val="20"/>
          <w:szCs w:val="20"/>
          <w:u w:val="single"/>
          <w:shd w:val="clear" w:color="auto" w:fill="FFFFFF"/>
        </w:rPr>
        <w:t xml:space="preserve">2 000 </w:t>
      </w:r>
      <w:r w:rsidR="0095554D" w:rsidRPr="001D2593">
        <w:rPr>
          <w:i/>
          <w:iCs/>
          <w:color w:val="000000" w:themeColor="text1"/>
          <w:sz w:val="20"/>
          <w:szCs w:val="20"/>
          <w:u w:val="single"/>
          <w:shd w:val="clear" w:color="auto" w:fill="FFFFFF"/>
        </w:rPr>
        <w:t>euro</w:t>
      </w:r>
      <w:r w:rsidR="0095554D" w:rsidRPr="001D2593">
        <w:rPr>
          <w:color w:val="000000" w:themeColor="text1"/>
          <w:sz w:val="20"/>
          <w:szCs w:val="20"/>
          <w:u w:val="single"/>
          <w:shd w:val="clear" w:color="auto" w:fill="FFFFFF"/>
        </w:rPr>
        <w:t xml:space="preserve"> mēnesī</w:t>
      </w:r>
      <w:r w:rsidRPr="001D2593">
        <w:rPr>
          <w:color w:val="000000" w:themeColor="text1"/>
          <w:sz w:val="20"/>
          <w:szCs w:val="20"/>
          <w:shd w:val="clear" w:color="auto" w:fill="FFFFFF"/>
        </w:rPr>
        <w:t xml:space="preserve"> </w:t>
      </w:r>
      <w:r w:rsidRPr="00EC2B80">
        <w:rPr>
          <w:color w:val="000000" w:themeColor="text1"/>
          <w:sz w:val="20"/>
          <w:szCs w:val="20"/>
          <w:shd w:val="clear" w:color="auto" w:fill="FFFFFF"/>
        </w:rPr>
        <w:t>pirms nodokļu nomaksas</w:t>
      </w:r>
      <w:r>
        <w:rPr>
          <w:color w:val="000000" w:themeColor="text1"/>
          <w:sz w:val="20"/>
          <w:szCs w:val="20"/>
          <w:shd w:val="clear" w:color="auto" w:fill="FFFFFF"/>
        </w:rPr>
        <w:t>:</w:t>
      </w:r>
    </w:p>
    <w:tbl>
      <w:tblPr>
        <w:tblStyle w:val="TableGrid"/>
        <w:tblW w:w="9356" w:type="dxa"/>
        <w:tblLook w:val="04A0" w:firstRow="1" w:lastRow="0" w:firstColumn="1" w:lastColumn="0" w:noHBand="0" w:noVBand="1"/>
      </w:tblPr>
      <w:tblGrid>
        <w:gridCol w:w="3828"/>
        <w:gridCol w:w="2835"/>
        <w:gridCol w:w="2693"/>
      </w:tblGrid>
      <w:tr w:rsidR="0095554D" w14:paraId="48D8B672" w14:textId="77777777" w:rsidTr="00930F3D">
        <w:tc>
          <w:tcPr>
            <w:tcW w:w="3828" w:type="dxa"/>
            <w:tcBorders>
              <w:top w:val="nil"/>
              <w:left w:val="nil"/>
            </w:tcBorders>
          </w:tcPr>
          <w:p w14:paraId="339A4565" w14:textId="77777777" w:rsidR="0095554D" w:rsidRDefault="0095554D" w:rsidP="00930F3D">
            <w:pPr>
              <w:rPr>
                <w:color w:val="000000" w:themeColor="text1"/>
                <w:sz w:val="20"/>
                <w:szCs w:val="20"/>
                <w:shd w:val="clear" w:color="auto" w:fill="FFFFFF"/>
              </w:rPr>
            </w:pPr>
          </w:p>
        </w:tc>
        <w:tc>
          <w:tcPr>
            <w:tcW w:w="2835" w:type="dxa"/>
            <w:tcBorders>
              <w:top w:val="nil"/>
            </w:tcBorders>
            <w:vAlign w:val="center"/>
          </w:tcPr>
          <w:p w14:paraId="4064FFF8" w14:textId="2592068A" w:rsidR="0095554D" w:rsidRDefault="0095554D" w:rsidP="00930F3D">
            <w:pPr>
              <w:jc w:val="center"/>
              <w:rPr>
                <w:color w:val="000000" w:themeColor="text1"/>
                <w:sz w:val="20"/>
                <w:szCs w:val="20"/>
                <w:shd w:val="clear" w:color="auto" w:fill="FFFFFF"/>
              </w:rPr>
            </w:pPr>
            <w:r w:rsidRPr="00EC2B80">
              <w:rPr>
                <w:b/>
                <w:bCs/>
                <w:color w:val="000000" w:themeColor="text1"/>
                <w:sz w:val="20"/>
                <w:szCs w:val="20"/>
                <w:shd w:val="clear" w:color="auto" w:fill="FFFFFF"/>
              </w:rPr>
              <w:t>2024.</w:t>
            </w:r>
            <w:r w:rsidR="00212BD8">
              <w:rPr>
                <w:b/>
                <w:bCs/>
                <w:color w:val="000000" w:themeColor="text1"/>
                <w:sz w:val="20"/>
                <w:szCs w:val="20"/>
                <w:shd w:val="clear" w:color="auto" w:fill="FFFFFF"/>
              </w:rPr>
              <w:t> </w:t>
            </w:r>
            <w:r w:rsidRPr="00EC2B80">
              <w:rPr>
                <w:b/>
                <w:bCs/>
                <w:color w:val="000000" w:themeColor="text1"/>
                <w:sz w:val="20"/>
                <w:szCs w:val="20"/>
                <w:shd w:val="clear" w:color="auto" w:fill="FFFFFF"/>
              </w:rPr>
              <w:t>gadā</w:t>
            </w:r>
          </w:p>
        </w:tc>
        <w:tc>
          <w:tcPr>
            <w:tcW w:w="2693" w:type="dxa"/>
            <w:tcBorders>
              <w:top w:val="nil"/>
              <w:right w:val="nil"/>
            </w:tcBorders>
            <w:vAlign w:val="center"/>
          </w:tcPr>
          <w:p w14:paraId="7DBCA37C" w14:textId="5D9DFB83" w:rsidR="0095554D" w:rsidRDefault="0095554D" w:rsidP="00930F3D">
            <w:pPr>
              <w:jc w:val="center"/>
              <w:rPr>
                <w:color w:val="000000" w:themeColor="text1"/>
                <w:sz w:val="20"/>
                <w:szCs w:val="20"/>
                <w:shd w:val="clear" w:color="auto" w:fill="FFFFFF"/>
              </w:rPr>
            </w:pPr>
            <w:r w:rsidRPr="00EC2B80">
              <w:rPr>
                <w:b/>
                <w:bCs/>
                <w:color w:val="000000" w:themeColor="text1"/>
                <w:sz w:val="20"/>
                <w:szCs w:val="20"/>
                <w:shd w:val="clear" w:color="auto" w:fill="FFFFFF"/>
              </w:rPr>
              <w:t>2025.</w:t>
            </w:r>
            <w:r w:rsidR="00212BD8">
              <w:rPr>
                <w:b/>
                <w:bCs/>
                <w:color w:val="000000" w:themeColor="text1"/>
                <w:sz w:val="20"/>
                <w:szCs w:val="20"/>
                <w:shd w:val="clear" w:color="auto" w:fill="FFFFFF"/>
              </w:rPr>
              <w:t> </w:t>
            </w:r>
            <w:r w:rsidRPr="00EC2B80">
              <w:rPr>
                <w:b/>
                <w:bCs/>
                <w:color w:val="000000" w:themeColor="text1"/>
                <w:sz w:val="20"/>
                <w:szCs w:val="20"/>
                <w:shd w:val="clear" w:color="auto" w:fill="FFFFFF"/>
              </w:rPr>
              <w:t>gadā</w:t>
            </w:r>
          </w:p>
        </w:tc>
      </w:tr>
      <w:tr w:rsidR="0095554D" w:rsidRPr="00E9333E" w14:paraId="72ABFE91" w14:textId="77777777" w:rsidTr="00930F3D">
        <w:tc>
          <w:tcPr>
            <w:tcW w:w="3828" w:type="dxa"/>
            <w:tcBorders>
              <w:left w:val="nil"/>
            </w:tcBorders>
            <w:shd w:val="clear" w:color="auto" w:fill="FFF2CC" w:themeFill="accent4" w:themeFillTint="33"/>
          </w:tcPr>
          <w:p w14:paraId="3CDC0A8E" w14:textId="0A470D18" w:rsidR="0095554D" w:rsidRPr="00E9333E" w:rsidRDefault="0095554D" w:rsidP="00930F3D">
            <w:pPr>
              <w:rPr>
                <w:color w:val="000000" w:themeColor="text1"/>
                <w:sz w:val="20"/>
                <w:szCs w:val="20"/>
                <w:shd w:val="clear" w:color="auto" w:fill="FFFFFF"/>
              </w:rPr>
            </w:pPr>
            <w:r w:rsidRPr="00B87450">
              <w:rPr>
                <w:b/>
                <w:bCs/>
                <w:sz w:val="20"/>
                <w:szCs w:val="20"/>
              </w:rPr>
              <w:t xml:space="preserve">Bruto </w:t>
            </w:r>
            <w:r w:rsidR="001D2593" w:rsidRPr="001D2593">
              <w:rPr>
                <w:b/>
                <w:bCs/>
                <w:sz w:val="20"/>
                <w:szCs w:val="20"/>
              </w:rPr>
              <w:t>darba</w:t>
            </w:r>
            <w:r w:rsidR="001D2593">
              <w:rPr>
                <w:b/>
                <w:bCs/>
                <w:sz w:val="20"/>
                <w:szCs w:val="20"/>
              </w:rPr>
              <w:t xml:space="preserve"> alga</w:t>
            </w:r>
            <w:r w:rsidRPr="00B87450">
              <w:rPr>
                <w:i/>
                <w:iCs/>
                <w:sz w:val="20"/>
                <w:szCs w:val="20"/>
              </w:rPr>
              <w:t>, euro mēnesī</w:t>
            </w:r>
          </w:p>
        </w:tc>
        <w:tc>
          <w:tcPr>
            <w:tcW w:w="2835" w:type="dxa"/>
            <w:shd w:val="clear" w:color="auto" w:fill="FFF2CC" w:themeFill="accent4" w:themeFillTint="33"/>
            <w:vAlign w:val="center"/>
          </w:tcPr>
          <w:p w14:paraId="608DCCF0" w14:textId="6E4CAA63" w:rsidR="0095554D" w:rsidRPr="00E9333E" w:rsidRDefault="0095554D" w:rsidP="00930F3D">
            <w:pPr>
              <w:jc w:val="center"/>
              <w:rPr>
                <w:b/>
                <w:bCs/>
                <w:color w:val="000000" w:themeColor="text1"/>
                <w:sz w:val="20"/>
                <w:szCs w:val="20"/>
                <w:shd w:val="clear" w:color="auto" w:fill="FFFFFF"/>
              </w:rPr>
            </w:pPr>
            <w:r>
              <w:rPr>
                <w:b/>
                <w:bCs/>
                <w:sz w:val="20"/>
                <w:szCs w:val="20"/>
              </w:rPr>
              <w:t>2 000</w:t>
            </w:r>
          </w:p>
        </w:tc>
        <w:tc>
          <w:tcPr>
            <w:tcW w:w="2693" w:type="dxa"/>
            <w:tcBorders>
              <w:right w:val="nil"/>
            </w:tcBorders>
            <w:shd w:val="clear" w:color="auto" w:fill="FFF2CC" w:themeFill="accent4" w:themeFillTint="33"/>
            <w:vAlign w:val="center"/>
          </w:tcPr>
          <w:p w14:paraId="3AFC0DD9" w14:textId="35D1AE39" w:rsidR="0095554D" w:rsidRPr="00E9333E" w:rsidRDefault="0095554D" w:rsidP="00930F3D">
            <w:pPr>
              <w:jc w:val="center"/>
              <w:rPr>
                <w:color w:val="000000" w:themeColor="text1"/>
                <w:sz w:val="20"/>
                <w:szCs w:val="20"/>
                <w:shd w:val="clear" w:color="auto" w:fill="FFFFFF"/>
              </w:rPr>
            </w:pPr>
            <w:r>
              <w:rPr>
                <w:b/>
                <w:bCs/>
                <w:sz w:val="20"/>
                <w:szCs w:val="20"/>
              </w:rPr>
              <w:t>2 000</w:t>
            </w:r>
          </w:p>
        </w:tc>
      </w:tr>
      <w:tr w:rsidR="0095554D" w:rsidRPr="00E9333E" w14:paraId="04B27BAC" w14:textId="77777777" w:rsidTr="00930F3D">
        <w:tc>
          <w:tcPr>
            <w:tcW w:w="3828" w:type="dxa"/>
            <w:tcBorders>
              <w:left w:val="nil"/>
            </w:tcBorders>
          </w:tcPr>
          <w:p w14:paraId="4B51FE7B" w14:textId="77777777" w:rsidR="0095554D" w:rsidRPr="00E9333E" w:rsidRDefault="0095554D" w:rsidP="00930F3D">
            <w:pPr>
              <w:rPr>
                <w:color w:val="000000" w:themeColor="text1"/>
                <w:sz w:val="20"/>
                <w:szCs w:val="20"/>
                <w:shd w:val="clear" w:color="auto" w:fill="FFFFFF"/>
              </w:rPr>
            </w:pPr>
            <w:r w:rsidRPr="00EC2B80">
              <w:rPr>
                <w:color w:val="000000" w:themeColor="text1"/>
                <w:sz w:val="20"/>
                <w:szCs w:val="20"/>
                <w:shd w:val="clear" w:color="auto" w:fill="FFFFFF"/>
              </w:rPr>
              <w:t>Darba ņēmēja VSAOI</w:t>
            </w:r>
            <w:r w:rsidRPr="00E9333E">
              <w:rPr>
                <w:color w:val="000000" w:themeColor="text1"/>
                <w:sz w:val="20"/>
                <w:szCs w:val="20"/>
                <w:shd w:val="clear" w:color="auto" w:fill="FFFFFF"/>
              </w:rPr>
              <w:t xml:space="preserve">, </w:t>
            </w:r>
            <w:r w:rsidRPr="00E9333E">
              <w:rPr>
                <w:i/>
                <w:iCs/>
                <w:color w:val="000000" w:themeColor="text1"/>
                <w:sz w:val="20"/>
                <w:szCs w:val="20"/>
                <w:shd w:val="clear" w:color="auto" w:fill="FFFFFF"/>
              </w:rPr>
              <w:t>euro mēnesī</w:t>
            </w:r>
            <w:r w:rsidRPr="00EC2B80">
              <w:rPr>
                <w:color w:val="000000" w:themeColor="text1"/>
                <w:sz w:val="20"/>
                <w:szCs w:val="20"/>
                <w:shd w:val="clear" w:color="auto" w:fill="FFFFFF"/>
              </w:rPr>
              <w:t xml:space="preserve">   </w:t>
            </w:r>
          </w:p>
        </w:tc>
        <w:tc>
          <w:tcPr>
            <w:tcW w:w="2835" w:type="dxa"/>
            <w:vAlign w:val="center"/>
          </w:tcPr>
          <w:p w14:paraId="059D82C2" w14:textId="77777777" w:rsidR="0095554D" w:rsidRDefault="0095554D" w:rsidP="00930F3D">
            <w:pPr>
              <w:jc w:val="center"/>
              <w:rPr>
                <w:i/>
                <w:iCs/>
                <w:color w:val="000000" w:themeColor="text1"/>
                <w:sz w:val="18"/>
                <w:szCs w:val="18"/>
                <w:shd w:val="clear" w:color="auto" w:fill="FFFFFF"/>
              </w:rPr>
            </w:pPr>
            <w:r w:rsidRPr="00EC2B80">
              <w:rPr>
                <w:b/>
                <w:bCs/>
                <w:color w:val="000000" w:themeColor="text1"/>
                <w:sz w:val="20"/>
                <w:szCs w:val="20"/>
                <w:shd w:val="clear" w:color="auto" w:fill="FFFFFF"/>
              </w:rPr>
              <w:t>210,00</w:t>
            </w:r>
            <w:r w:rsidRPr="00E9333E">
              <w:rPr>
                <w:i/>
                <w:iCs/>
                <w:color w:val="000000" w:themeColor="text1"/>
                <w:sz w:val="18"/>
                <w:szCs w:val="18"/>
                <w:shd w:val="clear" w:color="auto" w:fill="FFFFFF"/>
              </w:rPr>
              <w:t xml:space="preserve"> </w:t>
            </w:r>
          </w:p>
          <w:p w14:paraId="47F1FDE7" w14:textId="00923F92" w:rsidR="0095554D" w:rsidRPr="00E9333E" w:rsidRDefault="0095554D" w:rsidP="00930F3D">
            <w:pPr>
              <w:jc w:val="center"/>
              <w:rPr>
                <w:i/>
                <w:iCs/>
                <w:color w:val="000000" w:themeColor="text1"/>
                <w:sz w:val="18"/>
                <w:szCs w:val="18"/>
                <w:shd w:val="clear" w:color="auto" w:fill="FFFFFF"/>
              </w:rPr>
            </w:pPr>
            <w:r w:rsidRPr="00E9333E">
              <w:rPr>
                <w:i/>
                <w:iCs/>
                <w:color w:val="000000" w:themeColor="text1"/>
                <w:sz w:val="18"/>
                <w:szCs w:val="18"/>
                <w:shd w:val="clear" w:color="auto" w:fill="FFFFFF"/>
              </w:rPr>
              <w:t>[</w:t>
            </w:r>
            <w:r>
              <w:rPr>
                <w:b/>
                <w:bCs/>
                <w:i/>
                <w:iCs/>
                <w:sz w:val="18"/>
                <w:szCs w:val="18"/>
              </w:rPr>
              <w:t xml:space="preserve">2 000 </w:t>
            </w:r>
            <w:r w:rsidRPr="00EC2B80">
              <w:rPr>
                <w:i/>
                <w:iCs/>
                <w:color w:val="000000" w:themeColor="text1"/>
                <w:sz w:val="18"/>
                <w:szCs w:val="18"/>
                <w:shd w:val="clear" w:color="auto" w:fill="FFFFFF"/>
              </w:rPr>
              <w:t>x 10,5%</w:t>
            </w:r>
            <w:r w:rsidRPr="00E9333E">
              <w:rPr>
                <w:i/>
                <w:iCs/>
                <w:color w:val="000000" w:themeColor="text1"/>
                <w:sz w:val="18"/>
                <w:szCs w:val="18"/>
                <w:shd w:val="clear" w:color="auto" w:fill="FFFFFF"/>
              </w:rPr>
              <w:t>]</w:t>
            </w:r>
          </w:p>
        </w:tc>
        <w:tc>
          <w:tcPr>
            <w:tcW w:w="2693" w:type="dxa"/>
            <w:tcBorders>
              <w:right w:val="nil"/>
            </w:tcBorders>
            <w:vAlign w:val="center"/>
          </w:tcPr>
          <w:p w14:paraId="1E0B746D" w14:textId="77777777" w:rsidR="0095554D" w:rsidRDefault="0095554D" w:rsidP="00930F3D">
            <w:pPr>
              <w:jc w:val="center"/>
              <w:rPr>
                <w:i/>
                <w:iCs/>
                <w:color w:val="000000" w:themeColor="text1"/>
                <w:sz w:val="18"/>
                <w:szCs w:val="18"/>
                <w:shd w:val="clear" w:color="auto" w:fill="FFFFFF"/>
              </w:rPr>
            </w:pPr>
            <w:r w:rsidRPr="00EC2B80">
              <w:rPr>
                <w:b/>
                <w:bCs/>
                <w:color w:val="000000" w:themeColor="text1"/>
                <w:sz w:val="20"/>
                <w:szCs w:val="20"/>
                <w:shd w:val="clear" w:color="auto" w:fill="FFFFFF"/>
              </w:rPr>
              <w:t>210,00</w:t>
            </w:r>
            <w:r w:rsidRPr="00E9333E">
              <w:rPr>
                <w:i/>
                <w:iCs/>
                <w:color w:val="000000" w:themeColor="text1"/>
                <w:sz w:val="18"/>
                <w:szCs w:val="18"/>
                <w:shd w:val="clear" w:color="auto" w:fill="FFFFFF"/>
              </w:rPr>
              <w:t xml:space="preserve"> </w:t>
            </w:r>
          </w:p>
          <w:p w14:paraId="7072F1C8" w14:textId="19DBBDC2" w:rsidR="0095554D" w:rsidRPr="00E9333E" w:rsidRDefault="0095554D" w:rsidP="00930F3D">
            <w:pPr>
              <w:jc w:val="center"/>
              <w:rPr>
                <w:i/>
                <w:iCs/>
                <w:color w:val="000000" w:themeColor="text1"/>
                <w:sz w:val="18"/>
                <w:szCs w:val="18"/>
                <w:shd w:val="clear" w:color="auto" w:fill="FFFFFF"/>
              </w:rPr>
            </w:pPr>
            <w:r w:rsidRPr="00E9333E">
              <w:rPr>
                <w:i/>
                <w:iCs/>
                <w:color w:val="000000" w:themeColor="text1"/>
                <w:sz w:val="18"/>
                <w:szCs w:val="18"/>
                <w:shd w:val="clear" w:color="auto" w:fill="FFFFFF"/>
              </w:rPr>
              <w:t>[</w:t>
            </w:r>
            <w:r>
              <w:rPr>
                <w:b/>
                <w:bCs/>
                <w:i/>
                <w:iCs/>
                <w:sz w:val="18"/>
                <w:szCs w:val="18"/>
              </w:rPr>
              <w:t xml:space="preserve">2 000 </w:t>
            </w:r>
            <w:r w:rsidRPr="00EC2B80">
              <w:rPr>
                <w:i/>
                <w:iCs/>
                <w:color w:val="000000" w:themeColor="text1"/>
                <w:sz w:val="18"/>
                <w:szCs w:val="18"/>
                <w:shd w:val="clear" w:color="auto" w:fill="FFFFFF"/>
              </w:rPr>
              <w:t>x 10,5%</w:t>
            </w:r>
            <w:r w:rsidRPr="00E9333E">
              <w:rPr>
                <w:i/>
                <w:iCs/>
                <w:color w:val="000000" w:themeColor="text1"/>
                <w:sz w:val="18"/>
                <w:szCs w:val="18"/>
                <w:shd w:val="clear" w:color="auto" w:fill="FFFFFF"/>
              </w:rPr>
              <w:t>]</w:t>
            </w:r>
          </w:p>
        </w:tc>
      </w:tr>
      <w:tr w:rsidR="0095554D" w:rsidRPr="00E9333E" w14:paraId="38C4BDC5" w14:textId="77777777" w:rsidTr="00930F3D">
        <w:tc>
          <w:tcPr>
            <w:tcW w:w="3828" w:type="dxa"/>
            <w:tcBorders>
              <w:left w:val="nil"/>
            </w:tcBorders>
          </w:tcPr>
          <w:p w14:paraId="4E3F2C42" w14:textId="77777777" w:rsidR="0095554D" w:rsidRPr="00E9333E" w:rsidRDefault="0095554D" w:rsidP="00930F3D">
            <w:pPr>
              <w:rPr>
                <w:color w:val="000000" w:themeColor="text1"/>
                <w:sz w:val="20"/>
                <w:szCs w:val="20"/>
                <w:shd w:val="clear" w:color="auto" w:fill="FFFFFF"/>
              </w:rPr>
            </w:pPr>
            <w:r w:rsidRPr="00E9333E">
              <w:rPr>
                <w:color w:val="000000" w:themeColor="text1"/>
                <w:sz w:val="20"/>
                <w:szCs w:val="20"/>
                <w:shd w:val="clear" w:color="auto" w:fill="FFFFFF"/>
              </w:rPr>
              <w:t xml:space="preserve">Ar IIN neapliekamais minimums, </w:t>
            </w:r>
            <w:r w:rsidRPr="00E9333E">
              <w:rPr>
                <w:i/>
                <w:iCs/>
                <w:color w:val="000000" w:themeColor="text1"/>
                <w:sz w:val="20"/>
                <w:szCs w:val="20"/>
                <w:shd w:val="clear" w:color="auto" w:fill="FFFFFF"/>
              </w:rPr>
              <w:t>euro mēnesī</w:t>
            </w:r>
            <w:r w:rsidRPr="00EC2B80">
              <w:rPr>
                <w:color w:val="000000" w:themeColor="text1"/>
                <w:sz w:val="20"/>
                <w:szCs w:val="20"/>
                <w:shd w:val="clear" w:color="auto" w:fill="FFFFFF"/>
              </w:rPr>
              <w:t xml:space="preserve">   </w:t>
            </w:r>
          </w:p>
        </w:tc>
        <w:tc>
          <w:tcPr>
            <w:tcW w:w="2835" w:type="dxa"/>
            <w:vAlign w:val="center"/>
          </w:tcPr>
          <w:p w14:paraId="384D8736" w14:textId="3CA29261" w:rsidR="0095554D" w:rsidRPr="00E9333E" w:rsidRDefault="0095554D" w:rsidP="00930F3D">
            <w:pPr>
              <w:jc w:val="center"/>
              <w:rPr>
                <w:i/>
                <w:iCs/>
                <w:color w:val="000000" w:themeColor="text1"/>
                <w:sz w:val="18"/>
                <w:szCs w:val="18"/>
                <w:shd w:val="clear" w:color="auto" w:fill="FFFFFF"/>
              </w:rPr>
            </w:pPr>
            <w:r>
              <w:rPr>
                <w:i/>
                <w:iCs/>
                <w:color w:val="000000" w:themeColor="text1"/>
                <w:sz w:val="18"/>
                <w:szCs w:val="18"/>
                <w:shd w:val="clear" w:color="auto" w:fill="FFFFFF"/>
              </w:rPr>
              <w:t>-</w:t>
            </w:r>
          </w:p>
        </w:tc>
        <w:tc>
          <w:tcPr>
            <w:tcW w:w="2693" w:type="dxa"/>
            <w:tcBorders>
              <w:right w:val="nil"/>
            </w:tcBorders>
            <w:vAlign w:val="center"/>
          </w:tcPr>
          <w:p w14:paraId="11490154" w14:textId="77777777" w:rsidR="0095554D" w:rsidRPr="00E9333E" w:rsidRDefault="0095554D" w:rsidP="00930F3D">
            <w:pPr>
              <w:jc w:val="center"/>
              <w:rPr>
                <w:color w:val="000000" w:themeColor="text1"/>
                <w:sz w:val="20"/>
                <w:szCs w:val="20"/>
                <w:shd w:val="clear" w:color="auto" w:fill="FFFFFF"/>
              </w:rPr>
            </w:pPr>
            <w:r w:rsidRPr="00B87450">
              <w:rPr>
                <w:b/>
                <w:bCs/>
                <w:color w:val="000000" w:themeColor="text1"/>
                <w:sz w:val="20"/>
                <w:szCs w:val="20"/>
                <w:shd w:val="clear" w:color="auto" w:fill="FFFFFF"/>
              </w:rPr>
              <w:t>510</w:t>
            </w:r>
          </w:p>
        </w:tc>
      </w:tr>
      <w:tr w:rsidR="0095554D" w:rsidRPr="00E9333E" w14:paraId="549C3635" w14:textId="77777777" w:rsidTr="00930F3D">
        <w:tc>
          <w:tcPr>
            <w:tcW w:w="3828" w:type="dxa"/>
            <w:tcBorders>
              <w:left w:val="nil"/>
            </w:tcBorders>
          </w:tcPr>
          <w:p w14:paraId="6EB108A1" w14:textId="6E241404" w:rsidR="0095554D" w:rsidRPr="00E9333E" w:rsidRDefault="0095554D" w:rsidP="00930F3D">
            <w:pPr>
              <w:rPr>
                <w:color w:val="000000" w:themeColor="text1"/>
                <w:sz w:val="20"/>
                <w:szCs w:val="20"/>
                <w:shd w:val="clear" w:color="auto" w:fill="FFFFFF"/>
              </w:rPr>
            </w:pPr>
            <w:r w:rsidRPr="00EC2B80">
              <w:rPr>
                <w:color w:val="000000" w:themeColor="text1"/>
                <w:sz w:val="20"/>
                <w:szCs w:val="20"/>
                <w:shd w:val="clear" w:color="auto" w:fill="FFFFFF"/>
              </w:rPr>
              <w:t>I</w:t>
            </w:r>
            <w:r w:rsidR="00FE3E4A">
              <w:rPr>
                <w:color w:val="000000" w:themeColor="text1"/>
                <w:sz w:val="20"/>
                <w:szCs w:val="20"/>
                <w:shd w:val="clear" w:color="auto" w:fill="FFFFFF"/>
              </w:rPr>
              <w:t>IN</w:t>
            </w:r>
            <w:r w:rsidRPr="00E9333E">
              <w:rPr>
                <w:color w:val="000000" w:themeColor="text1"/>
                <w:sz w:val="20"/>
                <w:szCs w:val="20"/>
                <w:shd w:val="clear" w:color="auto" w:fill="FFFFFF"/>
              </w:rPr>
              <w:t xml:space="preserve">, </w:t>
            </w:r>
            <w:r w:rsidRPr="00E9333E">
              <w:rPr>
                <w:i/>
                <w:iCs/>
                <w:color w:val="000000" w:themeColor="text1"/>
                <w:sz w:val="20"/>
                <w:szCs w:val="20"/>
                <w:shd w:val="clear" w:color="auto" w:fill="FFFFFF"/>
              </w:rPr>
              <w:t>euro mēnesī</w:t>
            </w:r>
            <w:r w:rsidRPr="00EC2B80">
              <w:rPr>
                <w:color w:val="000000" w:themeColor="text1"/>
                <w:sz w:val="20"/>
                <w:szCs w:val="20"/>
                <w:shd w:val="clear" w:color="auto" w:fill="FFFFFF"/>
              </w:rPr>
              <w:t xml:space="preserve">   </w:t>
            </w:r>
          </w:p>
        </w:tc>
        <w:tc>
          <w:tcPr>
            <w:tcW w:w="2835" w:type="dxa"/>
            <w:vAlign w:val="center"/>
          </w:tcPr>
          <w:p w14:paraId="20A64CCB" w14:textId="77777777" w:rsidR="0095554D" w:rsidRDefault="0095554D" w:rsidP="00930F3D">
            <w:pPr>
              <w:jc w:val="center"/>
              <w:rPr>
                <w:i/>
                <w:iCs/>
                <w:color w:val="000000" w:themeColor="text1"/>
                <w:sz w:val="20"/>
                <w:szCs w:val="20"/>
                <w:shd w:val="clear" w:color="auto" w:fill="FFFFFF"/>
              </w:rPr>
            </w:pPr>
            <w:r w:rsidRPr="00EC2B80">
              <w:rPr>
                <w:b/>
                <w:bCs/>
                <w:color w:val="000000" w:themeColor="text1"/>
                <w:sz w:val="20"/>
                <w:szCs w:val="20"/>
                <w:shd w:val="clear" w:color="auto" w:fill="FFFFFF"/>
              </w:rPr>
              <w:t>367,99</w:t>
            </w:r>
            <w:r w:rsidRPr="00EC2B80">
              <w:rPr>
                <w:i/>
                <w:iCs/>
                <w:color w:val="000000" w:themeColor="text1"/>
                <w:sz w:val="20"/>
                <w:szCs w:val="20"/>
                <w:shd w:val="clear" w:color="auto" w:fill="FFFFFF"/>
              </w:rPr>
              <w:t xml:space="preserve"> </w:t>
            </w:r>
          </w:p>
          <w:p w14:paraId="0A742C48" w14:textId="442A2A51" w:rsidR="0095554D" w:rsidRPr="0095554D" w:rsidRDefault="0095554D" w:rsidP="00930F3D">
            <w:pPr>
              <w:jc w:val="center"/>
              <w:rPr>
                <w:i/>
                <w:iCs/>
                <w:color w:val="000000" w:themeColor="text1"/>
                <w:sz w:val="18"/>
                <w:szCs w:val="18"/>
                <w:shd w:val="clear" w:color="auto" w:fill="FFFFFF"/>
              </w:rPr>
            </w:pPr>
            <w:r w:rsidRPr="0095554D">
              <w:rPr>
                <w:i/>
                <w:iCs/>
                <w:color w:val="000000" w:themeColor="text1"/>
                <w:sz w:val="18"/>
                <w:szCs w:val="18"/>
                <w:shd w:val="clear" w:color="auto" w:fill="FFFFFF"/>
              </w:rPr>
              <w:t>[(1 667 - 210,00 –  0) x 20% + (</w:t>
            </w:r>
            <w:r w:rsidRPr="0095554D">
              <w:rPr>
                <w:b/>
                <w:bCs/>
                <w:i/>
                <w:iCs/>
                <w:color w:val="000000" w:themeColor="text1"/>
                <w:sz w:val="18"/>
                <w:szCs w:val="18"/>
                <w:shd w:val="clear" w:color="auto" w:fill="FFFFFF"/>
              </w:rPr>
              <w:t xml:space="preserve">2 000 </w:t>
            </w:r>
            <w:r w:rsidRPr="0095554D">
              <w:rPr>
                <w:i/>
                <w:iCs/>
                <w:color w:val="000000" w:themeColor="text1"/>
                <w:sz w:val="18"/>
                <w:szCs w:val="18"/>
                <w:shd w:val="clear" w:color="auto" w:fill="FFFFFF"/>
              </w:rPr>
              <w:t>– 1 667) x 23%]</w:t>
            </w:r>
          </w:p>
        </w:tc>
        <w:tc>
          <w:tcPr>
            <w:tcW w:w="2693" w:type="dxa"/>
            <w:tcBorders>
              <w:right w:val="nil"/>
            </w:tcBorders>
            <w:vAlign w:val="center"/>
          </w:tcPr>
          <w:p w14:paraId="0B9ECDF1" w14:textId="77777777" w:rsidR="0095554D" w:rsidRDefault="0095554D" w:rsidP="00930F3D">
            <w:pPr>
              <w:jc w:val="center"/>
              <w:rPr>
                <w:i/>
                <w:iCs/>
                <w:color w:val="000000" w:themeColor="text1"/>
                <w:sz w:val="20"/>
                <w:szCs w:val="20"/>
                <w:shd w:val="clear" w:color="auto" w:fill="FFFFFF"/>
              </w:rPr>
            </w:pPr>
            <w:r w:rsidRPr="00EC2B80">
              <w:rPr>
                <w:b/>
                <w:bCs/>
                <w:color w:val="000000" w:themeColor="text1"/>
                <w:sz w:val="20"/>
                <w:szCs w:val="20"/>
                <w:shd w:val="clear" w:color="auto" w:fill="FFFFFF"/>
              </w:rPr>
              <w:t>326,40</w:t>
            </w:r>
            <w:r w:rsidRPr="00EC2B80">
              <w:rPr>
                <w:i/>
                <w:iCs/>
                <w:color w:val="000000" w:themeColor="text1"/>
                <w:sz w:val="20"/>
                <w:szCs w:val="20"/>
                <w:shd w:val="clear" w:color="auto" w:fill="FFFFFF"/>
              </w:rPr>
              <w:t xml:space="preserve"> </w:t>
            </w:r>
          </w:p>
          <w:p w14:paraId="3C66F39A" w14:textId="390EE61E" w:rsidR="0095554D" w:rsidRPr="00E9333E" w:rsidRDefault="0095554D" w:rsidP="00930F3D">
            <w:pPr>
              <w:jc w:val="center"/>
              <w:rPr>
                <w:i/>
                <w:iCs/>
                <w:color w:val="000000" w:themeColor="text1"/>
                <w:sz w:val="18"/>
                <w:szCs w:val="18"/>
                <w:shd w:val="clear" w:color="auto" w:fill="FFFFFF"/>
              </w:rPr>
            </w:pPr>
            <w:r w:rsidRPr="00E9333E">
              <w:rPr>
                <w:i/>
                <w:iCs/>
                <w:color w:val="000000" w:themeColor="text1"/>
                <w:sz w:val="18"/>
                <w:szCs w:val="18"/>
                <w:shd w:val="clear" w:color="auto" w:fill="FFFFFF"/>
              </w:rPr>
              <w:t>[</w:t>
            </w:r>
            <w:r>
              <w:rPr>
                <w:b/>
                <w:bCs/>
                <w:i/>
                <w:iCs/>
                <w:sz w:val="18"/>
                <w:szCs w:val="18"/>
              </w:rPr>
              <w:t xml:space="preserve">2 000 </w:t>
            </w:r>
            <w:r w:rsidRPr="00EC2B80">
              <w:rPr>
                <w:i/>
                <w:iCs/>
                <w:color w:val="000000" w:themeColor="text1"/>
                <w:sz w:val="18"/>
                <w:szCs w:val="18"/>
                <w:shd w:val="clear" w:color="auto" w:fill="FFFFFF"/>
              </w:rPr>
              <w:t xml:space="preserve">– </w:t>
            </w:r>
            <w:r>
              <w:rPr>
                <w:i/>
                <w:iCs/>
                <w:color w:val="000000" w:themeColor="text1"/>
                <w:sz w:val="18"/>
                <w:szCs w:val="18"/>
                <w:shd w:val="clear" w:color="auto" w:fill="FFFFFF"/>
              </w:rPr>
              <w:t>2</w:t>
            </w:r>
            <w:r w:rsidRPr="00B87450">
              <w:rPr>
                <w:i/>
                <w:iCs/>
                <w:color w:val="000000" w:themeColor="text1"/>
                <w:sz w:val="18"/>
                <w:szCs w:val="18"/>
                <w:shd w:val="clear" w:color="auto" w:fill="FFFFFF"/>
              </w:rPr>
              <w:t>10,</w:t>
            </w:r>
            <w:r>
              <w:rPr>
                <w:i/>
                <w:iCs/>
                <w:color w:val="000000" w:themeColor="text1"/>
                <w:sz w:val="18"/>
                <w:szCs w:val="18"/>
                <w:shd w:val="clear" w:color="auto" w:fill="FFFFFF"/>
              </w:rPr>
              <w:t>0</w:t>
            </w:r>
            <w:r w:rsidRPr="00B87450">
              <w:rPr>
                <w:i/>
                <w:iCs/>
                <w:color w:val="000000" w:themeColor="text1"/>
                <w:sz w:val="18"/>
                <w:szCs w:val="18"/>
                <w:shd w:val="clear" w:color="auto" w:fill="FFFFFF"/>
              </w:rPr>
              <w:t xml:space="preserve"> </w:t>
            </w:r>
            <w:r w:rsidRPr="00EC2B80">
              <w:rPr>
                <w:i/>
                <w:iCs/>
                <w:color w:val="000000" w:themeColor="text1"/>
                <w:sz w:val="18"/>
                <w:szCs w:val="18"/>
                <w:shd w:val="clear" w:color="auto" w:fill="FFFFFF"/>
              </w:rPr>
              <w:t>– 510) x 25,5%</w:t>
            </w:r>
            <w:r w:rsidRPr="00E9333E">
              <w:rPr>
                <w:i/>
                <w:iCs/>
                <w:color w:val="000000" w:themeColor="text1"/>
                <w:sz w:val="18"/>
                <w:szCs w:val="18"/>
                <w:shd w:val="clear" w:color="auto" w:fill="FFFFFF"/>
              </w:rPr>
              <w:t>]</w:t>
            </w:r>
            <w:r w:rsidRPr="00EC2B80">
              <w:rPr>
                <w:i/>
                <w:iCs/>
                <w:color w:val="000000" w:themeColor="text1"/>
                <w:sz w:val="18"/>
                <w:szCs w:val="18"/>
                <w:shd w:val="clear" w:color="auto" w:fill="FFFFFF"/>
              </w:rPr>
              <w:t xml:space="preserve"> </w:t>
            </w:r>
          </w:p>
        </w:tc>
      </w:tr>
      <w:tr w:rsidR="0095554D" w:rsidRPr="00A01EF3" w14:paraId="14EEC2D0" w14:textId="77777777" w:rsidTr="00930F3D">
        <w:tc>
          <w:tcPr>
            <w:tcW w:w="3828" w:type="dxa"/>
            <w:tcBorders>
              <w:left w:val="nil"/>
            </w:tcBorders>
            <w:shd w:val="clear" w:color="auto" w:fill="FFF2CC" w:themeFill="accent4" w:themeFillTint="33"/>
          </w:tcPr>
          <w:p w14:paraId="07D8723D" w14:textId="7B2F251E" w:rsidR="0095554D" w:rsidRPr="00EC2B80" w:rsidRDefault="0095554D" w:rsidP="00930F3D">
            <w:pPr>
              <w:rPr>
                <w:b/>
                <w:bCs/>
                <w:color w:val="000000" w:themeColor="text1"/>
                <w:sz w:val="20"/>
                <w:szCs w:val="20"/>
                <w:shd w:val="clear" w:color="auto" w:fill="FFFFFF"/>
              </w:rPr>
            </w:pPr>
            <w:r w:rsidRPr="00B87450">
              <w:rPr>
                <w:b/>
                <w:bCs/>
                <w:sz w:val="20"/>
                <w:szCs w:val="20"/>
              </w:rPr>
              <w:t xml:space="preserve">Neto </w:t>
            </w:r>
            <w:r w:rsidR="001D2593" w:rsidRPr="001D2593">
              <w:rPr>
                <w:b/>
                <w:bCs/>
                <w:sz w:val="20"/>
                <w:szCs w:val="20"/>
              </w:rPr>
              <w:t xml:space="preserve">darba </w:t>
            </w:r>
            <w:r w:rsidRPr="00B87450">
              <w:rPr>
                <w:b/>
                <w:bCs/>
                <w:sz w:val="20"/>
                <w:szCs w:val="20"/>
              </w:rPr>
              <w:t xml:space="preserve">alga, </w:t>
            </w:r>
            <w:r w:rsidRPr="00DE7B79">
              <w:rPr>
                <w:b/>
                <w:bCs/>
                <w:i/>
                <w:iCs/>
                <w:sz w:val="20"/>
                <w:szCs w:val="20"/>
              </w:rPr>
              <w:t>euro mēnesī</w:t>
            </w:r>
            <w:r w:rsidRPr="00B87450">
              <w:rPr>
                <w:b/>
                <w:bCs/>
                <w:sz w:val="20"/>
                <w:szCs w:val="20"/>
              </w:rPr>
              <w:t xml:space="preserve">   </w:t>
            </w:r>
          </w:p>
        </w:tc>
        <w:tc>
          <w:tcPr>
            <w:tcW w:w="2835" w:type="dxa"/>
            <w:shd w:val="clear" w:color="auto" w:fill="FFF2CC" w:themeFill="accent4" w:themeFillTint="33"/>
            <w:vAlign w:val="center"/>
          </w:tcPr>
          <w:p w14:paraId="15A33F9E" w14:textId="5163D765" w:rsidR="0095554D" w:rsidRPr="00B87450" w:rsidRDefault="0095554D" w:rsidP="00930F3D">
            <w:pPr>
              <w:contextualSpacing/>
              <w:jc w:val="center"/>
              <w:rPr>
                <w:b/>
                <w:bCs/>
                <w:sz w:val="20"/>
                <w:szCs w:val="20"/>
              </w:rPr>
            </w:pPr>
            <w:r>
              <w:rPr>
                <w:b/>
                <w:bCs/>
                <w:sz w:val="20"/>
                <w:szCs w:val="20"/>
              </w:rPr>
              <w:t>1 422,01</w:t>
            </w:r>
          </w:p>
          <w:p w14:paraId="32CC3F61" w14:textId="18A278CE" w:rsidR="0095554D" w:rsidRPr="00A01EF3" w:rsidRDefault="0095554D" w:rsidP="00930F3D">
            <w:pPr>
              <w:jc w:val="center"/>
              <w:rPr>
                <w:b/>
                <w:bCs/>
                <w:i/>
                <w:iCs/>
                <w:color w:val="000000" w:themeColor="text1"/>
                <w:sz w:val="18"/>
                <w:szCs w:val="18"/>
                <w:shd w:val="clear" w:color="auto" w:fill="FFFFFF"/>
              </w:rPr>
            </w:pPr>
            <w:r w:rsidRPr="00B87450">
              <w:rPr>
                <w:i/>
                <w:iCs/>
                <w:sz w:val="18"/>
                <w:szCs w:val="18"/>
              </w:rPr>
              <w:t>[</w:t>
            </w:r>
            <w:r>
              <w:rPr>
                <w:b/>
                <w:bCs/>
                <w:i/>
                <w:iCs/>
                <w:sz w:val="18"/>
                <w:szCs w:val="18"/>
              </w:rPr>
              <w:t xml:space="preserve">2 000 </w:t>
            </w:r>
            <w:r>
              <w:rPr>
                <w:i/>
                <w:iCs/>
                <w:sz w:val="18"/>
                <w:szCs w:val="18"/>
              </w:rPr>
              <w:t>–</w:t>
            </w:r>
            <w:r w:rsidRPr="00B87450">
              <w:rPr>
                <w:i/>
                <w:iCs/>
                <w:sz w:val="18"/>
                <w:szCs w:val="18"/>
              </w:rPr>
              <w:t xml:space="preserve"> </w:t>
            </w:r>
            <w:r>
              <w:rPr>
                <w:i/>
                <w:iCs/>
                <w:sz w:val="18"/>
                <w:szCs w:val="18"/>
              </w:rPr>
              <w:t>210,0</w:t>
            </w:r>
            <w:r w:rsidRPr="00B87450">
              <w:rPr>
                <w:i/>
                <w:iCs/>
                <w:sz w:val="18"/>
                <w:szCs w:val="18"/>
              </w:rPr>
              <w:t xml:space="preserve"> – </w:t>
            </w:r>
            <w:r>
              <w:rPr>
                <w:i/>
                <w:iCs/>
                <w:sz w:val="18"/>
                <w:szCs w:val="18"/>
              </w:rPr>
              <w:t>367,99</w:t>
            </w:r>
            <w:r w:rsidRPr="00B87450">
              <w:rPr>
                <w:i/>
                <w:iCs/>
                <w:sz w:val="18"/>
                <w:szCs w:val="18"/>
              </w:rPr>
              <w:t>]</w:t>
            </w:r>
          </w:p>
        </w:tc>
        <w:tc>
          <w:tcPr>
            <w:tcW w:w="2693" w:type="dxa"/>
            <w:tcBorders>
              <w:right w:val="nil"/>
            </w:tcBorders>
            <w:shd w:val="clear" w:color="auto" w:fill="FFF2CC" w:themeFill="accent4" w:themeFillTint="33"/>
            <w:vAlign w:val="center"/>
          </w:tcPr>
          <w:p w14:paraId="60A841CE" w14:textId="03616948" w:rsidR="0095554D" w:rsidRPr="00B87450" w:rsidRDefault="0095554D" w:rsidP="00930F3D">
            <w:pPr>
              <w:contextualSpacing/>
              <w:jc w:val="center"/>
              <w:rPr>
                <w:b/>
                <w:bCs/>
                <w:sz w:val="20"/>
                <w:szCs w:val="20"/>
              </w:rPr>
            </w:pPr>
            <w:r>
              <w:rPr>
                <w:b/>
                <w:bCs/>
                <w:sz w:val="20"/>
                <w:szCs w:val="20"/>
              </w:rPr>
              <w:t>1 463,60</w:t>
            </w:r>
          </w:p>
          <w:p w14:paraId="31F1664F" w14:textId="109E2195" w:rsidR="0095554D" w:rsidRPr="00A01EF3" w:rsidRDefault="0095554D" w:rsidP="00930F3D">
            <w:pPr>
              <w:jc w:val="center"/>
              <w:rPr>
                <w:b/>
                <w:bCs/>
                <w:i/>
                <w:iCs/>
                <w:color w:val="000000" w:themeColor="text1"/>
                <w:sz w:val="18"/>
                <w:szCs w:val="18"/>
                <w:shd w:val="clear" w:color="auto" w:fill="FFFFFF"/>
              </w:rPr>
            </w:pPr>
            <w:r w:rsidRPr="00B87450">
              <w:rPr>
                <w:i/>
                <w:iCs/>
                <w:sz w:val="18"/>
                <w:szCs w:val="18"/>
              </w:rPr>
              <w:t>[</w:t>
            </w:r>
            <w:r>
              <w:rPr>
                <w:b/>
                <w:bCs/>
                <w:i/>
                <w:iCs/>
                <w:sz w:val="18"/>
                <w:szCs w:val="18"/>
              </w:rPr>
              <w:t xml:space="preserve">2 000 </w:t>
            </w:r>
            <w:r w:rsidRPr="00B87450">
              <w:rPr>
                <w:i/>
                <w:iCs/>
                <w:sz w:val="18"/>
                <w:szCs w:val="18"/>
              </w:rPr>
              <w:t xml:space="preserve">– </w:t>
            </w:r>
            <w:r>
              <w:rPr>
                <w:i/>
                <w:iCs/>
                <w:sz w:val="18"/>
                <w:szCs w:val="18"/>
              </w:rPr>
              <w:t>210,0</w:t>
            </w:r>
            <w:r w:rsidRPr="00B87450">
              <w:rPr>
                <w:i/>
                <w:iCs/>
                <w:sz w:val="18"/>
                <w:szCs w:val="18"/>
              </w:rPr>
              <w:t xml:space="preserve"> </w:t>
            </w:r>
            <w:r>
              <w:rPr>
                <w:i/>
                <w:iCs/>
                <w:sz w:val="18"/>
                <w:szCs w:val="18"/>
              </w:rPr>
              <w:t>–</w:t>
            </w:r>
            <w:r w:rsidRPr="00B87450">
              <w:rPr>
                <w:i/>
                <w:iCs/>
                <w:sz w:val="18"/>
                <w:szCs w:val="18"/>
              </w:rPr>
              <w:t xml:space="preserve"> </w:t>
            </w:r>
            <w:r>
              <w:rPr>
                <w:i/>
                <w:iCs/>
                <w:sz w:val="18"/>
                <w:szCs w:val="18"/>
              </w:rPr>
              <w:t>326</w:t>
            </w:r>
            <w:r w:rsidRPr="00B87450">
              <w:rPr>
                <w:i/>
                <w:iCs/>
                <w:sz w:val="18"/>
                <w:szCs w:val="18"/>
              </w:rPr>
              <w:t>,</w:t>
            </w:r>
            <w:r>
              <w:rPr>
                <w:i/>
                <w:iCs/>
                <w:sz w:val="18"/>
                <w:szCs w:val="18"/>
              </w:rPr>
              <w:t>4</w:t>
            </w:r>
            <w:r w:rsidRPr="00B87450">
              <w:rPr>
                <w:i/>
                <w:iCs/>
                <w:sz w:val="18"/>
                <w:szCs w:val="18"/>
              </w:rPr>
              <w:t>]</w:t>
            </w:r>
          </w:p>
        </w:tc>
      </w:tr>
      <w:tr w:rsidR="0095554D" w:rsidRPr="00E9333E" w14:paraId="45F75778" w14:textId="77777777" w:rsidTr="00930F3D">
        <w:tc>
          <w:tcPr>
            <w:tcW w:w="3828" w:type="dxa"/>
            <w:tcBorders>
              <w:left w:val="nil"/>
              <w:bottom w:val="nil"/>
            </w:tcBorders>
          </w:tcPr>
          <w:p w14:paraId="26B45E6F" w14:textId="625A9597" w:rsidR="0095554D" w:rsidRPr="00EC2B80" w:rsidRDefault="0095554D" w:rsidP="00930F3D">
            <w:pPr>
              <w:rPr>
                <w:b/>
                <w:bCs/>
                <w:color w:val="000000" w:themeColor="text1"/>
                <w:sz w:val="20"/>
                <w:szCs w:val="20"/>
                <w:shd w:val="clear" w:color="auto" w:fill="FFFFFF"/>
              </w:rPr>
            </w:pPr>
            <w:r w:rsidRPr="00EC2B80">
              <w:rPr>
                <w:b/>
                <w:bCs/>
                <w:color w:val="000000" w:themeColor="text1"/>
                <w:sz w:val="20"/>
                <w:szCs w:val="20"/>
                <w:shd w:val="clear" w:color="auto" w:fill="FFFFFF"/>
              </w:rPr>
              <w:t xml:space="preserve">Starpība starp neto </w:t>
            </w:r>
            <w:r w:rsidR="001B1642" w:rsidRPr="001D2593">
              <w:rPr>
                <w:b/>
                <w:bCs/>
                <w:sz w:val="20"/>
                <w:szCs w:val="20"/>
              </w:rPr>
              <w:t xml:space="preserve">darba </w:t>
            </w:r>
            <w:r w:rsidR="001B1642" w:rsidRPr="00B87450">
              <w:rPr>
                <w:b/>
                <w:bCs/>
                <w:sz w:val="20"/>
                <w:szCs w:val="20"/>
              </w:rPr>
              <w:t>alg</w:t>
            </w:r>
            <w:r w:rsidR="001B1642">
              <w:rPr>
                <w:b/>
                <w:bCs/>
                <w:sz w:val="20"/>
                <w:szCs w:val="20"/>
              </w:rPr>
              <w:t>u</w:t>
            </w:r>
            <w:r w:rsidR="001B1642" w:rsidRPr="00EC2B80">
              <w:rPr>
                <w:b/>
                <w:bCs/>
                <w:color w:val="000000" w:themeColor="text1"/>
                <w:sz w:val="20"/>
                <w:szCs w:val="20"/>
                <w:shd w:val="clear" w:color="auto" w:fill="FFFFFF"/>
              </w:rPr>
              <w:t xml:space="preserve"> </w:t>
            </w:r>
            <w:r w:rsidRPr="00EC2B80">
              <w:rPr>
                <w:b/>
                <w:bCs/>
                <w:color w:val="000000" w:themeColor="text1"/>
                <w:sz w:val="20"/>
                <w:szCs w:val="20"/>
                <w:shd w:val="clear" w:color="auto" w:fill="FFFFFF"/>
              </w:rPr>
              <w:t>2025.</w:t>
            </w:r>
            <w:r w:rsidR="00212BD8">
              <w:rPr>
                <w:b/>
                <w:bCs/>
                <w:color w:val="000000" w:themeColor="text1"/>
                <w:sz w:val="20"/>
                <w:szCs w:val="20"/>
                <w:shd w:val="clear" w:color="auto" w:fill="FFFFFF"/>
              </w:rPr>
              <w:t> </w:t>
            </w:r>
            <w:r w:rsidRPr="00EC2B80">
              <w:rPr>
                <w:b/>
                <w:bCs/>
                <w:color w:val="000000" w:themeColor="text1"/>
                <w:sz w:val="20"/>
                <w:szCs w:val="20"/>
                <w:shd w:val="clear" w:color="auto" w:fill="FFFFFF"/>
              </w:rPr>
              <w:t>gadā un 2024.</w:t>
            </w:r>
            <w:r w:rsidR="00212BD8">
              <w:rPr>
                <w:b/>
                <w:bCs/>
                <w:color w:val="000000" w:themeColor="text1"/>
                <w:sz w:val="20"/>
                <w:szCs w:val="20"/>
                <w:shd w:val="clear" w:color="auto" w:fill="FFFFFF"/>
              </w:rPr>
              <w:t> </w:t>
            </w:r>
            <w:r w:rsidRPr="00EC2B80">
              <w:rPr>
                <w:b/>
                <w:bCs/>
                <w:color w:val="000000" w:themeColor="text1"/>
                <w:sz w:val="20"/>
                <w:szCs w:val="20"/>
                <w:shd w:val="clear" w:color="auto" w:fill="FFFFFF"/>
              </w:rPr>
              <w:t>gadā</w:t>
            </w:r>
            <w:r w:rsidR="001D2593" w:rsidRPr="001D2593">
              <w:rPr>
                <w:sz w:val="20"/>
                <w:szCs w:val="20"/>
              </w:rPr>
              <w:t>,</w:t>
            </w:r>
            <w:r w:rsidR="001D2593" w:rsidRPr="00B87450">
              <w:rPr>
                <w:b/>
                <w:bCs/>
                <w:sz w:val="20"/>
                <w:szCs w:val="20"/>
              </w:rPr>
              <w:t xml:space="preserve"> </w:t>
            </w:r>
            <w:r w:rsidR="001D2593" w:rsidRPr="001D2593">
              <w:rPr>
                <w:i/>
                <w:iCs/>
                <w:sz w:val="20"/>
                <w:szCs w:val="20"/>
              </w:rPr>
              <w:t>euro</w:t>
            </w:r>
            <w:r w:rsidR="001D2593" w:rsidRPr="001D2593">
              <w:rPr>
                <w:sz w:val="20"/>
                <w:szCs w:val="20"/>
              </w:rPr>
              <w:t xml:space="preserve"> </w:t>
            </w:r>
            <w:r w:rsidR="001D2593" w:rsidRPr="001D2593">
              <w:rPr>
                <w:i/>
                <w:iCs/>
                <w:sz w:val="20"/>
                <w:szCs w:val="20"/>
              </w:rPr>
              <w:t>mēnesī</w:t>
            </w:r>
            <w:r w:rsidR="001D2593" w:rsidRPr="00B87450">
              <w:rPr>
                <w:b/>
                <w:bCs/>
                <w:sz w:val="20"/>
                <w:szCs w:val="20"/>
              </w:rPr>
              <w:t xml:space="preserve">   </w:t>
            </w:r>
          </w:p>
        </w:tc>
        <w:tc>
          <w:tcPr>
            <w:tcW w:w="5528" w:type="dxa"/>
            <w:gridSpan w:val="2"/>
            <w:tcBorders>
              <w:bottom w:val="nil"/>
              <w:right w:val="nil"/>
            </w:tcBorders>
            <w:vAlign w:val="center"/>
          </w:tcPr>
          <w:p w14:paraId="45C4F775" w14:textId="77777777" w:rsidR="0095554D" w:rsidRPr="0095554D" w:rsidRDefault="0095554D" w:rsidP="00930F3D">
            <w:pPr>
              <w:jc w:val="center"/>
              <w:rPr>
                <w:b/>
                <w:bCs/>
                <w:color w:val="00B050"/>
                <w:sz w:val="20"/>
                <w:szCs w:val="20"/>
                <w:shd w:val="clear" w:color="auto" w:fill="FFFFFF"/>
              </w:rPr>
            </w:pPr>
            <w:r w:rsidRPr="0095554D">
              <w:rPr>
                <w:b/>
                <w:bCs/>
                <w:color w:val="00B050"/>
                <w:sz w:val="20"/>
                <w:szCs w:val="20"/>
                <w:shd w:val="clear" w:color="auto" w:fill="FFFFFF"/>
              </w:rPr>
              <w:t xml:space="preserve">+41,59 </w:t>
            </w:r>
          </w:p>
          <w:p w14:paraId="036E9FDB" w14:textId="0B9A9EA6" w:rsidR="0095554D" w:rsidRPr="00E9333E" w:rsidRDefault="0095554D" w:rsidP="00930F3D">
            <w:pPr>
              <w:jc w:val="center"/>
              <w:rPr>
                <w:b/>
                <w:bCs/>
                <w:i/>
                <w:iCs/>
                <w:color w:val="000000" w:themeColor="text1"/>
                <w:sz w:val="18"/>
                <w:szCs w:val="18"/>
                <w:shd w:val="clear" w:color="auto" w:fill="FFFFFF"/>
              </w:rPr>
            </w:pPr>
            <w:r w:rsidRPr="00E9333E">
              <w:rPr>
                <w:i/>
                <w:iCs/>
                <w:color w:val="000000" w:themeColor="text1"/>
                <w:sz w:val="18"/>
                <w:szCs w:val="18"/>
                <w:shd w:val="clear" w:color="auto" w:fill="FFFFFF"/>
              </w:rPr>
              <w:t>[</w:t>
            </w:r>
            <w:r w:rsidRPr="0095554D">
              <w:rPr>
                <w:i/>
                <w:iCs/>
                <w:color w:val="000000" w:themeColor="text1"/>
                <w:sz w:val="18"/>
                <w:szCs w:val="18"/>
                <w:shd w:val="clear" w:color="auto" w:fill="FFFFFF"/>
              </w:rPr>
              <w:t>1 463,60 – 1 422,01</w:t>
            </w:r>
            <w:r w:rsidRPr="00E9333E">
              <w:rPr>
                <w:i/>
                <w:iCs/>
                <w:color w:val="000000" w:themeColor="text1"/>
                <w:sz w:val="18"/>
                <w:szCs w:val="18"/>
                <w:shd w:val="clear" w:color="auto" w:fill="FFFFFF"/>
              </w:rPr>
              <w:t>]</w:t>
            </w:r>
          </w:p>
        </w:tc>
      </w:tr>
    </w:tbl>
    <w:p w14:paraId="1B8E2CCB" w14:textId="77777777" w:rsidR="00EC2B80" w:rsidRDefault="00EC2B80" w:rsidP="00EC2B80">
      <w:pPr>
        <w:spacing w:after="120"/>
        <w:jc w:val="center"/>
        <w:rPr>
          <w:color w:val="000000" w:themeColor="text1"/>
          <w:sz w:val="20"/>
          <w:szCs w:val="20"/>
          <w:shd w:val="clear" w:color="auto" w:fill="FFFFFF"/>
        </w:rPr>
      </w:pPr>
    </w:p>
    <w:p w14:paraId="1FBD7586" w14:textId="77777777" w:rsidR="00725CD9" w:rsidRPr="00EC2B80" w:rsidRDefault="00725CD9" w:rsidP="00EC2B80">
      <w:pPr>
        <w:spacing w:after="120"/>
        <w:jc w:val="center"/>
        <w:rPr>
          <w:color w:val="000000" w:themeColor="text1"/>
          <w:sz w:val="20"/>
          <w:szCs w:val="20"/>
          <w:shd w:val="clear" w:color="auto" w:fill="FFFFFF"/>
        </w:rPr>
      </w:pPr>
    </w:p>
    <w:p w14:paraId="5C06393D" w14:textId="369CF686" w:rsidR="007E6E08" w:rsidRDefault="007E6E08" w:rsidP="00176A65">
      <w:pPr>
        <w:ind w:firstLine="567"/>
        <w:jc w:val="both"/>
      </w:pPr>
      <w:r w:rsidRPr="00C140A0">
        <w:t>Plānot</w:t>
      </w:r>
      <w:r>
        <w:t>ās</w:t>
      </w:r>
      <w:r w:rsidRPr="00C140A0">
        <w:t xml:space="preserve"> </w:t>
      </w:r>
      <w:r>
        <w:t xml:space="preserve">darbaspēka </w:t>
      </w:r>
      <w:r w:rsidRPr="00C140A0">
        <w:t>nodokļu izmaiņ</w:t>
      </w:r>
      <w:r>
        <w:t>as sniegs labumu arī ģimenēm ar bērniem</w:t>
      </w:r>
      <w:r w:rsidR="001B1642">
        <w:t>,</w:t>
      </w:r>
      <w:r>
        <w:t xml:space="preserve"> </w:t>
      </w:r>
      <w:r w:rsidR="001B1642">
        <w:t xml:space="preserve">proti, </w:t>
      </w:r>
      <w:r>
        <w:t xml:space="preserve">strādājošajam ar divām apgādībā esošām personām </w:t>
      </w:r>
      <w:r w:rsidRPr="00C140A0">
        <w:t>darbaspēka nodokļu slog</w:t>
      </w:r>
      <w:r>
        <w:t>s</w:t>
      </w:r>
      <w:r w:rsidRPr="00C140A0">
        <w:t xml:space="preserve"> </w:t>
      </w:r>
      <w:r>
        <w:t>tiek samazināts</w:t>
      </w:r>
      <w:r w:rsidR="00151142">
        <w:t>, ja strādājošā</w:t>
      </w:r>
      <w:r>
        <w:t xml:space="preserve"> bruto ienākum</w:t>
      </w:r>
      <w:r w:rsidR="00151142">
        <w:t>i nepārsniedz</w:t>
      </w:r>
      <w:r>
        <w:t xml:space="preserve"> 6 000 </w:t>
      </w:r>
      <w:r w:rsidRPr="00DE20E4">
        <w:rPr>
          <w:i/>
          <w:iCs/>
        </w:rPr>
        <w:t>euro</w:t>
      </w:r>
      <w:r w:rsidR="001D2593">
        <w:rPr>
          <w:i/>
          <w:iCs/>
        </w:rPr>
        <w:t xml:space="preserve"> </w:t>
      </w:r>
      <w:r w:rsidR="001D2593" w:rsidRPr="001D2593">
        <w:t>mēnesī</w:t>
      </w:r>
      <w:r>
        <w:t>. Jāņem vērā, ka</w:t>
      </w:r>
      <w:r w:rsidR="00176A65">
        <w:t>,</w:t>
      </w:r>
      <w:r>
        <w:t xml:space="preserve"> p</w:t>
      </w:r>
      <w:r w:rsidRPr="00DE20E4">
        <w:t>ārejot uz 25,5% IIN pamatlikmi (šobrīd 20%)</w:t>
      </w:r>
      <w:r w:rsidR="00176A65">
        <w:t>,</w:t>
      </w:r>
      <w:r w:rsidRPr="00DE20E4">
        <w:t xml:space="preserve"> pieaugs</w:t>
      </w:r>
      <w:r>
        <w:t xml:space="preserve"> arī summārais ieguvums no IIN atvieglojuma par apgādībā esošām personām – ja šobrīd ieguvums par vienu apgādībā esošu personu no atvieglojuma piemērošanas ir </w:t>
      </w:r>
      <w:r w:rsidRPr="00176A65">
        <w:rPr>
          <w:b/>
          <w:bCs/>
        </w:rPr>
        <w:t>50</w:t>
      </w:r>
      <w:r w:rsidR="008B4BA7">
        <w:t> </w:t>
      </w:r>
      <w:r w:rsidRPr="00DE20E4">
        <w:rPr>
          <w:i/>
          <w:iCs/>
        </w:rPr>
        <w:t>euro</w:t>
      </w:r>
      <w:r>
        <w:t xml:space="preserve"> </w:t>
      </w:r>
      <w:r w:rsidR="001D2593" w:rsidRPr="001D2593">
        <w:rPr>
          <w:szCs w:val="24"/>
        </w:rPr>
        <w:t>mēnesī</w:t>
      </w:r>
      <w:r w:rsidR="001D2593" w:rsidRPr="00B87450">
        <w:rPr>
          <w:b/>
          <w:bCs/>
          <w:sz w:val="20"/>
          <w:szCs w:val="20"/>
        </w:rPr>
        <w:t xml:space="preserve"> </w:t>
      </w:r>
      <w:r>
        <w:t>(250 </w:t>
      </w:r>
      <w:r w:rsidRPr="00DE20E4">
        <w:rPr>
          <w:i/>
          <w:iCs/>
        </w:rPr>
        <w:t>euro</w:t>
      </w:r>
      <w:r>
        <w:t xml:space="preserve"> </w:t>
      </w:r>
      <w:r w:rsidR="001D2593" w:rsidRPr="001D2593">
        <w:rPr>
          <w:szCs w:val="24"/>
        </w:rPr>
        <w:t>mēnesī</w:t>
      </w:r>
      <w:r w:rsidR="000D626A">
        <w:rPr>
          <w:szCs w:val="24"/>
        </w:rPr>
        <w:t> </w:t>
      </w:r>
      <w:r>
        <w:t>x</w:t>
      </w:r>
      <w:r w:rsidR="000D626A">
        <w:t> </w:t>
      </w:r>
      <w:r>
        <w:t xml:space="preserve">20%), tad ar jauno pamatlikmi tie būs </w:t>
      </w:r>
      <w:r w:rsidRPr="00176A65">
        <w:rPr>
          <w:b/>
          <w:bCs/>
          <w:color w:val="FF0000"/>
        </w:rPr>
        <w:t>64</w:t>
      </w:r>
      <w:r w:rsidR="008B4BA7">
        <w:t> </w:t>
      </w:r>
      <w:r w:rsidRPr="00DE20E4">
        <w:rPr>
          <w:i/>
          <w:iCs/>
        </w:rPr>
        <w:t>euro</w:t>
      </w:r>
      <w:r>
        <w:rPr>
          <w:i/>
          <w:iCs/>
        </w:rPr>
        <w:t xml:space="preserve"> </w:t>
      </w:r>
      <w:r w:rsidR="001D2593" w:rsidRPr="001D2593">
        <w:rPr>
          <w:szCs w:val="24"/>
        </w:rPr>
        <w:t>mēnesī</w:t>
      </w:r>
      <w:r w:rsidR="001D2593" w:rsidRPr="00B87450">
        <w:rPr>
          <w:b/>
          <w:bCs/>
          <w:sz w:val="20"/>
          <w:szCs w:val="20"/>
        </w:rPr>
        <w:t xml:space="preserve"> </w:t>
      </w:r>
      <w:r>
        <w:t>(250 </w:t>
      </w:r>
      <w:r w:rsidRPr="00DE20E4">
        <w:rPr>
          <w:i/>
          <w:iCs/>
        </w:rPr>
        <w:t>euro</w:t>
      </w:r>
      <w:r>
        <w:t xml:space="preserve"> </w:t>
      </w:r>
      <w:r w:rsidR="001D2593" w:rsidRPr="001D2593">
        <w:rPr>
          <w:szCs w:val="24"/>
        </w:rPr>
        <w:t>mēnesī</w:t>
      </w:r>
      <w:r w:rsidR="001D2593" w:rsidRPr="00B87450">
        <w:rPr>
          <w:b/>
          <w:bCs/>
          <w:sz w:val="20"/>
          <w:szCs w:val="20"/>
        </w:rPr>
        <w:t xml:space="preserve">  </w:t>
      </w:r>
      <w:r>
        <w:t>x</w:t>
      </w:r>
      <w:r w:rsidR="000D626A">
        <w:t> </w:t>
      </w:r>
      <w:r>
        <w:t xml:space="preserve">25,5%). </w:t>
      </w:r>
    </w:p>
    <w:p w14:paraId="6E370260" w14:textId="77777777" w:rsidR="00725CD9" w:rsidRDefault="00725CD9" w:rsidP="00176A65">
      <w:pPr>
        <w:ind w:firstLine="567"/>
        <w:jc w:val="both"/>
      </w:pPr>
    </w:p>
    <w:p w14:paraId="270F0938" w14:textId="77777777" w:rsidR="00725CD9" w:rsidRDefault="00725CD9" w:rsidP="00176A65">
      <w:pPr>
        <w:ind w:firstLine="567"/>
        <w:jc w:val="both"/>
      </w:pPr>
    </w:p>
    <w:p w14:paraId="13FC990D" w14:textId="77777777" w:rsidR="00725CD9" w:rsidRDefault="00725CD9" w:rsidP="00176A65">
      <w:pPr>
        <w:ind w:firstLine="567"/>
        <w:jc w:val="both"/>
      </w:pPr>
    </w:p>
    <w:p w14:paraId="7395AB34" w14:textId="77777777" w:rsidR="00725CD9" w:rsidRDefault="00725CD9" w:rsidP="00176A65">
      <w:pPr>
        <w:ind w:firstLine="567"/>
        <w:jc w:val="both"/>
      </w:pPr>
    </w:p>
    <w:p w14:paraId="590A3480" w14:textId="77777777" w:rsidR="00725CD9" w:rsidRDefault="00725CD9" w:rsidP="00176A65">
      <w:pPr>
        <w:ind w:firstLine="567"/>
        <w:jc w:val="both"/>
      </w:pPr>
    </w:p>
    <w:p w14:paraId="23BB5FFB" w14:textId="090837D1" w:rsidR="00EC2B80" w:rsidRPr="00EC2B80" w:rsidRDefault="00EC2B80" w:rsidP="00176A65">
      <w:pPr>
        <w:jc w:val="center"/>
        <w:rPr>
          <w:color w:val="000000" w:themeColor="text1"/>
          <w:sz w:val="20"/>
          <w:szCs w:val="20"/>
          <w:shd w:val="clear" w:color="auto" w:fill="FFFFFF"/>
        </w:rPr>
      </w:pPr>
    </w:p>
    <w:p w14:paraId="066B8A0B" w14:textId="0DBB1E13" w:rsidR="00546202" w:rsidRPr="0064748F" w:rsidRDefault="00546202" w:rsidP="00546202">
      <w:pPr>
        <w:spacing w:after="120"/>
        <w:jc w:val="center"/>
        <w:rPr>
          <w:color w:val="000000" w:themeColor="text1"/>
          <w:sz w:val="20"/>
          <w:szCs w:val="20"/>
          <w:shd w:val="clear" w:color="auto" w:fill="FFFFFF"/>
        </w:rPr>
      </w:pPr>
      <w:r>
        <w:rPr>
          <w:color w:val="000000" w:themeColor="text1"/>
          <w:sz w:val="20"/>
          <w:szCs w:val="20"/>
          <w:shd w:val="clear" w:color="auto" w:fill="FFFFFF"/>
        </w:rPr>
        <w:lastRenderedPageBreak/>
        <w:t>4</w:t>
      </w:r>
      <w:r w:rsidRPr="00CD1EC4">
        <w:rPr>
          <w:color w:val="000000" w:themeColor="text1"/>
          <w:sz w:val="20"/>
          <w:szCs w:val="20"/>
          <w:shd w:val="clear" w:color="auto" w:fill="FFFFFF"/>
        </w:rPr>
        <w:t>.att.</w:t>
      </w:r>
      <w:r>
        <w:rPr>
          <w:b/>
          <w:bCs/>
          <w:color w:val="000000" w:themeColor="text1"/>
          <w:sz w:val="20"/>
          <w:szCs w:val="20"/>
          <w:shd w:val="clear" w:color="auto" w:fill="FFFFFF"/>
        </w:rPr>
        <w:t xml:space="preserve"> </w:t>
      </w:r>
      <w:r w:rsidRPr="00AE0B8C">
        <w:rPr>
          <w:b/>
          <w:bCs/>
          <w:color w:val="000000" w:themeColor="text1"/>
          <w:sz w:val="20"/>
          <w:szCs w:val="20"/>
          <w:shd w:val="clear" w:color="auto" w:fill="FFFFFF"/>
        </w:rPr>
        <w:t>Darbaspēka nodokļu slog</w:t>
      </w:r>
      <w:r>
        <w:rPr>
          <w:b/>
          <w:bCs/>
          <w:color w:val="000000" w:themeColor="text1"/>
          <w:sz w:val="20"/>
          <w:szCs w:val="20"/>
          <w:shd w:val="clear" w:color="auto" w:fill="FFFFFF"/>
        </w:rPr>
        <w:t>a</w:t>
      </w:r>
      <w:r w:rsidRPr="00AE0B8C">
        <w:rPr>
          <w:b/>
          <w:bCs/>
          <w:color w:val="000000" w:themeColor="text1"/>
          <w:sz w:val="20"/>
          <w:szCs w:val="20"/>
          <w:shd w:val="clear" w:color="auto" w:fill="FFFFFF"/>
        </w:rPr>
        <w:t xml:space="preserve"> (</w:t>
      </w:r>
      <w:r w:rsidRPr="0064748F">
        <w:rPr>
          <w:b/>
          <w:bCs/>
          <w:color w:val="000000" w:themeColor="text1"/>
          <w:sz w:val="20"/>
          <w:szCs w:val="20"/>
          <w:shd w:val="clear" w:color="auto" w:fill="FFFFFF"/>
        </w:rPr>
        <w:t>strādājoša</w:t>
      </w:r>
      <w:r w:rsidR="00FE3E4A">
        <w:rPr>
          <w:b/>
          <w:bCs/>
          <w:color w:val="000000" w:themeColor="text1"/>
          <w:sz w:val="20"/>
          <w:szCs w:val="20"/>
          <w:shd w:val="clear" w:color="auto" w:fill="FFFFFF"/>
        </w:rPr>
        <w:t>ja</w:t>
      </w:r>
      <w:r w:rsidRPr="0064748F">
        <w:rPr>
          <w:b/>
          <w:bCs/>
          <w:color w:val="000000" w:themeColor="text1"/>
          <w:sz w:val="20"/>
          <w:szCs w:val="20"/>
          <w:shd w:val="clear" w:color="auto" w:fill="FFFFFF"/>
        </w:rPr>
        <w:t xml:space="preserve">m ar </w:t>
      </w:r>
      <w:r w:rsidRPr="00225070">
        <w:rPr>
          <w:b/>
          <w:bCs/>
          <w:sz w:val="20"/>
          <w:szCs w:val="20"/>
          <w:u w:val="single"/>
          <w:shd w:val="clear" w:color="auto" w:fill="FFFFFF"/>
        </w:rPr>
        <w:t>divām</w:t>
      </w:r>
      <w:r w:rsidRPr="00225070">
        <w:rPr>
          <w:b/>
          <w:bCs/>
          <w:sz w:val="20"/>
          <w:szCs w:val="20"/>
          <w:shd w:val="clear" w:color="auto" w:fill="FFFFFF"/>
        </w:rPr>
        <w:t xml:space="preserve"> </w:t>
      </w:r>
      <w:r w:rsidRPr="0064748F">
        <w:rPr>
          <w:b/>
          <w:bCs/>
          <w:color w:val="000000" w:themeColor="text1"/>
          <w:sz w:val="20"/>
          <w:szCs w:val="20"/>
          <w:shd w:val="clear" w:color="auto" w:fill="FFFFFF"/>
        </w:rPr>
        <w:t>apgādībā esošām personām</w:t>
      </w:r>
      <w:r w:rsidRPr="00AE0B8C">
        <w:rPr>
          <w:b/>
          <w:bCs/>
          <w:color w:val="000000" w:themeColor="text1"/>
          <w:sz w:val="20"/>
          <w:szCs w:val="20"/>
          <w:shd w:val="clear" w:color="auto" w:fill="FFFFFF"/>
        </w:rPr>
        <w:t>)</w:t>
      </w:r>
      <w:r>
        <w:rPr>
          <w:b/>
          <w:bCs/>
          <w:color w:val="000000" w:themeColor="text1"/>
          <w:sz w:val="20"/>
          <w:szCs w:val="20"/>
          <w:shd w:val="clear" w:color="auto" w:fill="FFFFFF"/>
        </w:rPr>
        <w:t xml:space="preserve"> izmaiņas</w:t>
      </w:r>
      <w:r>
        <w:rPr>
          <w:color w:val="000000" w:themeColor="text1"/>
          <w:sz w:val="20"/>
          <w:szCs w:val="20"/>
          <w:shd w:val="clear" w:color="auto" w:fill="FFFFFF"/>
        </w:rPr>
        <w:t xml:space="preserve">, </w:t>
      </w:r>
      <w:r w:rsidRPr="0064748F">
        <w:rPr>
          <w:i/>
          <w:iCs/>
          <w:color w:val="000000" w:themeColor="text1"/>
          <w:sz w:val="20"/>
          <w:szCs w:val="20"/>
          <w:shd w:val="clear" w:color="auto" w:fill="FFFFFF"/>
        </w:rPr>
        <w:t>%</w:t>
      </w:r>
    </w:p>
    <w:p w14:paraId="669B6B5C" w14:textId="77777777" w:rsidR="00546202" w:rsidRPr="003A0613" w:rsidRDefault="00546202" w:rsidP="00546202">
      <w:pPr>
        <w:rPr>
          <w:bCs/>
          <w:color w:val="000000" w:themeColor="text1"/>
          <w:sz w:val="20"/>
          <w:szCs w:val="20"/>
          <w:shd w:val="clear" w:color="auto" w:fill="FFFFFF"/>
        </w:rPr>
      </w:pPr>
      <w:r>
        <w:rPr>
          <w:noProof/>
        </w:rPr>
        <w:drawing>
          <wp:inline distT="0" distB="0" distL="0" distR="0" wp14:anchorId="7EE333C4" wp14:editId="1EC38C69">
            <wp:extent cx="5765800" cy="2596896"/>
            <wp:effectExtent l="0" t="0" r="6350" b="13335"/>
            <wp:docPr id="2117510281" name="Chart 1">
              <a:extLst xmlns:a="http://schemas.openxmlformats.org/drawingml/2006/main">
                <a:ext uri="{FF2B5EF4-FFF2-40B4-BE49-F238E27FC236}">
                  <a16:creationId xmlns:a16="http://schemas.microsoft.com/office/drawing/2014/main" id="{F59066E3-BDA2-4D70-955E-4D2874583E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3729E6E" w14:textId="58CEE44C" w:rsidR="00546202" w:rsidRPr="00AD7A5D" w:rsidRDefault="00546202" w:rsidP="00546202">
      <w:pPr>
        <w:spacing w:before="40"/>
        <w:jc w:val="both"/>
        <w:rPr>
          <w:bCs/>
          <w:color w:val="000000" w:themeColor="text1"/>
          <w:sz w:val="22"/>
          <w:szCs w:val="24"/>
          <w:shd w:val="clear" w:color="auto" w:fill="FFFFFF"/>
        </w:rPr>
      </w:pPr>
      <w:r w:rsidRPr="00AD7A5D">
        <w:rPr>
          <w:rFonts w:cs="Times New Roman"/>
          <w:b/>
          <w:bCs/>
          <w:i/>
          <w:iCs/>
          <w:sz w:val="18"/>
          <w:szCs w:val="18"/>
        </w:rPr>
        <w:t>Avots</w:t>
      </w:r>
      <w:r w:rsidRPr="00AD7A5D">
        <w:rPr>
          <w:rFonts w:cs="Times New Roman"/>
          <w:i/>
          <w:iCs/>
          <w:sz w:val="18"/>
          <w:szCs w:val="18"/>
        </w:rPr>
        <w:t xml:space="preserve">: </w:t>
      </w:r>
      <w:r w:rsidR="00FA7FB6">
        <w:rPr>
          <w:rFonts w:cs="Times New Roman"/>
          <w:i/>
          <w:iCs/>
          <w:sz w:val="18"/>
          <w:szCs w:val="18"/>
        </w:rPr>
        <w:t>FM</w:t>
      </w:r>
      <w:r w:rsidRPr="00AD7A5D">
        <w:rPr>
          <w:rFonts w:cs="Times New Roman"/>
          <w:i/>
          <w:iCs/>
          <w:sz w:val="18"/>
          <w:szCs w:val="18"/>
        </w:rPr>
        <w:t xml:space="preserve"> aprēķini. </w:t>
      </w:r>
    </w:p>
    <w:p w14:paraId="0F34E563" w14:textId="77777777" w:rsidR="00546202" w:rsidRPr="00176A65" w:rsidRDefault="00546202" w:rsidP="00546202">
      <w:pPr>
        <w:ind w:firstLine="567"/>
        <w:jc w:val="both"/>
        <w:rPr>
          <w:bCs/>
          <w:color w:val="000000" w:themeColor="text1"/>
          <w:sz w:val="12"/>
          <w:szCs w:val="12"/>
          <w:shd w:val="clear" w:color="auto" w:fill="FFFFFF"/>
        </w:rPr>
      </w:pPr>
    </w:p>
    <w:p w14:paraId="2FAF2819" w14:textId="50004BAF" w:rsidR="007E6E08" w:rsidRDefault="007E6E08" w:rsidP="007E6E08">
      <w:pPr>
        <w:ind w:firstLine="567"/>
        <w:jc w:val="both"/>
        <w:rPr>
          <w:bCs/>
          <w:szCs w:val="26"/>
          <w:shd w:val="clear" w:color="auto" w:fill="FFFFFF"/>
        </w:rPr>
      </w:pPr>
      <w:r>
        <w:rPr>
          <w:bCs/>
          <w:color w:val="000000" w:themeColor="text1"/>
          <w:szCs w:val="26"/>
          <w:shd w:val="clear" w:color="auto" w:fill="FFFFFF"/>
        </w:rPr>
        <w:t>Strādājošajiem ar divām apgādībā esošām personām (</w:t>
      </w:r>
      <w:r w:rsidRPr="00013063">
        <w:rPr>
          <w:bCs/>
          <w:i/>
          <w:iCs/>
          <w:color w:val="000000" w:themeColor="text1"/>
          <w:szCs w:val="26"/>
          <w:shd w:val="clear" w:color="auto" w:fill="FFFFFF"/>
        </w:rPr>
        <w:t>skat. 5. tab</w:t>
      </w:r>
      <w:r w:rsidR="00176A65">
        <w:rPr>
          <w:bCs/>
          <w:i/>
          <w:iCs/>
          <w:color w:val="000000" w:themeColor="text1"/>
          <w:szCs w:val="26"/>
          <w:shd w:val="clear" w:color="auto" w:fill="FFFFFF"/>
        </w:rPr>
        <w:t>.</w:t>
      </w:r>
      <w:r w:rsidR="00176A65" w:rsidRPr="00176A65">
        <w:rPr>
          <w:bCs/>
          <w:color w:val="000000" w:themeColor="text1"/>
          <w:szCs w:val="26"/>
          <w:shd w:val="clear" w:color="auto" w:fill="FFFFFF"/>
        </w:rPr>
        <w:t xml:space="preserve"> </w:t>
      </w:r>
      <w:r w:rsidR="00176A65">
        <w:rPr>
          <w:bCs/>
          <w:color w:val="000000" w:themeColor="text1"/>
          <w:szCs w:val="26"/>
          <w:shd w:val="clear" w:color="auto" w:fill="FFFFFF"/>
        </w:rPr>
        <w:t xml:space="preserve">) un </w:t>
      </w:r>
      <w:r>
        <w:rPr>
          <w:bCs/>
          <w:color w:val="000000" w:themeColor="text1"/>
          <w:szCs w:val="26"/>
          <w:shd w:val="clear" w:color="auto" w:fill="FFFFFF"/>
        </w:rPr>
        <w:t>bruto atalgojum</w:t>
      </w:r>
      <w:r w:rsidR="00176A65">
        <w:rPr>
          <w:bCs/>
          <w:color w:val="000000" w:themeColor="text1"/>
          <w:szCs w:val="26"/>
          <w:shd w:val="clear" w:color="auto" w:fill="FFFFFF"/>
        </w:rPr>
        <w:t>u</w:t>
      </w:r>
      <w:r>
        <w:rPr>
          <w:bCs/>
          <w:color w:val="000000" w:themeColor="text1"/>
          <w:szCs w:val="26"/>
          <w:shd w:val="clear" w:color="auto" w:fill="FFFFFF"/>
        </w:rPr>
        <w:t xml:space="preserve"> līdz 6 000 </w:t>
      </w:r>
      <w:r w:rsidRPr="00E91D56">
        <w:rPr>
          <w:bCs/>
          <w:i/>
          <w:iCs/>
          <w:color w:val="000000" w:themeColor="text1"/>
          <w:szCs w:val="26"/>
          <w:shd w:val="clear" w:color="auto" w:fill="FFFFFF"/>
        </w:rPr>
        <w:t>euro</w:t>
      </w:r>
      <w:r w:rsidR="00176A65">
        <w:rPr>
          <w:bCs/>
          <w:i/>
          <w:iCs/>
          <w:color w:val="000000" w:themeColor="text1"/>
          <w:szCs w:val="26"/>
          <w:shd w:val="clear" w:color="auto" w:fill="FFFFFF"/>
        </w:rPr>
        <w:t xml:space="preserve"> </w:t>
      </w:r>
      <w:r w:rsidR="00176A65">
        <w:rPr>
          <w:bCs/>
          <w:color w:val="000000" w:themeColor="text1"/>
          <w:szCs w:val="26"/>
          <w:shd w:val="clear" w:color="auto" w:fill="FFFFFF"/>
        </w:rPr>
        <w:t>mēnesī,</w:t>
      </w:r>
      <w:r w:rsidR="00176A65" w:rsidRPr="00AC1782">
        <w:rPr>
          <w:bCs/>
          <w:color w:val="000000" w:themeColor="text1"/>
          <w:szCs w:val="26"/>
          <w:shd w:val="clear" w:color="auto" w:fill="FFFFFF"/>
        </w:rPr>
        <w:t xml:space="preserve"> kompleksi ieviešot </w:t>
      </w:r>
      <w:r w:rsidR="00176A65">
        <w:rPr>
          <w:bCs/>
          <w:color w:val="000000" w:themeColor="text1"/>
          <w:szCs w:val="26"/>
          <w:shd w:val="clear" w:color="auto" w:fill="FFFFFF"/>
        </w:rPr>
        <w:t xml:space="preserve">visus iepriekš </w:t>
      </w:r>
      <w:r w:rsidR="00176A65" w:rsidRPr="00AC1782">
        <w:rPr>
          <w:bCs/>
          <w:color w:val="000000" w:themeColor="text1"/>
          <w:szCs w:val="26"/>
          <w:shd w:val="clear" w:color="auto" w:fill="FFFFFF"/>
        </w:rPr>
        <w:t xml:space="preserve">minētos pasākumus, </w:t>
      </w:r>
      <w:r w:rsidRPr="00AC1782">
        <w:rPr>
          <w:bCs/>
          <w:color w:val="000000" w:themeColor="text1"/>
          <w:szCs w:val="26"/>
          <w:shd w:val="clear" w:color="auto" w:fill="FFFFFF"/>
        </w:rPr>
        <w:t>202</w:t>
      </w:r>
      <w:r>
        <w:rPr>
          <w:bCs/>
          <w:color w:val="000000" w:themeColor="text1"/>
          <w:szCs w:val="26"/>
          <w:shd w:val="clear" w:color="auto" w:fill="FFFFFF"/>
        </w:rPr>
        <w:t>7</w:t>
      </w:r>
      <w:r w:rsidRPr="00AC1782">
        <w:rPr>
          <w:bCs/>
          <w:color w:val="000000" w:themeColor="text1"/>
          <w:szCs w:val="26"/>
          <w:shd w:val="clear" w:color="auto" w:fill="FFFFFF"/>
        </w:rPr>
        <w:t>.</w:t>
      </w:r>
      <w:r>
        <w:rPr>
          <w:bCs/>
          <w:color w:val="000000" w:themeColor="text1"/>
          <w:szCs w:val="26"/>
          <w:shd w:val="clear" w:color="auto" w:fill="FFFFFF"/>
        </w:rPr>
        <w:t> </w:t>
      </w:r>
      <w:r w:rsidRPr="00AC1782">
        <w:rPr>
          <w:bCs/>
          <w:color w:val="000000" w:themeColor="text1"/>
          <w:szCs w:val="26"/>
          <w:shd w:val="clear" w:color="auto" w:fill="FFFFFF"/>
        </w:rPr>
        <w:t>gadā</w:t>
      </w:r>
      <w:r w:rsidR="00176A65" w:rsidRPr="00AC1782">
        <w:rPr>
          <w:bCs/>
          <w:color w:val="000000" w:themeColor="text1"/>
          <w:szCs w:val="26"/>
          <w:shd w:val="clear" w:color="auto" w:fill="FFFFFF"/>
        </w:rPr>
        <w:t>, salīdzi</w:t>
      </w:r>
      <w:r w:rsidR="00176A65">
        <w:rPr>
          <w:bCs/>
          <w:color w:val="000000" w:themeColor="text1"/>
          <w:szCs w:val="26"/>
          <w:shd w:val="clear" w:color="auto" w:fill="FFFFFF"/>
        </w:rPr>
        <w:softHyphen/>
      </w:r>
      <w:r w:rsidR="00176A65" w:rsidRPr="00AC1782">
        <w:rPr>
          <w:bCs/>
          <w:color w:val="000000" w:themeColor="text1"/>
          <w:szCs w:val="26"/>
          <w:shd w:val="clear" w:color="auto" w:fill="FFFFFF"/>
        </w:rPr>
        <w:t>not ar  202</w:t>
      </w:r>
      <w:r w:rsidR="00176A65">
        <w:rPr>
          <w:bCs/>
          <w:color w:val="000000" w:themeColor="text1"/>
          <w:szCs w:val="26"/>
          <w:shd w:val="clear" w:color="auto" w:fill="FFFFFF"/>
        </w:rPr>
        <w:t>4</w:t>
      </w:r>
      <w:r w:rsidR="00176A65" w:rsidRPr="00AC1782">
        <w:rPr>
          <w:bCs/>
          <w:color w:val="000000" w:themeColor="text1"/>
          <w:szCs w:val="26"/>
          <w:shd w:val="clear" w:color="auto" w:fill="FFFFFF"/>
        </w:rPr>
        <w:t>.</w:t>
      </w:r>
      <w:r w:rsidR="00176A65">
        <w:rPr>
          <w:bCs/>
          <w:color w:val="000000" w:themeColor="text1"/>
          <w:szCs w:val="26"/>
          <w:shd w:val="clear" w:color="auto" w:fill="FFFFFF"/>
        </w:rPr>
        <w:t> </w:t>
      </w:r>
      <w:r w:rsidR="00176A65" w:rsidRPr="00AC1782">
        <w:rPr>
          <w:bCs/>
          <w:szCs w:val="26"/>
          <w:shd w:val="clear" w:color="auto" w:fill="FFFFFF"/>
        </w:rPr>
        <w:t>gadu</w:t>
      </w:r>
      <w:r w:rsidR="00176A65">
        <w:rPr>
          <w:bCs/>
          <w:szCs w:val="26"/>
          <w:shd w:val="clear" w:color="auto" w:fill="FFFFFF"/>
        </w:rPr>
        <w:t>,</w:t>
      </w:r>
      <w:r w:rsidRPr="00AC1782">
        <w:rPr>
          <w:bCs/>
          <w:color w:val="000000" w:themeColor="text1"/>
          <w:szCs w:val="26"/>
          <w:shd w:val="clear" w:color="auto" w:fill="FFFFFF"/>
        </w:rPr>
        <w:t xml:space="preserve"> </w:t>
      </w:r>
      <w:r w:rsidR="00176A65" w:rsidRPr="00AC1782">
        <w:rPr>
          <w:bCs/>
          <w:color w:val="000000" w:themeColor="text1"/>
          <w:szCs w:val="26"/>
          <w:shd w:val="clear" w:color="auto" w:fill="FFFFFF"/>
        </w:rPr>
        <w:t xml:space="preserve">ievērojami palielinās </w:t>
      </w:r>
      <w:r w:rsidRPr="00AC1782">
        <w:rPr>
          <w:bCs/>
          <w:color w:val="000000" w:themeColor="text1"/>
          <w:szCs w:val="26"/>
          <w:shd w:val="clear" w:color="auto" w:fill="FFFFFF"/>
        </w:rPr>
        <w:t xml:space="preserve">darba alga pēc nodokļu nomaksas </w:t>
      </w:r>
      <w:r w:rsidR="00176A65">
        <w:rPr>
          <w:bCs/>
          <w:color w:val="000000" w:themeColor="text1"/>
          <w:szCs w:val="26"/>
          <w:shd w:val="clear" w:color="auto" w:fill="FFFFFF"/>
        </w:rPr>
        <w:t xml:space="preserve">jeb </w:t>
      </w:r>
      <w:r w:rsidRPr="00AC1782">
        <w:rPr>
          <w:bCs/>
          <w:color w:val="000000" w:themeColor="text1"/>
          <w:szCs w:val="26"/>
          <w:shd w:val="clear" w:color="auto" w:fill="FFFFFF"/>
        </w:rPr>
        <w:t>neto ienākums</w:t>
      </w:r>
      <w:r w:rsidRPr="00AC1782">
        <w:rPr>
          <w:bCs/>
          <w:szCs w:val="26"/>
          <w:shd w:val="clear" w:color="auto" w:fill="FFFFFF"/>
        </w:rPr>
        <w:t xml:space="preserve">. </w:t>
      </w:r>
    </w:p>
    <w:p w14:paraId="5F9C10BD" w14:textId="77777777" w:rsidR="001D2593" w:rsidRPr="00FF1FE7" w:rsidRDefault="001D2593" w:rsidP="007E6E08">
      <w:pPr>
        <w:ind w:firstLine="567"/>
        <w:jc w:val="both"/>
        <w:rPr>
          <w:bCs/>
          <w:sz w:val="12"/>
          <w:szCs w:val="12"/>
          <w:shd w:val="clear" w:color="auto" w:fill="FFFFFF"/>
        </w:rPr>
      </w:pPr>
    </w:p>
    <w:p w14:paraId="6682AAE3" w14:textId="2D19334A" w:rsidR="00546202" w:rsidRPr="00AE0B8C" w:rsidRDefault="00225070" w:rsidP="00546202">
      <w:pPr>
        <w:spacing w:after="120"/>
        <w:jc w:val="center"/>
        <w:rPr>
          <w:bCs/>
          <w:sz w:val="20"/>
          <w:szCs w:val="20"/>
          <w:shd w:val="clear" w:color="auto" w:fill="FFFFFF"/>
        </w:rPr>
      </w:pPr>
      <w:r>
        <w:rPr>
          <w:bCs/>
          <w:sz w:val="20"/>
          <w:szCs w:val="20"/>
          <w:shd w:val="clear" w:color="auto" w:fill="FFFFFF"/>
        </w:rPr>
        <w:t>5</w:t>
      </w:r>
      <w:r w:rsidR="00546202" w:rsidRPr="00CD1EC4">
        <w:rPr>
          <w:bCs/>
          <w:sz w:val="20"/>
          <w:szCs w:val="20"/>
          <w:shd w:val="clear" w:color="auto" w:fill="FFFFFF"/>
        </w:rPr>
        <w:t>.tab.</w:t>
      </w:r>
      <w:r w:rsidR="00546202">
        <w:rPr>
          <w:b/>
          <w:sz w:val="20"/>
          <w:szCs w:val="20"/>
          <w:shd w:val="clear" w:color="auto" w:fill="FFFFFF"/>
        </w:rPr>
        <w:t xml:space="preserve"> </w:t>
      </w:r>
      <w:r w:rsidR="00546202" w:rsidRPr="00AE0B8C">
        <w:rPr>
          <w:b/>
          <w:sz w:val="20"/>
          <w:szCs w:val="20"/>
          <w:shd w:val="clear" w:color="auto" w:fill="FFFFFF"/>
        </w:rPr>
        <w:t>Strādājošo (</w:t>
      </w:r>
      <w:r>
        <w:rPr>
          <w:b/>
          <w:sz w:val="20"/>
          <w:szCs w:val="20"/>
          <w:shd w:val="clear" w:color="auto" w:fill="FFFFFF"/>
        </w:rPr>
        <w:t xml:space="preserve">ar </w:t>
      </w:r>
      <w:r w:rsidRPr="00225070">
        <w:rPr>
          <w:b/>
          <w:sz w:val="20"/>
          <w:szCs w:val="20"/>
          <w:u w:val="single"/>
          <w:shd w:val="clear" w:color="auto" w:fill="FFFFFF"/>
        </w:rPr>
        <w:t>divām</w:t>
      </w:r>
      <w:r w:rsidR="00546202" w:rsidRPr="00225070">
        <w:rPr>
          <w:b/>
          <w:sz w:val="20"/>
          <w:szCs w:val="20"/>
          <w:shd w:val="clear" w:color="auto" w:fill="FFFFFF"/>
        </w:rPr>
        <w:t xml:space="preserve"> </w:t>
      </w:r>
      <w:r w:rsidR="00546202" w:rsidRPr="00AE0B8C">
        <w:rPr>
          <w:b/>
          <w:sz w:val="20"/>
          <w:szCs w:val="20"/>
          <w:shd w:val="clear" w:color="auto" w:fill="FFFFFF"/>
        </w:rPr>
        <w:t xml:space="preserve">apgādībā esošām personām) darba algas izmaiņas, </w:t>
      </w:r>
      <w:r w:rsidR="00546202" w:rsidRPr="00AE0B8C">
        <w:rPr>
          <w:bCs/>
          <w:i/>
          <w:iCs/>
          <w:sz w:val="20"/>
          <w:szCs w:val="20"/>
          <w:shd w:val="clear" w:color="auto" w:fill="FFFFFF"/>
        </w:rPr>
        <w:t>euro mēnesī</w:t>
      </w:r>
    </w:p>
    <w:tbl>
      <w:tblPr>
        <w:tblW w:w="9781" w:type="dxa"/>
        <w:tblInd w:w="-147" w:type="dxa"/>
        <w:tblLayout w:type="fixed"/>
        <w:tblCellMar>
          <w:left w:w="0" w:type="dxa"/>
          <w:right w:w="0" w:type="dxa"/>
        </w:tblCellMar>
        <w:tblLook w:val="04A0" w:firstRow="1" w:lastRow="0" w:firstColumn="1" w:lastColumn="0" w:noHBand="0" w:noVBand="1"/>
      </w:tblPr>
      <w:tblGrid>
        <w:gridCol w:w="1135"/>
        <w:gridCol w:w="708"/>
        <w:gridCol w:w="709"/>
        <w:gridCol w:w="709"/>
        <w:gridCol w:w="709"/>
        <w:gridCol w:w="708"/>
        <w:gridCol w:w="709"/>
        <w:gridCol w:w="709"/>
        <w:gridCol w:w="850"/>
        <w:gridCol w:w="732"/>
        <w:gridCol w:w="681"/>
        <w:gridCol w:w="616"/>
        <w:gridCol w:w="806"/>
      </w:tblGrid>
      <w:tr w:rsidR="00546202" w:rsidRPr="00E91D56" w14:paraId="1240E9CF" w14:textId="77777777" w:rsidTr="000803FC">
        <w:trPr>
          <w:trHeight w:val="253"/>
        </w:trPr>
        <w:tc>
          <w:tcPr>
            <w:tcW w:w="1135" w:type="dxa"/>
            <w:vMerge w:val="restart"/>
            <w:tcBorders>
              <w:top w:val="single" w:sz="4" w:space="0" w:color="auto"/>
              <w:left w:val="single" w:sz="4" w:space="0" w:color="auto"/>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hideMark/>
          </w:tcPr>
          <w:p w14:paraId="3DE2C312" w14:textId="77777777" w:rsidR="00546202"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 xml:space="preserve">Bruto ienākums, </w:t>
            </w:r>
          </w:p>
          <w:p w14:paraId="3F626600" w14:textId="77777777" w:rsidR="00546202" w:rsidRPr="00E91D56" w:rsidRDefault="00546202" w:rsidP="000803FC">
            <w:pPr>
              <w:jc w:val="center"/>
              <w:rPr>
                <w:bCs/>
                <w:color w:val="FFFFFF" w:themeColor="background1"/>
                <w:sz w:val="18"/>
                <w:szCs w:val="18"/>
                <w:shd w:val="clear" w:color="auto" w:fill="FFFFFF"/>
              </w:rPr>
            </w:pPr>
            <w:r w:rsidRPr="00E91D56">
              <w:rPr>
                <w:rFonts w:eastAsia="Times New Roman" w:cs="Times New Roman"/>
                <w:i/>
                <w:iCs/>
                <w:color w:val="FFFFFF" w:themeColor="background1"/>
                <w:sz w:val="18"/>
                <w:szCs w:val="18"/>
                <w:lang w:eastAsia="lv-LV"/>
              </w:rPr>
              <w:t>euro</w:t>
            </w:r>
            <w:r w:rsidRPr="00E91D56">
              <w:rPr>
                <w:rFonts w:cstheme="minorHAnsi"/>
                <w:bCs/>
                <w:i/>
                <w:iCs/>
                <w:color w:val="FFFFFF" w:themeColor="background1"/>
                <w:sz w:val="18"/>
                <w:szCs w:val="18"/>
              </w:rPr>
              <w:t xml:space="preserve"> mēnesī</w:t>
            </w:r>
          </w:p>
        </w:tc>
        <w:tc>
          <w:tcPr>
            <w:tcW w:w="2835"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hideMark/>
          </w:tcPr>
          <w:p w14:paraId="3CEFED62"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 xml:space="preserve">Neto ienākums, </w:t>
            </w:r>
            <w:r w:rsidRPr="00E91D56">
              <w:rPr>
                <w:rFonts w:eastAsia="Times New Roman" w:cs="Times New Roman"/>
                <w:i/>
                <w:iCs/>
                <w:color w:val="FFFFFF" w:themeColor="background1"/>
                <w:sz w:val="18"/>
                <w:szCs w:val="18"/>
                <w:lang w:eastAsia="lv-LV"/>
              </w:rPr>
              <w:t>euro</w:t>
            </w:r>
            <w:r w:rsidRPr="00E91D56">
              <w:rPr>
                <w:rFonts w:cstheme="minorHAnsi"/>
                <w:bCs/>
                <w:i/>
                <w:iCs/>
                <w:color w:val="FFFFFF" w:themeColor="background1"/>
                <w:sz w:val="18"/>
                <w:szCs w:val="18"/>
              </w:rPr>
              <w:t xml:space="preserve"> mēnesī</w:t>
            </w:r>
          </w:p>
        </w:tc>
        <w:tc>
          <w:tcPr>
            <w:tcW w:w="2976"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hideMark/>
          </w:tcPr>
          <w:p w14:paraId="5B72AB35"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 xml:space="preserve">Izmaiņas pret iepriekšējo gadu, </w:t>
            </w:r>
            <w:r w:rsidRPr="00E91D56">
              <w:rPr>
                <w:rFonts w:eastAsia="Times New Roman" w:cs="Times New Roman"/>
                <w:i/>
                <w:iCs/>
                <w:color w:val="FFFFFF" w:themeColor="background1"/>
                <w:sz w:val="18"/>
                <w:szCs w:val="18"/>
                <w:lang w:eastAsia="lv-LV"/>
              </w:rPr>
              <w:t>euro</w:t>
            </w:r>
            <w:r w:rsidRPr="00E91D56">
              <w:rPr>
                <w:rFonts w:cstheme="minorHAnsi"/>
                <w:bCs/>
                <w:i/>
                <w:iCs/>
                <w:color w:val="FFFFFF" w:themeColor="background1"/>
                <w:sz w:val="18"/>
                <w:szCs w:val="18"/>
              </w:rPr>
              <w:t xml:space="preserve"> mēnesī</w:t>
            </w:r>
          </w:p>
        </w:tc>
        <w:tc>
          <w:tcPr>
            <w:tcW w:w="2835" w:type="dxa"/>
            <w:gridSpan w:val="4"/>
            <w:tcBorders>
              <w:top w:val="single" w:sz="4" w:space="0" w:color="auto"/>
              <w:left w:val="single" w:sz="4" w:space="0" w:color="FFFFFF" w:themeColor="background1"/>
              <w:bottom w:val="single" w:sz="4" w:space="0" w:color="FFFFFF" w:themeColor="background1"/>
              <w:right w:val="single" w:sz="4" w:space="0" w:color="auto"/>
            </w:tcBorders>
            <w:shd w:val="clear" w:color="auto" w:fill="002060"/>
            <w:tcMar>
              <w:top w:w="15" w:type="dxa"/>
              <w:left w:w="108" w:type="dxa"/>
              <w:bottom w:w="0" w:type="dxa"/>
              <w:right w:w="108" w:type="dxa"/>
            </w:tcMar>
            <w:vAlign w:val="center"/>
            <w:hideMark/>
          </w:tcPr>
          <w:p w14:paraId="591EEB97"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 xml:space="preserve">Izmaiņas pret iepriekšējo gadu, </w:t>
            </w:r>
            <w:r w:rsidRPr="00E91D56">
              <w:rPr>
                <w:rFonts w:cstheme="minorHAnsi"/>
                <w:bCs/>
                <w:i/>
                <w:iCs/>
                <w:color w:val="FFFFFF" w:themeColor="background1"/>
                <w:sz w:val="18"/>
                <w:szCs w:val="18"/>
              </w:rPr>
              <w:t>%</w:t>
            </w:r>
          </w:p>
        </w:tc>
      </w:tr>
      <w:tr w:rsidR="00546202" w:rsidRPr="00E91D56" w14:paraId="0B85018F" w14:textId="77777777" w:rsidTr="000803FC">
        <w:trPr>
          <w:trHeight w:val="119"/>
        </w:trPr>
        <w:tc>
          <w:tcPr>
            <w:tcW w:w="1135" w:type="dxa"/>
            <w:vMerge/>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02060"/>
            <w:vAlign w:val="center"/>
            <w:hideMark/>
          </w:tcPr>
          <w:p w14:paraId="5F565787" w14:textId="77777777" w:rsidR="00546202" w:rsidRPr="00E91D56" w:rsidRDefault="00546202" w:rsidP="000803FC">
            <w:pPr>
              <w:ind w:firstLine="709"/>
              <w:jc w:val="both"/>
              <w:rPr>
                <w:bCs/>
                <w:color w:val="FFFFFF" w:themeColor="background1"/>
                <w:sz w:val="18"/>
                <w:szCs w:val="18"/>
                <w:shd w:val="clear" w:color="auto" w:fill="FFFFFF"/>
              </w:rPr>
            </w:pP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hideMark/>
          </w:tcPr>
          <w:p w14:paraId="0E68D221"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2024</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hideMark/>
          </w:tcPr>
          <w:p w14:paraId="6651E7AB"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2025</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hideMark/>
          </w:tcPr>
          <w:p w14:paraId="6F31875A"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2026</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hideMark/>
          </w:tcPr>
          <w:p w14:paraId="5A2267AD"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2027</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hideMark/>
          </w:tcPr>
          <w:p w14:paraId="74F04BE9"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2025</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hideMark/>
          </w:tcPr>
          <w:p w14:paraId="419D1158"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2026</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hideMark/>
          </w:tcPr>
          <w:p w14:paraId="41AF45CB"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2027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hideMark/>
          </w:tcPr>
          <w:p w14:paraId="7C155B01"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KOPĀ</w:t>
            </w:r>
          </w:p>
        </w:tc>
        <w:tc>
          <w:tcPr>
            <w:tcW w:w="7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hideMark/>
          </w:tcPr>
          <w:p w14:paraId="5A512288"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2025</w:t>
            </w:r>
          </w:p>
        </w:tc>
        <w:tc>
          <w:tcPr>
            <w:tcW w:w="6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hideMark/>
          </w:tcPr>
          <w:p w14:paraId="75A6AE45"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2026</w:t>
            </w:r>
          </w:p>
        </w:tc>
        <w:tc>
          <w:tcPr>
            <w:tcW w:w="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15" w:type="dxa"/>
              <w:left w:w="108" w:type="dxa"/>
              <w:bottom w:w="0" w:type="dxa"/>
              <w:right w:w="108" w:type="dxa"/>
            </w:tcMar>
            <w:vAlign w:val="center"/>
            <w:hideMark/>
          </w:tcPr>
          <w:p w14:paraId="1678785E"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2027</w:t>
            </w:r>
          </w:p>
        </w:tc>
        <w:tc>
          <w:tcPr>
            <w:tcW w:w="806"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Mar>
              <w:top w:w="15" w:type="dxa"/>
              <w:left w:w="108" w:type="dxa"/>
              <w:bottom w:w="0" w:type="dxa"/>
              <w:right w:w="108" w:type="dxa"/>
            </w:tcMar>
            <w:vAlign w:val="center"/>
            <w:hideMark/>
          </w:tcPr>
          <w:p w14:paraId="26AE65D2" w14:textId="77777777" w:rsidR="00546202" w:rsidRPr="00E91D56" w:rsidRDefault="00546202" w:rsidP="000803FC">
            <w:pPr>
              <w:jc w:val="center"/>
              <w:rPr>
                <w:rFonts w:cstheme="minorHAnsi"/>
                <w:b/>
                <w:color w:val="FFFFFF" w:themeColor="background1"/>
                <w:sz w:val="18"/>
                <w:szCs w:val="18"/>
              </w:rPr>
            </w:pPr>
            <w:r w:rsidRPr="00E91D56">
              <w:rPr>
                <w:rFonts w:cstheme="minorHAnsi"/>
                <w:b/>
                <w:color w:val="FFFFFF" w:themeColor="background1"/>
                <w:sz w:val="18"/>
                <w:szCs w:val="18"/>
              </w:rPr>
              <w:t>KOPĀ</w:t>
            </w:r>
          </w:p>
        </w:tc>
      </w:tr>
      <w:tr w:rsidR="00546202" w:rsidRPr="00E91D56" w14:paraId="251B8772" w14:textId="77777777" w:rsidTr="000803FC">
        <w:tc>
          <w:tcPr>
            <w:tcW w:w="1135" w:type="dxa"/>
            <w:tcBorders>
              <w:top w:val="single" w:sz="4" w:space="0" w:color="FFFFFF" w:themeColor="background1"/>
              <w:left w:val="single" w:sz="4" w:space="0" w:color="auto"/>
              <w:bottom w:val="single" w:sz="4" w:space="0" w:color="7F7F7F"/>
              <w:right w:val="single" w:sz="4" w:space="0" w:color="7F7F7F"/>
            </w:tcBorders>
            <w:shd w:val="clear" w:color="auto" w:fill="auto"/>
            <w:tcMar>
              <w:top w:w="15" w:type="dxa"/>
              <w:left w:w="108" w:type="dxa"/>
              <w:bottom w:w="0" w:type="dxa"/>
              <w:right w:w="108" w:type="dxa"/>
            </w:tcMar>
            <w:vAlign w:val="bottom"/>
            <w:hideMark/>
          </w:tcPr>
          <w:p w14:paraId="08997D61" w14:textId="77777777" w:rsidR="00546202" w:rsidRPr="00E91D56" w:rsidRDefault="00546202" w:rsidP="000803FC">
            <w:pPr>
              <w:contextualSpacing/>
              <w:jc w:val="center"/>
              <w:rPr>
                <w:rFonts w:cstheme="minorHAnsi"/>
                <w:sz w:val="18"/>
                <w:szCs w:val="18"/>
              </w:rPr>
            </w:pPr>
            <w:r w:rsidRPr="00E91D56">
              <w:rPr>
                <w:rFonts w:cstheme="minorHAnsi"/>
                <w:sz w:val="18"/>
                <w:szCs w:val="18"/>
              </w:rPr>
              <w:t>MA*</w:t>
            </w:r>
          </w:p>
        </w:tc>
        <w:tc>
          <w:tcPr>
            <w:tcW w:w="708" w:type="dxa"/>
            <w:tcBorders>
              <w:top w:val="single" w:sz="4" w:space="0" w:color="FFFFFF" w:themeColor="background1"/>
              <w:left w:val="single" w:sz="4" w:space="0" w:color="7F7F7F"/>
              <w:bottom w:val="single" w:sz="4" w:space="0" w:color="7F7F7F"/>
              <w:right w:val="single" w:sz="4" w:space="0" w:color="7F7F7F"/>
            </w:tcBorders>
            <w:shd w:val="clear" w:color="auto" w:fill="D9D9D9" w:themeFill="background1" w:themeFillShade="D9"/>
            <w:tcMar>
              <w:top w:w="15" w:type="dxa"/>
              <w:left w:w="108" w:type="dxa"/>
              <w:bottom w:w="0" w:type="dxa"/>
              <w:right w:w="108" w:type="dxa"/>
            </w:tcMar>
            <w:vAlign w:val="bottom"/>
          </w:tcPr>
          <w:p w14:paraId="036BAF16" w14:textId="77777777" w:rsidR="00546202" w:rsidRPr="00B34B9D" w:rsidRDefault="00546202" w:rsidP="000803FC">
            <w:pPr>
              <w:contextualSpacing/>
              <w:jc w:val="center"/>
              <w:rPr>
                <w:rFonts w:cstheme="minorHAnsi"/>
                <w:sz w:val="18"/>
                <w:szCs w:val="18"/>
              </w:rPr>
            </w:pPr>
            <w:r w:rsidRPr="00B34B9D">
              <w:rPr>
                <w:b/>
                <w:bCs/>
                <w:color w:val="000000"/>
                <w:sz w:val="18"/>
                <w:szCs w:val="18"/>
              </w:rPr>
              <w:t>627</w:t>
            </w:r>
          </w:p>
        </w:tc>
        <w:tc>
          <w:tcPr>
            <w:tcW w:w="709" w:type="dxa"/>
            <w:tcBorders>
              <w:top w:val="single" w:sz="4" w:space="0" w:color="FFFFFF" w:themeColor="background1"/>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55287EFC" w14:textId="77777777" w:rsidR="00546202" w:rsidRPr="00B34B9D" w:rsidRDefault="00546202" w:rsidP="000803FC">
            <w:pPr>
              <w:contextualSpacing/>
              <w:jc w:val="center"/>
              <w:rPr>
                <w:rFonts w:cstheme="minorHAnsi"/>
                <w:sz w:val="18"/>
                <w:szCs w:val="18"/>
              </w:rPr>
            </w:pPr>
            <w:r w:rsidRPr="00B34B9D">
              <w:rPr>
                <w:color w:val="000000"/>
                <w:sz w:val="18"/>
                <w:szCs w:val="18"/>
              </w:rPr>
              <w:t>662</w:t>
            </w:r>
          </w:p>
        </w:tc>
        <w:tc>
          <w:tcPr>
            <w:tcW w:w="709" w:type="dxa"/>
            <w:tcBorders>
              <w:top w:val="single" w:sz="4" w:space="0" w:color="FFFFFF" w:themeColor="background1"/>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0D9C78E5" w14:textId="77777777" w:rsidR="00546202" w:rsidRPr="00B34B9D" w:rsidRDefault="00546202" w:rsidP="000803FC">
            <w:pPr>
              <w:contextualSpacing/>
              <w:jc w:val="center"/>
              <w:rPr>
                <w:rFonts w:cstheme="minorHAnsi"/>
                <w:sz w:val="18"/>
                <w:szCs w:val="18"/>
              </w:rPr>
            </w:pPr>
            <w:r w:rsidRPr="00B34B9D">
              <w:rPr>
                <w:color w:val="000000"/>
                <w:sz w:val="18"/>
                <w:szCs w:val="18"/>
              </w:rPr>
              <w:t>698</w:t>
            </w:r>
          </w:p>
        </w:tc>
        <w:tc>
          <w:tcPr>
            <w:tcW w:w="709" w:type="dxa"/>
            <w:tcBorders>
              <w:top w:val="single" w:sz="4" w:space="0" w:color="FFFFFF" w:themeColor="background1"/>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46D69985" w14:textId="77777777" w:rsidR="00546202" w:rsidRPr="00B34B9D" w:rsidRDefault="00546202" w:rsidP="000803FC">
            <w:pPr>
              <w:contextualSpacing/>
              <w:jc w:val="center"/>
              <w:rPr>
                <w:rFonts w:cstheme="minorHAnsi"/>
                <w:sz w:val="18"/>
                <w:szCs w:val="18"/>
              </w:rPr>
            </w:pPr>
            <w:r w:rsidRPr="00B34B9D">
              <w:rPr>
                <w:color w:val="000000"/>
                <w:sz w:val="18"/>
                <w:szCs w:val="18"/>
              </w:rPr>
              <w:t>734</w:t>
            </w:r>
          </w:p>
        </w:tc>
        <w:tc>
          <w:tcPr>
            <w:tcW w:w="708" w:type="dxa"/>
            <w:tcBorders>
              <w:top w:val="single" w:sz="4" w:space="0" w:color="FFFFFF" w:themeColor="background1"/>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31CC633A" w14:textId="77777777" w:rsidR="00546202" w:rsidRPr="00B34B9D" w:rsidRDefault="00546202" w:rsidP="000803FC">
            <w:pPr>
              <w:contextualSpacing/>
              <w:jc w:val="center"/>
              <w:rPr>
                <w:rFonts w:cstheme="minorHAnsi"/>
                <w:color w:val="00B050"/>
                <w:sz w:val="18"/>
                <w:szCs w:val="18"/>
              </w:rPr>
            </w:pPr>
            <w:r>
              <w:rPr>
                <w:color w:val="00B050"/>
                <w:sz w:val="18"/>
                <w:szCs w:val="18"/>
              </w:rPr>
              <w:t>+</w:t>
            </w:r>
            <w:r w:rsidRPr="00B34B9D">
              <w:rPr>
                <w:color w:val="00B050"/>
                <w:sz w:val="18"/>
                <w:szCs w:val="18"/>
              </w:rPr>
              <w:t>36</w:t>
            </w:r>
          </w:p>
        </w:tc>
        <w:tc>
          <w:tcPr>
            <w:tcW w:w="709" w:type="dxa"/>
            <w:tcBorders>
              <w:top w:val="single" w:sz="4" w:space="0" w:color="FFFFFF" w:themeColor="background1"/>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09076EBB" w14:textId="77777777" w:rsidR="00546202" w:rsidRPr="00B34B9D" w:rsidRDefault="00546202" w:rsidP="000803FC">
            <w:pPr>
              <w:contextualSpacing/>
              <w:jc w:val="center"/>
              <w:rPr>
                <w:rFonts w:cstheme="minorHAnsi"/>
                <w:color w:val="00B050"/>
                <w:sz w:val="18"/>
                <w:szCs w:val="18"/>
              </w:rPr>
            </w:pPr>
            <w:r>
              <w:rPr>
                <w:color w:val="00B050"/>
                <w:sz w:val="18"/>
                <w:szCs w:val="18"/>
              </w:rPr>
              <w:t>+</w:t>
            </w:r>
            <w:r w:rsidRPr="00B34B9D">
              <w:rPr>
                <w:color w:val="00B050"/>
                <w:sz w:val="18"/>
                <w:szCs w:val="18"/>
              </w:rPr>
              <w:t>36</w:t>
            </w:r>
          </w:p>
        </w:tc>
        <w:tc>
          <w:tcPr>
            <w:tcW w:w="709" w:type="dxa"/>
            <w:tcBorders>
              <w:top w:val="single" w:sz="4" w:space="0" w:color="FFFFFF" w:themeColor="background1"/>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7D2FBA6C" w14:textId="77777777" w:rsidR="00546202" w:rsidRPr="00B34B9D" w:rsidRDefault="00546202" w:rsidP="000803FC">
            <w:pPr>
              <w:contextualSpacing/>
              <w:jc w:val="center"/>
              <w:rPr>
                <w:rFonts w:cstheme="minorHAnsi"/>
                <w:color w:val="00B050"/>
                <w:sz w:val="18"/>
                <w:szCs w:val="18"/>
              </w:rPr>
            </w:pPr>
            <w:r w:rsidRPr="00B34B9D">
              <w:rPr>
                <w:color w:val="00B050"/>
                <w:sz w:val="18"/>
                <w:szCs w:val="18"/>
              </w:rPr>
              <w:t>36</w:t>
            </w:r>
          </w:p>
        </w:tc>
        <w:tc>
          <w:tcPr>
            <w:tcW w:w="850" w:type="dxa"/>
            <w:tcBorders>
              <w:top w:val="single" w:sz="4" w:space="0" w:color="FFFFFF" w:themeColor="background1"/>
              <w:left w:val="single" w:sz="4" w:space="0" w:color="7F7F7F"/>
              <w:bottom w:val="single" w:sz="4" w:space="0" w:color="7F7F7F"/>
              <w:right w:val="single" w:sz="4" w:space="0" w:color="7F7F7F"/>
            </w:tcBorders>
            <w:shd w:val="clear" w:color="auto" w:fill="FFF2CC" w:themeFill="accent4" w:themeFillTint="33"/>
            <w:tcMar>
              <w:top w:w="15" w:type="dxa"/>
              <w:left w:w="108" w:type="dxa"/>
              <w:bottom w:w="0" w:type="dxa"/>
              <w:right w:w="108" w:type="dxa"/>
            </w:tcMar>
            <w:vAlign w:val="center"/>
          </w:tcPr>
          <w:p w14:paraId="2B0FADCF" w14:textId="77777777" w:rsidR="00546202" w:rsidRPr="009B12F0" w:rsidRDefault="00546202" w:rsidP="000803FC">
            <w:pPr>
              <w:contextualSpacing/>
              <w:jc w:val="center"/>
              <w:rPr>
                <w:rFonts w:cstheme="minorHAnsi"/>
                <w:b/>
                <w:bCs/>
                <w:color w:val="00B050"/>
                <w:sz w:val="18"/>
                <w:szCs w:val="18"/>
              </w:rPr>
            </w:pPr>
            <w:r w:rsidRPr="009B12F0">
              <w:rPr>
                <w:b/>
                <w:bCs/>
                <w:color w:val="00B050"/>
                <w:sz w:val="18"/>
                <w:szCs w:val="18"/>
              </w:rPr>
              <w:t>+143</w:t>
            </w:r>
          </w:p>
        </w:tc>
        <w:tc>
          <w:tcPr>
            <w:tcW w:w="732" w:type="dxa"/>
            <w:tcBorders>
              <w:top w:val="single" w:sz="4" w:space="0" w:color="FFFFFF" w:themeColor="background1"/>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138B9952" w14:textId="77777777" w:rsidR="00546202" w:rsidRPr="009B12F0" w:rsidRDefault="00546202" w:rsidP="000803FC">
            <w:pPr>
              <w:contextualSpacing/>
              <w:jc w:val="center"/>
              <w:rPr>
                <w:rFonts w:cstheme="minorHAnsi"/>
                <w:i/>
                <w:iCs/>
                <w:color w:val="00B050"/>
                <w:sz w:val="18"/>
                <w:szCs w:val="18"/>
              </w:rPr>
            </w:pPr>
            <w:r w:rsidRPr="009B12F0">
              <w:rPr>
                <w:i/>
                <w:iCs/>
                <w:color w:val="00B050"/>
                <w:sz w:val="18"/>
                <w:szCs w:val="18"/>
              </w:rPr>
              <w:t>6%</w:t>
            </w:r>
          </w:p>
        </w:tc>
        <w:tc>
          <w:tcPr>
            <w:tcW w:w="681" w:type="dxa"/>
            <w:tcBorders>
              <w:top w:val="single" w:sz="4" w:space="0" w:color="FFFFFF" w:themeColor="background1"/>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6D859E53" w14:textId="77777777" w:rsidR="00546202" w:rsidRPr="009B12F0" w:rsidRDefault="00546202" w:rsidP="000803FC">
            <w:pPr>
              <w:contextualSpacing/>
              <w:jc w:val="center"/>
              <w:rPr>
                <w:rFonts w:cstheme="minorHAnsi"/>
                <w:i/>
                <w:iCs/>
                <w:color w:val="00B050"/>
                <w:sz w:val="18"/>
                <w:szCs w:val="18"/>
              </w:rPr>
            </w:pPr>
            <w:r w:rsidRPr="009B12F0">
              <w:rPr>
                <w:i/>
                <w:iCs/>
                <w:color w:val="00B050"/>
                <w:sz w:val="18"/>
                <w:szCs w:val="18"/>
              </w:rPr>
              <w:t>5%</w:t>
            </w:r>
          </w:p>
        </w:tc>
        <w:tc>
          <w:tcPr>
            <w:tcW w:w="616" w:type="dxa"/>
            <w:tcBorders>
              <w:top w:val="single" w:sz="4" w:space="0" w:color="FFFFFF" w:themeColor="background1"/>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3A17D78E" w14:textId="77777777" w:rsidR="00546202" w:rsidRPr="009B12F0" w:rsidRDefault="00546202" w:rsidP="000803FC">
            <w:pPr>
              <w:contextualSpacing/>
              <w:jc w:val="center"/>
              <w:rPr>
                <w:rFonts w:cstheme="minorHAnsi"/>
                <w:i/>
                <w:iCs/>
                <w:color w:val="00B050"/>
                <w:sz w:val="18"/>
                <w:szCs w:val="18"/>
              </w:rPr>
            </w:pPr>
            <w:r w:rsidRPr="009B12F0">
              <w:rPr>
                <w:i/>
                <w:iCs/>
                <w:color w:val="00B050"/>
                <w:sz w:val="18"/>
                <w:szCs w:val="18"/>
              </w:rPr>
              <w:t>5%</w:t>
            </w:r>
          </w:p>
        </w:tc>
        <w:tc>
          <w:tcPr>
            <w:tcW w:w="806" w:type="dxa"/>
            <w:tcBorders>
              <w:top w:val="single" w:sz="4" w:space="0" w:color="FFFFFF" w:themeColor="background1"/>
              <w:left w:val="single" w:sz="4" w:space="0" w:color="7F7F7F"/>
              <w:bottom w:val="single" w:sz="4" w:space="0" w:color="7F7F7F"/>
              <w:right w:val="single" w:sz="4" w:space="0" w:color="auto"/>
            </w:tcBorders>
            <w:shd w:val="clear" w:color="auto" w:fill="FFF2CC" w:themeFill="accent4" w:themeFillTint="33"/>
            <w:tcMar>
              <w:top w:w="15" w:type="dxa"/>
              <w:left w:w="108" w:type="dxa"/>
              <w:bottom w:w="0" w:type="dxa"/>
              <w:right w:w="108" w:type="dxa"/>
            </w:tcMar>
            <w:vAlign w:val="bottom"/>
          </w:tcPr>
          <w:p w14:paraId="3FB530BD" w14:textId="77777777" w:rsidR="00546202" w:rsidRPr="00841DF5" w:rsidRDefault="00546202" w:rsidP="000803FC">
            <w:pPr>
              <w:contextualSpacing/>
              <w:jc w:val="center"/>
              <w:rPr>
                <w:rFonts w:cstheme="minorHAnsi"/>
                <w:b/>
                <w:bCs/>
                <w:i/>
                <w:iCs/>
                <w:color w:val="00B050"/>
                <w:sz w:val="18"/>
                <w:szCs w:val="18"/>
              </w:rPr>
            </w:pPr>
            <w:r w:rsidRPr="00841DF5">
              <w:rPr>
                <w:b/>
                <w:bCs/>
                <w:i/>
                <w:iCs/>
                <w:color w:val="00B050"/>
                <w:sz w:val="18"/>
                <w:szCs w:val="18"/>
              </w:rPr>
              <w:t>23%</w:t>
            </w:r>
          </w:p>
        </w:tc>
      </w:tr>
      <w:tr w:rsidR="00546202" w:rsidRPr="00E91D56" w14:paraId="4AB467DD" w14:textId="77777777" w:rsidTr="000803FC">
        <w:trPr>
          <w:trHeight w:val="50"/>
        </w:trPr>
        <w:tc>
          <w:tcPr>
            <w:tcW w:w="1135" w:type="dxa"/>
            <w:tcBorders>
              <w:top w:val="single" w:sz="4" w:space="0" w:color="7F7F7F"/>
              <w:left w:val="single" w:sz="4" w:space="0" w:color="auto"/>
              <w:bottom w:val="single" w:sz="4" w:space="0" w:color="7F7F7F"/>
              <w:right w:val="single" w:sz="4" w:space="0" w:color="7F7F7F"/>
            </w:tcBorders>
            <w:shd w:val="clear" w:color="auto" w:fill="auto"/>
            <w:tcMar>
              <w:top w:w="15" w:type="dxa"/>
              <w:left w:w="108" w:type="dxa"/>
              <w:bottom w:w="0" w:type="dxa"/>
              <w:right w:w="108" w:type="dxa"/>
            </w:tcMar>
            <w:vAlign w:val="bottom"/>
            <w:hideMark/>
          </w:tcPr>
          <w:p w14:paraId="2C27F084" w14:textId="77777777" w:rsidR="00546202" w:rsidRPr="00E91D56" w:rsidRDefault="00546202" w:rsidP="000803FC">
            <w:pPr>
              <w:contextualSpacing/>
              <w:jc w:val="center"/>
              <w:rPr>
                <w:rFonts w:cstheme="minorHAnsi"/>
                <w:sz w:val="18"/>
                <w:szCs w:val="18"/>
              </w:rPr>
            </w:pPr>
            <w:r w:rsidRPr="00E91D56">
              <w:rPr>
                <w:rFonts w:cstheme="minorHAnsi"/>
                <w:sz w:val="18"/>
                <w:szCs w:val="18"/>
              </w:rPr>
              <w:t>1 000</w:t>
            </w:r>
          </w:p>
        </w:tc>
        <w:tc>
          <w:tcPr>
            <w:tcW w:w="708"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Mar>
              <w:top w:w="15" w:type="dxa"/>
              <w:left w:w="108" w:type="dxa"/>
              <w:bottom w:w="0" w:type="dxa"/>
              <w:right w:w="108" w:type="dxa"/>
            </w:tcMar>
            <w:vAlign w:val="bottom"/>
          </w:tcPr>
          <w:p w14:paraId="1342B21A" w14:textId="77777777" w:rsidR="00546202" w:rsidRPr="00B34B9D" w:rsidRDefault="00546202" w:rsidP="000803FC">
            <w:pPr>
              <w:contextualSpacing/>
              <w:jc w:val="center"/>
              <w:rPr>
                <w:rFonts w:cstheme="minorHAnsi"/>
                <w:sz w:val="18"/>
                <w:szCs w:val="18"/>
              </w:rPr>
            </w:pPr>
            <w:r w:rsidRPr="00B34B9D">
              <w:rPr>
                <w:sz w:val="18"/>
                <w:szCs w:val="18"/>
              </w:rPr>
              <w:t>878</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00B74121" w14:textId="77777777" w:rsidR="00546202" w:rsidRPr="00B34B9D" w:rsidRDefault="00546202" w:rsidP="000803FC">
            <w:pPr>
              <w:contextualSpacing/>
              <w:jc w:val="center"/>
              <w:rPr>
                <w:rFonts w:cstheme="minorHAnsi"/>
                <w:sz w:val="18"/>
                <w:szCs w:val="18"/>
              </w:rPr>
            </w:pPr>
            <w:r w:rsidRPr="00B34B9D">
              <w:rPr>
                <w:sz w:val="18"/>
                <w:szCs w:val="18"/>
              </w:rPr>
              <w:t>895</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114A2C83" w14:textId="77777777" w:rsidR="00546202" w:rsidRPr="00B34B9D" w:rsidRDefault="00546202" w:rsidP="000803FC">
            <w:pPr>
              <w:contextualSpacing/>
              <w:jc w:val="center"/>
              <w:rPr>
                <w:rFonts w:cstheme="minorHAnsi"/>
                <w:sz w:val="18"/>
                <w:szCs w:val="18"/>
              </w:rPr>
            </w:pPr>
            <w:r w:rsidRPr="00B34B9D">
              <w:rPr>
                <w:sz w:val="18"/>
                <w:szCs w:val="18"/>
              </w:rPr>
              <w:t>895</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659A66CB" w14:textId="77777777" w:rsidR="00546202" w:rsidRPr="00B34B9D" w:rsidRDefault="00546202" w:rsidP="000803FC">
            <w:pPr>
              <w:contextualSpacing/>
              <w:jc w:val="center"/>
              <w:rPr>
                <w:rFonts w:cstheme="minorHAnsi"/>
                <w:sz w:val="18"/>
                <w:szCs w:val="18"/>
              </w:rPr>
            </w:pPr>
            <w:r w:rsidRPr="00B34B9D">
              <w:rPr>
                <w:sz w:val="18"/>
                <w:szCs w:val="18"/>
              </w:rPr>
              <w:t>895</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6F6670D8" w14:textId="77777777" w:rsidR="00546202" w:rsidRPr="00B34B9D" w:rsidRDefault="00546202" w:rsidP="000803FC">
            <w:pPr>
              <w:contextualSpacing/>
              <w:jc w:val="center"/>
              <w:rPr>
                <w:rFonts w:cstheme="minorHAnsi"/>
                <w:color w:val="00B050"/>
                <w:sz w:val="18"/>
                <w:szCs w:val="18"/>
              </w:rPr>
            </w:pPr>
            <w:r>
              <w:rPr>
                <w:color w:val="00B050"/>
                <w:sz w:val="18"/>
                <w:szCs w:val="18"/>
              </w:rPr>
              <w:t>+</w:t>
            </w:r>
            <w:r w:rsidRPr="00B34B9D">
              <w:rPr>
                <w:color w:val="00B050"/>
                <w:sz w:val="18"/>
                <w:szCs w:val="18"/>
              </w:rPr>
              <w:t>17</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4803F0A0" w14:textId="77777777" w:rsidR="00546202" w:rsidRPr="00B34B9D" w:rsidRDefault="00546202" w:rsidP="000803FC">
            <w:pPr>
              <w:contextualSpacing/>
              <w:jc w:val="center"/>
              <w:rPr>
                <w:rFonts w:cstheme="minorHAnsi"/>
                <w:sz w:val="18"/>
                <w:szCs w:val="18"/>
              </w:rPr>
            </w:pPr>
            <w:r w:rsidRPr="00B34B9D">
              <w:rPr>
                <w:sz w:val="18"/>
                <w:szCs w:val="18"/>
              </w:rPr>
              <w:t>0</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5A33022A" w14:textId="77777777" w:rsidR="00546202" w:rsidRPr="00B34B9D" w:rsidRDefault="00546202" w:rsidP="000803FC">
            <w:pPr>
              <w:contextualSpacing/>
              <w:jc w:val="center"/>
              <w:rPr>
                <w:rFonts w:cstheme="minorHAnsi"/>
                <w:sz w:val="18"/>
                <w:szCs w:val="18"/>
              </w:rPr>
            </w:pPr>
            <w:r w:rsidRPr="00B34B9D">
              <w:rPr>
                <w:sz w:val="18"/>
                <w:szCs w:val="18"/>
              </w:rPr>
              <w:t>0</w:t>
            </w:r>
          </w:p>
        </w:tc>
        <w:tc>
          <w:tcPr>
            <w:tcW w:w="850" w:type="dxa"/>
            <w:tcBorders>
              <w:top w:val="single" w:sz="4" w:space="0" w:color="7F7F7F"/>
              <w:left w:val="single" w:sz="4" w:space="0" w:color="7F7F7F"/>
              <w:bottom w:val="single" w:sz="4" w:space="0" w:color="7F7F7F"/>
              <w:right w:val="single" w:sz="4" w:space="0" w:color="7F7F7F"/>
            </w:tcBorders>
            <w:shd w:val="clear" w:color="auto" w:fill="FFF2CC" w:themeFill="accent4" w:themeFillTint="33"/>
            <w:tcMar>
              <w:top w:w="15" w:type="dxa"/>
              <w:left w:w="108" w:type="dxa"/>
              <w:bottom w:w="0" w:type="dxa"/>
              <w:right w:w="108" w:type="dxa"/>
            </w:tcMar>
            <w:vAlign w:val="center"/>
          </w:tcPr>
          <w:p w14:paraId="71E6EF81" w14:textId="77777777" w:rsidR="00546202" w:rsidRPr="009B12F0" w:rsidRDefault="00546202" w:rsidP="000803FC">
            <w:pPr>
              <w:contextualSpacing/>
              <w:jc w:val="center"/>
              <w:rPr>
                <w:rFonts w:cstheme="minorHAnsi"/>
                <w:b/>
                <w:bCs/>
                <w:color w:val="00B050"/>
                <w:sz w:val="18"/>
                <w:szCs w:val="18"/>
              </w:rPr>
            </w:pPr>
            <w:r w:rsidRPr="009B12F0">
              <w:rPr>
                <w:b/>
                <w:bCs/>
                <w:color w:val="00B050"/>
                <w:sz w:val="18"/>
                <w:szCs w:val="18"/>
              </w:rPr>
              <w:t>+17</w:t>
            </w:r>
          </w:p>
        </w:tc>
        <w:tc>
          <w:tcPr>
            <w:tcW w:w="732"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437F176E" w14:textId="77777777" w:rsidR="00546202" w:rsidRPr="009B12F0" w:rsidRDefault="00546202" w:rsidP="000803FC">
            <w:pPr>
              <w:contextualSpacing/>
              <w:jc w:val="center"/>
              <w:rPr>
                <w:rFonts w:cstheme="minorHAnsi"/>
                <w:i/>
                <w:iCs/>
                <w:color w:val="00B050"/>
                <w:sz w:val="18"/>
                <w:szCs w:val="18"/>
              </w:rPr>
            </w:pPr>
            <w:r w:rsidRPr="009B12F0">
              <w:rPr>
                <w:i/>
                <w:iCs/>
                <w:color w:val="00B050"/>
                <w:sz w:val="18"/>
                <w:szCs w:val="18"/>
              </w:rPr>
              <w:t>2%</w:t>
            </w:r>
          </w:p>
        </w:tc>
        <w:tc>
          <w:tcPr>
            <w:tcW w:w="681"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7DB2C2A1" w14:textId="77777777" w:rsidR="00546202" w:rsidRPr="009B12F0" w:rsidRDefault="00546202" w:rsidP="000803FC">
            <w:pPr>
              <w:contextualSpacing/>
              <w:jc w:val="center"/>
              <w:rPr>
                <w:rFonts w:cstheme="minorHAnsi"/>
                <w:i/>
                <w:iCs/>
                <w:color w:val="00B050"/>
                <w:sz w:val="18"/>
                <w:szCs w:val="18"/>
              </w:rPr>
            </w:pPr>
            <w:r w:rsidRPr="009B12F0">
              <w:rPr>
                <w:i/>
                <w:iCs/>
                <w:color w:val="00B050"/>
                <w:sz w:val="18"/>
                <w:szCs w:val="18"/>
              </w:rPr>
              <w:t>0%</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4DE19B5D" w14:textId="77777777" w:rsidR="00546202" w:rsidRPr="009B12F0" w:rsidRDefault="00546202" w:rsidP="000803FC">
            <w:pPr>
              <w:contextualSpacing/>
              <w:jc w:val="center"/>
              <w:rPr>
                <w:rFonts w:cstheme="minorHAnsi"/>
                <w:i/>
                <w:iCs/>
                <w:color w:val="00B050"/>
                <w:sz w:val="18"/>
                <w:szCs w:val="18"/>
              </w:rPr>
            </w:pPr>
            <w:r w:rsidRPr="009B12F0">
              <w:rPr>
                <w:i/>
                <w:iCs/>
                <w:color w:val="00B050"/>
                <w:sz w:val="18"/>
                <w:szCs w:val="18"/>
              </w:rPr>
              <w:t>0%</w:t>
            </w:r>
          </w:p>
        </w:tc>
        <w:tc>
          <w:tcPr>
            <w:tcW w:w="806" w:type="dxa"/>
            <w:tcBorders>
              <w:top w:val="single" w:sz="4" w:space="0" w:color="7F7F7F"/>
              <w:left w:val="single" w:sz="4" w:space="0" w:color="7F7F7F"/>
              <w:bottom w:val="single" w:sz="4" w:space="0" w:color="7F7F7F"/>
              <w:right w:val="single" w:sz="4" w:space="0" w:color="auto"/>
            </w:tcBorders>
            <w:shd w:val="clear" w:color="auto" w:fill="FFF2CC" w:themeFill="accent4" w:themeFillTint="33"/>
            <w:tcMar>
              <w:top w:w="15" w:type="dxa"/>
              <w:left w:w="108" w:type="dxa"/>
              <w:bottom w:w="0" w:type="dxa"/>
              <w:right w:w="108" w:type="dxa"/>
            </w:tcMar>
            <w:vAlign w:val="bottom"/>
          </w:tcPr>
          <w:p w14:paraId="631228CF" w14:textId="77777777" w:rsidR="00546202" w:rsidRPr="00841DF5" w:rsidRDefault="00546202" w:rsidP="000803FC">
            <w:pPr>
              <w:contextualSpacing/>
              <w:jc w:val="center"/>
              <w:rPr>
                <w:rFonts w:cstheme="minorHAnsi"/>
                <w:b/>
                <w:bCs/>
                <w:i/>
                <w:iCs/>
                <w:color w:val="00B050"/>
                <w:sz w:val="18"/>
                <w:szCs w:val="18"/>
              </w:rPr>
            </w:pPr>
            <w:r w:rsidRPr="00841DF5">
              <w:rPr>
                <w:b/>
                <w:bCs/>
                <w:i/>
                <w:iCs/>
                <w:color w:val="00B050"/>
                <w:sz w:val="18"/>
                <w:szCs w:val="18"/>
              </w:rPr>
              <w:t>2%</w:t>
            </w:r>
          </w:p>
        </w:tc>
      </w:tr>
      <w:tr w:rsidR="00546202" w:rsidRPr="00E91D56" w14:paraId="7AC2F935" w14:textId="77777777" w:rsidTr="000803FC">
        <w:trPr>
          <w:trHeight w:val="185"/>
        </w:trPr>
        <w:tc>
          <w:tcPr>
            <w:tcW w:w="1135" w:type="dxa"/>
            <w:tcBorders>
              <w:top w:val="single" w:sz="4" w:space="0" w:color="7F7F7F"/>
              <w:left w:val="single" w:sz="4" w:space="0" w:color="auto"/>
              <w:bottom w:val="single" w:sz="4" w:space="0" w:color="7F7F7F"/>
              <w:right w:val="single" w:sz="4" w:space="0" w:color="7F7F7F"/>
            </w:tcBorders>
            <w:shd w:val="clear" w:color="auto" w:fill="auto"/>
            <w:tcMar>
              <w:top w:w="15" w:type="dxa"/>
              <w:left w:w="108" w:type="dxa"/>
              <w:bottom w:w="0" w:type="dxa"/>
              <w:right w:w="108" w:type="dxa"/>
            </w:tcMar>
            <w:vAlign w:val="bottom"/>
            <w:hideMark/>
          </w:tcPr>
          <w:p w14:paraId="06015AE3" w14:textId="77777777" w:rsidR="00546202" w:rsidRPr="00E91D56" w:rsidRDefault="00546202" w:rsidP="000803FC">
            <w:pPr>
              <w:contextualSpacing/>
              <w:jc w:val="center"/>
              <w:rPr>
                <w:rFonts w:cstheme="minorHAnsi"/>
                <w:sz w:val="18"/>
                <w:szCs w:val="18"/>
              </w:rPr>
            </w:pPr>
            <w:r w:rsidRPr="00E91D56">
              <w:rPr>
                <w:rFonts w:cstheme="minorHAnsi"/>
                <w:sz w:val="18"/>
                <w:szCs w:val="18"/>
              </w:rPr>
              <w:t>1 600</w:t>
            </w:r>
          </w:p>
        </w:tc>
        <w:tc>
          <w:tcPr>
            <w:tcW w:w="708"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Mar>
              <w:top w:w="15" w:type="dxa"/>
              <w:left w:w="108" w:type="dxa"/>
              <w:bottom w:w="0" w:type="dxa"/>
              <w:right w:w="108" w:type="dxa"/>
            </w:tcMar>
            <w:vAlign w:val="bottom"/>
          </w:tcPr>
          <w:p w14:paraId="7D086285" w14:textId="77777777" w:rsidR="00546202" w:rsidRPr="00B34B9D" w:rsidRDefault="00546202" w:rsidP="000803FC">
            <w:pPr>
              <w:contextualSpacing/>
              <w:jc w:val="center"/>
              <w:rPr>
                <w:rFonts w:cstheme="minorHAnsi"/>
                <w:sz w:val="18"/>
                <w:szCs w:val="18"/>
              </w:rPr>
            </w:pPr>
            <w:r w:rsidRPr="00B34B9D">
              <w:rPr>
                <w:sz w:val="18"/>
                <w:szCs w:val="18"/>
              </w:rPr>
              <w:t>1 261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45B88107" w14:textId="77777777" w:rsidR="00546202" w:rsidRPr="00B34B9D" w:rsidRDefault="00546202" w:rsidP="000803FC">
            <w:pPr>
              <w:contextualSpacing/>
              <w:jc w:val="center"/>
              <w:rPr>
                <w:rFonts w:cstheme="minorHAnsi"/>
                <w:sz w:val="18"/>
                <w:szCs w:val="18"/>
              </w:rPr>
            </w:pPr>
            <w:r w:rsidRPr="00B34B9D">
              <w:rPr>
                <w:sz w:val="18"/>
                <w:szCs w:val="18"/>
              </w:rPr>
              <w:t>1 324</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523AB4FF" w14:textId="77777777" w:rsidR="00546202" w:rsidRPr="00B34B9D" w:rsidRDefault="00546202" w:rsidP="000803FC">
            <w:pPr>
              <w:contextualSpacing/>
              <w:jc w:val="center"/>
              <w:rPr>
                <w:rFonts w:cstheme="minorHAnsi"/>
                <w:sz w:val="18"/>
                <w:szCs w:val="18"/>
              </w:rPr>
            </w:pPr>
            <w:r w:rsidRPr="00B34B9D">
              <w:rPr>
                <w:sz w:val="18"/>
                <w:szCs w:val="18"/>
              </w:rPr>
              <w:t>1 335</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313E711B" w14:textId="77777777" w:rsidR="00546202" w:rsidRPr="00B34B9D" w:rsidRDefault="00546202" w:rsidP="000803FC">
            <w:pPr>
              <w:contextualSpacing/>
              <w:jc w:val="center"/>
              <w:rPr>
                <w:rFonts w:cstheme="minorHAnsi"/>
                <w:sz w:val="18"/>
                <w:szCs w:val="18"/>
              </w:rPr>
            </w:pPr>
            <w:r w:rsidRPr="00B34B9D">
              <w:rPr>
                <w:sz w:val="18"/>
                <w:szCs w:val="18"/>
              </w:rPr>
              <w:t>1 340</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4385E3D0" w14:textId="77777777" w:rsidR="00546202" w:rsidRPr="00B34B9D" w:rsidRDefault="00546202" w:rsidP="000803FC">
            <w:pPr>
              <w:contextualSpacing/>
              <w:jc w:val="center"/>
              <w:rPr>
                <w:rFonts w:cstheme="minorHAnsi"/>
                <w:color w:val="00B050"/>
                <w:sz w:val="18"/>
                <w:szCs w:val="18"/>
              </w:rPr>
            </w:pPr>
            <w:r>
              <w:rPr>
                <w:color w:val="00B050"/>
                <w:sz w:val="18"/>
                <w:szCs w:val="18"/>
              </w:rPr>
              <w:t>+</w:t>
            </w:r>
            <w:r w:rsidRPr="00B34B9D">
              <w:rPr>
                <w:color w:val="00B050"/>
                <w:sz w:val="18"/>
                <w:szCs w:val="18"/>
              </w:rPr>
              <w:t>63</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02817596" w14:textId="77777777" w:rsidR="00546202" w:rsidRPr="00B34B9D" w:rsidRDefault="00546202" w:rsidP="000803FC">
            <w:pPr>
              <w:contextualSpacing/>
              <w:jc w:val="center"/>
              <w:rPr>
                <w:rFonts w:cstheme="minorHAnsi"/>
                <w:color w:val="00B050"/>
                <w:sz w:val="18"/>
                <w:szCs w:val="18"/>
              </w:rPr>
            </w:pPr>
            <w:r>
              <w:rPr>
                <w:color w:val="00B050"/>
                <w:sz w:val="18"/>
                <w:szCs w:val="18"/>
              </w:rPr>
              <w:t>+</w:t>
            </w:r>
            <w:r w:rsidRPr="00B34B9D">
              <w:rPr>
                <w:color w:val="00B050"/>
                <w:sz w:val="18"/>
                <w:szCs w:val="18"/>
              </w:rPr>
              <w:t>10</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3B88B8DC" w14:textId="77777777" w:rsidR="00546202" w:rsidRPr="00B34B9D" w:rsidRDefault="00546202" w:rsidP="000803FC">
            <w:pPr>
              <w:contextualSpacing/>
              <w:jc w:val="center"/>
              <w:rPr>
                <w:rFonts w:cstheme="minorHAnsi"/>
                <w:sz w:val="18"/>
                <w:szCs w:val="18"/>
              </w:rPr>
            </w:pPr>
            <w:r>
              <w:rPr>
                <w:color w:val="00B050"/>
                <w:sz w:val="18"/>
                <w:szCs w:val="18"/>
              </w:rPr>
              <w:t>+</w:t>
            </w:r>
            <w:r w:rsidRPr="00B34B9D">
              <w:rPr>
                <w:color w:val="00B050"/>
                <w:sz w:val="18"/>
                <w:szCs w:val="18"/>
              </w:rPr>
              <w:t>5</w:t>
            </w:r>
          </w:p>
        </w:tc>
        <w:tc>
          <w:tcPr>
            <w:tcW w:w="850" w:type="dxa"/>
            <w:tcBorders>
              <w:top w:val="single" w:sz="4" w:space="0" w:color="7F7F7F"/>
              <w:left w:val="single" w:sz="4" w:space="0" w:color="7F7F7F"/>
              <w:bottom w:val="single" w:sz="4" w:space="0" w:color="7F7F7F"/>
              <w:right w:val="single" w:sz="4" w:space="0" w:color="7F7F7F"/>
            </w:tcBorders>
            <w:shd w:val="clear" w:color="auto" w:fill="FFF2CC" w:themeFill="accent4" w:themeFillTint="33"/>
            <w:tcMar>
              <w:top w:w="15" w:type="dxa"/>
              <w:left w:w="108" w:type="dxa"/>
              <w:bottom w:w="0" w:type="dxa"/>
              <w:right w:w="108" w:type="dxa"/>
            </w:tcMar>
            <w:vAlign w:val="center"/>
          </w:tcPr>
          <w:p w14:paraId="0728A0B3" w14:textId="77777777" w:rsidR="00546202" w:rsidRPr="009B12F0" w:rsidRDefault="00546202" w:rsidP="000803FC">
            <w:pPr>
              <w:contextualSpacing/>
              <w:jc w:val="center"/>
              <w:rPr>
                <w:rFonts w:cstheme="minorHAnsi"/>
                <w:b/>
                <w:bCs/>
                <w:color w:val="00B050"/>
                <w:sz w:val="18"/>
                <w:szCs w:val="18"/>
              </w:rPr>
            </w:pPr>
            <w:r w:rsidRPr="009B12F0">
              <w:rPr>
                <w:b/>
                <w:bCs/>
                <w:color w:val="00B050"/>
                <w:sz w:val="18"/>
                <w:szCs w:val="18"/>
              </w:rPr>
              <w:t>+79</w:t>
            </w:r>
          </w:p>
        </w:tc>
        <w:tc>
          <w:tcPr>
            <w:tcW w:w="732"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3CA9B62A" w14:textId="77777777" w:rsidR="00546202" w:rsidRPr="009B12F0" w:rsidRDefault="00546202" w:rsidP="000803FC">
            <w:pPr>
              <w:contextualSpacing/>
              <w:jc w:val="center"/>
              <w:rPr>
                <w:rFonts w:cstheme="minorHAnsi"/>
                <w:i/>
                <w:iCs/>
                <w:sz w:val="18"/>
                <w:szCs w:val="18"/>
              </w:rPr>
            </w:pPr>
            <w:r w:rsidRPr="009B12F0">
              <w:rPr>
                <w:i/>
                <w:iCs/>
                <w:color w:val="00B050"/>
                <w:sz w:val="18"/>
                <w:szCs w:val="18"/>
              </w:rPr>
              <w:t>5%</w:t>
            </w:r>
          </w:p>
        </w:tc>
        <w:tc>
          <w:tcPr>
            <w:tcW w:w="681"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55BE3981" w14:textId="77777777" w:rsidR="00546202" w:rsidRPr="009B12F0" w:rsidRDefault="00546202" w:rsidP="000803FC">
            <w:pPr>
              <w:contextualSpacing/>
              <w:jc w:val="center"/>
              <w:rPr>
                <w:rFonts w:cstheme="minorHAnsi"/>
                <w:i/>
                <w:iCs/>
                <w:color w:val="00B050"/>
                <w:sz w:val="18"/>
                <w:szCs w:val="18"/>
              </w:rPr>
            </w:pPr>
            <w:r w:rsidRPr="009B12F0">
              <w:rPr>
                <w:i/>
                <w:iCs/>
                <w:color w:val="00B050"/>
                <w:sz w:val="18"/>
                <w:szCs w:val="18"/>
              </w:rPr>
              <w:t>1%</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7DB0F84E" w14:textId="77777777" w:rsidR="00546202" w:rsidRPr="009B12F0" w:rsidRDefault="00546202" w:rsidP="000803FC">
            <w:pPr>
              <w:contextualSpacing/>
              <w:jc w:val="center"/>
              <w:rPr>
                <w:rFonts w:cstheme="minorHAnsi"/>
                <w:i/>
                <w:iCs/>
                <w:color w:val="00B050"/>
                <w:sz w:val="18"/>
                <w:szCs w:val="18"/>
              </w:rPr>
            </w:pPr>
            <w:r w:rsidRPr="009B12F0">
              <w:rPr>
                <w:i/>
                <w:iCs/>
                <w:color w:val="00B050"/>
                <w:sz w:val="18"/>
                <w:szCs w:val="18"/>
              </w:rPr>
              <w:t>0,4%</w:t>
            </w:r>
          </w:p>
        </w:tc>
        <w:tc>
          <w:tcPr>
            <w:tcW w:w="806" w:type="dxa"/>
            <w:tcBorders>
              <w:top w:val="single" w:sz="4" w:space="0" w:color="7F7F7F"/>
              <w:left w:val="single" w:sz="4" w:space="0" w:color="7F7F7F"/>
              <w:bottom w:val="single" w:sz="4" w:space="0" w:color="7F7F7F"/>
              <w:right w:val="single" w:sz="4" w:space="0" w:color="auto"/>
            </w:tcBorders>
            <w:shd w:val="clear" w:color="auto" w:fill="FFF2CC" w:themeFill="accent4" w:themeFillTint="33"/>
            <w:tcMar>
              <w:top w:w="15" w:type="dxa"/>
              <w:left w:w="108" w:type="dxa"/>
              <w:bottom w:w="0" w:type="dxa"/>
              <w:right w:w="108" w:type="dxa"/>
            </w:tcMar>
            <w:vAlign w:val="bottom"/>
          </w:tcPr>
          <w:p w14:paraId="0932BE80" w14:textId="77777777" w:rsidR="00546202" w:rsidRPr="00841DF5" w:rsidRDefault="00546202" w:rsidP="000803FC">
            <w:pPr>
              <w:contextualSpacing/>
              <w:jc w:val="center"/>
              <w:rPr>
                <w:rFonts w:cstheme="minorHAnsi"/>
                <w:b/>
                <w:bCs/>
                <w:i/>
                <w:iCs/>
                <w:color w:val="00B050"/>
                <w:sz w:val="18"/>
                <w:szCs w:val="18"/>
              </w:rPr>
            </w:pPr>
            <w:r w:rsidRPr="00841DF5">
              <w:rPr>
                <w:b/>
                <w:bCs/>
                <w:i/>
                <w:iCs/>
                <w:color w:val="00B050"/>
                <w:sz w:val="18"/>
                <w:szCs w:val="18"/>
              </w:rPr>
              <w:t>6%</w:t>
            </w:r>
          </w:p>
        </w:tc>
      </w:tr>
      <w:tr w:rsidR="00546202" w:rsidRPr="00E91D56" w14:paraId="60C27CFD" w14:textId="77777777" w:rsidTr="000803FC">
        <w:trPr>
          <w:trHeight w:val="50"/>
        </w:trPr>
        <w:tc>
          <w:tcPr>
            <w:tcW w:w="1135" w:type="dxa"/>
            <w:tcBorders>
              <w:top w:val="single" w:sz="4" w:space="0" w:color="7F7F7F"/>
              <w:left w:val="single" w:sz="4" w:space="0" w:color="auto"/>
              <w:bottom w:val="single" w:sz="4" w:space="0" w:color="7F7F7F"/>
              <w:right w:val="single" w:sz="4" w:space="0" w:color="7F7F7F"/>
            </w:tcBorders>
            <w:shd w:val="clear" w:color="auto" w:fill="auto"/>
            <w:tcMar>
              <w:top w:w="15" w:type="dxa"/>
              <w:left w:w="108" w:type="dxa"/>
              <w:bottom w:w="0" w:type="dxa"/>
              <w:right w:w="108" w:type="dxa"/>
            </w:tcMar>
            <w:vAlign w:val="bottom"/>
            <w:hideMark/>
          </w:tcPr>
          <w:p w14:paraId="24DF55C0" w14:textId="77777777" w:rsidR="00546202" w:rsidRPr="00E91D56" w:rsidRDefault="00546202" w:rsidP="000803FC">
            <w:pPr>
              <w:contextualSpacing/>
              <w:jc w:val="center"/>
              <w:rPr>
                <w:rFonts w:cstheme="minorHAnsi"/>
                <w:sz w:val="18"/>
                <w:szCs w:val="18"/>
              </w:rPr>
            </w:pPr>
            <w:r w:rsidRPr="00E91D56">
              <w:rPr>
                <w:rFonts w:cstheme="minorHAnsi"/>
                <w:sz w:val="18"/>
                <w:szCs w:val="18"/>
              </w:rPr>
              <w:t>2 000</w:t>
            </w:r>
          </w:p>
        </w:tc>
        <w:tc>
          <w:tcPr>
            <w:tcW w:w="708"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Mar>
              <w:top w:w="15" w:type="dxa"/>
              <w:left w:w="108" w:type="dxa"/>
              <w:bottom w:w="0" w:type="dxa"/>
              <w:right w:w="108" w:type="dxa"/>
            </w:tcMar>
            <w:vAlign w:val="bottom"/>
          </w:tcPr>
          <w:p w14:paraId="26E96504" w14:textId="77777777" w:rsidR="00546202" w:rsidRPr="00B34B9D" w:rsidRDefault="00546202" w:rsidP="000803FC">
            <w:pPr>
              <w:contextualSpacing/>
              <w:jc w:val="center"/>
              <w:rPr>
                <w:rFonts w:cstheme="minorHAnsi"/>
                <w:sz w:val="18"/>
                <w:szCs w:val="18"/>
              </w:rPr>
            </w:pPr>
            <w:r w:rsidRPr="00B34B9D">
              <w:rPr>
                <w:sz w:val="18"/>
                <w:szCs w:val="18"/>
              </w:rPr>
              <w:t>1 522</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62D5221E" w14:textId="77777777" w:rsidR="00546202" w:rsidRPr="00B34B9D" w:rsidRDefault="00546202" w:rsidP="000803FC">
            <w:pPr>
              <w:contextualSpacing/>
              <w:jc w:val="center"/>
              <w:rPr>
                <w:rFonts w:cstheme="minorHAnsi"/>
                <w:sz w:val="18"/>
                <w:szCs w:val="18"/>
              </w:rPr>
            </w:pPr>
            <w:r w:rsidRPr="00B34B9D">
              <w:rPr>
                <w:sz w:val="18"/>
                <w:szCs w:val="18"/>
              </w:rPr>
              <w:t>1 591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258AC6AC" w14:textId="77777777" w:rsidR="00546202" w:rsidRPr="00B34B9D" w:rsidRDefault="00546202" w:rsidP="000803FC">
            <w:pPr>
              <w:contextualSpacing/>
              <w:jc w:val="center"/>
              <w:rPr>
                <w:rFonts w:cstheme="minorHAnsi"/>
                <w:sz w:val="18"/>
                <w:szCs w:val="18"/>
              </w:rPr>
            </w:pPr>
            <w:r w:rsidRPr="00B34B9D">
              <w:rPr>
                <w:sz w:val="18"/>
                <w:szCs w:val="18"/>
              </w:rPr>
              <w:t>1 601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57F46BEE" w14:textId="77777777" w:rsidR="00546202" w:rsidRPr="00B34B9D" w:rsidRDefault="00546202" w:rsidP="000803FC">
            <w:pPr>
              <w:contextualSpacing/>
              <w:jc w:val="center"/>
              <w:rPr>
                <w:rFonts w:cstheme="minorHAnsi"/>
                <w:sz w:val="18"/>
                <w:szCs w:val="18"/>
              </w:rPr>
            </w:pPr>
            <w:r w:rsidRPr="00B34B9D">
              <w:rPr>
                <w:sz w:val="18"/>
                <w:szCs w:val="18"/>
              </w:rPr>
              <w:t>1 606</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56DD732F" w14:textId="77777777" w:rsidR="00546202" w:rsidRPr="00B34B9D" w:rsidRDefault="00546202" w:rsidP="000803FC">
            <w:pPr>
              <w:contextualSpacing/>
              <w:jc w:val="center"/>
              <w:rPr>
                <w:rFonts w:cstheme="minorHAnsi"/>
                <w:sz w:val="18"/>
                <w:szCs w:val="18"/>
              </w:rPr>
            </w:pPr>
            <w:r>
              <w:rPr>
                <w:color w:val="00B050"/>
                <w:sz w:val="18"/>
                <w:szCs w:val="18"/>
              </w:rPr>
              <w:t>+</w:t>
            </w:r>
            <w:r w:rsidRPr="00B34B9D">
              <w:rPr>
                <w:color w:val="00B050"/>
                <w:sz w:val="18"/>
                <w:szCs w:val="18"/>
              </w:rPr>
              <w:t>69</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0898B73B" w14:textId="77777777" w:rsidR="00546202" w:rsidRPr="00B34B9D" w:rsidRDefault="00546202" w:rsidP="000803FC">
            <w:pPr>
              <w:contextualSpacing/>
              <w:jc w:val="center"/>
              <w:rPr>
                <w:rFonts w:cstheme="minorHAnsi"/>
                <w:color w:val="00B050"/>
                <w:sz w:val="18"/>
                <w:szCs w:val="18"/>
              </w:rPr>
            </w:pPr>
            <w:r>
              <w:rPr>
                <w:color w:val="00B050"/>
                <w:sz w:val="18"/>
                <w:szCs w:val="18"/>
              </w:rPr>
              <w:t>+</w:t>
            </w:r>
            <w:r w:rsidRPr="00B34B9D">
              <w:rPr>
                <w:color w:val="00B050"/>
                <w:sz w:val="18"/>
                <w:szCs w:val="18"/>
              </w:rPr>
              <w:t>10</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65BA0E26" w14:textId="77777777" w:rsidR="00546202" w:rsidRPr="00B34B9D" w:rsidRDefault="00546202" w:rsidP="000803FC">
            <w:pPr>
              <w:contextualSpacing/>
              <w:jc w:val="center"/>
              <w:rPr>
                <w:rFonts w:cstheme="minorHAnsi"/>
                <w:sz w:val="18"/>
                <w:szCs w:val="18"/>
              </w:rPr>
            </w:pPr>
            <w:r>
              <w:rPr>
                <w:color w:val="00B050"/>
                <w:sz w:val="18"/>
                <w:szCs w:val="18"/>
              </w:rPr>
              <w:t>+</w:t>
            </w:r>
            <w:r w:rsidRPr="00B34B9D">
              <w:rPr>
                <w:color w:val="00B050"/>
                <w:sz w:val="18"/>
                <w:szCs w:val="18"/>
              </w:rPr>
              <w:t>5</w:t>
            </w:r>
          </w:p>
        </w:tc>
        <w:tc>
          <w:tcPr>
            <w:tcW w:w="850" w:type="dxa"/>
            <w:tcBorders>
              <w:top w:val="single" w:sz="4" w:space="0" w:color="7F7F7F"/>
              <w:left w:val="single" w:sz="4" w:space="0" w:color="7F7F7F"/>
              <w:bottom w:val="single" w:sz="4" w:space="0" w:color="7F7F7F"/>
              <w:right w:val="single" w:sz="4" w:space="0" w:color="7F7F7F"/>
            </w:tcBorders>
            <w:shd w:val="clear" w:color="auto" w:fill="FFF2CC" w:themeFill="accent4" w:themeFillTint="33"/>
            <w:tcMar>
              <w:top w:w="15" w:type="dxa"/>
              <w:left w:w="108" w:type="dxa"/>
              <w:bottom w:w="0" w:type="dxa"/>
              <w:right w:w="108" w:type="dxa"/>
            </w:tcMar>
            <w:vAlign w:val="center"/>
          </w:tcPr>
          <w:p w14:paraId="2DBDBF18" w14:textId="77777777" w:rsidR="00546202" w:rsidRPr="009B12F0" w:rsidRDefault="00546202" w:rsidP="000803FC">
            <w:pPr>
              <w:contextualSpacing/>
              <w:jc w:val="center"/>
              <w:rPr>
                <w:rFonts w:cstheme="minorHAnsi"/>
                <w:b/>
                <w:bCs/>
                <w:color w:val="00B050"/>
                <w:sz w:val="18"/>
                <w:szCs w:val="18"/>
              </w:rPr>
            </w:pPr>
            <w:r w:rsidRPr="009B12F0">
              <w:rPr>
                <w:b/>
                <w:bCs/>
                <w:color w:val="00B050"/>
                <w:sz w:val="18"/>
                <w:szCs w:val="18"/>
              </w:rPr>
              <w:t>+84</w:t>
            </w:r>
          </w:p>
        </w:tc>
        <w:tc>
          <w:tcPr>
            <w:tcW w:w="732"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6358B5C9" w14:textId="77777777" w:rsidR="00546202" w:rsidRPr="009B12F0" w:rsidRDefault="00546202" w:rsidP="000803FC">
            <w:pPr>
              <w:contextualSpacing/>
              <w:jc w:val="center"/>
              <w:rPr>
                <w:rFonts w:cstheme="minorHAnsi"/>
                <w:i/>
                <w:iCs/>
                <w:sz w:val="18"/>
                <w:szCs w:val="18"/>
              </w:rPr>
            </w:pPr>
            <w:r w:rsidRPr="009B12F0">
              <w:rPr>
                <w:i/>
                <w:iCs/>
                <w:color w:val="00B050"/>
                <w:sz w:val="18"/>
                <w:szCs w:val="18"/>
              </w:rPr>
              <w:t>5%</w:t>
            </w:r>
          </w:p>
        </w:tc>
        <w:tc>
          <w:tcPr>
            <w:tcW w:w="681"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5D42D774" w14:textId="77777777" w:rsidR="00546202" w:rsidRPr="009B12F0" w:rsidRDefault="00546202" w:rsidP="000803FC">
            <w:pPr>
              <w:contextualSpacing/>
              <w:jc w:val="center"/>
              <w:rPr>
                <w:rFonts w:cstheme="minorHAnsi"/>
                <w:i/>
                <w:iCs/>
                <w:color w:val="00B050"/>
                <w:sz w:val="18"/>
                <w:szCs w:val="18"/>
              </w:rPr>
            </w:pPr>
            <w:r w:rsidRPr="009B12F0">
              <w:rPr>
                <w:i/>
                <w:iCs/>
                <w:color w:val="00B050"/>
                <w:sz w:val="18"/>
                <w:szCs w:val="18"/>
              </w:rPr>
              <w:t>1%</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68506B82" w14:textId="77777777" w:rsidR="00546202" w:rsidRPr="009B12F0" w:rsidRDefault="00546202" w:rsidP="000803FC">
            <w:pPr>
              <w:contextualSpacing/>
              <w:jc w:val="center"/>
              <w:rPr>
                <w:rFonts w:cstheme="minorHAnsi"/>
                <w:i/>
                <w:iCs/>
                <w:color w:val="00B050"/>
                <w:sz w:val="18"/>
                <w:szCs w:val="18"/>
              </w:rPr>
            </w:pPr>
            <w:r w:rsidRPr="009B12F0">
              <w:rPr>
                <w:i/>
                <w:iCs/>
                <w:color w:val="00B050"/>
                <w:sz w:val="18"/>
                <w:szCs w:val="18"/>
              </w:rPr>
              <w:t>0,3%</w:t>
            </w:r>
          </w:p>
        </w:tc>
        <w:tc>
          <w:tcPr>
            <w:tcW w:w="806" w:type="dxa"/>
            <w:tcBorders>
              <w:top w:val="single" w:sz="4" w:space="0" w:color="7F7F7F"/>
              <w:left w:val="single" w:sz="4" w:space="0" w:color="7F7F7F"/>
              <w:bottom w:val="single" w:sz="4" w:space="0" w:color="7F7F7F"/>
              <w:right w:val="single" w:sz="4" w:space="0" w:color="auto"/>
            </w:tcBorders>
            <w:shd w:val="clear" w:color="auto" w:fill="FFF2CC" w:themeFill="accent4" w:themeFillTint="33"/>
            <w:tcMar>
              <w:top w:w="15" w:type="dxa"/>
              <w:left w:w="108" w:type="dxa"/>
              <w:bottom w:w="0" w:type="dxa"/>
              <w:right w:w="108" w:type="dxa"/>
            </w:tcMar>
            <w:vAlign w:val="bottom"/>
          </w:tcPr>
          <w:p w14:paraId="7039496B" w14:textId="77777777" w:rsidR="00546202" w:rsidRPr="00841DF5" w:rsidRDefault="00546202" w:rsidP="000803FC">
            <w:pPr>
              <w:contextualSpacing/>
              <w:jc w:val="center"/>
              <w:rPr>
                <w:rFonts w:cstheme="minorHAnsi"/>
                <w:b/>
                <w:bCs/>
                <w:i/>
                <w:iCs/>
                <w:color w:val="00B050"/>
                <w:sz w:val="18"/>
                <w:szCs w:val="18"/>
              </w:rPr>
            </w:pPr>
            <w:r w:rsidRPr="00841DF5">
              <w:rPr>
                <w:b/>
                <w:bCs/>
                <w:i/>
                <w:iCs/>
                <w:color w:val="00B050"/>
                <w:sz w:val="18"/>
                <w:szCs w:val="18"/>
              </w:rPr>
              <w:t>6%</w:t>
            </w:r>
          </w:p>
        </w:tc>
      </w:tr>
      <w:tr w:rsidR="00546202" w:rsidRPr="00E91D56" w14:paraId="3DF6FB7F" w14:textId="77777777" w:rsidTr="000803FC">
        <w:trPr>
          <w:trHeight w:val="50"/>
        </w:trPr>
        <w:tc>
          <w:tcPr>
            <w:tcW w:w="1135" w:type="dxa"/>
            <w:tcBorders>
              <w:top w:val="single" w:sz="4" w:space="0" w:color="7F7F7F"/>
              <w:left w:val="single" w:sz="4" w:space="0" w:color="auto"/>
              <w:bottom w:val="single" w:sz="4" w:space="0" w:color="7F7F7F"/>
              <w:right w:val="single" w:sz="4" w:space="0" w:color="7F7F7F"/>
            </w:tcBorders>
            <w:shd w:val="clear" w:color="auto" w:fill="auto"/>
            <w:tcMar>
              <w:top w:w="15" w:type="dxa"/>
              <w:left w:w="108" w:type="dxa"/>
              <w:bottom w:w="0" w:type="dxa"/>
              <w:right w:w="108" w:type="dxa"/>
            </w:tcMar>
            <w:vAlign w:val="bottom"/>
            <w:hideMark/>
          </w:tcPr>
          <w:p w14:paraId="2041DE23" w14:textId="77777777" w:rsidR="00546202" w:rsidRPr="00E91D56" w:rsidRDefault="00546202" w:rsidP="000803FC">
            <w:pPr>
              <w:contextualSpacing/>
              <w:jc w:val="center"/>
              <w:rPr>
                <w:rFonts w:cstheme="minorHAnsi"/>
                <w:sz w:val="18"/>
                <w:szCs w:val="18"/>
              </w:rPr>
            </w:pPr>
            <w:r w:rsidRPr="00E91D56">
              <w:rPr>
                <w:rFonts w:cstheme="minorHAnsi"/>
                <w:sz w:val="18"/>
                <w:szCs w:val="18"/>
              </w:rPr>
              <w:t>2 500</w:t>
            </w:r>
          </w:p>
        </w:tc>
        <w:tc>
          <w:tcPr>
            <w:tcW w:w="708"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Mar>
              <w:top w:w="15" w:type="dxa"/>
              <w:left w:w="108" w:type="dxa"/>
              <w:bottom w:w="0" w:type="dxa"/>
              <w:right w:w="108" w:type="dxa"/>
            </w:tcMar>
            <w:vAlign w:val="bottom"/>
          </w:tcPr>
          <w:p w14:paraId="19F3B198" w14:textId="77777777" w:rsidR="00546202" w:rsidRPr="00B34B9D" w:rsidRDefault="00546202" w:rsidP="000803FC">
            <w:pPr>
              <w:contextualSpacing/>
              <w:jc w:val="center"/>
              <w:rPr>
                <w:rFonts w:cstheme="minorHAnsi"/>
                <w:sz w:val="18"/>
                <w:szCs w:val="18"/>
              </w:rPr>
            </w:pPr>
            <w:r w:rsidRPr="00B34B9D">
              <w:rPr>
                <w:sz w:val="18"/>
                <w:szCs w:val="18"/>
              </w:rPr>
              <w:t>1 865</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34F0D5A2" w14:textId="77777777" w:rsidR="00546202" w:rsidRPr="00B34B9D" w:rsidRDefault="00546202" w:rsidP="000803FC">
            <w:pPr>
              <w:contextualSpacing/>
              <w:jc w:val="center"/>
              <w:rPr>
                <w:rFonts w:cstheme="minorHAnsi"/>
                <w:sz w:val="18"/>
                <w:szCs w:val="18"/>
              </w:rPr>
            </w:pPr>
            <w:r w:rsidRPr="00B34B9D">
              <w:rPr>
                <w:sz w:val="18"/>
                <w:szCs w:val="18"/>
              </w:rPr>
              <w:t>1 924</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16407149" w14:textId="77777777" w:rsidR="00546202" w:rsidRPr="00B34B9D" w:rsidRDefault="00546202" w:rsidP="000803FC">
            <w:pPr>
              <w:contextualSpacing/>
              <w:jc w:val="center"/>
              <w:rPr>
                <w:rFonts w:cstheme="minorHAnsi"/>
                <w:sz w:val="18"/>
                <w:szCs w:val="18"/>
              </w:rPr>
            </w:pPr>
            <w:r w:rsidRPr="00B34B9D">
              <w:rPr>
                <w:sz w:val="18"/>
                <w:szCs w:val="18"/>
              </w:rPr>
              <w:t>1 935</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4146B14C" w14:textId="77777777" w:rsidR="00546202" w:rsidRPr="00B34B9D" w:rsidRDefault="00546202" w:rsidP="000803FC">
            <w:pPr>
              <w:contextualSpacing/>
              <w:jc w:val="center"/>
              <w:rPr>
                <w:rFonts w:cstheme="minorHAnsi"/>
                <w:sz w:val="18"/>
                <w:szCs w:val="18"/>
              </w:rPr>
            </w:pPr>
            <w:r w:rsidRPr="00B34B9D">
              <w:rPr>
                <w:sz w:val="18"/>
                <w:szCs w:val="18"/>
              </w:rPr>
              <w:t>1 940</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500C77CA" w14:textId="77777777" w:rsidR="00546202" w:rsidRPr="00B34B9D" w:rsidRDefault="00546202" w:rsidP="000803FC">
            <w:pPr>
              <w:contextualSpacing/>
              <w:jc w:val="center"/>
              <w:rPr>
                <w:rFonts w:cstheme="minorHAnsi"/>
                <w:sz w:val="18"/>
                <w:szCs w:val="18"/>
              </w:rPr>
            </w:pPr>
            <w:r>
              <w:rPr>
                <w:color w:val="00B050"/>
                <w:sz w:val="18"/>
                <w:szCs w:val="18"/>
              </w:rPr>
              <w:t>+</w:t>
            </w:r>
            <w:r w:rsidRPr="00B34B9D">
              <w:rPr>
                <w:color w:val="00B050"/>
                <w:sz w:val="18"/>
                <w:szCs w:val="18"/>
              </w:rPr>
              <w:t>59</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095C6FA8" w14:textId="77777777" w:rsidR="00546202" w:rsidRPr="00B34B9D" w:rsidRDefault="00546202" w:rsidP="000803FC">
            <w:pPr>
              <w:contextualSpacing/>
              <w:jc w:val="center"/>
              <w:rPr>
                <w:rFonts w:cstheme="minorHAnsi"/>
                <w:color w:val="00B050"/>
                <w:sz w:val="18"/>
                <w:szCs w:val="18"/>
              </w:rPr>
            </w:pPr>
            <w:r>
              <w:rPr>
                <w:color w:val="00B050"/>
                <w:sz w:val="18"/>
                <w:szCs w:val="18"/>
              </w:rPr>
              <w:t>+</w:t>
            </w:r>
            <w:r w:rsidRPr="00B34B9D">
              <w:rPr>
                <w:color w:val="00B050"/>
                <w:sz w:val="18"/>
                <w:szCs w:val="18"/>
              </w:rPr>
              <w:t>10</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3A342964" w14:textId="77777777" w:rsidR="00546202" w:rsidRPr="00B34B9D" w:rsidRDefault="00546202" w:rsidP="000803FC">
            <w:pPr>
              <w:contextualSpacing/>
              <w:jc w:val="center"/>
              <w:rPr>
                <w:rFonts w:cstheme="minorHAnsi"/>
                <w:sz w:val="18"/>
                <w:szCs w:val="18"/>
              </w:rPr>
            </w:pPr>
            <w:r>
              <w:rPr>
                <w:color w:val="00B050"/>
                <w:sz w:val="18"/>
                <w:szCs w:val="18"/>
              </w:rPr>
              <w:t>+</w:t>
            </w:r>
            <w:r w:rsidRPr="00B34B9D">
              <w:rPr>
                <w:color w:val="00B050"/>
                <w:sz w:val="18"/>
                <w:szCs w:val="18"/>
              </w:rPr>
              <w:t>5</w:t>
            </w:r>
          </w:p>
        </w:tc>
        <w:tc>
          <w:tcPr>
            <w:tcW w:w="850" w:type="dxa"/>
            <w:tcBorders>
              <w:top w:val="single" w:sz="4" w:space="0" w:color="7F7F7F"/>
              <w:left w:val="single" w:sz="4" w:space="0" w:color="7F7F7F"/>
              <w:bottom w:val="single" w:sz="4" w:space="0" w:color="7F7F7F"/>
              <w:right w:val="single" w:sz="4" w:space="0" w:color="7F7F7F"/>
            </w:tcBorders>
            <w:shd w:val="clear" w:color="auto" w:fill="FFF2CC" w:themeFill="accent4" w:themeFillTint="33"/>
            <w:tcMar>
              <w:top w:w="15" w:type="dxa"/>
              <w:left w:w="108" w:type="dxa"/>
              <w:bottom w:w="0" w:type="dxa"/>
              <w:right w:w="108" w:type="dxa"/>
            </w:tcMar>
            <w:vAlign w:val="center"/>
          </w:tcPr>
          <w:p w14:paraId="7E24C55B" w14:textId="77777777" w:rsidR="00546202" w:rsidRPr="009B12F0" w:rsidRDefault="00546202" w:rsidP="000803FC">
            <w:pPr>
              <w:contextualSpacing/>
              <w:jc w:val="center"/>
              <w:rPr>
                <w:rFonts w:cstheme="minorHAnsi"/>
                <w:b/>
                <w:bCs/>
                <w:color w:val="00B050"/>
                <w:sz w:val="18"/>
                <w:szCs w:val="18"/>
              </w:rPr>
            </w:pPr>
            <w:r w:rsidRPr="009B12F0">
              <w:rPr>
                <w:b/>
                <w:bCs/>
                <w:color w:val="00B050"/>
                <w:sz w:val="18"/>
                <w:szCs w:val="18"/>
              </w:rPr>
              <w:t>+75</w:t>
            </w:r>
          </w:p>
        </w:tc>
        <w:tc>
          <w:tcPr>
            <w:tcW w:w="732"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63B420B4" w14:textId="77777777" w:rsidR="00546202" w:rsidRPr="009B12F0" w:rsidRDefault="00546202" w:rsidP="000803FC">
            <w:pPr>
              <w:contextualSpacing/>
              <w:jc w:val="center"/>
              <w:rPr>
                <w:rFonts w:cstheme="minorHAnsi"/>
                <w:i/>
                <w:iCs/>
                <w:sz w:val="18"/>
                <w:szCs w:val="18"/>
              </w:rPr>
            </w:pPr>
            <w:r w:rsidRPr="009B12F0">
              <w:rPr>
                <w:i/>
                <w:iCs/>
                <w:color w:val="00B050"/>
                <w:sz w:val="18"/>
                <w:szCs w:val="18"/>
              </w:rPr>
              <w:t>3%</w:t>
            </w:r>
          </w:p>
        </w:tc>
        <w:tc>
          <w:tcPr>
            <w:tcW w:w="681"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105781EB" w14:textId="77777777" w:rsidR="00546202" w:rsidRPr="009B12F0" w:rsidRDefault="00546202" w:rsidP="000803FC">
            <w:pPr>
              <w:contextualSpacing/>
              <w:jc w:val="center"/>
              <w:rPr>
                <w:rFonts w:cstheme="minorHAnsi"/>
                <w:i/>
                <w:iCs/>
                <w:color w:val="00B050"/>
                <w:sz w:val="18"/>
                <w:szCs w:val="18"/>
              </w:rPr>
            </w:pPr>
            <w:r w:rsidRPr="009B12F0">
              <w:rPr>
                <w:i/>
                <w:iCs/>
                <w:color w:val="00B050"/>
                <w:sz w:val="18"/>
                <w:szCs w:val="18"/>
              </w:rPr>
              <w:t>1%</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081FD6C3" w14:textId="77777777" w:rsidR="00546202" w:rsidRPr="009B12F0" w:rsidRDefault="00546202" w:rsidP="000803FC">
            <w:pPr>
              <w:contextualSpacing/>
              <w:jc w:val="center"/>
              <w:rPr>
                <w:rFonts w:cstheme="minorHAnsi"/>
                <w:i/>
                <w:iCs/>
                <w:color w:val="00B050"/>
                <w:sz w:val="18"/>
                <w:szCs w:val="18"/>
              </w:rPr>
            </w:pPr>
            <w:r w:rsidRPr="009B12F0">
              <w:rPr>
                <w:i/>
                <w:iCs/>
                <w:color w:val="00B050"/>
                <w:sz w:val="18"/>
                <w:szCs w:val="18"/>
              </w:rPr>
              <w:t>0,3%</w:t>
            </w:r>
          </w:p>
        </w:tc>
        <w:tc>
          <w:tcPr>
            <w:tcW w:w="806" w:type="dxa"/>
            <w:tcBorders>
              <w:top w:val="single" w:sz="4" w:space="0" w:color="7F7F7F"/>
              <w:left w:val="single" w:sz="4" w:space="0" w:color="7F7F7F"/>
              <w:bottom w:val="single" w:sz="4" w:space="0" w:color="7F7F7F"/>
              <w:right w:val="single" w:sz="4" w:space="0" w:color="auto"/>
            </w:tcBorders>
            <w:shd w:val="clear" w:color="auto" w:fill="FFF2CC" w:themeFill="accent4" w:themeFillTint="33"/>
            <w:tcMar>
              <w:top w:w="15" w:type="dxa"/>
              <w:left w:w="108" w:type="dxa"/>
              <w:bottom w:w="0" w:type="dxa"/>
              <w:right w:w="108" w:type="dxa"/>
            </w:tcMar>
            <w:vAlign w:val="bottom"/>
          </w:tcPr>
          <w:p w14:paraId="487EA7C5" w14:textId="77777777" w:rsidR="00546202" w:rsidRPr="00841DF5" w:rsidRDefault="00546202" w:rsidP="000803FC">
            <w:pPr>
              <w:contextualSpacing/>
              <w:jc w:val="center"/>
              <w:rPr>
                <w:rFonts w:cstheme="minorHAnsi"/>
                <w:b/>
                <w:bCs/>
                <w:i/>
                <w:iCs/>
                <w:color w:val="00B050"/>
                <w:sz w:val="18"/>
                <w:szCs w:val="18"/>
              </w:rPr>
            </w:pPr>
            <w:r w:rsidRPr="00841DF5">
              <w:rPr>
                <w:b/>
                <w:bCs/>
                <w:i/>
                <w:iCs/>
                <w:color w:val="00B050"/>
                <w:sz w:val="18"/>
                <w:szCs w:val="18"/>
              </w:rPr>
              <w:t>4%</w:t>
            </w:r>
          </w:p>
        </w:tc>
      </w:tr>
      <w:tr w:rsidR="00546202" w:rsidRPr="00E91D56" w14:paraId="3F32A8F4" w14:textId="77777777" w:rsidTr="000803FC">
        <w:trPr>
          <w:trHeight w:val="50"/>
        </w:trPr>
        <w:tc>
          <w:tcPr>
            <w:tcW w:w="1135" w:type="dxa"/>
            <w:tcBorders>
              <w:top w:val="single" w:sz="4" w:space="0" w:color="7F7F7F"/>
              <w:left w:val="single" w:sz="4" w:space="0" w:color="auto"/>
              <w:bottom w:val="single" w:sz="4" w:space="0" w:color="7F7F7F"/>
              <w:right w:val="single" w:sz="4" w:space="0" w:color="7F7F7F"/>
            </w:tcBorders>
            <w:shd w:val="clear" w:color="auto" w:fill="auto"/>
            <w:tcMar>
              <w:top w:w="15" w:type="dxa"/>
              <w:left w:w="108" w:type="dxa"/>
              <w:bottom w:w="0" w:type="dxa"/>
              <w:right w:w="108" w:type="dxa"/>
            </w:tcMar>
            <w:vAlign w:val="bottom"/>
            <w:hideMark/>
          </w:tcPr>
          <w:p w14:paraId="471B0330" w14:textId="77777777" w:rsidR="00546202" w:rsidRPr="00E91D56" w:rsidRDefault="00546202" w:rsidP="000803FC">
            <w:pPr>
              <w:contextualSpacing/>
              <w:jc w:val="center"/>
              <w:rPr>
                <w:rFonts w:cstheme="minorHAnsi"/>
                <w:sz w:val="18"/>
                <w:szCs w:val="18"/>
              </w:rPr>
            </w:pPr>
            <w:r w:rsidRPr="00E91D56">
              <w:rPr>
                <w:rFonts w:cstheme="minorHAnsi"/>
                <w:sz w:val="18"/>
                <w:szCs w:val="18"/>
              </w:rPr>
              <w:t>3 000</w:t>
            </w:r>
          </w:p>
        </w:tc>
        <w:tc>
          <w:tcPr>
            <w:tcW w:w="708"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Mar>
              <w:top w:w="15" w:type="dxa"/>
              <w:left w:w="108" w:type="dxa"/>
              <w:bottom w:w="0" w:type="dxa"/>
              <w:right w:w="108" w:type="dxa"/>
            </w:tcMar>
            <w:vAlign w:val="bottom"/>
          </w:tcPr>
          <w:p w14:paraId="72563049" w14:textId="77777777" w:rsidR="00546202" w:rsidRPr="00B34B9D" w:rsidRDefault="00546202" w:rsidP="000803FC">
            <w:pPr>
              <w:contextualSpacing/>
              <w:jc w:val="center"/>
              <w:rPr>
                <w:rFonts w:cstheme="minorHAnsi"/>
                <w:sz w:val="18"/>
                <w:szCs w:val="18"/>
              </w:rPr>
            </w:pPr>
            <w:r w:rsidRPr="00B34B9D">
              <w:rPr>
                <w:color w:val="000000"/>
                <w:sz w:val="18"/>
                <w:szCs w:val="18"/>
              </w:rPr>
              <w:t>2 208</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6F875747" w14:textId="77777777" w:rsidR="00546202" w:rsidRPr="00B34B9D" w:rsidRDefault="00546202" w:rsidP="000803FC">
            <w:pPr>
              <w:contextualSpacing/>
              <w:jc w:val="center"/>
              <w:rPr>
                <w:rFonts w:cstheme="minorHAnsi"/>
                <w:sz w:val="18"/>
                <w:szCs w:val="18"/>
              </w:rPr>
            </w:pPr>
            <w:r w:rsidRPr="00B34B9D">
              <w:rPr>
                <w:sz w:val="18"/>
                <w:szCs w:val="18"/>
              </w:rPr>
              <w:t>2 258</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362C3B40" w14:textId="77777777" w:rsidR="00546202" w:rsidRPr="00B34B9D" w:rsidRDefault="00546202" w:rsidP="000803FC">
            <w:pPr>
              <w:contextualSpacing/>
              <w:jc w:val="center"/>
              <w:rPr>
                <w:rFonts w:cstheme="minorHAnsi"/>
                <w:sz w:val="18"/>
                <w:szCs w:val="18"/>
              </w:rPr>
            </w:pPr>
            <w:r w:rsidRPr="00B34B9D">
              <w:rPr>
                <w:sz w:val="18"/>
                <w:szCs w:val="18"/>
              </w:rPr>
              <w:t>2 268</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59E9D4D9" w14:textId="77777777" w:rsidR="00546202" w:rsidRPr="00B34B9D" w:rsidRDefault="00546202" w:rsidP="000803FC">
            <w:pPr>
              <w:contextualSpacing/>
              <w:jc w:val="center"/>
              <w:rPr>
                <w:rFonts w:cstheme="minorHAnsi"/>
                <w:sz w:val="18"/>
                <w:szCs w:val="18"/>
              </w:rPr>
            </w:pPr>
            <w:r w:rsidRPr="00B34B9D">
              <w:rPr>
                <w:sz w:val="18"/>
                <w:szCs w:val="18"/>
              </w:rPr>
              <w:t>2 273</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7A97776C" w14:textId="77777777" w:rsidR="00546202" w:rsidRPr="00B34B9D" w:rsidRDefault="00546202" w:rsidP="000803FC">
            <w:pPr>
              <w:contextualSpacing/>
              <w:jc w:val="center"/>
              <w:rPr>
                <w:rFonts w:cstheme="minorHAnsi"/>
                <w:sz w:val="18"/>
                <w:szCs w:val="18"/>
              </w:rPr>
            </w:pPr>
            <w:r>
              <w:rPr>
                <w:color w:val="00B050"/>
                <w:sz w:val="18"/>
                <w:szCs w:val="18"/>
              </w:rPr>
              <w:t>+</w:t>
            </w:r>
            <w:r w:rsidRPr="00B34B9D">
              <w:rPr>
                <w:color w:val="00B050"/>
                <w:sz w:val="18"/>
                <w:szCs w:val="18"/>
              </w:rPr>
              <w:t>50</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1FCD6E56" w14:textId="77777777" w:rsidR="00546202" w:rsidRPr="00B34B9D" w:rsidRDefault="00546202" w:rsidP="000803FC">
            <w:pPr>
              <w:contextualSpacing/>
              <w:jc w:val="center"/>
              <w:rPr>
                <w:rFonts w:cstheme="minorHAnsi"/>
                <w:color w:val="00B050"/>
                <w:sz w:val="18"/>
                <w:szCs w:val="18"/>
              </w:rPr>
            </w:pPr>
            <w:r>
              <w:rPr>
                <w:color w:val="00B050"/>
                <w:sz w:val="18"/>
                <w:szCs w:val="18"/>
              </w:rPr>
              <w:t>+</w:t>
            </w:r>
            <w:r w:rsidRPr="00B34B9D">
              <w:rPr>
                <w:color w:val="00B050"/>
                <w:sz w:val="18"/>
                <w:szCs w:val="18"/>
              </w:rPr>
              <w:t>10</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270E95B6" w14:textId="77777777" w:rsidR="00546202" w:rsidRPr="00B34B9D" w:rsidRDefault="00546202" w:rsidP="000803FC">
            <w:pPr>
              <w:contextualSpacing/>
              <w:jc w:val="center"/>
              <w:rPr>
                <w:rFonts w:cstheme="minorHAnsi"/>
                <w:sz w:val="18"/>
                <w:szCs w:val="18"/>
              </w:rPr>
            </w:pPr>
            <w:r>
              <w:rPr>
                <w:color w:val="00B050"/>
                <w:sz w:val="18"/>
                <w:szCs w:val="18"/>
              </w:rPr>
              <w:t>+</w:t>
            </w:r>
            <w:r w:rsidRPr="00B34B9D">
              <w:rPr>
                <w:color w:val="00B050"/>
                <w:sz w:val="18"/>
                <w:szCs w:val="18"/>
              </w:rPr>
              <w:t>5</w:t>
            </w:r>
          </w:p>
        </w:tc>
        <w:tc>
          <w:tcPr>
            <w:tcW w:w="850" w:type="dxa"/>
            <w:tcBorders>
              <w:top w:val="single" w:sz="4" w:space="0" w:color="7F7F7F"/>
              <w:left w:val="single" w:sz="4" w:space="0" w:color="7F7F7F"/>
              <w:bottom w:val="single" w:sz="4" w:space="0" w:color="7F7F7F"/>
              <w:right w:val="single" w:sz="4" w:space="0" w:color="7F7F7F"/>
            </w:tcBorders>
            <w:shd w:val="clear" w:color="auto" w:fill="FFF2CC" w:themeFill="accent4" w:themeFillTint="33"/>
            <w:tcMar>
              <w:top w:w="15" w:type="dxa"/>
              <w:left w:w="108" w:type="dxa"/>
              <w:bottom w:w="0" w:type="dxa"/>
              <w:right w:w="108" w:type="dxa"/>
            </w:tcMar>
            <w:vAlign w:val="center"/>
          </w:tcPr>
          <w:p w14:paraId="759230FE" w14:textId="77777777" w:rsidR="00546202" w:rsidRPr="009B12F0" w:rsidRDefault="00546202" w:rsidP="000803FC">
            <w:pPr>
              <w:contextualSpacing/>
              <w:jc w:val="center"/>
              <w:rPr>
                <w:rFonts w:cstheme="minorHAnsi"/>
                <w:b/>
                <w:bCs/>
                <w:color w:val="00B050"/>
                <w:sz w:val="18"/>
                <w:szCs w:val="18"/>
              </w:rPr>
            </w:pPr>
            <w:r w:rsidRPr="009B12F0">
              <w:rPr>
                <w:b/>
                <w:bCs/>
                <w:color w:val="00B050"/>
                <w:sz w:val="18"/>
                <w:szCs w:val="18"/>
              </w:rPr>
              <w:t>+65</w:t>
            </w:r>
          </w:p>
        </w:tc>
        <w:tc>
          <w:tcPr>
            <w:tcW w:w="732"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046E843A" w14:textId="77777777" w:rsidR="00546202" w:rsidRPr="009B12F0" w:rsidRDefault="00546202" w:rsidP="000803FC">
            <w:pPr>
              <w:contextualSpacing/>
              <w:jc w:val="center"/>
              <w:rPr>
                <w:rFonts w:cstheme="minorHAnsi"/>
                <w:i/>
                <w:iCs/>
                <w:sz w:val="18"/>
                <w:szCs w:val="18"/>
              </w:rPr>
            </w:pPr>
            <w:r w:rsidRPr="009B12F0">
              <w:rPr>
                <w:i/>
                <w:iCs/>
                <w:color w:val="00B050"/>
                <w:sz w:val="18"/>
                <w:szCs w:val="18"/>
              </w:rPr>
              <w:t>2%</w:t>
            </w:r>
          </w:p>
        </w:tc>
        <w:tc>
          <w:tcPr>
            <w:tcW w:w="681"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1ED3539A" w14:textId="77777777" w:rsidR="00546202" w:rsidRPr="009B12F0" w:rsidRDefault="00546202" w:rsidP="000803FC">
            <w:pPr>
              <w:contextualSpacing/>
              <w:jc w:val="center"/>
              <w:rPr>
                <w:rFonts w:cstheme="minorHAnsi"/>
                <w:i/>
                <w:iCs/>
                <w:sz w:val="18"/>
                <w:szCs w:val="18"/>
              </w:rPr>
            </w:pPr>
            <w:r w:rsidRPr="009B12F0">
              <w:rPr>
                <w:i/>
                <w:iCs/>
                <w:color w:val="00B050"/>
                <w:sz w:val="18"/>
                <w:szCs w:val="18"/>
              </w:rPr>
              <w:t>0,5%</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2C3B0D11" w14:textId="77777777" w:rsidR="00546202" w:rsidRPr="009B12F0" w:rsidRDefault="00546202" w:rsidP="000803FC">
            <w:pPr>
              <w:contextualSpacing/>
              <w:jc w:val="center"/>
              <w:rPr>
                <w:rFonts w:cstheme="minorHAnsi"/>
                <w:i/>
                <w:iCs/>
                <w:sz w:val="18"/>
                <w:szCs w:val="18"/>
              </w:rPr>
            </w:pPr>
            <w:r w:rsidRPr="009B12F0">
              <w:rPr>
                <w:i/>
                <w:iCs/>
                <w:color w:val="00B050"/>
                <w:sz w:val="18"/>
                <w:szCs w:val="18"/>
              </w:rPr>
              <w:t>0,2%</w:t>
            </w:r>
          </w:p>
        </w:tc>
        <w:tc>
          <w:tcPr>
            <w:tcW w:w="806" w:type="dxa"/>
            <w:tcBorders>
              <w:top w:val="single" w:sz="4" w:space="0" w:color="7F7F7F"/>
              <w:left w:val="single" w:sz="4" w:space="0" w:color="7F7F7F"/>
              <w:bottom w:val="single" w:sz="4" w:space="0" w:color="7F7F7F"/>
              <w:right w:val="single" w:sz="4" w:space="0" w:color="auto"/>
            </w:tcBorders>
            <w:shd w:val="clear" w:color="auto" w:fill="FFF2CC" w:themeFill="accent4" w:themeFillTint="33"/>
            <w:tcMar>
              <w:top w:w="15" w:type="dxa"/>
              <w:left w:w="108" w:type="dxa"/>
              <w:bottom w:w="0" w:type="dxa"/>
              <w:right w:w="108" w:type="dxa"/>
            </w:tcMar>
            <w:vAlign w:val="bottom"/>
          </w:tcPr>
          <w:p w14:paraId="70712202" w14:textId="77777777" w:rsidR="00546202" w:rsidRPr="00841DF5" w:rsidRDefault="00546202" w:rsidP="000803FC">
            <w:pPr>
              <w:contextualSpacing/>
              <w:jc w:val="center"/>
              <w:rPr>
                <w:rFonts w:cstheme="minorHAnsi"/>
                <w:b/>
                <w:bCs/>
                <w:i/>
                <w:iCs/>
                <w:sz w:val="18"/>
                <w:szCs w:val="18"/>
              </w:rPr>
            </w:pPr>
            <w:r w:rsidRPr="00841DF5">
              <w:rPr>
                <w:b/>
                <w:bCs/>
                <w:i/>
                <w:iCs/>
                <w:color w:val="00B050"/>
                <w:sz w:val="18"/>
                <w:szCs w:val="18"/>
              </w:rPr>
              <w:t>3%</w:t>
            </w:r>
          </w:p>
        </w:tc>
      </w:tr>
      <w:tr w:rsidR="00546202" w:rsidRPr="00E91D56" w14:paraId="6C8A6985" w14:textId="77777777" w:rsidTr="000803FC">
        <w:trPr>
          <w:trHeight w:val="50"/>
        </w:trPr>
        <w:tc>
          <w:tcPr>
            <w:tcW w:w="1135" w:type="dxa"/>
            <w:tcBorders>
              <w:top w:val="single" w:sz="4" w:space="0" w:color="7F7F7F"/>
              <w:left w:val="single" w:sz="4" w:space="0" w:color="auto"/>
              <w:bottom w:val="single" w:sz="4" w:space="0" w:color="7F7F7F"/>
              <w:right w:val="single" w:sz="4" w:space="0" w:color="7F7F7F"/>
            </w:tcBorders>
            <w:shd w:val="clear" w:color="auto" w:fill="auto"/>
            <w:tcMar>
              <w:top w:w="15" w:type="dxa"/>
              <w:left w:w="108" w:type="dxa"/>
              <w:bottom w:w="0" w:type="dxa"/>
              <w:right w:w="108" w:type="dxa"/>
            </w:tcMar>
            <w:vAlign w:val="bottom"/>
            <w:hideMark/>
          </w:tcPr>
          <w:p w14:paraId="158866CB" w14:textId="77777777" w:rsidR="00546202" w:rsidRPr="00E91D56" w:rsidRDefault="00546202" w:rsidP="000803FC">
            <w:pPr>
              <w:contextualSpacing/>
              <w:jc w:val="center"/>
              <w:rPr>
                <w:rFonts w:cstheme="minorHAnsi"/>
                <w:sz w:val="18"/>
                <w:szCs w:val="18"/>
              </w:rPr>
            </w:pPr>
            <w:r w:rsidRPr="00E91D56">
              <w:rPr>
                <w:rFonts w:cstheme="minorHAnsi"/>
                <w:sz w:val="18"/>
                <w:szCs w:val="18"/>
              </w:rPr>
              <w:t>4 000</w:t>
            </w:r>
          </w:p>
        </w:tc>
        <w:tc>
          <w:tcPr>
            <w:tcW w:w="708"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Mar>
              <w:top w:w="15" w:type="dxa"/>
              <w:left w:w="108" w:type="dxa"/>
              <w:bottom w:w="0" w:type="dxa"/>
              <w:right w:w="108" w:type="dxa"/>
            </w:tcMar>
            <w:vAlign w:val="bottom"/>
          </w:tcPr>
          <w:p w14:paraId="2CDC3E88" w14:textId="77777777" w:rsidR="00546202" w:rsidRPr="00B34B9D" w:rsidRDefault="00546202" w:rsidP="000803FC">
            <w:pPr>
              <w:contextualSpacing/>
              <w:jc w:val="center"/>
              <w:rPr>
                <w:rFonts w:cstheme="minorHAnsi"/>
                <w:sz w:val="18"/>
                <w:szCs w:val="18"/>
              </w:rPr>
            </w:pPr>
            <w:r w:rsidRPr="00B34B9D">
              <w:rPr>
                <w:color w:val="000000"/>
                <w:sz w:val="18"/>
                <w:szCs w:val="18"/>
              </w:rPr>
              <w:t>2 894</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1857B782" w14:textId="77777777" w:rsidR="00546202" w:rsidRPr="00B34B9D" w:rsidRDefault="00546202" w:rsidP="000803FC">
            <w:pPr>
              <w:contextualSpacing/>
              <w:jc w:val="center"/>
              <w:rPr>
                <w:rFonts w:cstheme="minorHAnsi"/>
                <w:sz w:val="18"/>
                <w:szCs w:val="18"/>
              </w:rPr>
            </w:pPr>
            <w:r w:rsidRPr="00B34B9D">
              <w:rPr>
                <w:sz w:val="18"/>
                <w:szCs w:val="18"/>
              </w:rPr>
              <w:t>2 925</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7827B05E" w14:textId="77777777" w:rsidR="00546202" w:rsidRPr="00B34B9D" w:rsidRDefault="00546202" w:rsidP="000803FC">
            <w:pPr>
              <w:contextualSpacing/>
              <w:jc w:val="center"/>
              <w:rPr>
                <w:rFonts w:cstheme="minorHAnsi"/>
                <w:sz w:val="18"/>
                <w:szCs w:val="18"/>
              </w:rPr>
            </w:pPr>
            <w:r w:rsidRPr="00B34B9D">
              <w:rPr>
                <w:sz w:val="18"/>
                <w:szCs w:val="18"/>
              </w:rPr>
              <w:t>2 935</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25A6048E" w14:textId="77777777" w:rsidR="00546202" w:rsidRPr="00B34B9D" w:rsidRDefault="00546202" w:rsidP="000803FC">
            <w:pPr>
              <w:contextualSpacing/>
              <w:jc w:val="center"/>
              <w:rPr>
                <w:rFonts w:cstheme="minorHAnsi"/>
                <w:sz w:val="18"/>
                <w:szCs w:val="18"/>
              </w:rPr>
            </w:pPr>
            <w:r w:rsidRPr="00B34B9D">
              <w:rPr>
                <w:sz w:val="18"/>
                <w:szCs w:val="18"/>
              </w:rPr>
              <w:t>2 940</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6D097F8B" w14:textId="77777777" w:rsidR="00546202" w:rsidRPr="00B34B9D" w:rsidRDefault="00546202" w:rsidP="000803FC">
            <w:pPr>
              <w:contextualSpacing/>
              <w:jc w:val="center"/>
              <w:rPr>
                <w:rFonts w:cstheme="minorHAnsi"/>
                <w:sz w:val="18"/>
                <w:szCs w:val="18"/>
              </w:rPr>
            </w:pPr>
            <w:r>
              <w:rPr>
                <w:color w:val="00B050"/>
                <w:sz w:val="18"/>
                <w:szCs w:val="18"/>
              </w:rPr>
              <w:t>+</w:t>
            </w:r>
            <w:r w:rsidRPr="00B34B9D">
              <w:rPr>
                <w:color w:val="00B050"/>
                <w:sz w:val="18"/>
                <w:szCs w:val="18"/>
              </w:rPr>
              <w:t>31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206EEE09" w14:textId="77777777" w:rsidR="00546202" w:rsidRPr="00B34B9D" w:rsidRDefault="00546202" w:rsidP="000803FC">
            <w:pPr>
              <w:contextualSpacing/>
              <w:jc w:val="center"/>
              <w:rPr>
                <w:rFonts w:cstheme="minorHAnsi"/>
                <w:color w:val="C00000"/>
                <w:sz w:val="18"/>
                <w:szCs w:val="18"/>
              </w:rPr>
            </w:pPr>
            <w:r>
              <w:rPr>
                <w:color w:val="00B050"/>
                <w:sz w:val="18"/>
                <w:szCs w:val="18"/>
              </w:rPr>
              <w:t>+</w:t>
            </w:r>
            <w:r w:rsidRPr="00B34B9D">
              <w:rPr>
                <w:color w:val="00B050"/>
                <w:sz w:val="18"/>
                <w:szCs w:val="18"/>
              </w:rPr>
              <w:t>10</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5AAE9088" w14:textId="77777777" w:rsidR="00546202" w:rsidRPr="00B34B9D" w:rsidRDefault="00546202" w:rsidP="000803FC">
            <w:pPr>
              <w:contextualSpacing/>
              <w:jc w:val="center"/>
              <w:rPr>
                <w:rFonts w:cstheme="minorHAnsi"/>
                <w:sz w:val="18"/>
                <w:szCs w:val="18"/>
              </w:rPr>
            </w:pPr>
            <w:r>
              <w:rPr>
                <w:color w:val="00B050"/>
                <w:sz w:val="18"/>
                <w:szCs w:val="18"/>
              </w:rPr>
              <w:t>+</w:t>
            </w:r>
            <w:r w:rsidRPr="00B34B9D">
              <w:rPr>
                <w:color w:val="00B050"/>
                <w:sz w:val="18"/>
                <w:szCs w:val="18"/>
              </w:rPr>
              <w:t>5</w:t>
            </w:r>
          </w:p>
        </w:tc>
        <w:tc>
          <w:tcPr>
            <w:tcW w:w="850" w:type="dxa"/>
            <w:tcBorders>
              <w:top w:val="single" w:sz="4" w:space="0" w:color="7F7F7F"/>
              <w:left w:val="single" w:sz="4" w:space="0" w:color="7F7F7F"/>
              <w:bottom w:val="single" w:sz="4" w:space="0" w:color="7F7F7F"/>
              <w:right w:val="single" w:sz="4" w:space="0" w:color="7F7F7F"/>
            </w:tcBorders>
            <w:shd w:val="clear" w:color="auto" w:fill="FFF2CC" w:themeFill="accent4" w:themeFillTint="33"/>
            <w:tcMar>
              <w:top w:w="15" w:type="dxa"/>
              <w:left w:w="108" w:type="dxa"/>
              <w:bottom w:w="0" w:type="dxa"/>
              <w:right w:w="108" w:type="dxa"/>
            </w:tcMar>
            <w:vAlign w:val="center"/>
          </w:tcPr>
          <w:p w14:paraId="75EB9342" w14:textId="77777777" w:rsidR="00546202" w:rsidRPr="009B12F0" w:rsidRDefault="00546202" w:rsidP="000803FC">
            <w:pPr>
              <w:contextualSpacing/>
              <w:jc w:val="center"/>
              <w:rPr>
                <w:rFonts w:cstheme="minorHAnsi"/>
                <w:b/>
                <w:bCs/>
                <w:color w:val="00B050"/>
                <w:sz w:val="18"/>
                <w:szCs w:val="18"/>
              </w:rPr>
            </w:pPr>
            <w:r w:rsidRPr="009B12F0">
              <w:rPr>
                <w:b/>
                <w:bCs/>
                <w:color w:val="00B050"/>
                <w:sz w:val="18"/>
                <w:szCs w:val="18"/>
              </w:rPr>
              <w:t>+46</w:t>
            </w:r>
          </w:p>
        </w:tc>
        <w:tc>
          <w:tcPr>
            <w:tcW w:w="732"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697D53B8" w14:textId="77777777" w:rsidR="00546202" w:rsidRPr="009B12F0" w:rsidRDefault="00546202" w:rsidP="000803FC">
            <w:pPr>
              <w:contextualSpacing/>
              <w:jc w:val="center"/>
              <w:rPr>
                <w:rFonts w:cstheme="minorHAnsi"/>
                <w:i/>
                <w:iCs/>
                <w:sz w:val="18"/>
                <w:szCs w:val="18"/>
              </w:rPr>
            </w:pPr>
            <w:r w:rsidRPr="009B12F0">
              <w:rPr>
                <w:i/>
                <w:iCs/>
                <w:color w:val="00B050"/>
                <w:sz w:val="18"/>
                <w:szCs w:val="18"/>
              </w:rPr>
              <w:t>1%</w:t>
            </w:r>
          </w:p>
        </w:tc>
        <w:tc>
          <w:tcPr>
            <w:tcW w:w="681"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0801A6B8" w14:textId="77777777" w:rsidR="00546202" w:rsidRPr="009B12F0" w:rsidRDefault="00546202" w:rsidP="000803FC">
            <w:pPr>
              <w:contextualSpacing/>
              <w:jc w:val="center"/>
              <w:rPr>
                <w:rFonts w:cstheme="minorHAnsi"/>
                <w:i/>
                <w:iCs/>
                <w:sz w:val="18"/>
                <w:szCs w:val="18"/>
              </w:rPr>
            </w:pPr>
            <w:r w:rsidRPr="009B12F0">
              <w:rPr>
                <w:i/>
                <w:iCs/>
                <w:color w:val="00B050"/>
                <w:sz w:val="18"/>
                <w:szCs w:val="18"/>
              </w:rPr>
              <w:t>0,3%</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42659166" w14:textId="77777777" w:rsidR="00546202" w:rsidRPr="009B12F0" w:rsidRDefault="00546202" w:rsidP="000803FC">
            <w:pPr>
              <w:contextualSpacing/>
              <w:jc w:val="center"/>
              <w:rPr>
                <w:rFonts w:cstheme="minorHAnsi"/>
                <w:i/>
                <w:iCs/>
                <w:sz w:val="18"/>
                <w:szCs w:val="18"/>
              </w:rPr>
            </w:pPr>
            <w:r w:rsidRPr="009B12F0">
              <w:rPr>
                <w:i/>
                <w:iCs/>
                <w:color w:val="00B050"/>
                <w:sz w:val="18"/>
                <w:szCs w:val="18"/>
              </w:rPr>
              <w:t>0,2%</w:t>
            </w:r>
          </w:p>
        </w:tc>
        <w:tc>
          <w:tcPr>
            <w:tcW w:w="806" w:type="dxa"/>
            <w:tcBorders>
              <w:top w:val="single" w:sz="4" w:space="0" w:color="7F7F7F"/>
              <w:left w:val="single" w:sz="4" w:space="0" w:color="7F7F7F"/>
              <w:bottom w:val="single" w:sz="4" w:space="0" w:color="7F7F7F"/>
              <w:right w:val="single" w:sz="4" w:space="0" w:color="auto"/>
            </w:tcBorders>
            <w:shd w:val="clear" w:color="auto" w:fill="FFF2CC" w:themeFill="accent4" w:themeFillTint="33"/>
            <w:tcMar>
              <w:top w:w="15" w:type="dxa"/>
              <w:left w:w="108" w:type="dxa"/>
              <w:bottom w:w="0" w:type="dxa"/>
              <w:right w:w="108" w:type="dxa"/>
            </w:tcMar>
            <w:vAlign w:val="bottom"/>
          </w:tcPr>
          <w:p w14:paraId="4D87C481" w14:textId="77777777" w:rsidR="00546202" w:rsidRPr="00841DF5" w:rsidRDefault="00546202" w:rsidP="000803FC">
            <w:pPr>
              <w:contextualSpacing/>
              <w:jc w:val="center"/>
              <w:rPr>
                <w:rFonts w:cstheme="minorHAnsi"/>
                <w:b/>
                <w:bCs/>
                <w:i/>
                <w:iCs/>
                <w:sz w:val="18"/>
                <w:szCs w:val="18"/>
              </w:rPr>
            </w:pPr>
            <w:r w:rsidRPr="00841DF5">
              <w:rPr>
                <w:b/>
                <w:bCs/>
                <w:i/>
                <w:iCs/>
                <w:color w:val="00B050"/>
                <w:sz w:val="18"/>
                <w:szCs w:val="18"/>
              </w:rPr>
              <w:t>2%</w:t>
            </w:r>
          </w:p>
        </w:tc>
      </w:tr>
      <w:tr w:rsidR="00F0460C" w:rsidRPr="00E91D56" w14:paraId="11C493DD" w14:textId="77777777" w:rsidTr="00783C67">
        <w:trPr>
          <w:trHeight w:val="50"/>
        </w:trPr>
        <w:tc>
          <w:tcPr>
            <w:tcW w:w="1135" w:type="dxa"/>
            <w:tcBorders>
              <w:top w:val="single" w:sz="4" w:space="0" w:color="7F7F7F"/>
              <w:left w:val="single" w:sz="4" w:space="0" w:color="auto"/>
              <w:bottom w:val="single" w:sz="4" w:space="0" w:color="7F7F7F"/>
              <w:right w:val="single" w:sz="4" w:space="0" w:color="7F7F7F"/>
            </w:tcBorders>
            <w:shd w:val="clear" w:color="auto" w:fill="auto"/>
            <w:tcMar>
              <w:top w:w="15" w:type="dxa"/>
              <w:left w:w="108" w:type="dxa"/>
              <w:bottom w:w="0" w:type="dxa"/>
              <w:right w:w="108" w:type="dxa"/>
            </w:tcMar>
            <w:vAlign w:val="bottom"/>
          </w:tcPr>
          <w:p w14:paraId="7EAE9623" w14:textId="4BA0682B" w:rsidR="00F0460C" w:rsidRPr="00E91D56" w:rsidRDefault="00F0460C" w:rsidP="00F0460C">
            <w:pPr>
              <w:contextualSpacing/>
              <w:jc w:val="center"/>
              <w:rPr>
                <w:rFonts w:cstheme="minorHAnsi"/>
                <w:sz w:val="18"/>
                <w:szCs w:val="18"/>
              </w:rPr>
            </w:pPr>
            <w:r>
              <w:rPr>
                <w:rFonts w:cstheme="minorHAnsi"/>
                <w:sz w:val="18"/>
                <w:szCs w:val="18"/>
              </w:rPr>
              <w:t>5 000</w:t>
            </w:r>
          </w:p>
        </w:tc>
        <w:tc>
          <w:tcPr>
            <w:tcW w:w="708"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Mar>
              <w:top w:w="15" w:type="dxa"/>
              <w:left w:w="108" w:type="dxa"/>
              <w:bottom w:w="0" w:type="dxa"/>
              <w:right w:w="108" w:type="dxa"/>
            </w:tcMar>
            <w:vAlign w:val="bottom"/>
          </w:tcPr>
          <w:p w14:paraId="0AC2B2CE" w14:textId="7A72B5E3" w:rsidR="00F0460C" w:rsidRPr="00F0460C" w:rsidRDefault="00F0460C" w:rsidP="00F0460C">
            <w:pPr>
              <w:contextualSpacing/>
              <w:jc w:val="center"/>
              <w:rPr>
                <w:color w:val="000000"/>
                <w:sz w:val="18"/>
                <w:szCs w:val="18"/>
              </w:rPr>
            </w:pPr>
            <w:r w:rsidRPr="00F0460C">
              <w:rPr>
                <w:color w:val="000000"/>
                <w:sz w:val="18"/>
                <w:szCs w:val="18"/>
              </w:rPr>
              <w:t>3 580</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6A524680" w14:textId="1DB8B842" w:rsidR="00F0460C" w:rsidRPr="00F0460C" w:rsidRDefault="00F0460C" w:rsidP="00F0460C">
            <w:pPr>
              <w:contextualSpacing/>
              <w:jc w:val="center"/>
              <w:rPr>
                <w:sz w:val="18"/>
                <w:szCs w:val="18"/>
              </w:rPr>
            </w:pPr>
            <w:r w:rsidRPr="00F0460C">
              <w:rPr>
                <w:color w:val="000000"/>
                <w:sz w:val="18"/>
                <w:szCs w:val="18"/>
              </w:rPr>
              <w:t>3 591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71678925" w14:textId="528179F1" w:rsidR="00F0460C" w:rsidRPr="00F0460C" w:rsidRDefault="00F0460C" w:rsidP="00F0460C">
            <w:pPr>
              <w:contextualSpacing/>
              <w:jc w:val="center"/>
              <w:rPr>
                <w:sz w:val="18"/>
                <w:szCs w:val="18"/>
              </w:rPr>
            </w:pPr>
            <w:r w:rsidRPr="00F0460C">
              <w:rPr>
                <w:color w:val="000000"/>
                <w:sz w:val="18"/>
                <w:szCs w:val="18"/>
              </w:rPr>
              <w:t>3 602</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2C0538D1" w14:textId="4C2FF4B5" w:rsidR="00F0460C" w:rsidRPr="00F0460C" w:rsidRDefault="00F0460C" w:rsidP="00F0460C">
            <w:pPr>
              <w:contextualSpacing/>
              <w:jc w:val="center"/>
              <w:rPr>
                <w:sz w:val="18"/>
                <w:szCs w:val="18"/>
              </w:rPr>
            </w:pPr>
            <w:r w:rsidRPr="00F0460C">
              <w:rPr>
                <w:color w:val="000000"/>
                <w:sz w:val="18"/>
                <w:szCs w:val="18"/>
              </w:rPr>
              <w:t>3 607</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5F6184D0" w14:textId="0BA24034" w:rsidR="00F0460C" w:rsidRDefault="00F0460C" w:rsidP="00F0460C">
            <w:pPr>
              <w:contextualSpacing/>
              <w:jc w:val="center"/>
              <w:rPr>
                <w:color w:val="00B050"/>
                <w:sz w:val="18"/>
                <w:szCs w:val="18"/>
              </w:rPr>
            </w:pPr>
            <w:r>
              <w:rPr>
                <w:color w:val="00B050"/>
                <w:sz w:val="18"/>
                <w:szCs w:val="18"/>
              </w:rPr>
              <w:t>+11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3B310611" w14:textId="11050403" w:rsidR="00F0460C" w:rsidRDefault="00F0460C" w:rsidP="00F0460C">
            <w:pPr>
              <w:contextualSpacing/>
              <w:jc w:val="center"/>
              <w:rPr>
                <w:color w:val="00B050"/>
                <w:sz w:val="18"/>
                <w:szCs w:val="18"/>
              </w:rPr>
            </w:pPr>
            <w:r>
              <w:rPr>
                <w:color w:val="00B050"/>
                <w:sz w:val="18"/>
                <w:szCs w:val="18"/>
              </w:rPr>
              <w:t>+</w:t>
            </w:r>
            <w:r w:rsidRPr="00B34B9D">
              <w:rPr>
                <w:color w:val="00B050"/>
                <w:sz w:val="18"/>
                <w:szCs w:val="18"/>
              </w:rPr>
              <w:t>10</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62C2803B" w14:textId="0877B073" w:rsidR="00F0460C" w:rsidRDefault="00F0460C" w:rsidP="00F0460C">
            <w:pPr>
              <w:contextualSpacing/>
              <w:jc w:val="center"/>
              <w:rPr>
                <w:color w:val="00B050"/>
                <w:sz w:val="18"/>
                <w:szCs w:val="18"/>
              </w:rPr>
            </w:pPr>
            <w:r>
              <w:rPr>
                <w:color w:val="00B050"/>
                <w:sz w:val="18"/>
                <w:szCs w:val="18"/>
              </w:rPr>
              <w:t>+</w:t>
            </w:r>
            <w:r w:rsidRPr="00B34B9D">
              <w:rPr>
                <w:color w:val="00B050"/>
                <w:sz w:val="18"/>
                <w:szCs w:val="18"/>
              </w:rPr>
              <w:t>5</w:t>
            </w:r>
          </w:p>
        </w:tc>
        <w:tc>
          <w:tcPr>
            <w:tcW w:w="850" w:type="dxa"/>
            <w:tcBorders>
              <w:top w:val="single" w:sz="4" w:space="0" w:color="7F7F7F"/>
              <w:left w:val="single" w:sz="4" w:space="0" w:color="7F7F7F"/>
              <w:bottom w:val="single" w:sz="4" w:space="0" w:color="7F7F7F"/>
              <w:right w:val="single" w:sz="4" w:space="0" w:color="7F7F7F"/>
            </w:tcBorders>
            <w:shd w:val="clear" w:color="auto" w:fill="FFF2CC" w:themeFill="accent4" w:themeFillTint="33"/>
            <w:tcMar>
              <w:top w:w="15" w:type="dxa"/>
              <w:left w:w="108" w:type="dxa"/>
              <w:bottom w:w="0" w:type="dxa"/>
              <w:right w:w="108" w:type="dxa"/>
            </w:tcMar>
            <w:vAlign w:val="center"/>
          </w:tcPr>
          <w:p w14:paraId="5ABE5144" w14:textId="65D303B7" w:rsidR="00F0460C" w:rsidRPr="009B12F0" w:rsidRDefault="00F0460C" w:rsidP="00F0460C">
            <w:pPr>
              <w:contextualSpacing/>
              <w:jc w:val="center"/>
              <w:rPr>
                <w:b/>
                <w:bCs/>
                <w:color w:val="00B050"/>
                <w:sz w:val="18"/>
                <w:szCs w:val="18"/>
              </w:rPr>
            </w:pPr>
            <w:r>
              <w:rPr>
                <w:b/>
                <w:bCs/>
                <w:color w:val="00B050"/>
                <w:sz w:val="18"/>
                <w:szCs w:val="18"/>
              </w:rPr>
              <w:t>+27</w:t>
            </w:r>
          </w:p>
        </w:tc>
        <w:tc>
          <w:tcPr>
            <w:tcW w:w="732"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524084E1" w14:textId="35D5ADF8" w:rsidR="00F0460C" w:rsidRPr="009B12F0" w:rsidRDefault="00F0460C" w:rsidP="00F0460C">
            <w:pPr>
              <w:contextualSpacing/>
              <w:jc w:val="center"/>
              <w:rPr>
                <w:i/>
                <w:iCs/>
                <w:color w:val="00B050"/>
                <w:sz w:val="18"/>
                <w:szCs w:val="18"/>
              </w:rPr>
            </w:pPr>
            <w:r>
              <w:rPr>
                <w:i/>
                <w:iCs/>
                <w:color w:val="00B050"/>
                <w:sz w:val="18"/>
                <w:szCs w:val="18"/>
              </w:rPr>
              <w:t>0,3%</w:t>
            </w:r>
          </w:p>
        </w:tc>
        <w:tc>
          <w:tcPr>
            <w:tcW w:w="681"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10368A27" w14:textId="3732F0D3" w:rsidR="00F0460C" w:rsidRPr="009B12F0" w:rsidRDefault="00F0460C" w:rsidP="00F0460C">
            <w:pPr>
              <w:contextualSpacing/>
              <w:jc w:val="center"/>
              <w:rPr>
                <w:i/>
                <w:iCs/>
                <w:color w:val="00B050"/>
                <w:sz w:val="18"/>
                <w:szCs w:val="18"/>
              </w:rPr>
            </w:pPr>
            <w:r>
              <w:rPr>
                <w:i/>
                <w:iCs/>
                <w:color w:val="00B050"/>
                <w:sz w:val="18"/>
                <w:szCs w:val="18"/>
              </w:rPr>
              <w:t>0,3%</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175EA88D" w14:textId="467D4CEE" w:rsidR="00F0460C" w:rsidRPr="009B12F0" w:rsidRDefault="00912ADA" w:rsidP="00F0460C">
            <w:pPr>
              <w:contextualSpacing/>
              <w:jc w:val="center"/>
              <w:rPr>
                <w:i/>
                <w:iCs/>
                <w:color w:val="00B050"/>
                <w:sz w:val="18"/>
                <w:szCs w:val="18"/>
              </w:rPr>
            </w:pPr>
            <w:r>
              <w:rPr>
                <w:i/>
                <w:iCs/>
                <w:color w:val="00B050"/>
                <w:sz w:val="18"/>
                <w:szCs w:val="18"/>
              </w:rPr>
              <w:t>0,1%</w:t>
            </w:r>
          </w:p>
        </w:tc>
        <w:tc>
          <w:tcPr>
            <w:tcW w:w="806" w:type="dxa"/>
            <w:tcBorders>
              <w:top w:val="single" w:sz="4" w:space="0" w:color="7F7F7F"/>
              <w:left w:val="single" w:sz="4" w:space="0" w:color="7F7F7F"/>
              <w:bottom w:val="single" w:sz="4" w:space="0" w:color="7F7F7F"/>
              <w:right w:val="single" w:sz="4" w:space="0" w:color="auto"/>
            </w:tcBorders>
            <w:shd w:val="clear" w:color="auto" w:fill="FFF2CC" w:themeFill="accent4" w:themeFillTint="33"/>
            <w:tcMar>
              <w:top w:w="15" w:type="dxa"/>
              <w:left w:w="108" w:type="dxa"/>
              <w:bottom w:w="0" w:type="dxa"/>
              <w:right w:w="108" w:type="dxa"/>
            </w:tcMar>
            <w:vAlign w:val="bottom"/>
          </w:tcPr>
          <w:p w14:paraId="2574ED69" w14:textId="1A778F2A" w:rsidR="00F0460C" w:rsidRPr="00841DF5" w:rsidRDefault="00F0460C" w:rsidP="00F0460C">
            <w:pPr>
              <w:contextualSpacing/>
              <w:jc w:val="center"/>
              <w:rPr>
                <w:b/>
                <w:bCs/>
                <w:i/>
                <w:iCs/>
                <w:color w:val="00B050"/>
                <w:sz w:val="18"/>
                <w:szCs w:val="18"/>
              </w:rPr>
            </w:pPr>
            <w:r>
              <w:rPr>
                <w:b/>
                <w:bCs/>
                <w:i/>
                <w:iCs/>
                <w:color w:val="00B050"/>
                <w:sz w:val="18"/>
                <w:szCs w:val="18"/>
              </w:rPr>
              <w:t>0,7%</w:t>
            </w:r>
          </w:p>
        </w:tc>
      </w:tr>
      <w:tr w:rsidR="00F0460C" w:rsidRPr="00E91D56" w14:paraId="2F77E8C0" w14:textId="77777777" w:rsidTr="000803FC">
        <w:trPr>
          <w:trHeight w:val="50"/>
        </w:trPr>
        <w:tc>
          <w:tcPr>
            <w:tcW w:w="1135" w:type="dxa"/>
            <w:tcBorders>
              <w:top w:val="single" w:sz="4" w:space="0" w:color="7F7F7F"/>
              <w:left w:val="single" w:sz="4" w:space="0" w:color="auto"/>
              <w:bottom w:val="single" w:sz="4" w:space="0" w:color="7F7F7F"/>
              <w:right w:val="single" w:sz="4" w:space="0" w:color="7F7F7F"/>
            </w:tcBorders>
            <w:shd w:val="clear" w:color="auto" w:fill="auto"/>
            <w:tcMar>
              <w:top w:w="15" w:type="dxa"/>
              <w:left w:w="108" w:type="dxa"/>
              <w:bottom w:w="0" w:type="dxa"/>
              <w:right w:w="108" w:type="dxa"/>
            </w:tcMar>
            <w:vAlign w:val="bottom"/>
            <w:hideMark/>
          </w:tcPr>
          <w:p w14:paraId="14FEF94C" w14:textId="77777777" w:rsidR="00F0460C" w:rsidRPr="00E91D56" w:rsidRDefault="00F0460C" w:rsidP="00F0460C">
            <w:pPr>
              <w:contextualSpacing/>
              <w:jc w:val="center"/>
              <w:rPr>
                <w:rFonts w:cstheme="minorHAnsi"/>
                <w:sz w:val="18"/>
                <w:szCs w:val="18"/>
              </w:rPr>
            </w:pPr>
            <w:r w:rsidRPr="00E91D56">
              <w:rPr>
                <w:rFonts w:cstheme="minorHAnsi"/>
                <w:sz w:val="18"/>
                <w:szCs w:val="18"/>
              </w:rPr>
              <w:t>6 000</w:t>
            </w:r>
          </w:p>
        </w:tc>
        <w:tc>
          <w:tcPr>
            <w:tcW w:w="708"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Mar>
              <w:top w:w="15" w:type="dxa"/>
              <w:left w:w="108" w:type="dxa"/>
              <w:bottom w:w="0" w:type="dxa"/>
              <w:right w:w="108" w:type="dxa"/>
            </w:tcMar>
            <w:vAlign w:val="bottom"/>
          </w:tcPr>
          <w:p w14:paraId="14AE9455" w14:textId="77777777" w:rsidR="00F0460C" w:rsidRPr="00B34B9D" w:rsidRDefault="00F0460C" w:rsidP="00F0460C">
            <w:pPr>
              <w:contextualSpacing/>
              <w:jc w:val="center"/>
              <w:rPr>
                <w:rFonts w:cstheme="minorHAnsi"/>
                <w:sz w:val="18"/>
                <w:szCs w:val="18"/>
              </w:rPr>
            </w:pPr>
            <w:r w:rsidRPr="00B34B9D">
              <w:rPr>
                <w:color w:val="000000"/>
                <w:sz w:val="18"/>
                <w:szCs w:val="18"/>
              </w:rPr>
              <w:t>4 266</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087D2B71" w14:textId="77777777" w:rsidR="00F0460C" w:rsidRPr="00B34B9D" w:rsidRDefault="00F0460C" w:rsidP="00F0460C">
            <w:pPr>
              <w:contextualSpacing/>
              <w:jc w:val="center"/>
              <w:rPr>
                <w:rFonts w:cstheme="minorHAnsi"/>
                <w:sz w:val="18"/>
                <w:szCs w:val="18"/>
              </w:rPr>
            </w:pPr>
            <w:r w:rsidRPr="00B34B9D">
              <w:rPr>
                <w:color w:val="000000"/>
                <w:sz w:val="18"/>
                <w:szCs w:val="18"/>
              </w:rPr>
              <w:t>4 258</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44F8481F" w14:textId="77777777" w:rsidR="00F0460C" w:rsidRPr="00B34B9D" w:rsidRDefault="00F0460C" w:rsidP="00F0460C">
            <w:pPr>
              <w:contextualSpacing/>
              <w:jc w:val="center"/>
              <w:rPr>
                <w:rFonts w:cstheme="minorHAnsi"/>
                <w:sz w:val="18"/>
                <w:szCs w:val="18"/>
              </w:rPr>
            </w:pPr>
            <w:r w:rsidRPr="00B34B9D">
              <w:rPr>
                <w:color w:val="000000"/>
                <w:sz w:val="18"/>
                <w:szCs w:val="18"/>
              </w:rPr>
              <w:t>4 268</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03F39E57" w14:textId="77777777" w:rsidR="00F0460C" w:rsidRPr="00B34B9D" w:rsidRDefault="00F0460C" w:rsidP="00F0460C">
            <w:pPr>
              <w:contextualSpacing/>
              <w:jc w:val="center"/>
              <w:rPr>
                <w:rFonts w:cstheme="minorHAnsi"/>
                <w:sz w:val="18"/>
                <w:szCs w:val="18"/>
              </w:rPr>
            </w:pPr>
            <w:r w:rsidRPr="00B34B9D">
              <w:rPr>
                <w:color w:val="000000"/>
                <w:sz w:val="18"/>
                <w:szCs w:val="18"/>
              </w:rPr>
              <w:t>4 274</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340E1140" w14:textId="77777777" w:rsidR="00F0460C" w:rsidRPr="00B34B9D" w:rsidRDefault="00F0460C" w:rsidP="00F0460C">
            <w:pPr>
              <w:contextualSpacing/>
              <w:jc w:val="center"/>
              <w:rPr>
                <w:rFonts w:cstheme="minorHAnsi"/>
                <w:color w:val="C00000"/>
                <w:sz w:val="18"/>
                <w:szCs w:val="18"/>
              </w:rPr>
            </w:pPr>
            <w:r w:rsidRPr="00B34B9D">
              <w:rPr>
                <w:color w:val="FF0000"/>
                <w:sz w:val="18"/>
                <w:szCs w:val="18"/>
              </w:rPr>
              <w:t>-8</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1AB88D15" w14:textId="77777777" w:rsidR="00F0460C" w:rsidRPr="00B34B9D" w:rsidRDefault="00F0460C" w:rsidP="00F0460C">
            <w:pPr>
              <w:contextualSpacing/>
              <w:jc w:val="center"/>
              <w:rPr>
                <w:rFonts w:cstheme="minorHAnsi"/>
                <w:color w:val="C00000"/>
                <w:sz w:val="18"/>
                <w:szCs w:val="18"/>
              </w:rPr>
            </w:pPr>
            <w:r>
              <w:rPr>
                <w:color w:val="00B050"/>
                <w:sz w:val="18"/>
                <w:szCs w:val="18"/>
              </w:rPr>
              <w:t>+</w:t>
            </w:r>
            <w:r w:rsidRPr="00B34B9D">
              <w:rPr>
                <w:color w:val="00B050"/>
                <w:sz w:val="18"/>
                <w:szCs w:val="18"/>
              </w:rPr>
              <w:t>10</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35092763" w14:textId="77777777" w:rsidR="00F0460C" w:rsidRPr="00B34B9D" w:rsidRDefault="00F0460C" w:rsidP="00F0460C">
            <w:pPr>
              <w:contextualSpacing/>
              <w:jc w:val="center"/>
              <w:rPr>
                <w:rFonts w:cstheme="minorHAnsi"/>
                <w:sz w:val="18"/>
                <w:szCs w:val="18"/>
              </w:rPr>
            </w:pPr>
            <w:r>
              <w:rPr>
                <w:color w:val="00B050"/>
                <w:sz w:val="18"/>
                <w:szCs w:val="18"/>
              </w:rPr>
              <w:t>+</w:t>
            </w:r>
            <w:r w:rsidRPr="00B34B9D">
              <w:rPr>
                <w:color w:val="00B050"/>
                <w:sz w:val="18"/>
                <w:szCs w:val="18"/>
              </w:rPr>
              <w:t>5</w:t>
            </w:r>
          </w:p>
        </w:tc>
        <w:tc>
          <w:tcPr>
            <w:tcW w:w="850" w:type="dxa"/>
            <w:tcBorders>
              <w:top w:val="single" w:sz="4" w:space="0" w:color="7F7F7F"/>
              <w:left w:val="single" w:sz="4" w:space="0" w:color="7F7F7F"/>
              <w:bottom w:val="single" w:sz="4" w:space="0" w:color="7F7F7F"/>
              <w:right w:val="single" w:sz="4" w:space="0" w:color="7F7F7F"/>
            </w:tcBorders>
            <w:shd w:val="clear" w:color="auto" w:fill="FFF2CC" w:themeFill="accent4" w:themeFillTint="33"/>
            <w:tcMar>
              <w:top w:w="15" w:type="dxa"/>
              <w:left w:w="108" w:type="dxa"/>
              <w:bottom w:w="0" w:type="dxa"/>
              <w:right w:w="108" w:type="dxa"/>
            </w:tcMar>
            <w:vAlign w:val="center"/>
          </w:tcPr>
          <w:p w14:paraId="3B38C2C1" w14:textId="77777777" w:rsidR="00F0460C" w:rsidRPr="009B12F0" w:rsidRDefault="00F0460C" w:rsidP="00F0460C">
            <w:pPr>
              <w:contextualSpacing/>
              <w:jc w:val="center"/>
              <w:rPr>
                <w:rFonts w:cstheme="minorHAnsi"/>
                <w:b/>
                <w:bCs/>
                <w:color w:val="C00000"/>
                <w:sz w:val="18"/>
                <w:szCs w:val="18"/>
              </w:rPr>
            </w:pPr>
            <w:r w:rsidRPr="009B12F0">
              <w:rPr>
                <w:b/>
                <w:bCs/>
                <w:color w:val="00B050"/>
                <w:sz w:val="18"/>
                <w:szCs w:val="18"/>
              </w:rPr>
              <w:t>+7</w:t>
            </w:r>
          </w:p>
        </w:tc>
        <w:tc>
          <w:tcPr>
            <w:tcW w:w="732"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0B942C06" w14:textId="77777777" w:rsidR="00F0460C" w:rsidRPr="009B12F0" w:rsidRDefault="00F0460C" w:rsidP="00F0460C">
            <w:pPr>
              <w:contextualSpacing/>
              <w:jc w:val="center"/>
              <w:rPr>
                <w:rFonts w:cstheme="minorHAnsi"/>
                <w:i/>
                <w:iCs/>
                <w:color w:val="FF0000"/>
                <w:sz w:val="18"/>
                <w:szCs w:val="18"/>
              </w:rPr>
            </w:pPr>
            <w:r w:rsidRPr="009B12F0">
              <w:rPr>
                <w:i/>
                <w:iCs/>
                <w:color w:val="FF0000"/>
                <w:sz w:val="18"/>
                <w:szCs w:val="18"/>
              </w:rPr>
              <w:t>-0,2%</w:t>
            </w:r>
          </w:p>
        </w:tc>
        <w:tc>
          <w:tcPr>
            <w:tcW w:w="681"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4E69A7B6" w14:textId="77777777" w:rsidR="00F0460C" w:rsidRPr="009B12F0" w:rsidRDefault="00F0460C" w:rsidP="00F0460C">
            <w:pPr>
              <w:contextualSpacing/>
              <w:jc w:val="center"/>
              <w:rPr>
                <w:rFonts w:cstheme="minorHAnsi"/>
                <w:i/>
                <w:iCs/>
                <w:sz w:val="18"/>
                <w:szCs w:val="18"/>
              </w:rPr>
            </w:pPr>
            <w:r w:rsidRPr="009B12F0">
              <w:rPr>
                <w:i/>
                <w:iCs/>
                <w:color w:val="00B050"/>
                <w:sz w:val="18"/>
                <w:szCs w:val="18"/>
              </w:rPr>
              <w:t>0,2%</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4653E089" w14:textId="77777777" w:rsidR="00F0460C" w:rsidRPr="009B12F0" w:rsidRDefault="00F0460C" w:rsidP="00F0460C">
            <w:pPr>
              <w:contextualSpacing/>
              <w:jc w:val="center"/>
              <w:rPr>
                <w:rFonts w:cstheme="minorHAnsi"/>
                <w:i/>
                <w:iCs/>
                <w:sz w:val="18"/>
                <w:szCs w:val="18"/>
              </w:rPr>
            </w:pPr>
            <w:r w:rsidRPr="009B12F0">
              <w:rPr>
                <w:i/>
                <w:iCs/>
                <w:color w:val="00B050"/>
                <w:sz w:val="18"/>
                <w:szCs w:val="18"/>
              </w:rPr>
              <w:t>0,1%</w:t>
            </w:r>
          </w:p>
        </w:tc>
        <w:tc>
          <w:tcPr>
            <w:tcW w:w="806" w:type="dxa"/>
            <w:tcBorders>
              <w:top w:val="single" w:sz="4" w:space="0" w:color="7F7F7F"/>
              <w:left w:val="single" w:sz="4" w:space="0" w:color="7F7F7F"/>
              <w:bottom w:val="single" w:sz="4" w:space="0" w:color="7F7F7F"/>
              <w:right w:val="single" w:sz="4" w:space="0" w:color="auto"/>
            </w:tcBorders>
            <w:shd w:val="clear" w:color="auto" w:fill="FFF2CC" w:themeFill="accent4" w:themeFillTint="33"/>
            <w:tcMar>
              <w:top w:w="15" w:type="dxa"/>
              <w:left w:w="108" w:type="dxa"/>
              <w:bottom w:w="0" w:type="dxa"/>
              <w:right w:w="108" w:type="dxa"/>
            </w:tcMar>
            <w:vAlign w:val="bottom"/>
          </w:tcPr>
          <w:p w14:paraId="1AD9C56F" w14:textId="77777777" w:rsidR="00F0460C" w:rsidRPr="00841DF5" w:rsidRDefault="00F0460C" w:rsidP="00F0460C">
            <w:pPr>
              <w:contextualSpacing/>
              <w:jc w:val="center"/>
              <w:rPr>
                <w:rFonts w:cstheme="minorHAnsi"/>
                <w:b/>
                <w:bCs/>
                <w:i/>
                <w:iCs/>
                <w:color w:val="FF0000"/>
                <w:sz w:val="18"/>
                <w:szCs w:val="18"/>
              </w:rPr>
            </w:pPr>
            <w:r w:rsidRPr="00841DF5">
              <w:rPr>
                <w:b/>
                <w:bCs/>
                <w:i/>
                <w:iCs/>
                <w:color w:val="00B050"/>
                <w:sz w:val="18"/>
                <w:szCs w:val="18"/>
              </w:rPr>
              <w:t>0,2%</w:t>
            </w:r>
          </w:p>
        </w:tc>
      </w:tr>
      <w:tr w:rsidR="00F0460C" w:rsidRPr="00E91D56" w14:paraId="1326E938" w14:textId="77777777" w:rsidTr="000803FC">
        <w:trPr>
          <w:trHeight w:val="50"/>
        </w:trPr>
        <w:tc>
          <w:tcPr>
            <w:tcW w:w="1135" w:type="dxa"/>
            <w:tcBorders>
              <w:top w:val="single" w:sz="4" w:space="0" w:color="7F7F7F"/>
              <w:left w:val="single" w:sz="4" w:space="0" w:color="auto"/>
              <w:bottom w:val="single" w:sz="4" w:space="0" w:color="7F7F7F"/>
              <w:right w:val="single" w:sz="4" w:space="0" w:color="7F7F7F"/>
            </w:tcBorders>
            <w:shd w:val="clear" w:color="auto" w:fill="FFFFFF"/>
            <w:tcMar>
              <w:top w:w="15" w:type="dxa"/>
              <w:left w:w="108" w:type="dxa"/>
              <w:bottom w:w="0" w:type="dxa"/>
              <w:right w:w="108" w:type="dxa"/>
            </w:tcMar>
            <w:vAlign w:val="bottom"/>
            <w:hideMark/>
          </w:tcPr>
          <w:p w14:paraId="2628D4C9" w14:textId="77777777" w:rsidR="00F0460C" w:rsidRPr="00E91D56" w:rsidRDefault="00F0460C" w:rsidP="00F0460C">
            <w:pPr>
              <w:contextualSpacing/>
              <w:jc w:val="center"/>
              <w:rPr>
                <w:rFonts w:cstheme="minorHAnsi"/>
                <w:sz w:val="18"/>
                <w:szCs w:val="18"/>
              </w:rPr>
            </w:pPr>
            <w:r w:rsidRPr="00E91D56">
              <w:rPr>
                <w:rFonts w:cstheme="minorHAnsi"/>
                <w:sz w:val="18"/>
                <w:szCs w:val="18"/>
              </w:rPr>
              <w:t>7 000</w:t>
            </w:r>
          </w:p>
        </w:tc>
        <w:tc>
          <w:tcPr>
            <w:tcW w:w="708"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Mar>
              <w:top w:w="15" w:type="dxa"/>
              <w:left w:w="108" w:type="dxa"/>
              <w:bottom w:w="0" w:type="dxa"/>
              <w:right w:w="108" w:type="dxa"/>
            </w:tcMar>
            <w:vAlign w:val="bottom"/>
          </w:tcPr>
          <w:p w14:paraId="0777DDFE" w14:textId="77777777" w:rsidR="00F0460C" w:rsidRPr="00B34B9D" w:rsidRDefault="00F0460C" w:rsidP="00F0460C">
            <w:pPr>
              <w:contextualSpacing/>
              <w:jc w:val="center"/>
              <w:rPr>
                <w:rFonts w:cstheme="minorHAnsi"/>
                <w:sz w:val="18"/>
                <w:szCs w:val="18"/>
              </w:rPr>
            </w:pPr>
            <w:r w:rsidRPr="00B34B9D">
              <w:rPr>
                <w:color w:val="000000"/>
                <w:sz w:val="18"/>
                <w:szCs w:val="18"/>
              </w:rPr>
              <w:t>4 952</w:t>
            </w:r>
          </w:p>
        </w:tc>
        <w:tc>
          <w:tcPr>
            <w:tcW w:w="709" w:type="dxa"/>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bottom"/>
          </w:tcPr>
          <w:p w14:paraId="1C8C0AE1" w14:textId="77777777" w:rsidR="00F0460C" w:rsidRPr="00B34B9D" w:rsidRDefault="00F0460C" w:rsidP="00F0460C">
            <w:pPr>
              <w:contextualSpacing/>
              <w:jc w:val="center"/>
              <w:rPr>
                <w:rFonts w:cstheme="minorHAnsi"/>
                <w:sz w:val="18"/>
                <w:szCs w:val="18"/>
              </w:rPr>
            </w:pPr>
            <w:r w:rsidRPr="00B34B9D">
              <w:rPr>
                <w:color w:val="000000"/>
                <w:sz w:val="18"/>
                <w:szCs w:val="18"/>
              </w:rPr>
              <w:t>4 925</w:t>
            </w:r>
          </w:p>
        </w:tc>
        <w:tc>
          <w:tcPr>
            <w:tcW w:w="709" w:type="dxa"/>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bottom"/>
          </w:tcPr>
          <w:p w14:paraId="438A16A8" w14:textId="77777777" w:rsidR="00F0460C" w:rsidRPr="00B34B9D" w:rsidRDefault="00F0460C" w:rsidP="00F0460C">
            <w:pPr>
              <w:contextualSpacing/>
              <w:jc w:val="center"/>
              <w:rPr>
                <w:rFonts w:cstheme="minorHAnsi"/>
                <w:sz w:val="18"/>
                <w:szCs w:val="18"/>
              </w:rPr>
            </w:pPr>
            <w:r w:rsidRPr="00B34B9D">
              <w:rPr>
                <w:color w:val="000000"/>
                <w:sz w:val="18"/>
                <w:szCs w:val="18"/>
              </w:rPr>
              <w:t>4 935</w:t>
            </w:r>
          </w:p>
        </w:tc>
        <w:tc>
          <w:tcPr>
            <w:tcW w:w="709" w:type="dxa"/>
            <w:tcBorders>
              <w:top w:val="single" w:sz="4" w:space="0" w:color="7F7F7F"/>
              <w:left w:val="single" w:sz="4" w:space="0" w:color="7F7F7F"/>
              <w:bottom w:val="single" w:sz="4" w:space="0" w:color="7F7F7F"/>
              <w:right w:val="single" w:sz="4" w:space="0" w:color="7F7F7F"/>
            </w:tcBorders>
            <w:shd w:val="clear" w:color="auto" w:fill="FFFFFF"/>
            <w:tcMar>
              <w:top w:w="15" w:type="dxa"/>
              <w:left w:w="108" w:type="dxa"/>
              <w:bottom w:w="0" w:type="dxa"/>
              <w:right w:w="108" w:type="dxa"/>
            </w:tcMar>
            <w:vAlign w:val="bottom"/>
          </w:tcPr>
          <w:p w14:paraId="2393F85C" w14:textId="77777777" w:rsidR="00F0460C" w:rsidRPr="00B34B9D" w:rsidRDefault="00F0460C" w:rsidP="00F0460C">
            <w:pPr>
              <w:contextualSpacing/>
              <w:jc w:val="center"/>
              <w:rPr>
                <w:rFonts w:cstheme="minorHAnsi"/>
                <w:sz w:val="18"/>
                <w:szCs w:val="18"/>
              </w:rPr>
            </w:pPr>
            <w:r w:rsidRPr="00B34B9D">
              <w:rPr>
                <w:color w:val="000000"/>
                <w:sz w:val="18"/>
                <w:szCs w:val="18"/>
              </w:rPr>
              <w:t>4 940</w:t>
            </w:r>
          </w:p>
        </w:tc>
        <w:tc>
          <w:tcPr>
            <w:tcW w:w="708"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7EABA647" w14:textId="77777777" w:rsidR="00F0460C" w:rsidRPr="00B34B9D" w:rsidRDefault="00F0460C" w:rsidP="00F0460C">
            <w:pPr>
              <w:contextualSpacing/>
              <w:jc w:val="center"/>
              <w:rPr>
                <w:rFonts w:cstheme="minorHAnsi"/>
                <w:color w:val="C00000"/>
                <w:sz w:val="18"/>
                <w:szCs w:val="18"/>
              </w:rPr>
            </w:pPr>
            <w:r w:rsidRPr="00B34B9D">
              <w:rPr>
                <w:color w:val="FF0000"/>
                <w:sz w:val="18"/>
                <w:szCs w:val="18"/>
              </w:rPr>
              <w:t>-27</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1A16EF3A" w14:textId="77777777" w:rsidR="00F0460C" w:rsidRPr="00B34B9D" w:rsidRDefault="00F0460C" w:rsidP="00F0460C">
            <w:pPr>
              <w:contextualSpacing/>
              <w:jc w:val="center"/>
              <w:rPr>
                <w:rFonts w:cstheme="minorHAnsi"/>
                <w:color w:val="C00000"/>
                <w:sz w:val="18"/>
                <w:szCs w:val="18"/>
              </w:rPr>
            </w:pPr>
            <w:r>
              <w:rPr>
                <w:color w:val="00B050"/>
                <w:sz w:val="18"/>
                <w:szCs w:val="18"/>
              </w:rPr>
              <w:t>+</w:t>
            </w:r>
            <w:r w:rsidRPr="00B34B9D">
              <w:rPr>
                <w:color w:val="00B050"/>
                <w:sz w:val="18"/>
                <w:szCs w:val="18"/>
              </w:rPr>
              <w:t>10</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center"/>
          </w:tcPr>
          <w:p w14:paraId="7CE43A3D" w14:textId="77777777" w:rsidR="00F0460C" w:rsidRPr="00B34B9D" w:rsidRDefault="00F0460C" w:rsidP="00F0460C">
            <w:pPr>
              <w:contextualSpacing/>
              <w:jc w:val="center"/>
              <w:rPr>
                <w:rFonts w:cstheme="minorHAnsi"/>
                <w:sz w:val="18"/>
                <w:szCs w:val="18"/>
              </w:rPr>
            </w:pPr>
            <w:r>
              <w:rPr>
                <w:color w:val="00B050"/>
                <w:sz w:val="18"/>
                <w:szCs w:val="18"/>
              </w:rPr>
              <w:t>+</w:t>
            </w:r>
            <w:r w:rsidRPr="00B34B9D">
              <w:rPr>
                <w:color w:val="00B050"/>
                <w:sz w:val="18"/>
                <w:szCs w:val="18"/>
              </w:rPr>
              <w:t>5</w:t>
            </w:r>
          </w:p>
        </w:tc>
        <w:tc>
          <w:tcPr>
            <w:tcW w:w="850" w:type="dxa"/>
            <w:tcBorders>
              <w:top w:val="single" w:sz="4" w:space="0" w:color="7F7F7F"/>
              <w:left w:val="single" w:sz="4" w:space="0" w:color="7F7F7F"/>
              <w:bottom w:val="single" w:sz="4" w:space="0" w:color="7F7F7F"/>
              <w:right w:val="single" w:sz="4" w:space="0" w:color="7F7F7F"/>
            </w:tcBorders>
            <w:shd w:val="clear" w:color="auto" w:fill="FFF2CC" w:themeFill="accent4" w:themeFillTint="33"/>
            <w:tcMar>
              <w:top w:w="15" w:type="dxa"/>
              <w:left w:w="108" w:type="dxa"/>
              <w:bottom w:w="0" w:type="dxa"/>
              <w:right w:w="108" w:type="dxa"/>
            </w:tcMar>
            <w:vAlign w:val="center"/>
          </w:tcPr>
          <w:p w14:paraId="5A9B42E0" w14:textId="77777777" w:rsidR="00F0460C" w:rsidRPr="009B12F0" w:rsidRDefault="00F0460C" w:rsidP="00F0460C">
            <w:pPr>
              <w:contextualSpacing/>
              <w:jc w:val="center"/>
              <w:rPr>
                <w:rFonts w:cstheme="minorHAnsi"/>
                <w:b/>
                <w:bCs/>
                <w:color w:val="C00000"/>
                <w:sz w:val="18"/>
                <w:szCs w:val="18"/>
              </w:rPr>
            </w:pPr>
            <w:r w:rsidRPr="009B12F0">
              <w:rPr>
                <w:b/>
                <w:bCs/>
                <w:color w:val="FF0000"/>
                <w:sz w:val="18"/>
                <w:szCs w:val="18"/>
              </w:rPr>
              <w:t>-12</w:t>
            </w:r>
          </w:p>
        </w:tc>
        <w:tc>
          <w:tcPr>
            <w:tcW w:w="732"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11616A03" w14:textId="77777777" w:rsidR="00F0460C" w:rsidRPr="009B12F0" w:rsidRDefault="00F0460C" w:rsidP="00F0460C">
            <w:pPr>
              <w:contextualSpacing/>
              <w:jc w:val="center"/>
              <w:rPr>
                <w:rFonts w:cstheme="minorHAnsi"/>
                <w:i/>
                <w:iCs/>
                <w:color w:val="FF0000"/>
                <w:sz w:val="18"/>
                <w:szCs w:val="18"/>
              </w:rPr>
            </w:pPr>
            <w:r w:rsidRPr="009B12F0">
              <w:rPr>
                <w:i/>
                <w:iCs/>
                <w:color w:val="FF0000"/>
                <w:sz w:val="18"/>
                <w:szCs w:val="18"/>
              </w:rPr>
              <w:t>-1%</w:t>
            </w:r>
          </w:p>
        </w:tc>
        <w:tc>
          <w:tcPr>
            <w:tcW w:w="681"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612CB860" w14:textId="77777777" w:rsidR="00F0460C" w:rsidRPr="009B12F0" w:rsidRDefault="00F0460C" w:rsidP="00F0460C">
            <w:pPr>
              <w:contextualSpacing/>
              <w:jc w:val="center"/>
              <w:rPr>
                <w:rFonts w:cstheme="minorHAnsi"/>
                <w:i/>
                <w:iCs/>
                <w:sz w:val="18"/>
                <w:szCs w:val="18"/>
              </w:rPr>
            </w:pPr>
            <w:r w:rsidRPr="009B12F0">
              <w:rPr>
                <w:i/>
                <w:iCs/>
                <w:color w:val="00B050"/>
                <w:sz w:val="18"/>
                <w:szCs w:val="18"/>
              </w:rPr>
              <w:t>0,2%</w:t>
            </w:r>
          </w:p>
        </w:tc>
        <w:tc>
          <w:tcPr>
            <w:tcW w:w="616" w:type="dxa"/>
            <w:tcBorders>
              <w:top w:val="single" w:sz="4" w:space="0" w:color="7F7F7F"/>
              <w:left w:val="single" w:sz="4" w:space="0" w:color="7F7F7F"/>
              <w:bottom w:val="single" w:sz="4" w:space="0" w:color="7F7F7F"/>
              <w:right w:val="single" w:sz="4" w:space="0" w:color="7F7F7F"/>
            </w:tcBorders>
            <w:shd w:val="clear" w:color="auto" w:fill="auto"/>
            <w:tcMar>
              <w:top w:w="15" w:type="dxa"/>
              <w:left w:w="108" w:type="dxa"/>
              <w:bottom w:w="0" w:type="dxa"/>
              <w:right w:w="108" w:type="dxa"/>
            </w:tcMar>
            <w:vAlign w:val="bottom"/>
          </w:tcPr>
          <w:p w14:paraId="0BAA1910" w14:textId="77777777" w:rsidR="00F0460C" w:rsidRPr="009B12F0" w:rsidRDefault="00F0460C" w:rsidP="00F0460C">
            <w:pPr>
              <w:contextualSpacing/>
              <w:jc w:val="center"/>
              <w:rPr>
                <w:rFonts w:cstheme="minorHAnsi"/>
                <w:i/>
                <w:iCs/>
                <w:sz w:val="18"/>
                <w:szCs w:val="18"/>
              </w:rPr>
            </w:pPr>
            <w:r w:rsidRPr="009B12F0">
              <w:rPr>
                <w:i/>
                <w:iCs/>
                <w:color w:val="00B050"/>
                <w:sz w:val="18"/>
                <w:szCs w:val="18"/>
              </w:rPr>
              <w:t>0,1%</w:t>
            </w:r>
          </w:p>
        </w:tc>
        <w:tc>
          <w:tcPr>
            <w:tcW w:w="806" w:type="dxa"/>
            <w:tcBorders>
              <w:top w:val="single" w:sz="4" w:space="0" w:color="7F7F7F"/>
              <w:left w:val="single" w:sz="4" w:space="0" w:color="7F7F7F"/>
              <w:bottom w:val="single" w:sz="4" w:space="0" w:color="7F7F7F"/>
              <w:right w:val="single" w:sz="4" w:space="0" w:color="auto"/>
            </w:tcBorders>
            <w:shd w:val="clear" w:color="auto" w:fill="FFF2CC" w:themeFill="accent4" w:themeFillTint="33"/>
            <w:tcMar>
              <w:top w:w="15" w:type="dxa"/>
              <w:left w:w="108" w:type="dxa"/>
              <w:bottom w:w="0" w:type="dxa"/>
              <w:right w:w="108" w:type="dxa"/>
            </w:tcMar>
            <w:vAlign w:val="bottom"/>
          </w:tcPr>
          <w:p w14:paraId="17903AA7" w14:textId="77777777" w:rsidR="00F0460C" w:rsidRPr="00841DF5" w:rsidRDefault="00F0460C" w:rsidP="00F0460C">
            <w:pPr>
              <w:contextualSpacing/>
              <w:jc w:val="center"/>
              <w:rPr>
                <w:rFonts w:cstheme="minorHAnsi"/>
                <w:b/>
                <w:bCs/>
                <w:i/>
                <w:iCs/>
                <w:color w:val="FF0000"/>
                <w:sz w:val="18"/>
                <w:szCs w:val="18"/>
              </w:rPr>
            </w:pPr>
            <w:r w:rsidRPr="00841DF5">
              <w:rPr>
                <w:b/>
                <w:bCs/>
                <w:i/>
                <w:iCs/>
                <w:color w:val="FF0000"/>
                <w:sz w:val="18"/>
                <w:szCs w:val="18"/>
              </w:rPr>
              <w:t>-0,2%</w:t>
            </w:r>
          </w:p>
        </w:tc>
      </w:tr>
      <w:tr w:rsidR="00F0460C" w:rsidRPr="00E91D56" w14:paraId="79816903" w14:textId="77777777" w:rsidTr="000803FC">
        <w:trPr>
          <w:trHeight w:val="50"/>
        </w:trPr>
        <w:tc>
          <w:tcPr>
            <w:tcW w:w="1135" w:type="dxa"/>
            <w:tcBorders>
              <w:top w:val="single" w:sz="4" w:space="0" w:color="7F7F7F"/>
              <w:left w:val="single" w:sz="4" w:space="0" w:color="auto"/>
              <w:bottom w:val="single" w:sz="4" w:space="0" w:color="auto"/>
              <w:right w:val="single" w:sz="4" w:space="0" w:color="7F7F7F"/>
            </w:tcBorders>
            <w:shd w:val="clear" w:color="auto" w:fill="FFFFFF"/>
            <w:tcMar>
              <w:top w:w="15" w:type="dxa"/>
              <w:left w:w="108" w:type="dxa"/>
              <w:bottom w:w="0" w:type="dxa"/>
              <w:right w:w="108" w:type="dxa"/>
            </w:tcMar>
            <w:vAlign w:val="bottom"/>
          </w:tcPr>
          <w:p w14:paraId="56CDC6EF" w14:textId="77777777" w:rsidR="00F0460C" w:rsidRPr="00E91D56" w:rsidRDefault="00F0460C" w:rsidP="00F0460C">
            <w:pPr>
              <w:contextualSpacing/>
              <w:jc w:val="center"/>
              <w:rPr>
                <w:rFonts w:cstheme="minorHAnsi"/>
                <w:sz w:val="18"/>
                <w:szCs w:val="18"/>
              </w:rPr>
            </w:pPr>
            <w:r w:rsidRPr="00E91D56">
              <w:rPr>
                <w:rFonts w:cstheme="minorHAnsi"/>
                <w:sz w:val="18"/>
                <w:szCs w:val="18"/>
              </w:rPr>
              <w:t>8 000</w:t>
            </w:r>
          </w:p>
        </w:tc>
        <w:tc>
          <w:tcPr>
            <w:tcW w:w="708" w:type="dxa"/>
            <w:tcBorders>
              <w:top w:val="single" w:sz="4" w:space="0" w:color="7F7F7F"/>
              <w:left w:val="single" w:sz="4" w:space="0" w:color="7F7F7F"/>
              <w:bottom w:val="single" w:sz="4" w:space="0" w:color="auto"/>
              <w:right w:val="single" w:sz="4" w:space="0" w:color="7F7F7F"/>
            </w:tcBorders>
            <w:shd w:val="clear" w:color="auto" w:fill="D9D9D9" w:themeFill="background1" w:themeFillShade="D9"/>
            <w:tcMar>
              <w:top w:w="15" w:type="dxa"/>
              <w:left w:w="108" w:type="dxa"/>
              <w:bottom w:w="0" w:type="dxa"/>
              <w:right w:w="108" w:type="dxa"/>
            </w:tcMar>
            <w:vAlign w:val="bottom"/>
          </w:tcPr>
          <w:p w14:paraId="2F55A481" w14:textId="77777777" w:rsidR="00F0460C" w:rsidRPr="00B34B9D" w:rsidRDefault="00F0460C" w:rsidP="00F0460C">
            <w:pPr>
              <w:contextualSpacing/>
              <w:jc w:val="center"/>
              <w:rPr>
                <w:rFonts w:cstheme="minorHAnsi"/>
                <w:sz w:val="18"/>
                <w:szCs w:val="18"/>
              </w:rPr>
            </w:pPr>
            <w:r w:rsidRPr="00B34B9D">
              <w:rPr>
                <w:color w:val="000000"/>
                <w:sz w:val="18"/>
                <w:szCs w:val="18"/>
              </w:rPr>
              <w:t>5 638</w:t>
            </w:r>
          </w:p>
        </w:tc>
        <w:tc>
          <w:tcPr>
            <w:tcW w:w="709" w:type="dxa"/>
            <w:tcBorders>
              <w:top w:val="single" w:sz="4" w:space="0" w:color="7F7F7F"/>
              <w:left w:val="single" w:sz="4" w:space="0" w:color="7F7F7F"/>
              <w:bottom w:val="single" w:sz="4" w:space="0" w:color="auto"/>
              <w:right w:val="single" w:sz="4" w:space="0" w:color="7F7F7F"/>
            </w:tcBorders>
            <w:shd w:val="clear" w:color="auto" w:fill="FFFFFF"/>
            <w:tcMar>
              <w:top w:w="15" w:type="dxa"/>
              <w:left w:w="108" w:type="dxa"/>
              <w:bottom w:w="0" w:type="dxa"/>
              <w:right w:w="108" w:type="dxa"/>
            </w:tcMar>
            <w:vAlign w:val="bottom"/>
          </w:tcPr>
          <w:p w14:paraId="0394AF00" w14:textId="77777777" w:rsidR="00F0460C" w:rsidRPr="00B34B9D" w:rsidRDefault="00F0460C" w:rsidP="00F0460C">
            <w:pPr>
              <w:contextualSpacing/>
              <w:jc w:val="center"/>
              <w:rPr>
                <w:rFonts w:cstheme="minorHAnsi"/>
                <w:sz w:val="18"/>
                <w:szCs w:val="18"/>
              </w:rPr>
            </w:pPr>
            <w:r w:rsidRPr="00B34B9D">
              <w:rPr>
                <w:color w:val="000000"/>
                <w:sz w:val="18"/>
                <w:szCs w:val="18"/>
              </w:rPr>
              <w:t>5 592</w:t>
            </w:r>
          </w:p>
        </w:tc>
        <w:tc>
          <w:tcPr>
            <w:tcW w:w="709" w:type="dxa"/>
            <w:tcBorders>
              <w:top w:val="single" w:sz="4" w:space="0" w:color="7F7F7F"/>
              <w:left w:val="single" w:sz="4" w:space="0" w:color="7F7F7F"/>
              <w:bottom w:val="single" w:sz="4" w:space="0" w:color="auto"/>
              <w:right w:val="single" w:sz="4" w:space="0" w:color="7F7F7F"/>
            </w:tcBorders>
            <w:shd w:val="clear" w:color="auto" w:fill="FFFFFF"/>
            <w:tcMar>
              <w:top w:w="15" w:type="dxa"/>
              <w:left w:w="108" w:type="dxa"/>
              <w:bottom w:w="0" w:type="dxa"/>
              <w:right w:w="108" w:type="dxa"/>
            </w:tcMar>
            <w:vAlign w:val="bottom"/>
          </w:tcPr>
          <w:p w14:paraId="7A0A4712" w14:textId="77777777" w:rsidR="00F0460C" w:rsidRPr="00B34B9D" w:rsidRDefault="00F0460C" w:rsidP="00F0460C">
            <w:pPr>
              <w:contextualSpacing/>
              <w:jc w:val="center"/>
              <w:rPr>
                <w:rFonts w:cstheme="minorHAnsi"/>
                <w:sz w:val="18"/>
                <w:szCs w:val="18"/>
              </w:rPr>
            </w:pPr>
            <w:r w:rsidRPr="00B34B9D">
              <w:rPr>
                <w:color w:val="000000"/>
                <w:sz w:val="18"/>
                <w:szCs w:val="18"/>
              </w:rPr>
              <w:t>5 602</w:t>
            </w:r>
          </w:p>
        </w:tc>
        <w:tc>
          <w:tcPr>
            <w:tcW w:w="709" w:type="dxa"/>
            <w:tcBorders>
              <w:top w:val="single" w:sz="4" w:space="0" w:color="7F7F7F"/>
              <w:left w:val="single" w:sz="4" w:space="0" w:color="7F7F7F"/>
              <w:bottom w:val="single" w:sz="4" w:space="0" w:color="auto"/>
              <w:right w:val="single" w:sz="4" w:space="0" w:color="7F7F7F"/>
            </w:tcBorders>
            <w:shd w:val="clear" w:color="auto" w:fill="FFFFFF"/>
            <w:tcMar>
              <w:top w:w="15" w:type="dxa"/>
              <w:left w:w="108" w:type="dxa"/>
              <w:bottom w:w="0" w:type="dxa"/>
              <w:right w:w="108" w:type="dxa"/>
            </w:tcMar>
            <w:vAlign w:val="bottom"/>
          </w:tcPr>
          <w:p w14:paraId="775586F4" w14:textId="77777777" w:rsidR="00F0460C" w:rsidRPr="00B34B9D" w:rsidRDefault="00F0460C" w:rsidP="00F0460C">
            <w:pPr>
              <w:contextualSpacing/>
              <w:jc w:val="center"/>
              <w:rPr>
                <w:rFonts w:cstheme="minorHAnsi"/>
                <w:sz w:val="18"/>
                <w:szCs w:val="18"/>
              </w:rPr>
            </w:pPr>
            <w:r w:rsidRPr="00B34B9D">
              <w:rPr>
                <w:color w:val="000000"/>
                <w:sz w:val="18"/>
                <w:szCs w:val="18"/>
              </w:rPr>
              <w:t>5 607</w:t>
            </w:r>
          </w:p>
        </w:tc>
        <w:tc>
          <w:tcPr>
            <w:tcW w:w="708" w:type="dxa"/>
            <w:tcBorders>
              <w:top w:val="single" w:sz="4" w:space="0" w:color="7F7F7F"/>
              <w:left w:val="single" w:sz="4" w:space="0" w:color="7F7F7F"/>
              <w:bottom w:val="single" w:sz="4" w:space="0" w:color="auto"/>
              <w:right w:val="single" w:sz="4" w:space="0" w:color="7F7F7F"/>
            </w:tcBorders>
            <w:shd w:val="clear" w:color="auto" w:fill="auto"/>
            <w:tcMar>
              <w:top w:w="15" w:type="dxa"/>
              <w:left w:w="108" w:type="dxa"/>
              <w:bottom w:w="0" w:type="dxa"/>
              <w:right w:w="108" w:type="dxa"/>
            </w:tcMar>
            <w:vAlign w:val="center"/>
          </w:tcPr>
          <w:p w14:paraId="272743F1" w14:textId="77777777" w:rsidR="00F0460C" w:rsidRPr="00B34B9D" w:rsidRDefault="00F0460C" w:rsidP="00F0460C">
            <w:pPr>
              <w:contextualSpacing/>
              <w:jc w:val="center"/>
              <w:rPr>
                <w:color w:val="C00000"/>
                <w:sz w:val="18"/>
                <w:szCs w:val="18"/>
              </w:rPr>
            </w:pPr>
            <w:r w:rsidRPr="00B34B9D">
              <w:rPr>
                <w:color w:val="FF0000"/>
                <w:sz w:val="18"/>
                <w:szCs w:val="18"/>
              </w:rPr>
              <w:t>-46</w:t>
            </w:r>
          </w:p>
        </w:tc>
        <w:tc>
          <w:tcPr>
            <w:tcW w:w="709" w:type="dxa"/>
            <w:tcBorders>
              <w:top w:val="single" w:sz="4" w:space="0" w:color="7F7F7F"/>
              <w:left w:val="single" w:sz="4" w:space="0" w:color="7F7F7F"/>
              <w:bottom w:val="single" w:sz="4" w:space="0" w:color="auto"/>
              <w:right w:val="single" w:sz="4" w:space="0" w:color="7F7F7F"/>
            </w:tcBorders>
            <w:shd w:val="clear" w:color="auto" w:fill="auto"/>
            <w:tcMar>
              <w:top w:w="15" w:type="dxa"/>
              <w:left w:w="108" w:type="dxa"/>
              <w:bottom w:w="0" w:type="dxa"/>
              <w:right w:w="108" w:type="dxa"/>
            </w:tcMar>
            <w:vAlign w:val="center"/>
          </w:tcPr>
          <w:p w14:paraId="28662D6C" w14:textId="77777777" w:rsidR="00F0460C" w:rsidRPr="00B34B9D" w:rsidRDefault="00F0460C" w:rsidP="00F0460C">
            <w:pPr>
              <w:contextualSpacing/>
              <w:jc w:val="center"/>
              <w:rPr>
                <w:color w:val="00B050"/>
                <w:sz w:val="18"/>
                <w:szCs w:val="18"/>
              </w:rPr>
            </w:pPr>
            <w:r>
              <w:rPr>
                <w:color w:val="00B050"/>
                <w:sz w:val="18"/>
                <w:szCs w:val="18"/>
              </w:rPr>
              <w:t>+</w:t>
            </w:r>
            <w:r w:rsidRPr="00B34B9D">
              <w:rPr>
                <w:color w:val="00B050"/>
                <w:sz w:val="18"/>
                <w:szCs w:val="18"/>
              </w:rPr>
              <w:t>10</w:t>
            </w:r>
          </w:p>
        </w:tc>
        <w:tc>
          <w:tcPr>
            <w:tcW w:w="709" w:type="dxa"/>
            <w:tcBorders>
              <w:top w:val="single" w:sz="4" w:space="0" w:color="7F7F7F"/>
              <w:left w:val="single" w:sz="4" w:space="0" w:color="7F7F7F"/>
              <w:bottom w:val="single" w:sz="4" w:space="0" w:color="auto"/>
              <w:right w:val="single" w:sz="4" w:space="0" w:color="7F7F7F"/>
            </w:tcBorders>
            <w:shd w:val="clear" w:color="auto" w:fill="auto"/>
            <w:tcMar>
              <w:top w:w="15" w:type="dxa"/>
              <w:left w:w="108" w:type="dxa"/>
              <w:bottom w:w="0" w:type="dxa"/>
              <w:right w:w="108" w:type="dxa"/>
            </w:tcMar>
            <w:vAlign w:val="center"/>
          </w:tcPr>
          <w:p w14:paraId="72E95CE7" w14:textId="77777777" w:rsidR="00F0460C" w:rsidRPr="00B34B9D" w:rsidRDefault="00F0460C" w:rsidP="00F0460C">
            <w:pPr>
              <w:contextualSpacing/>
              <w:jc w:val="center"/>
              <w:rPr>
                <w:color w:val="00B050"/>
                <w:sz w:val="18"/>
                <w:szCs w:val="18"/>
              </w:rPr>
            </w:pPr>
            <w:r>
              <w:rPr>
                <w:color w:val="00B050"/>
                <w:sz w:val="18"/>
                <w:szCs w:val="18"/>
              </w:rPr>
              <w:t>+</w:t>
            </w:r>
            <w:r w:rsidRPr="00B34B9D">
              <w:rPr>
                <w:color w:val="00B050"/>
                <w:sz w:val="18"/>
                <w:szCs w:val="18"/>
              </w:rPr>
              <w:t>5</w:t>
            </w:r>
          </w:p>
        </w:tc>
        <w:tc>
          <w:tcPr>
            <w:tcW w:w="850" w:type="dxa"/>
            <w:tcBorders>
              <w:top w:val="single" w:sz="4" w:space="0" w:color="7F7F7F"/>
              <w:left w:val="single" w:sz="4" w:space="0" w:color="7F7F7F"/>
              <w:bottom w:val="single" w:sz="4" w:space="0" w:color="auto"/>
              <w:right w:val="single" w:sz="4" w:space="0" w:color="7F7F7F"/>
            </w:tcBorders>
            <w:shd w:val="clear" w:color="auto" w:fill="FFF2CC" w:themeFill="accent4" w:themeFillTint="33"/>
            <w:tcMar>
              <w:top w:w="15" w:type="dxa"/>
              <w:left w:w="108" w:type="dxa"/>
              <w:bottom w:w="0" w:type="dxa"/>
              <w:right w:w="108" w:type="dxa"/>
            </w:tcMar>
            <w:vAlign w:val="center"/>
          </w:tcPr>
          <w:p w14:paraId="7D9DED7F" w14:textId="77777777" w:rsidR="00F0460C" w:rsidRPr="009B12F0" w:rsidRDefault="00F0460C" w:rsidP="00F0460C">
            <w:pPr>
              <w:contextualSpacing/>
              <w:jc w:val="center"/>
              <w:rPr>
                <w:b/>
                <w:bCs/>
                <w:color w:val="C00000"/>
                <w:sz w:val="18"/>
                <w:szCs w:val="18"/>
              </w:rPr>
            </w:pPr>
            <w:r w:rsidRPr="009B12F0">
              <w:rPr>
                <w:b/>
                <w:bCs/>
                <w:color w:val="FF0000"/>
                <w:sz w:val="18"/>
                <w:szCs w:val="18"/>
              </w:rPr>
              <w:t>-31</w:t>
            </w:r>
          </w:p>
        </w:tc>
        <w:tc>
          <w:tcPr>
            <w:tcW w:w="732" w:type="dxa"/>
            <w:tcBorders>
              <w:top w:val="single" w:sz="4" w:space="0" w:color="7F7F7F"/>
              <w:left w:val="single" w:sz="4" w:space="0" w:color="7F7F7F"/>
              <w:bottom w:val="single" w:sz="4" w:space="0" w:color="auto"/>
              <w:right w:val="single" w:sz="4" w:space="0" w:color="7F7F7F"/>
            </w:tcBorders>
            <w:shd w:val="clear" w:color="auto" w:fill="auto"/>
            <w:tcMar>
              <w:top w:w="15" w:type="dxa"/>
              <w:left w:w="108" w:type="dxa"/>
              <w:bottom w:w="0" w:type="dxa"/>
              <w:right w:w="108" w:type="dxa"/>
            </w:tcMar>
            <w:vAlign w:val="bottom"/>
          </w:tcPr>
          <w:p w14:paraId="2EAD0A6A" w14:textId="77777777" w:rsidR="00F0460C" w:rsidRPr="009B12F0" w:rsidRDefault="00F0460C" w:rsidP="00F0460C">
            <w:pPr>
              <w:contextualSpacing/>
              <w:jc w:val="center"/>
              <w:rPr>
                <w:rFonts w:cstheme="minorHAnsi"/>
                <w:i/>
                <w:iCs/>
                <w:color w:val="FF0000"/>
                <w:sz w:val="18"/>
                <w:szCs w:val="18"/>
              </w:rPr>
            </w:pPr>
            <w:r w:rsidRPr="009B12F0">
              <w:rPr>
                <w:i/>
                <w:iCs/>
                <w:color w:val="FF0000"/>
                <w:sz w:val="18"/>
                <w:szCs w:val="18"/>
              </w:rPr>
              <w:t>-1%</w:t>
            </w:r>
          </w:p>
        </w:tc>
        <w:tc>
          <w:tcPr>
            <w:tcW w:w="681" w:type="dxa"/>
            <w:tcBorders>
              <w:top w:val="single" w:sz="4" w:space="0" w:color="7F7F7F"/>
              <w:left w:val="single" w:sz="4" w:space="0" w:color="7F7F7F"/>
              <w:bottom w:val="single" w:sz="4" w:space="0" w:color="auto"/>
              <w:right w:val="single" w:sz="4" w:space="0" w:color="7F7F7F"/>
            </w:tcBorders>
            <w:shd w:val="clear" w:color="auto" w:fill="auto"/>
            <w:tcMar>
              <w:top w:w="15" w:type="dxa"/>
              <w:left w:w="108" w:type="dxa"/>
              <w:bottom w:w="0" w:type="dxa"/>
              <w:right w:w="108" w:type="dxa"/>
            </w:tcMar>
            <w:vAlign w:val="bottom"/>
          </w:tcPr>
          <w:p w14:paraId="3F753FED" w14:textId="77777777" w:rsidR="00F0460C" w:rsidRPr="009B12F0" w:rsidRDefault="00F0460C" w:rsidP="00F0460C">
            <w:pPr>
              <w:contextualSpacing/>
              <w:jc w:val="center"/>
              <w:rPr>
                <w:rFonts w:cstheme="minorHAnsi"/>
                <w:i/>
                <w:iCs/>
                <w:sz w:val="18"/>
                <w:szCs w:val="18"/>
              </w:rPr>
            </w:pPr>
            <w:r w:rsidRPr="009B12F0">
              <w:rPr>
                <w:i/>
                <w:iCs/>
                <w:color w:val="00B050"/>
                <w:sz w:val="18"/>
                <w:szCs w:val="18"/>
              </w:rPr>
              <w:t>0,2%</w:t>
            </w:r>
          </w:p>
        </w:tc>
        <w:tc>
          <w:tcPr>
            <w:tcW w:w="616" w:type="dxa"/>
            <w:tcBorders>
              <w:top w:val="single" w:sz="4" w:space="0" w:color="7F7F7F"/>
              <w:left w:val="single" w:sz="4" w:space="0" w:color="7F7F7F"/>
              <w:bottom w:val="single" w:sz="4" w:space="0" w:color="auto"/>
              <w:right w:val="single" w:sz="4" w:space="0" w:color="7F7F7F"/>
            </w:tcBorders>
            <w:shd w:val="clear" w:color="auto" w:fill="auto"/>
            <w:tcMar>
              <w:top w:w="15" w:type="dxa"/>
              <w:left w:w="108" w:type="dxa"/>
              <w:bottom w:w="0" w:type="dxa"/>
              <w:right w:w="108" w:type="dxa"/>
            </w:tcMar>
            <w:vAlign w:val="bottom"/>
          </w:tcPr>
          <w:p w14:paraId="10224283" w14:textId="77777777" w:rsidR="00F0460C" w:rsidRPr="009B12F0" w:rsidRDefault="00F0460C" w:rsidP="00F0460C">
            <w:pPr>
              <w:contextualSpacing/>
              <w:jc w:val="center"/>
              <w:rPr>
                <w:rFonts w:cstheme="minorHAnsi"/>
                <w:i/>
                <w:iCs/>
                <w:sz w:val="18"/>
                <w:szCs w:val="18"/>
              </w:rPr>
            </w:pPr>
            <w:r w:rsidRPr="009B12F0">
              <w:rPr>
                <w:i/>
                <w:iCs/>
                <w:color w:val="00B050"/>
                <w:sz w:val="18"/>
                <w:szCs w:val="18"/>
              </w:rPr>
              <w:t>0,1%</w:t>
            </w:r>
          </w:p>
        </w:tc>
        <w:tc>
          <w:tcPr>
            <w:tcW w:w="806" w:type="dxa"/>
            <w:tcBorders>
              <w:top w:val="single" w:sz="4" w:space="0" w:color="7F7F7F"/>
              <w:left w:val="single" w:sz="4" w:space="0" w:color="7F7F7F"/>
              <w:bottom w:val="single" w:sz="4" w:space="0" w:color="auto"/>
              <w:right w:val="single" w:sz="4" w:space="0" w:color="auto"/>
            </w:tcBorders>
            <w:shd w:val="clear" w:color="auto" w:fill="FFF2CC" w:themeFill="accent4" w:themeFillTint="33"/>
            <w:tcMar>
              <w:top w:w="15" w:type="dxa"/>
              <w:left w:w="108" w:type="dxa"/>
              <w:bottom w:w="0" w:type="dxa"/>
              <w:right w:w="108" w:type="dxa"/>
            </w:tcMar>
            <w:vAlign w:val="bottom"/>
          </w:tcPr>
          <w:p w14:paraId="0D5E6626" w14:textId="77777777" w:rsidR="00F0460C" w:rsidRPr="00841DF5" w:rsidRDefault="00F0460C" w:rsidP="00F0460C">
            <w:pPr>
              <w:contextualSpacing/>
              <w:jc w:val="center"/>
              <w:rPr>
                <w:rFonts w:cstheme="minorHAnsi"/>
                <w:b/>
                <w:bCs/>
                <w:i/>
                <w:iCs/>
                <w:color w:val="FF0000"/>
                <w:sz w:val="18"/>
                <w:szCs w:val="18"/>
              </w:rPr>
            </w:pPr>
            <w:r w:rsidRPr="00841DF5">
              <w:rPr>
                <w:b/>
                <w:bCs/>
                <w:i/>
                <w:iCs/>
                <w:color w:val="FF0000"/>
                <w:sz w:val="18"/>
                <w:szCs w:val="18"/>
              </w:rPr>
              <w:t>-1%</w:t>
            </w:r>
          </w:p>
        </w:tc>
      </w:tr>
    </w:tbl>
    <w:p w14:paraId="74A6948B" w14:textId="77777777" w:rsidR="00546202" w:rsidRPr="00AD7A5D" w:rsidRDefault="00546202" w:rsidP="00546202">
      <w:pPr>
        <w:spacing w:before="60"/>
        <w:jc w:val="both"/>
        <w:rPr>
          <w:sz w:val="16"/>
          <w:szCs w:val="16"/>
          <w:shd w:val="clear" w:color="auto" w:fill="FFFFFF"/>
        </w:rPr>
      </w:pPr>
      <w:r w:rsidRPr="00AD7A5D">
        <w:rPr>
          <w:i/>
          <w:iCs/>
          <w:sz w:val="16"/>
          <w:szCs w:val="16"/>
          <w:shd w:val="clear" w:color="auto" w:fill="FFFFFF"/>
        </w:rPr>
        <w:t xml:space="preserve">*Minimālā darba alga (MA): 2025.g. – </w:t>
      </w:r>
      <w:r w:rsidRPr="00AD7A5D">
        <w:rPr>
          <w:i/>
          <w:iCs/>
          <w:color w:val="C00000"/>
          <w:sz w:val="16"/>
          <w:szCs w:val="16"/>
          <w:shd w:val="clear" w:color="auto" w:fill="FFFFFF"/>
        </w:rPr>
        <w:t xml:space="preserve">740 </w:t>
      </w:r>
      <w:r w:rsidRPr="00AD7A5D">
        <w:rPr>
          <w:i/>
          <w:iCs/>
          <w:sz w:val="16"/>
          <w:szCs w:val="16"/>
          <w:shd w:val="clear" w:color="auto" w:fill="FFFFFF"/>
        </w:rPr>
        <w:t xml:space="preserve">euro mēnesī, 2026.g. – </w:t>
      </w:r>
      <w:r w:rsidRPr="00AD7A5D">
        <w:rPr>
          <w:i/>
          <w:iCs/>
          <w:color w:val="C00000"/>
          <w:sz w:val="16"/>
          <w:szCs w:val="16"/>
          <w:shd w:val="clear" w:color="auto" w:fill="FFFFFF"/>
        </w:rPr>
        <w:t xml:space="preserve">780 </w:t>
      </w:r>
      <w:r w:rsidRPr="00AD7A5D">
        <w:rPr>
          <w:i/>
          <w:iCs/>
          <w:sz w:val="16"/>
          <w:szCs w:val="16"/>
          <w:shd w:val="clear" w:color="auto" w:fill="FFFFFF"/>
        </w:rPr>
        <w:t xml:space="preserve">euro mēnesī, 2027.g. – </w:t>
      </w:r>
      <w:r w:rsidRPr="00AD7A5D">
        <w:rPr>
          <w:i/>
          <w:iCs/>
          <w:color w:val="C00000"/>
          <w:sz w:val="16"/>
          <w:szCs w:val="16"/>
          <w:shd w:val="clear" w:color="auto" w:fill="FFFFFF"/>
        </w:rPr>
        <w:t xml:space="preserve">820 </w:t>
      </w:r>
      <w:r w:rsidRPr="00AD7A5D">
        <w:rPr>
          <w:i/>
          <w:iCs/>
          <w:sz w:val="16"/>
          <w:szCs w:val="16"/>
          <w:shd w:val="clear" w:color="auto" w:fill="FFFFFF"/>
        </w:rPr>
        <w:t>euro mēnesī.</w:t>
      </w:r>
    </w:p>
    <w:p w14:paraId="359D8D76" w14:textId="74A07E17" w:rsidR="00546202" w:rsidRPr="00AD7A5D" w:rsidRDefault="00546202" w:rsidP="00546202">
      <w:pPr>
        <w:spacing w:before="40"/>
        <w:jc w:val="both"/>
        <w:rPr>
          <w:bCs/>
          <w:color w:val="000000" w:themeColor="text1"/>
          <w:sz w:val="22"/>
          <w:szCs w:val="24"/>
          <w:shd w:val="clear" w:color="auto" w:fill="FFFFFF"/>
        </w:rPr>
      </w:pPr>
      <w:r w:rsidRPr="00AD7A5D">
        <w:rPr>
          <w:rFonts w:cs="Times New Roman"/>
          <w:b/>
          <w:bCs/>
          <w:i/>
          <w:iCs/>
          <w:sz w:val="18"/>
          <w:szCs w:val="18"/>
        </w:rPr>
        <w:t>Avots</w:t>
      </w:r>
      <w:r w:rsidRPr="00AD7A5D">
        <w:rPr>
          <w:rFonts w:cs="Times New Roman"/>
          <w:i/>
          <w:iCs/>
          <w:sz w:val="18"/>
          <w:szCs w:val="18"/>
        </w:rPr>
        <w:t xml:space="preserve">: </w:t>
      </w:r>
      <w:r w:rsidR="00F0460C">
        <w:rPr>
          <w:rFonts w:cs="Times New Roman"/>
          <w:i/>
          <w:iCs/>
          <w:sz w:val="18"/>
          <w:szCs w:val="18"/>
        </w:rPr>
        <w:t>FM</w:t>
      </w:r>
      <w:r w:rsidRPr="00AD7A5D">
        <w:rPr>
          <w:rFonts w:cs="Times New Roman"/>
          <w:i/>
          <w:iCs/>
          <w:sz w:val="18"/>
          <w:szCs w:val="18"/>
        </w:rPr>
        <w:t xml:space="preserve"> aprēķini. </w:t>
      </w:r>
    </w:p>
    <w:p w14:paraId="078FDF3F" w14:textId="77777777" w:rsidR="00FF1FE7" w:rsidRDefault="00FF1FE7" w:rsidP="00FF1FE7">
      <w:pPr>
        <w:ind w:firstLine="567"/>
        <w:jc w:val="both"/>
        <w:rPr>
          <w:bCs/>
          <w:szCs w:val="26"/>
          <w:shd w:val="clear" w:color="auto" w:fill="FFFFFF"/>
        </w:rPr>
      </w:pPr>
    </w:p>
    <w:p w14:paraId="45866909" w14:textId="507E11D3" w:rsidR="00A12970" w:rsidRPr="007E6E08" w:rsidRDefault="00A12970" w:rsidP="00FF1FE7">
      <w:pPr>
        <w:ind w:firstLine="567"/>
        <w:jc w:val="both"/>
        <w:rPr>
          <w:rFonts w:cs="Times New Roman"/>
          <w:b/>
          <w:bCs/>
          <w:szCs w:val="24"/>
        </w:rPr>
      </w:pPr>
      <w:r>
        <w:rPr>
          <w:bCs/>
          <w:szCs w:val="26"/>
          <w:shd w:val="clear" w:color="auto" w:fill="FFFFFF"/>
        </w:rPr>
        <w:t>6.</w:t>
      </w:r>
      <w:r w:rsidR="007E6E08">
        <w:rPr>
          <w:bCs/>
          <w:szCs w:val="26"/>
          <w:shd w:val="clear" w:color="auto" w:fill="FFFFFF"/>
        </w:rPr>
        <w:t> </w:t>
      </w:r>
      <w:r>
        <w:rPr>
          <w:bCs/>
          <w:szCs w:val="26"/>
          <w:shd w:val="clear" w:color="auto" w:fill="FFFFFF"/>
        </w:rPr>
        <w:t xml:space="preserve">tabulā redzams kā mainās </w:t>
      </w:r>
      <w:r w:rsidR="00546202">
        <w:t>darba devēja kopējās izmaksas</w:t>
      </w:r>
      <w:r w:rsidR="00546202" w:rsidRPr="00AC1782">
        <w:rPr>
          <w:bCs/>
          <w:szCs w:val="26"/>
          <w:shd w:val="clear" w:color="auto" w:fill="FFFFFF"/>
        </w:rPr>
        <w:t>, j</w:t>
      </w:r>
      <w:r>
        <w:rPr>
          <w:bCs/>
          <w:szCs w:val="26"/>
          <w:shd w:val="clear" w:color="auto" w:fill="FFFFFF"/>
        </w:rPr>
        <w:t>a</w:t>
      </w:r>
      <w:r w:rsidRPr="00A12970">
        <w:rPr>
          <w:rFonts w:cstheme="minorHAnsi"/>
          <w:i/>
          <w:iCs/>
          <w:color w:val="000000" w:themeColor="text1"/>
          <w:sz w:val="16"/>
          <w:szCs w:val="16"/>
        </w:rPr>
        <w:t xml:space="preserve"> </w:t>
      </w:r>
      <w:r>
        <w:rPr>
          <w:rFonts w:cstheme="minorHAnsi"/>
          <w:color w:val="000000" w:themeColor="text1"/>
          <w:szCs w:val="24"/>
        </w:rPr>
        <w:t>p</w:t>
      </w:r>
      <w:r w:rsidRPr="00A12970">
        <w:rPr>
          <w:rFonts w:cstheme="minorHAnsi"/>
          <w:color w:val="000000" w:themeColor="text1"/>
          <w:szCs w:val="24"/>
        </w:rPr>
        <w:t xml:space="preserve">ieņem, ka </w:t>
      </w:r>
      <w:r>
        <w:rPr>
          <w:rFonts w:cstheme="minorHAnsi"/>
          <w:color w:val="000000" w:themeColor="text1"/>
          <w:szCs w:val="24"/>
        </w:rPr>
        <w:t xml:space="preserve">darba ņēmēja neto alga paliek nemainīga. Te gan jāmin, ka </w:t>
      </w:r>
      <w:r>
        <w:t>darba devēja kopējās izmaksas</w:t>
      </w:r>
      <w:r>
        <w:rPr>
          <w:rFonts w:cstheme="minorHAnsi"/>
          <w:color w:val="000000" w:themeColor="text1"/>
          <w:szCs w:val="24"/>
        </w:rPr>
        <w:t xml:space="preserve"> </w:t>
      </w:r>
      <w:r w:rsidRPr="00A12970">
        <w:rPr>
          <w:rFonts w:cstheme="minorHAnsi"/>
          <w:color w:val="000000" w:themeColor="text1"/>
          <w:szCs w:val="24"/>
        </w:rPr>
        <w:t>pieaug</w:t>
      </w:r>
      <w:r>
        <w:rPr>
          <w:rFonts w:cstheme="minorHAnsi"/>
          <w:color w:val="000000" w:themeColor="text1"/>
          <w:szCs w:val="24"/>
        </w:rPr>
        <w:t>, ne tikai IIN likmes izmaiņu rezultātā</w:t>
      </w:r>
      <w:r w:rsidR="00176A65">
        <w:rPr>
          <w:rFonts w:cstheme="minorHAnsi"/>
          <w:color w:val="000000" w:themeColor="text1"/>
          <w:szCs w:val="24"/>
        </w:rPr>
        <w:t xml:space="preserve">. </w:t>
      </w:r>
      <w:r w:rsidR="00176A65" w:rsidRPr="00CF5E9C">
        <w:rPr>
          <w:rFonts w:cstheme="minorHAnsi"/>
          <w:color w:val="000000" w:themeColor="text1"/>
          <w:szCs w:val="24"/>
        </w:rPr>
        <w:t xml:space="preserve">Paralēli </w:t>
      </w:r>
      <w:r w:rsidR="001B1642" w:rsidRPr="00CF5E9C">
        <w:rPr>
          <w:rFonts w:cstheme="minorHAnsi"/>
          <w:color w:val="000000" w:themeColor="text1"/>
          <w:szCs w:val="24"/>
        </w:rPr>
        <w:t xml:space="preserve">tiek </w:t>
      </w:r>
      <w:r w:rsidR="007E6E08" w:rsidRPr="00CF5E9C">
        <w:rPr>
          <w:rFonts w:cstheme="minorHAnsi"/>
          <w:color w:val="000000" w:themeColor="text1"/>
          <w:szCs w:val="24"/>
        </w:rPr>
        <w:t>virz</w:t>
      </w:r>
      <w:r w:rsidR="001B1642" w:rsidRPr="00CF5E9C">
        <w:rPr>
          <w:rFonts w:cstheme="minorHAnsi"/>
          <w:color w:val="000000" w:themeColor="text1"/>
          <w:szCs w:val="24"/>
        </w:rPr>
        <w:t>īti</w:t>
      </w:r>
      <w:r w:rsidR="007E6E08" w:rsidRPr="00CF5E9C">
        <w:rPr>
          <w:rFonts w:cstheme="minorHAnsi"/>
          <w:color w:val="000000" w:themeColor="text1"/>
          <w:szCs w:val="24"/>
        </w:rPr>
        <w:t xml:space="preserve"> grozījum</w:t>
      </w:r>
      <w:r w:rsidR="001B1642" w:rsidRPr="00CF5E9C">
        <w:rPr>
          <w:rFonts w:cstheme="minorHAnsi"/>
          <w:color w:val="000000" w:themeColor="text1"/>
          <w:szCs w:val="24"/>
        </w:rPr>
        <w:t>i</w:t>
      </w:r>
      <w:r w:rsidR="007E6E08" w:rsidRPr="00CF5E9C">
        <w:rPr>
          <w:rFonts w:cstheme="minorHAnsi"/>
          <w:color w:val="000000" w:themeColor="text1"/>
          <w:szCs w:val="24"/>
        </w:rPr>
        <w:t xml:space="preserve"> likumā “</w:t>
      </w:r>
      <w:r w:rsidR="007E6E08" w:rsidRPr="00CF5E9C">
        <w:rPr>
          <w:rFonts w:cstheme="minorHAnsi"/>
          <w:i/>
          <w:iCs/>
          <w:color w:val="000000" w:themeColor="text1"/>
          <w:szCs w:val="24"/>
        </w:rPr>
        <w:t>Par valsts sociālo apdrošināšanu</w:t>
      </w:r>
      <w:r w:rsidR="007E6E08" w:rsidRPr="00CF5E9C">
        <w:rPr>
          <w:rFonts w:cstheme="minorHAnsi"/>
          <w:color w:val="000000" w:themeColor="text1"/>
          <w:szCs w:val="24"/>
        </w:rPr>
        <w:t>”</w:t>
      </w:r>
      <w:r w:rsidR="007E6E08" w:rsidRPr="00CF5E9C">
        <w:rPr>
          <w:rStyle w:val="FootnoteReference"/>
          <w:rFonts w:cstheme="minorHAnsi"/>
          <w:color w:val="000000" w:themeColor="text1"/>
          <w:szCs w:val="24"/>
        </w:rPr>
        <w:footnoteReference w:id="3"/>
      </w:r>
      <w:r w:rsidR="007E6E08" w:rsidRPr="00CF5E9C">
        <w:rPr>
          <w:rFonts w:cstheme="minorHAnsi"/>
          <w:color w:val="000000" w:themeColor="text1"/>
          <w:szCs w:val="24"/>
        </w:rPr>
        <w:t xml:space="preserve">, kas paredz VSAOI </w:t>
      </w:r>
      <w:r w:rsidR="001D2593" w:rsidRPr="00CF5E9C">
        <w:rPr>
          <w:rFonts w:cstheme="minorHAnsi"/>
          <w:color w:val="000000" w:themeColor="text1"/>
          <w:szCs w:val="24"/>
        </w:rPr>
        <w:t>objekta</w:t>
      </w:r>
      <w:r w:rsidR="007E6E08" w:rsidRPr="00CF5E9C">
        <w:rPr>
          <w:rFonts w:cstheme="minorHAnsi"/>
          <w:color w:val="000000" w:themeColor="text1"/>
          <w:szCs w:val="24"/>
        </w:rPr>
        <w:t xml:space="preserve"> </w:t>
      </w:r>
      <w:r w:rsidR="001D2593" w:rsidRPr="00CF5E9C">
        <w:rPr>
          <w:rFonts w:cstheme="minorHAnsi"/>
          <w:color w:val="000000" w:themeColor="text1"/>
          <w:szCs w:val="24"/>
        </w:rPr>
        <w:t xml:space="preserve">maksimālā apmēra </w:t>
      </w:r>
      <w:r w:rsidR="007E6E08" w:rsidRPr="00CF5E9C">
        <w:rPr>
          <w:rFonts w:cstheme="minorHAnsi"/>
          <w:color w:val="000000" w:themeColor="text1"/>
          <w:szCs w:val="24"/>
        </w:rPr>
        <w:t xml:space="preserve">paaugstināšanu no </w:t>
      </w:r>
      <w:r w:rsidR="007E6E08" w:rsidRPr="00CF5E9C">
        <w:rPr>
          <w:rFonts w:cstheme="minorHAnsi"/>
          <w:b/>
          <w:bCs/>
          <w:color w:val="000000" w:themeColor="text1"/>
          <w:szCs w:val="24"/>
        </w:rPr>
        <w:t>78</w:t>
      </w:r>
      <w:r w:rsidR="00912ADA">
        <w:rPr>
          <w:rFonts w:cstheme="minorHAnsi"/>
          <w:b/>
          <w:bCs/>
          <w:color w:val="000000" w:themeColor="text1"/>
          <w:szCs w:val="24"/>
        </w:rPr>
        <w:t> </w:t>
      </w:r>
      <w:r w:rsidR="007E6E08" w:rsidRPr="00CF5E9C">
        <w:rPr>
          <w:rFonts w:cstheme="minorHAnsi"/>
          <w:b/>
          <w:bCs/>
          <w:color w:val="000000" w:themeColor="text1"/>
          <w:szCs w:val="24"/>
        </w:rPr>
        <w:t>100</w:t>
      </w:r>
      <w:r w:rsidR="00912ADA">
        <w:rPr>
          <w:rFonts w:cstheme="minorHAnsi"/>
          <w:color w:val="000000" w:themeColor="text1"/>
          <w:szCs w:val="24"/>
        </w:rPr>
        <w:t> </w:t>
      </w:r>
      <w:r w:rsidR="007E6E08" w:rsidRPr="00CF5E9C">
        <w:rPr>
          <w:rFonts w:cstheme="minorHAnsi"/>
          <w:i/>
          <w:iCs/>
          <w:color w:val="000000" w:themeColor="text1"/>
          <w:szCs w:val="24"/>
        </w:rPr>
        <w:t>euro</w:t>
      </w:r>
      <w:r w:rsidR="007E6E08" w:rsidRPr="00CF5E9C">
        <w:rPr>
          <w:rFonts w:cstheme="minorHAnsi"/>
          <w:color w:val="000000" w:themeColor="text1"/>
          <w:szCs w:val="24"/>
        </w:rPr>
        <w:t xml:space="preserve"> </w:t>
      </w:r>
      <w:r w:rsidR="001D2593" w:rsidRPr="00CF5E9C">
        <w:rPr>
          <w:rFonts w:cstheme="minorHAnsi"/>
          <w:color w:val="000000" w:themeColor="text1"/>
          <w:szCs w:val="24"/>
        </w:rPr>
        <w:t xml:space="preserve">gadā </w:t>
      </w:r>
      <w:r w:rsidR="00176A65" w:rsidRPr="00CF5E9C">
        <w:rPr>
          <w:rFonts w:cstheme="minorHAnsi"/>
          <w:color w:val="000000" w:themeColor="text1"/>
          <w:szCs w:val="24"/>
        </w:rPr>
        <w:t xml:space="preserve">(aptuveni </w:t>
      </w:r>
      <w:r w:rsidR="00176A65" w:rsidRPr="00CF5E9C">
        <w:rPr>
          <w:rFonts w:cstheme="minorHAnsi"/>
          <w:b/>
          <w:bCs/>
          <w:color w:val="000000" w:themeColor="text1"/>
          <w:szCs w:val="24"/>
        </w:rPr>
        <w:t>6</w:t>
      </w:r>
      <w:r w:rsidR="00912ADA">
        <w:rPr>
          <w:rFonts w:cstheme="minorHAnsi"/>
          <w:b/>
          <w:bCs/>
          <w:color w:val="000000" w:themeColor="text1"/>
          <w:szCs w:val="24"/>
        </w:rPr>
        <w:t> </w:t>
      </w:r>
      <w:r w:rsidR="00176A65" w:rsidRPr="00CF5E9C">
        <w:rPr>
          <w:rFonts w:cstheme="minorHAnsi"/>
          <w:b/>
          <w:bCs/>
          <w:color w:val="000000" w:themeColor="text1"/>
          <w:szCs w:val="24"/>
        </w:rPr>
        <w:t>508</w:t>
      </w:r>
      <w:r w:rsidR="00912ADA">
        <w:rPr>
          <w:rFonts w:cstheme="minorHAnsi"/>
          <w:color w:val="000000" w:themeColor="text1"/>
          <w:szCs w:val="24"/>
        </w:rPr>
        <w:t> </w:t>
      </w:r>
      <w:r w:rsidR="00176A65" w:rsidRPr="00CF5E9C">
        <w:rPr>
          <w:rFonts w:cstheme="minorHAnsi"/>
          <w:i/>
          <w:iCs/>
          <w:color w:val="000000" w:themeColor="text1"/>
          <w:szCs w:val="24"/>
        </w:rPr>
        <w:t>euro</w:t>
      </w:r>
      <w:r w:rsidR="00176A65" w:rsidRPr="00CF5E9C">
        <w:rPr>
          <w:rFonts w:cstheme="minorHAnsi"/>
          <w:color w:val="000000" w:themeColor="text1"/>
          <w:szCs w:val="24"/>
        </w:rPr>
        <w:t xml:space="preserve"> mēnesī) </w:t>
      </w:r>
      <w:r w:rsidR="007E6E08" w:rsidRPr="00CF5E9C">
        <w:rPr>
          <w:rFonts w:cstheme="minorHAnsi"/>
          <w:color w:val="000000" w:themeColor="text1"/>
          <w:szCs w:val="24"/>
        </w:rPr>
        <w:t xml:space="preserve">uz </w:t>
      </w:r>
      <w:r w:rsidR="007E6E08" w:rsidRPr="00CF5E9C">
        <w:rPr>
          <w:rFonts w:cstheme="minorHAnsi"/>
          <w:b/>
          <w:bCs/>
          <w:color w:val="FF0000"/>
          <w:szCs w:val="24"/>
        </w:rPr>
        <w:t>105</w:t>
      </w:r>
      <w:r w:rsidR="00912ADA">
        <w:rPr>
          <w:rFonts w:cstheme="minorHAnsi"/>
          <w:b/>
          <w:bCs/>
          <w:color w:val="FF0000"/>
          <w:szCs w:val="24"/>
        </w:rPr>
        <w:t> </w:t>
      </w:r>
      <w:r w:rsidR="007E6E08" w:rsidRPr="00CF5E9C">
        <w:rPr>
          <w:rFonts w:cstheme="minorHAnsi"/>
          <w:b/>
          <w:bCs/>
          <w:color w:val="FF0000"/>
          <w:szCs w:val="24"/>
        </w:rPr>
        <w:t>300</w:t>
      </w:r>
      <w:r w:rsidR="00912ADA">
        <w:rPr>
          <w:rFonts w:cstheme="minorHAnsi"/>
          <w:b/>
          <w:bCs/>
          <w:color w:val="FF0000"/>
          <w:szCs w:val="24"/>
        </w:rPr>
        <w:t> </w:t>
      </w:r>
      <w:r w:rsidR="007E6E08" w:rsidRPr="00CF5E9C">
        <w:rPr>
          <w:rFonts w:cstheme="minorHAnsi"/>
          <w:i/>
          <w:iCs/>
          <w:color w:val="000000" w:themeColor="text1"/>
          <w:szCs w:val="24"/>
        </w:rPr>
        <w:t xml:space="preserve">euro </w:t>
      </w:r>
      <w:r w:rsidR="007E6E08" w:rsidRPr="00CF5E9C">
        <w:rPr>
          <w:rFonts w:cstheme="minorHAnsi"/>
          <w:color w:val="000000" w:themeColor="text1"/>
          <w:szCs w:val="24"/>
        </w:rPr>
        <w:t>gadā</w:t>
      </w:r>
      <w:r w:rsidR="00176A65" w:rsidRPr="00CF5E9C">
        <w:rPr>
          <w:rFonts w:cstheme="minorHAnsi"/>
          <w:color w:val="000000" w:themeColor="text1"/>
          <w:szCs w:val="24"/>
        </w:rPr>
        <w:t xml:space="preserve"> (</w:t>
      </w:r>
      <w:r w:rsidR="00176A65" w:rsidRPr="00CF5E9C">
        <w:rPr>
          <w:rFonts w:cstheme="minorHAnsi"/>
          <w:b/>
          <w:bCs/>
          <w:color w:val="FF0000"/>
          <w:szCs w:val="24"/>
        </w:rPr>
        <w:t>8</w:t>
      </w:r>
      <w:r w:rsidR="00912ADA">
        <w:rPr>
          <w:rFonts w:cstheme="minorHAnsi"/>
          <w:b/>
          <w:bCs/>
          <w:color w:val="FF0000"/>
          <w:szCs w:val="24"/>
        </w:rPr>
        <w:t> </w:t>
      </w:r>
      <w:r w:rsidR="00176A65" w:rsidRPr="00CF5E9C">
        <w:rPr>
          <w:rFonts w:cstheme="minorHAnsi"/>
          <w:b/>
          <w:bCs/>
          <w:color w:val="FF0000"/>
          <w:szCs w:val="24"/>
        </w:rPr>
        <w:t>775</w:t>
      </w:r>
      <w:r w:rsidR="00912ADA">
        <w:rPr>
          <w:rFonts w:cstheme="minorHAnsi"/>
          <w:color w:val="FF0000"/>
          <w:szCs w:val="24"/>
        </w:rPr>
        <w:t> </w:t>
      </w:r>
      <w:r w:rsidR="00176A65" w:rsidRPr="00CF5E9C">
        <w:rPr>
          <w:rFonts w:cstheme="minorHAnsi"/>
          <w:i/>
          <w:iCs/>
          <w:color w:val="000000" w:themeColor="text1"/>
          <w:szCs w:val="24"/>
        </w:rPr>
        <w:t>euro</w:t>
      </w:r>
      <w:r w:rsidR="00176A65" w:rsidRPr="00CF5E9C">
        <w:rPr>
          <w:rFonts w:cstheme="minorHAnsi"/>
          <w:color w:val="000000" w:themeColor="text1"/>
          <w:szCs w:val="24"/>
        </w:rPr>
        <w:t xml:space="preserve"> mēnesī)</w:t>
      </w:r>
      <w:r w:rsidR="007E6E08" w:rsidRPr="00CF5E9C">
        <w:rPr>
          <w:rFonts w:cs="Times New Roman"/>
          <w:szCs w:val="24"/>
        </w:rPr>
        <w:t xml:space="preserve"> </w:t>
      </w:r>
      <w:r w:rsidR="001B1642" w:rsidRPr="00CF5E9C">
        <w:rPr>
          <w:rFonts w:cstheme="minorHAnsi"/>
          <w:color w:val="000000" w:themeColor="text1"/>
          <w:szCs w:val="24"/>
        </w:rPr>
        <w:t xml:space="preserve">2025. gadā. </w:t>
      </w:r>
      <w:r w:rsidR="007E6E08" w:rsidRPr="00CF5E9C">
        <w:rPr>
          <w:rFonts w:cstheme="minorHAnsi"/>
          <w:color w:val="000000" w:themeColor="text1"/>
          <w:szCs w:val="24"/>
        </w:rPr>
        <w:t>Neto ienākumam virs 6 000 </w:t>
      </w:r>
      <w:r w:rsidR="007E6E08" w:rsidRPr="00CF5E9C">
        <w:rPr>
          <w:rFonts w:cstheme="minorHAnsi"/>
          <w:i/>
          <w:iCs/>
          <w:color w:val="000000" w:themeColor="text1"/>
          <w:szCs w:val="24"/>
        </w:rPr>
        <w:t>euro</w:t>
      </w:r>
      <w:r w:rsidR="007E6E08" w:rsidRPr="00CF5E9C">
        <w:rPr>
          <w:rFonts w:cs="Times New Roman"/>
          <w:szCs w:val="24"/>
        </w:rPr>
        <w:t xml:space="preserve"> </w:t>
      </w:r>
      <w:r w:rsidR="001D2593" w:rsidRPr="00CF5E9C">
        <w:rPr>
          <w:rFonts w:cstheme="minorHAnsi"/>
          <w:color w:val="000000" w:themeColor="text1"/>
          <w:szCs w:val="24"/>
        </w:rPr>
        <w:t>mēnesī</w:t>
      </w:r>
      <w:r w:rsidR="001D2593" w:rsidRPr="00CF5E9C">
        <w:rPr>
          <w:rFonts w:cs="Times New Roman"/>
          <w:szCs w:val="24"/>
        </w:rPr>
        <w:t xml:space="preserve"> </w:t>
      </w:r>
      <w:r w:rsidR="00176A65" w:rsidRPr="00CF5E9C">
        <w:rPr>
          <w:rFonts w:cs="Times New Roman"/>
          <w:szCs w:val="24"/>
        </w:rPr>
        <w:t xml:space="preserve">tieši </w:t>
      </w:r>
      <w:r w:rsidR="007E6E08" w:rsidRPr="00CF5E9C">
        <w:rPr>
          <w:rFonts w:cs="Times New Roman"/>
          <w:szCs w:val="24"/>
        </w:rPr>
        <w:t xml:space="preserve">VSAOI </w:t>
      </w:r>
      <w:r w:rsidR="001D2593" w:rsidRPr="00CF5E9C">
        <w:rPr>
          <w:rFonts w:cstheme="minorHAnsi"/>
          <w:color w:val="000000" w:themeColor="text1"/>
          <w:szCs w:val="24"/>
        </w:rPr>
        <w:t xml:space="preserve">objekta maksimālā apmēra </w:t>
      </w:r>
      <w:r w:rsidR="007E6E08" w:rsidRPr="00CF5E9C">
        <w:rPr>
          <w:rFonts w:cs="Times New Roman"/>
          <w:szCs w:val="24"/>
        </w:rPr>
        <w:t>paaugstināšana</w:t>
      </w:r>
      <w:r w:rsidR="001D2593" w:rsidRPr="00CF5E9C">
        <w:rPr>
          <w:rFonts w:cs="Times New Roman"/>
          <w:szCs w:val="24"/>
        </w:rPr>
        <w:t>s</w:t>
      </w:r>
      <w:r w:rsidR="007E6E08" w:rsidRPr="00CF5E9C">
        <w:rPr>
          <w:rFonts w:cs="Times New Roman"/>
          <w:szCs w:val="24"/>
        </w:rPr>
        <w:t xml:space="preserve"> ir galvenais iemesls darba devēju izmaksu pieaugumam.</w:t>
      </w:r>
    </w:p>
    <w:p w14:paraId="1E70641A" w14:textId="77777777" w:rsidR="00AF172F" w:rsidRDefault="00AF172F" w:rsidP="00546202">
      <w:pPr>
        <w:shd w:val="clear" w:color="auto" w:fill="FFFFFF" w:themeFill="background1"/>
        <w:autoSpaceDE w:val="0"/>
        <w:autoSpaceDN w:val="0"/>
        <w:adjustRightInd w:val="0"/>
        <w:spacing w:after="120"/>
        <w:jc w:val="center"/>
        <w:rPr>
          <w:bCs/>
          <w:sz w:val="20"/>
          <w:szCs w:val="20"/>
          <w:shd w:val="clear" w:color="auto" w:fill="FFFFFF"/>
        </w:rPr>
      </w:pPr>
    </w:p>
    <w:p w14:paraId="2A7B3A89" w14:textId="77777777" w:rsidR="00725CD9" w:rsidRDefault="00725CD9" w:rsidP="00546202">
      <w:pPr>
        <w:shd w:val="clear" w:color="auto" w:fill="FFFFFF" w:themeFill="background1"/>
        <w:autoSpaceDE w:val="0"/>
        <w:autoSpaceDN w:val="0"/>
        <w:adjustRightInd w:val="0"/>
        <w:spacing w:after="120"/>
        <w:jc w:val="center"/>
        <w:rPr>
          <w:bCs/>
          <w:sz w:val="20"/>
          <w:szCs w:val="20"/>
          <w:shd w:val="clear" w:color="auto" w:fill="FFFFFF"/>
        </w:rPr>
      </w:pPr>
    </w:p>
    <w:p w14:paraId="008B6F68" w14:textId="77777777" w:rsidR="00725CD9" w:rsidRDefault="00725CD9" w:rsidP="00546202">
      <w:pPr>
        <w:shd w:val="clear" w:color="auto" w:fill="FFFFFF" w:themeFill="background1"/>
        <w:autoSpaceDE w:val="0"/>
        <w:autoSpaceDN w:val="0"/>
        <w:adjustRightInd w:val="0"/>
        <w:spacing w:after="120"/>
        <w:jc w:val="center"/>
        <w:rPr>
          <w:bCs/>
          <w:sz w:val="20"/>
          <w:szCs w:val="20"/>
          <w:shd w:val="clear" w:color="auto" w:fill="FFFFFF"/>
        </w:rPr>
      </w:pPr>
    </w:p>
    <w:p w14:paraId="55FF68E4" w14:textId="77777777" w:rsidR="00725CD9" w:rsidRDefault="00725CD9" w:rsidP="00546202">
      <w:pPr>
        <w:shd w:val="clear" w:color="auto" w:fill="FFFFFF" w:themeFill="background1"/>
        <w:autoSpaceDE w:val="0"/>
        <w:autoSpaceDN w:val="0"/>
        <w:adjustRightInd w:val="0"/>
        <w:spacing w:after="120"/>
        <w:jc w:val="center"/>
        <w:rPr>
          <w:bCs/>
          <w:sz w:val="20"/>
          <w:szCs w:val="20"/>
          <w:shd w:val="clear" w:color="auto" w:fill="FFFFFF"/>
        </w:rPr>
      </w:pPr>
    </w:p>
    <w:p w14:paraId="13C56A20" w14:textId="0C291BB6" w:rsidR="00546202" w:rsidRPr="00F704C1" w:rsidRDefault="00A12970" w:rsidP="00546202">
      <w:pPr>
        <w:shd w:val="clear" w:color="auto" w:fill="FFFFFF" w:themeFill="background1"/>
        <w:autoSpaceDE w:val="0"/>
        <w:autoSpaceDN w:val="0"/>
        <w:adjustRightInd w:val="0"/>
        <w:spacing w:after="120"/>
        <w:jc w:val="center"/>
        <w:rPr>
          <w:rFonts w:eastAsia="Calibri" w:cs="Times New Roman"/>
          <w:b/>
          <w:bCs/>
          <w:sz w:val="20"/>
          <w:szCs w:val="20"/>
        </w:rPr>
      </w:pPr>
      <w:r>
        <w:rPr>
          <w:bCs/>
          <w:sz w:val="20"/>
          <w:szCs w:val="20"/>
          <w:shd w:val="clear" w:color="auto" w:fill="FFFFFF"/>
        </w:rPr>
        <w:lastRenderedPageBreak/>
        <w:t>6</w:t>
      </w:r>
      <w:r w:rsidR="00546202" w:rsidRPr="00CD1EC4">
        <w:rPr>
          <w:bCs/>
          <w:sz w:val="20"/>
          <w:szCs w:val="20"/>
          <w:shd w:val="clear" w:color="auto" w:fill="FFFFFF"/>
        </w:rPr>
        <w:t>.tab.</w:t>
      </w:r>
      <w:r w:rsidR="00546202">
        <w:rPr>
          <w:b/>
          <w:sz w:val="20"/>
          <w:szCs w:val="20"/>
          <w:shd w:val="clear" w:color="auto" w:fill="FFFFFF"/>
        </w:rPr>
        <w:t xml:space="preserve"> </w:t>
      </w:r>
      <w:r w:rsidR="00546202" w:rsidRPr="00F704C1">
        <w:rPr>
          <w:rFonts w:eastAsia="Calibri" w:cs="Times New Roman"/>
          <w:b/>
          <w:bCs/>
          <w:sz w:val="20"/>
          <w:szCs w:val="20"/>
        </w:rPr>
        <w:t>Darba devēja izmaksu izmaiņas</w:t>
      </w:r>
      <w:r w:rsidR="00546202">
        <w:rPr>
          <w:rFonts w:eastAsia="Calibri" w:cs="Times New Roman"/>
          <w:b/>
          <w:bCs/>
          <w:sz w:val="20"/>
          <w:szCs w:val="20"/>
        </w:rPr>
        <w:t xml:space="preserve"> (</w:t>
      </w:r>
      <w:r w:rsidR="00546202">
        <w:rPr>
          <w:b/>
          <w:sz w:val="20"/>
          <w:szCs w:val="20"/>
          <w:shd w:val="clear" w:color="auto" w:fill="FFFFFF"/>
        </w:rPr>
        <w:t xml:space="preserve">par strādājošo </w:t>
      </w:r>
      <w:r w:rsidR="00546202" w:rsidRPr="00AE0B8C">
        <w:rPr>
          <w:b/>
          <w:sz w:val="20"/>
          <w:szCs w:val="20"/>
          <w:shd w:val="clear" w:color="auto" w:fill="FFFFFF"/>
        </w:rPr>
        <w:t>bez apgādībā esošām personām)</w:t>
      </w:r>
      <w:r w:rsidR="00546202" w:rsidRPr="00F704C1">
        <w:rPr>
          <w:rFonts w:eastAsia="Calibri" w:cs="Times New Roman"/>
          <w:b/>
          <w:bCs/>
          <w:sz w:val="20"/>
          <w:szCs w:val="20"/>
        </w:rPr>
        <w:t>,</w:t>
      </w:r>
      <w:r w:rsidR="00546202">
        <w:rPr>
          <w:rFonts w:eastAsia="Calibri" w:cs="Times New Roman"/>
          <w:b/>
          <w:bCs/>
          <w:sz w:val="20"/>
          <w:szCs w:val="20"/>
        </w:rPr>
        <w:t xml:space="preserve"> ja tiek </w:t>
      </w:r>
      <w:r w:rsidR="00546202" w:rsidRPr="00FF31ED">
        <w:rPr>
          <w:rFonts w:eastAsia="Calibri" w:cs="Times New Roman"/>
          <w:b/>
          <w:bCs/>
          <w:sz w:val="20"/>
          <w:szCs w:val="20"/>
        </w:rPr>
        <w:t>saglabāt</w:t>
      </w:r>
      <w:r w:rsidR="00912ADA">
        <w:rPr>
          <w:rFonts w:eastAsia="Calibri" w:cs="Times New Roman"/>
          <w:b/>
          <w:bCs/>
          <w:sz w:val="20"/>
          <w:szCs w:val="20"/>
        </w:rPr>
        <w:t>s</w:t>
      </w:r>
      <w:r w:rsidR="00546202" w:rsidRPr="00FF31ED">
        <w:rPr>
          <w:rFonts w:eastAsia="Calibri" w:cs="Times New Roman"/>
          <w:b/>
          <w:bCs/>
          <w:sz w:val="20"/>
          <w:szCs w:val="20"/>
          <w:u w:val="single"/>
        </w:rPr>
        <w:t xml:space="preserve"> nemainīg</w:t>
      </w:r>
      <w:r w:rsidR="00546202">
        <w:rPr>
          <w:rFonts w:eastAsia="Calibri" w:cs="Times New Roman"/>
          <w:b/>
          <w:bCs/>
          <w:sz w:val="20"/>
          <w:szCs w:val="20"/>
          <w:u w:val="single"/>
        </w:rPr>
        <w:t>s</w:t>
      </w:r>
      <w:r w:rsidR="00546202" w:rsidRPr="00FF31ED">
        <w:rPr>
          <w:rFonts w:eastAsia="Calibri" w:cs="Times New Roman"/>
          <w:b/>
          <w:bCs/>
          <w:sz w:val="20"/>
          <w:szCs w:val="20"/>
          <w:u w:val="single"/>
        </w:rPr>
        <w:t xml:space="preserve"> neto </w:t>
      </w:r>
      <w:r w:rsidR="00546202">
        <w:rPr>
          <w:rFonts w:eastAsia="Calibri" w:cs="Times New Roman"/>
          <w:b/>
          <w:bCs/>
          <w:sz w:val="20"/>
          <w:szCs w:val="20"/>
          <w:u w:val="single"/>
        </w:rPr>
        <w:t>ienākums</w:t>
      </w:r>
      <w:r w:rsidR="00546202" w:rsidRPr="00F704C1">
        <w:rPr>
          <w:rFonts w:eastAsia="Calibri" w:cs="Times New Roman"/>
          <w:b/>
          <w:bCs/>
          <w:sz w:val="20"/>
          <w:szCs w:val="20"/>
        </w:rPr>
        <w:t xml:space="preserve">, </w:t>
      </w:r>
      <w:r w:rsidR="00546202">
        <w:rPr>
          <w:rFonts w:eastAsia="Calibri" w:cs="Times New Roman"/>
          <w:i/>
          <w:iCs/>
          <w:sz w:val="20"/>
          <w:szCs w:val="20"/>
        </w:rPr>
        <w:t>euro</w:t>
      </w:r>
      <w:r w:rsidR="00546202" w:rsidRPr="0023417D">
        <w:rPr>
          <w:rFonts w:eastAsia="Calibri" w:cs="Times New Roman"/>
          <w:i/>
          <w:iCs/>
          <w:sz w:val="20"/>
          <w:szCs w:val="20"/>
        </w:rPr>
        <w:t xml:space="preserve"> mēnesī</w:t>
      </w:r>
    </w:p>
    <w:tbl>
      <w:tblPr>
        <w:tblW w:w="9634" w:type="dxa"/>
        <w:tblLayout w:type="fixed"/>
        <w:tblLook w:val="04A0" w:firstRow="1" w:lastRow="0" w:firstColumn="1" w:lastColumn="0" w:noHBand="0" w:noVBand="1"/>
      </w:tblPr>
      <w:tblGrid>
        <w:gridCol w:w="1413"/>
        <w:gridCol w:w="850"/>
        <w:gridCol w:w="851"/>
        <w:gridCol w:w="850"/>
        <w:gridCol w:w="851"/>
        <w:gridCol w:w="638"/>
        <w:gridCol w:w="1063"/>
        <w:gridCol w:w="709"/>
        <w:gridCol w:w="708"/>
        <w:gridCol w:w="851"/>
        <w:gridCol w:w="850"/>
      </w:tblGrid>
      <w:tr w:rsidR="00546202" w:rsidRPr="00E91D56" w14:paraId="75404290" w14:textId="77777777" w:rsidTr="000803FC">
        <w:trPr>
          <w:trHeight w:val="321"/>
        </w:trPr>
        <w:tc>
          <w:tcPr>
            <w:tcW w:w="1413" w:type="dxa"/>
            <w:vMerge w:val="restart"/>
            <w:tcBorders>
              <w:top w:val="single" w:sz="4" w:space="0" w:color="auto"/>
              <w:left w:val="single" w:sz="4" w:space="0" w:color="auto"/>
              <w:bottom w:val="single" w:sz="4" w:space="0" w:color="FFFFFF" w:themeColor="background1"/>
              <w:right w:val="single" w:sz="4" w:space="0" w:color="FFFFFF" w:themeColor="background1"/>
            </w:tcBorders>
            <w:shd w:val="clear" w:color="auto" w:fill="002060"/>
            <w:vAlign w:val="center"/>
            <w:hideMark/>
          </w:tcPr>
          <w:p w14:paraId="17850D77" w14:textId="77777777" w:rsidR="00546202" w:rsidRPr="00E91D56" w:rsidRDefault="00546202" w:rsidP="000803FC">
            <w:pPr>
              <w:jc w:val="center"/>
              <w:rPr>
                <w:rFonts w:eastAsia="Times New Roman" w:cs="Times New Roman"/>
                <w:b/>
                <w:bCs/>
                <w:color w:val="FFFFFF" w:themeColor="background1"/>
                <w:sz w:val="18"/>
                <w:szCs w:val="18"/>
                <w:lang w:eastAsia="lv-LV"/>
              </w:rPr>
            </w:pPr>
            <w:r w:rsidRPr="00E91D56">
              <w:rPr>
                <w:rFonts w:eastAsia="Times New Roman" w:cs="Times New Roman"/>
                <w:b/>
                <w:bCs/>
                <w:color w:val="FFFFFF" w:themeColor="background1"/>
                <w:sz w:val="18"/>
                <w:szCs w:val="18"/>
                <w:lang w:eastAsia="lv-LV"/>
              </w:rPr>
              <w:t xml:space="preserve">Neto ienākums, </w:t>
            </w:r>
            <w:r w:rsidRPr="00E91D56">
              <w:rPr>
                <w:rFonts w:eastAsia="Times New Roman" w:cs="Times New Roman"/>
                <w:i/>
                <w:iCs/>
                <w:color w:val="FFFFFF" w:themeColor="background1"/>
                <w:sz w:val="18"/>
                <w:szCs w:val="18"/>
                <w:lang w:eastAsia="lv-LV"/>
              </w:rPr>
              <w:t>euro mēnesī</w:t>
            </w:r>
          </w:p>
        </w:tc>
        <w:tc>
          <w:tcPr>
            <w:tcW w:w="3402"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66625EC7" w14:textId="77777777" w:rsidR="00546202" w:rsidRPr="00E91D56" w:rsidRDefault="00546202" w:rsidP="000803FC">
            <w:pPr>
              <w:jc w:val="center"/>
              <w:rPr>
                <w:rFonts w:eastAsia="Times New Roman" w:cs="Times New Roman"/>
                <w:b/>
                <w:bCs/>
                <w:color w:val="FFFFFF" w:themeColor="background1"/>
                <w:sz w:val="18"/>
                <w:szCs w:val="18"/>
                <w:lang w:eastAsia="lv-LV"/>
              </w:rPr>
            </w:pPr>
            <w:r w:rsidRPr="00E91D56">
              <w:rPr>
                <w:rFonts w:eastAsia="Times New Roman" w:cs="Times New Roman"/>
                <w:b/>
                <w:bCs/>
                <w:color w:val="FFFFFF" w:themeColor="background1"/>
                <w:sz w:val="18"/>
                <w:szCs w:val="18"/>
                <w:lang w:eastAsia="lv-LV"/>
              </w:rPr>
              <w:t xml:space="preserve">Darba devēja izmaksas, </w:t>
            </w:r>
            <w:r w:rsidRPr="00E91D56">
              <w:rPr>
                <w:rFonts w:eastAsia="Times New Roman" w:cs="Times New Roman"/>
                <w:i/>
                <w:iCs/>
                <w:color w:val="FFFFFF" w:themeColor="background1"/>
                <w:sz w:val="18"/>
                <w:szCs w:val="18"/>
                <w:lang w:eastAsia="lv-LV"/>
              </w:rPr>
              <w:t xml:space="preserve"> euro mēnesī</w:t>
            </w:r>
          </w:p>
        </w:tc>
        <w:tc>
          <w:tcPr>
            <w:tcW w:w="4819" w:type="dxa"/>
            <w:gridSpan w:val="6"/>
            <w:tcBorders>
              <w:top w:val="single" w:sz="4" w:space="0" w:color="auto"/>
              <w:left w:val="single" w:sz="4" w:space="0" w:color="FFFFFF" w:themeColor="background1"/>
              <w:bottom w:val="single" w:sz="4" w:space="0" w:color="FFFFFF" w:themeColor="background1"/>
              <w:right w:val="single" w:sz="4" w:space="0" w:color="auto"/>
            </w:tcBorders>
            <w:shd w:val="clear" w:color="auto" w:fill="002060"/>
            <w:vAlign w:val="center"/>
            <w:hideMark/>
          </w:tcPr>
          <w:p w14:paraId="66DADC3F" w14:textId="77777777" w:rsidR="00546202" w:rsidRPr="00E91D56" w:rsidRDefault="00546202" w:rsidP="000803FC">
            <w:pPr>
              <w:jc w:val="center"/>
              <w:rPr>
                <w:rFonts w:eastAsia="Times New Roman" w:cs="Times New Roman"/>
                <w:b/>
                <w:bCs/>
                <w:color w:val="FFFFFF" w:themeColor="background1"/>
                <w:sz w:val="18"/>
                <w:szCs w:val="18"/>
                <w:lang w:eastAsia="lv-LV"/>
              </w:rPr>
            </w:pPr>
            <w:r w:rsidRPr="00E91D56">
              <w:rPr>
                <w:rFonts w:eastAsia="Times New Roman" w:cs="Times New Roman"/>
                <w:b/>
                <w:bCs/>
                <w:color w:val="FFFFFF" w:themeColor="background1"/>
                <w:sz w:val="18"/>
                <w:szCs w:val="18"/>
                <w:lang w:eastAsia="lv-LV"/>
              </w:rPr>
              <w:t>Izmaiņas pret iepriekšējo gadu</w:t>
            </w:r>
            <w:r w:rsidRPr="00E91D56">
              <w:rPr>
                <w:rFonts w:eastAsia="Times New Roman" w:cs="Times New Roman"/>
                <w:i/>
                <w:iCs/>
                <w:color w:val="FFFFFF" w:themeColor="background1"/>
                <w:sz w:val="18"/>
                <w:szCs w:val="18"/>
                <w:lang w:eastAsia="lv-LV"/>
              </w:rPr>
              <w:t>, euro mēnesī</w:t>
            </w:r>
          </w:p>
        </w:tc>
      </w:tr>
      <w:tr w:rsidR="00546202" w:rsidRPr="00E91D56" w14:paraId="0E0D3A19" w14:textId="77777777" w:rsidTr="000803FC">
        <w:trPr>
          <w:trHeight w:val="43"/>
        </w:trPr>
        <w:tc>
          <w:tcPr>
            <w:tcW w:w="1413" w:type="dxa"/>
            <w:vMerge/>
            <w:tcBorders>
              <w:top w:val="single" w:sz="4" w:space="0" w:color="FFFFFF" w:themeColor="background1"/>
              <w:left w:val="single" w:sz="4" w:space="0" w:color="auto"/>
              <w:bottom w:val="single" w:sz="4" w:space="0" w:color="auto"/>
              <w:right w:val="single" w:sz="4" w:space="0" w:color="FFFFFF" w:themeColor="background1"/>
            </w:tcBorders>
            <w:shd w:val="clear" w:color="auto" w:fill="002060"/>
            <w:vAlign w:val="center"/>
            <w:hideMark/>
          </w:tcPr>
          <w:p w14:paraId="3D467ACF" w14:textId="77777777" w:rsidR="00546202" w:rsidRPr="00E91D56" w:rsidRDefault="00546202" w:rsidP="000803FC">
            <w:pPr>
              <w:rPr>
                <w:rFonts w:eastAsia="Times New Roman" w:cs="Times New Roman"/>
                <w:b/>
                <w:bCs/>
                <w:color w:val="FFFFFF" w:themeColor="background1"/>
                <w:sz w:val="18"/>
                <w:szCs w:val="18"/>
                <w:lang w:eastAsia="lv-LV"/>
              </w:rPr>
            </w:pPr>
          </w:p>
        </w:tc>
        <w:tc>
          <w:tcPr>
            <w:tcW w:w="85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hideMark/>
          </w:tcPr>
          <w:p w14:paraId="53E231A3" w14:textId="77777777" w:rsidR="00546202" w:rsidRPr="00E91D56" w:rsidRDefault="00546202" w:rsidP="000803FC">
            <w:pPr>
              <w:jc w:val="center"/>
              <w:rPr>
                <w:rFonts w:eastAsia="Times New Roman" w:cs="Times New Roman"/>
                <w:b/>
                <w:bCs/>
                <w:color w:val="FFFFFF" w:themeColor="background1"/>
                <w:sz w:val="18"/>
                <w:szCs w:val="18"/>
                <w:lang w:eastAsia="lv-LV"/>
              </w:rPr>
            </w:pPr>
            <w:r w:rsidRPr="00E91D56">
              <w:rPr>
                <w:rFonts w:eastAsia="Times New Roman" w:cs="Times New Roman"/>
                <w:b/>
                <w:bCs/>
                <w:color w:val="FFFFFF" w:themeColor="background1"/>
                <w:sz w:val="18"/>
                <w:szCs w:val="18"/>
                <w:lang w:eastAsia="lv-LV"/>
              </w:rPr>
              <w:t>2024</w:t>
            </w:r>
          </w:p>
        </w:tc>
        <w:tc>
          <w:tcPr>
            <w:tcW w:w="85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hideMark/>
          </w:tcPr>
          <w:p w14:paraId="27971D46" w14:textId="77777777" w:rsidR="00546202" w:rsidRPr="00E91D56" w:rsidRDefault="00546202" w:rsidP="000803FC">
            <w:pPr>
              <w:jc w:val="center"/>
              <w:rPr>
                <w:rFonts w:eastAsia="Times New Roman" w:cs="Times New Roman"/>
                <w:b/>
                <w:bCs/>
                <w:color w:val="FFFFFF" w:themeColor="background1"/>
                <w:sz w:val="18"/>
                <w:szCs w:val="18"/>
                <w:lang w:eastAsia="lv-LV"/>
              </w:rPr>
            </w:pPr>
            <w:r w:rsidRPr="00E91D56">
              <w:rPr>
                <w:rFonts w:eastAsia="Times New Roman" w:cs="Times New Roman"/>
                <w:b/>
                <w:bCs/>
                <w:color w:val="FFFFFF" w:themeColor="background1"/>
                <w:sz w:val="18"/>
                <w:szCs w:val="18"/>
                <w:lang w:eastAsia="lv-LV"/>
              </w:rPr>
              <w:t>2025</w:t>
            </w:r>
          </w:p>
        </w:tc>
        <w:tc>
          <w:tcPr>
            <w:tcW w:w="85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hideMark/>
          </w:tcPr>
          <w:p w14:paraId="6B4ABED9" w14:textId="77777777" w:rsidR="00546202" w:rsidRPr="00E91D56" w:rsidRDefault="00546202" w:rsidP="000803FC">
            <w:pPr>
              <w:jc w:val="center"/>
              <w:rPr>
                <w:rFonts w:eastAsia="Times New Roman" w:cs="Times New Roman"/>
                <w:b/>
                <w:bCs/>
                <w:color w:val="FFFFFF" w:themeColor="background1"/>
                <w:sz w:val="18"/>
                <w:szCs w:val="18"/>
                <w:lang w:eastAsia="lv-LV"/>
              </w:rPr>
            </w:pPr>
            <w:r w:rsidRPr="00E91D56">
              <w:rPr>
                <w:rFonts w:eastAsia="Times New Roman" w:cs="Times New Roman"/>
                <w:b/>
                <w:bCs/>
                <w:color w:val="FFFFFF" w:themeColor="background1"/>
                <w:sz w:val="18"/>
                <w:szCs w:val="18"/>
                <w:lang w:eastAsia="lv-LV"/>
              </w:rPr>
              <w:t>2026</w:t>
            </w:r>
          </w:p>
        </w:tc>
        <w:tc>
          <w:tcPr>
            <w:tcW w:w="85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hideMark/>
          </w:tcPr>
          <w:p w14:paraId="2D88826B" w14:textId="77777777" w:rsidR="00546202" w:rsidRPr="00E91D56" w:rsidRDefault="00546202" w:rsidP="000803FC">
            <w:pPr>
              <w:jc w:val="center"/>
              <w:rPr>
                <w:rFonts w:eastAsia="Times New Roman" w:cs="Times New Roman"/>
                <w:b/>
                <w:bCs/>
                <w:color w:val="FFFFFF" w:themeColor="background1"/>
                <w:sz w:val="18"/>
                <w:szCs w:val="18"/>
                <w:lang w:eastAsia="lv-LV"/>
              </w:rPr>
            </w:pPr>
            <w:r w:rsidRPr="00E91D56">
              <w:rPr>
                <w:rFonts w:eastAsia="Times New Roman" w:cs="Times New Roman"/>
                <w:b/>
                <w:bCs/>
                <w:color w:val="FFFFFF" w:themeColor="background1"/>
                <w:sz w:val="18"/>
                <w:szCs w:val="18"/>
                <w:lang w:eastAsia="lv-LV"/>
              </w:rPr>
              <w:t>2027</w:t>
            </w:r>
          </w:p>
        </w:tc>
        <w:tc>
          <w:tcPr>
            <w:tcW w:w="1701"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hideMark/>
          </w:tcPr>
          <w:p w14:paraId="690018D0" w14:textId="77777777" w:rsidR="00546202" w:rsidRPr="00E91D56" w:rsidRDefault="00546202" w:rsidP="000803FC">
            <w:pPr>
              <w:jc w:val="center"/>
              <w:rPr>
                <w:rFonts w:eastAsia="Times New Roman" w:cs="Times New Roman"/>
                <w:b/>
                <w:bCs/>
                <w:color w:val="FFFFFF" w:themeColor="background1"/>
                <w:sz w:val="18"/>
                <w:szCs w:val="18"/>
                <w:lang w:eastAsia="lv-LV"/>
              </w:rPr>
            </w:pPr>
            <w:r w:rsidRPr="00E91D56">
              <w:rPr>
                <w:rFonts w:eastAsia="Times New Roman" w:cs="Times New Roman"/>
                <w:b/>
                <w:bCs/>
                <w:color w:val="FFFFFF" w:themeColor="background1"/>
                <w:sz w:val="18"/>
                <w:szCs w:val="18"/>
                <w:lang w:eastAsia="lv-LV"/>
              </w:rPr>
              <w:t>2025</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hideMark/>
          </w:tcPr>
          <w:p w14:paraId="43C4CA84" w14:textId="77777777" w:rsidR="00546202" w:rsidRPr="00E91D56" w:rsidRDefault="00546202" w:rsidP="000803FC">
            <w:pPr>
              <w:jc w:val="center"/>
              <w:rPr>
                <w:rFonts w:eastAsia="Times New Roman" w:cs="Times New Roman"/>
                <w:b/>
                <w:bCs/>
                <w:color w:val="FFFFFF" w:themeColor="background1"/>
                <w:sz w:val="18"/>
                <w:szCs w:val="18"/>
                <w:lang w:eastAsia="lv-LV"/>
              </w:rPr>
            </w:pPr>
            <w:r w:rsidRPr="00E91D56">
              <w:rPr>
                <w:rFonts w:eastAsia="Times New Roman" w:cs="Times New Roman"/>
                <w:b/>
                <w:bCs/>
                <w:color w:val="FFFFFF" w:themeColor="background1"/>
                <w:sz w:val="18"/>
                <w:szCs w:val="18"/>
                <w:lang w:eastAsia="lv-LV"/>
              </w:rPr>
              <w:t>2026</w:t>
            </w:r>
          </w:p>
        </w:tc>
        <w:tc>
          <w:tcPr>
            <w:tcW w:w="70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hideMark/>
          </w:tcPr>
          <w:p w14:paraId="6F99F375" w14:textId="77777777" w:rsidR="00546202" w:rsidRPr="00E91D56" w:rsidRDefault="00546202" w:rsidP="000803FC">
            <w:pPr>
              <w:jc w:val="center"/>
              <w:rPr>
                <w:rFonts w:eastAsia="Times New Roman" w:cs="Times New Roman"/>
                <w:b/>
                <w:bCs/>
                <w:color w:val="FFFFFF" w:themeColor="background1"/>
                <w:sz w:val="18"/>
                <w:szCs w:val="18"/>
                <w:lang w:eastAsia="lv-LV"/>
              </w:rPr>
            </w:pPr>
            <w:r w:rsidRPr="00E91D56">
              <w:rPr>
                <w:rFonts w:eastAsia="Times New Roman" w:cs="Times New Roman"/>
                <w:b/>
                <w:bCs/>
                <w:color w:val="FFFFFF" w:themeColor="background1"/>
                <w:sz w:val="18"/>
                <w:szCs w:val="18"/>
                <w:lang w:eastAsia="lv-LV"/>
              </w:rPr>
              <w:t>2027</w:t>
            </w:r>
          </w:p>
        </w:tc>
        <w:tc>
          <w:tcPr>
            <w:tcW w:w="1701" w:type="dxa"/>
            <w:gridSpan w:val="2"/>
            <w:tcBorders>
              <w:top w:val="single" w:sz="4" w:space="0" w:color="FFFFFF" w:themeColor="background1"/>
              <w:left w:val="single" w:sz="4" w:space="0" w:color="FFFFFF" w:themeColor="background1"/>
              <w:bottom w:val="single" w:sz="4" w:space="0" w:color="auto"/>
              <w:right w:val="single" w:sz="4" w:space="0" w:color="auto"/>
            </w:tcBorders>
            <w:shd w:val="clear" w:color="auto" w:fill="002060"/>
            <w:vAlign w:val="center"/>
            <w:hideMark/>
          </w:tcPr>
          <w:p w14:paraId="001DB09D" w14:textId="77777777" w:rsidR="00546202" w:rsidRPr="00E91D56" w:rsidRDefault="00546202" w:rsidP="000803FC">
            <w:pPr>
              <w:jc w:val="center"/>
              <w:rPr>
                <w:rFonts w:eastAsia="Times New Roman" w:cs="Times New Roman"/>
                <w:b/>
                <w:bCs/>
                <w:color w:val="FFFFFF" w:themeColor="background1"/>
                <w:sz w:val="18"/>
                <w:szCs w:val="18"/>
                <w:lang w:eastAsia="lv-LV"/>
              </w:rPr>
            </w:pPr>
            <w:r w:rsidRPr="00E91D56">
              <w:rPr>
                <w:rFonts w:eastAsia="Times New Roman" w:cs="Times New Roman"/>
                <w:b/>
                <w:bCs/>
                <w:color w:val="FFFFFF" w:themeColor="background1"/>
                <w:sz w:val="18"/>
                <w:szCs w:val="18"/>
                <w:lang w:eastAsia="lv-LV"/>
              </w:rPr>
              <w:t>KOPĀ</w:t>
            </w:r>
          </w:p>
        </w:tc>
      </w:tr>
      <w:tr w:rsidR="00546202" w:rsidRPr="00E91D56" w14:paraId="721CC02E" w14:textId="77777777" w:rsidTr="000803FC">
        <w:trPr>
          <w:trHeight w:val="43"/>
        </w:trPr>
        <w:tc>
          <w:tcPr>
            <w:tcW w:w="1413" w:type="dxa"/>
            <w:tcBorders>
              <w:top w:val="nil"/>
              <w:left w:val="single" w:sz="4" w:space="0" w:color="auto"/>
              <w:bottom w:val="single" w:sz="4" w:space="0" w:color="auto"/>
              <w:right w:val="nil"/>
            </w:tcBorders>
            <w:shd w:val="clear" w:color="auto" w:fill="auto"/>
            <w:noWrap/>
            <w:vAlign w:val="bottom"/>
            <w:hideMark/>
          </w:tcPr>
          <w:p w14:paraId="2C7A9A5D" w14:textId="77777777" w:rsidR="00546202" w:rsidRPr="00E91D56" w:rsidRDefault="00546202" w:rsidP="000803FC">
            <w:pPr>
              <w:jc w:val="center"/>
              <w:rPr>
                <w:rFonts w:eastAsia="Times New Roman" w:cs="Times New Roman"/>
                <w:b/>
                <w:bCs/>
                <w:color w:val="000000"/>
                <w:sz w:val="18"/>
                <w:szCs w:val="18"/>
                <w:lang w:eastAsia="lv-LV"/>
              </w:rPr>
            </w:pPr>
            <w:r w:rsidRPr="00E91D56">
              <w:rPr>
                <w:rFonts w:cstheme="minorHAnsi"/>
                <w:sz w:val="18"/>
                <w:szCs w:val="18"/>
              </w:rPr>
              <w:t>1 000</w:t>
            </w:r>
          </w:p>
        </w:tc>
        <w:tc>
          <w:tcPr>
            <w:tcW w:w="850" w:type="dxa"/>
            <w:tcBorders>
              <w:top w:val="nil"/>
              <w:left w:val="single" w:sz="4" w:space="0" w:color="auto"/>
              <w:bottom w:val="single" w:sz="4" w:space="0" w:color="auto"/>
              <w:right w:val="nil"/>
            </w:tcBorders>
            <w:shd w:val="clear" w:color="auto" w:fill="D9D9D9" w:themeFill="background1" w:themeFillShade="D9"/>
            <w:noWrap/>
            <w:vAlign w:val="bottom"/>
          </w:tcPr>
          <w:p w14:paraId="7680BC5A"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1 666</w:t>
            </w:r>
          </w:p>
        </w:tc>
        <w:tc>
          <w:tcPr>
            <w:tcW w:w="851" w:type="dxa"/>
            <w:tcBorders>
              <w:top w:val="nil"/>
              <w:left w:val="single" w:sz="4" w:space="0" w:color="auto"/>
              <w:bottom w:val="single" w:sz="4" w:space="0" w:color="auto"/>
              <w:right w:val="nil"/>
            </w:tcBorders>
            <w:shd w:val="clear" w:color="auto" w:fill="auto"/>
            <w:noWrap/>
            <w:vAlign w:val="bottom"/>
          </w:tcPr>
          <w:p w14:paraId="43C6C18E"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1 612</w:t>
            </w:r>
          </w:p>
        </w:tc>
        <w:tc>
          <w:tcPr>
            <w:tcW w:w="850" w:type="dxa"/>
            <w:tcBorders>
              <w:top w:val="nil"/>
              <w:left w:val="single" w:sz="4" w:space="0" w:color="auto"/>
              <w:bottom w:val="single" w:sz="4" w:space="0" w:color="auto"/>
              <w:right w:val="nil"/>
            </w:tcBorders>
            <w:shd w:val="clear" w:color="auto" w:fill="auto"/>
            <w:noWrap/>
            <w:vAlign w:val="bottom"/>
          </w:tcPr>
          <w:p w14:paraId="3AFC3DFA"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1 594</w:t>
            </w:r>
          </w:p>
        </w:tc>
        <w:tc>
          <w:tcPr>
            <w:tcW w:w="851" w:type="dxa"/>
            <w:tcBorders>
              <w:top w:val="nil"/>
              <w:left w:val="single" w:sz="4" w:space="0" w:color="auto"/>
              <w:bottom w:val="single" w:sz="4" w:space="0" w:color="auto"/>
              <w:right w:val="nil"/>
            </w:tcBorders>
            <w:shd w:val="clear" w:color="auto" w:fill="auto"/>
            <w:noWrap/>
            <w:vAlign w:val="bottom"/>
          </w:tcPr>
          <w:p w14:paraId="79E26E0B"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1 584</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A48E1C" w14:textId="77777777" w:rsidR="00546202" w:rsidRPr="00BC610C" w:rsidRDefault="00546202" w:rsidP="000803FC">
            <w:pPr>
              <w:jc w:val="center"/>
              <w:rPr>
                <w:rFonts w:eastAsia="Times New Roman" w:cs="Times New Roman"/>
                <w:b/>
                <w:bCs/>
                <w:color w:val="00B050"/>
                <w:sz w:val="18"/>
                <w:szCs w:val="18"/>
                <w:lang w:eastAsia="lv-LV"/>
              </w:rPr>
            </w:pPr>
            <w:r w:rsidRPr="001434E6">
              <w:rPr>
                <w:color w:val="00B050"/>
                <w:sz w:val="18"/>
                <w:szCs w:val="18"/>
              </w:rPr>
              <w:t>-54</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tcPr>
          <w:p w14:paraId="09ECBA97" w14:textId="77777777" w:rsidR="00546202" w:rsidRDefault="00546202" w:rsidP="000803FC">
            <w:pPr>
              <w:jc w:val="center"/>
              <w:rPr>
                <w:rFonts w:cstheme="minorHAnsi"/>
                <w:i/>
                <w:iCs/>
                <w:sz w:val="12"/>
                <w:szCs w:val="12"/>
              </w:rPr>
            </w:pPr>
            <w:r w:rsidRPr="00E96E3B">
              <w:rPr>
                <w:rFonts w:cstheme="minorHAnsi"/>
                <w:i/>
                <w:iCs/>
                <w:sz w:val="12"/>
                <w:szCs w:val="12"/>
              </w:rPr>
              <w:t xml:space="preserve">(VSAOI </w:t>
            </w:r>
            <w:r w:rsidRPr="00A12970">
              <w:rPr>
                <w:rFonts w:cstheme="minorHAnsi"/>
                <w:i/>
                <w:iCs/>
                <w:color w:val="00B050"/>
                <w:sz w:val="12"/>
                <w:szCs w:val="12"/>
              </w:rPr>
              <w:t xml:space="preserve">–15  </w:t>
            </w:r>
          </w:p>
          <w:p w14:paraId="59BEF46B" w14:textId="77777777" w:rsidR="00546202" w:rsidRPr="00BC610C" w:rsidRDefault="00546202" w:rsidP="000803FC">
            <w:pPr>
              <w:jc w:val="center"/>
              <w:rPr>
                <w:rFonts w:eastAsia="Times New Roman" w:cs="Times New Roman"/>
                <w:b/>
                <w:bCs/>
                <w:color w:val="00B050"/>
                <w:sz w:val="18"/>
                <w:szCs w:val="18"/>
                <w:lang w:eastAsia="lv-LV"/>
              </w:rPr>
            </w:pPr>
            <w:r w:rsidRPr="00E96E3B">
              <w:rPr>
                <w:rFonts w:cstheme="minorHAnsi"/>
                <w:i/>
                <w:iCs/>
                <w:sz w:val="12"/>
                <w:szCs w:val="12"/>
              </w:rPr>
              <w:t xml:space="preserve">IIN </w:t>
            </w:r>
            <w:r w:rsidRPr="00A12970">
              <w:rPr>
                <w:rFonts w:cstheme="minorHAnsi"/>
                <w:i/>
                <w:iCs/>
                <w:color w:val="00B050"/>
                <w:sz w:val="12"/>
                <w:szCs w:val="12"/>
              </w:rPr>
              <w:t>-39</w:t>
            </w:r>
            <w:r>
              <w:rPr>
                <w:rFonts w:cstheme="minorHAnsi"/>
                <w:i/>
                <w:iCs/>
                <w:sz w:val="12"/>
                <w:szCs w:val="12"/>
              </w:rPr>
              <w:t>)</w:t>
            </w:r>
          </w:p>
        </w:tc>
        <w:tc>
          <w:tcPr>
            <w:tcW w:w="709" w:type="dxa"/>
            <w:tcBorders>
              <w:top w:val="nil"/>
              <w:left w:val="nil"/>
              <w:bottom w:val="single" w:sz="4" w:space="0" w:color="auto"/>
              <w:right w:val="single" w:sz="4" w:space="0" w:color="auto"/>
            </w:tcBorders>
            <w:shd w:val="clear" w:color="000000" w:fill="FFFFFF"/>
            <w:noWrap/>
            <w:vAlign w:val="center"/>
          </w:tcPr>
          <w:p w14:paraId="0DB3843E" w14:textId="77777777" w:rsidR="00546202" w:rsidRPr="00BC610C" w:rsidRDefault="00546202" w:rsidP="000803FC">
            <w:pPr>
              <w:jc w:val="center"/>
              <w:rPr>
                <w:rFonts w:eastAsia="Times New Roman" w:cs="Times New Roman"/>
                <w:sz w:val="18"/>
                <w:szCs w:val="18"/>
                <w:lang w:eastAsia="lv-LV"/>
              </w:rPr>
            </w:pPr>
            <w:r w:rsidRPr="00BC610C">
              <w:rPr>
                <w:rFonts w:cs="Times New Roman"/>
                <w:color w:val="00B050"/>
                <w:sz w:val="18"/>
                <w:szCs w:val="18"/>
              </w:rPr>
              <w:t>-19</w:t>
            </w:r>
          </w:p>
        </w:tc>
        <w:tc>
          <w:tcPr>
            <w:tcW w:w="708" w:type="dxa"/>
            <w:tcBorders>
              <w:top w:val="nil"/>
              <w:left w:val="nil"/>
              <w:bottom w:val="single" w:sz="4" w:space="0" w:color="auto"/>
              <w:right w:val="single" w:sz="4" w:space="0" w:color="auto"/>
            </w:tcBorders>
            <w:shd w:val="clear" w:color="000000" w:fill="FFFFFF"/>
            <w:noWrap/>
            <w:vAlign w:val="center"/>
          </w:tcPr>
          <w:p w14:paraId="3AE4EA0F" w14:textId="77777777" w:rsidR="00546202" w:rsidRPr="00BC610C" w:rsidRDefault="00546202" w:rsidP="000803FC">
            <w:pPr>
              <w:jc w:val="center"/>
              <w:rPr>
                <w:rFonts w:eastAsia="Times New Roman" w:cs="Times New Roman"/>
                <w:sz w:val="18"/>
                <w:szCs w:val="18"/>
                <w:lang w:eastAsia="lv-LV"/>
              </w:rPr>
            </w:pPr>
            <w:r w:rsidRPr="00BC610C">
              <w:rPr>
                <w:rFonts w:cs="Times New Roman"/>
                <w:color w:val="00B050"/>
                <w:sz w:val="18"/>
                <w:szCs w:val="18"/>
              </w:rPr>
              <w:t>-9</w:t>
            </w:r>
          </w:p>
        </w:tc>
        <w:tc>
          <w:tcPr>
            <w:tcW w:w="851" w:type="dxa"/>
            <w:tcBorders>
              <w:top w:val="single" w:sz="4" w:space="0" w:color="auto"/>
              <w:left w:val="nil"/>
              <w:bottom w:val="single" w:sz="4" w:space="0" w:color="auto"/>
              <w:right w:val="single" w:sz="4" w:space="0" w:color="auto"/>
            </w:tcBorders>
            <w:shd w:val="clear" w:color="000000" w:fill="FFE699"/>
            <w:noWrap/>
            <w:vAlign w:val="center"/>
          </w:tcPr>
          <w:p w14:paraId="7AF40961" w14:textId="77777777" w:rsidR="00546202" w:rsidRPr="00BC610C" w:rsidRDefault="00546202" w:rsidP="000803FC">
            <w:pPr>
              <w:jc w:val="center"/>
              <w:rPr>
                <w:rFonts w:eastAsia="Times New Roman" w:cs="Times New Roman"/>
                <w:b/>
                <w:bCs/>
                <w:color w:val="00B050"/>
                <w:sz w:val="18"/>
                <w:szCs w:val="18"/>
                <w:lang w:eastAsia="lv-LV"/>
              </w:rPr>
            </w:pPr>
            <w:r w:rsidRPr="00BC610C">
              <w:rPr>
                <w:rFonts w:cs="Times New Roman"/>
                <w:b/>
                <w:bCs/>
                <w:color w:val="00B050"/>
                <w:sz w:val="18"/>
                <w:szCs w:val="18"/>
              </w:rPr>
              <w:t>-82</w:t>
            </w:r>
          </w:p>
        </w:tc>
        <w:tc>
          <w:tcPr>
            <w:tcW w:w="850" w:type="dxa"/>
            <w:tcBorders>
              <w:top w:val="single" w:sz="4" w:space="0" w:color="auto"/>
              <w:left w:val="nil"/>
              <w:bottom w:val="single" w:sz="4" w:space="0" w:color="auto"/>
              <w:right w:val="single" w:sz="4" w:space="0" w:color="auto"/>
            </w:tcBorders>
            <w:shd w:val="clear" w:color="000000" w:fill="FFE699"/>
            <w:vAlign w:val="bottom"/>
          </w:tcPr>
          <w:p w14:paraId="7F18B676" w14:textId="77777777" w:rsidR="00546202" w:rsidRPr="00BC610C" w:rsidRDefault="00546202" w:rsidP="000803FC">
            <w:pPr>
              <w:jc w:val="center"/>
              <w:rPr>
                <w:rFonts w:eastAsia="Times New Roman" w:cs="Times New Roman"/>
                <w:b/>
                <w:bCs/>
                <w:i/>
                <w:iCs/>
                <w:color w:val="00B050"/>
                <w:sz w:val="18"/>
                <w:szCs w:val="18"/>
                <w:lang w:eastAsia="lv-LV"/>
              </w:rPr>
            </w:pPr>
            <w:r w:rsidRPr="00BC610C">
              <w:rPr>
                <w:rFonts w:cs="Times New Roman"/>
                <w:i/>
                <w:iCs/>
                <w:color w:val="00B050"/>
                <w:sz w:val="18"/>
                <w:szCs w:val="18"/>
              </w:rPr>
              <w:t>-5%</w:t>
            </w:r>
          </w:p>
        </w:tc>
      </w:tr>
      <w:tr w:rsidR="00546202" w:rsidRPr="00E91D56" w14:paraId="7E6665AA" w14:textId="77777777" w:rsidTr="000803FC">
        <w:trPr>
          <w:trHeight w:val="70"/>
        </w:trPr>
        <w:tc>
          <w:tcPr>
            <w:tcW w:w="1413" w:type="dxa"/>
            <w:tcBorders>
              <w:top w:val="nil"/>
              <w:left w:val="single" w:sz="4" w:space="0" w:color="auto"/>
              <w:bottom w:val="single" w:sz="4" w:space="0" w:color="auto"/>
              <w:right w:val="nil"/>
            </w:tcBorders>
            <w:shd w:val="clear" w:color="auto" w:fill="auto"/>
            <w:noWrap/>
            <w:vAlign w:val="bottom"/>
            <w:hideMark/>
          </w:tcPr>
          <w:p w14:paraId="54059387" w14:textId="77777777" w:rsidR="00546202" w:rsidRPr="00E91D56" w:rsidRDefault="00546202" w:rsidP="000803FC">
            <w:pPr>
              <w:jc w:val="center"/>
              <w:rPr>
                <w:rFonts w:eastAsia="Times New Roman" w:cs="Times New Roman"/>
                <w:b/>
                <w:bCs/>
                <w:color w:val="000000"/>
                <w:sz w:val="18"/>
                <w:szCs w:val="18"/>
                <w:lang w:eastAsia="lv-LV"/>
              </w:rPr>
            </w:pPr>
            <w:r w:rsidRPr="00E91D56">
              <w:rPr>
                <w:rFonts w:cstheme="minorHAnsi"/>
                <w:sz w:val="18"/>
                <w:szCs w:val="18"/>
              </w:rPr>
              <w:t>1 600</w:t>
            </w:r>
          </w:p>
        </w:tc>
        <w:tc>
          <w:tcPr>
            <w:tcW w:w="850" w:type="dxa"/>
            <w:tcBorders>
              <w:top w:val="nil"/>
              <w:left w:val="single" w:sz="4" w:space="0" w:color="auto"/>
              <w:bottom w:val="single" w:sz="4" w:space="0" w:color="auto"/>
              <w:right w:val="nil"/>
            </w:tcBorders>
            <w:shd w:val="clear" w:color="auto" w:fill="D9D9D9" w:themeFill="background1" w:themeFillShade="D9"/>
            <w:noWrap/>
            <w:vAlign w:val="bottom"/>
          </w:tcPr>
          <w:p w14:paraId="74F994C1"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2 792</w:t>
            </w:r>
          </w:p>
        </w:tc>
        <w:tc>
          <w:tcPr>
            <w:tcW w:w="851" w:type="dxa"/>
            <w:tcBorders>
              <w:top w:val="nil"/>
              <w:left w:val="single" w:sz="4" w:space="0" w:color="auto"/>
              <w:bottom w:val="single" w:sz="4" w:space="0" w:color="auto"/>
              <w:right w:val="nil"/>
            </w:tcBorders>
            <w:shd w:val="clear" w:color="auto" w:fill="auto"/>
            <w:noWrap/>
            <w:vAlign w:val="bottom"/>
          </w:tcPr>
          <w:p w14:paraId="25CCB3D7"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2 725</w:t>
            </w:r>
          </w:p>
        </w:tc>
        <w:tc>
          <w:tcPr>
            <w:tcW w:w="850" w:type="dxa"/>
            <w:tcBorders>
              <w:top w:val="nil"/>
              <w:left w:val="single" w:sz="4" w:space="0" w:color="auto"/>
              <w:bottom w:val="single" w:sz="4" w:space="0" w:color="auto"/>
              <w:right w:val="nil"/>
            </w:tcBorders>
            <w:shd w:val="clear" w:color="auto" w:fill="auto"/>
            <w:noWrap/>
            <w:vAlign w:val="bottom"/>
          </w:tcPr>
          <w:p w14:paraId="391BFF2B"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2 706</w:t>
            </w:r>
          </w:p>
        </w:tc>
        <w:tc>
          <w:tcPr>
            <w:tcW w:w="851" w:type="dxa"/>
            <w:tcBorders>
              <w:top w:val="nil"/>
              <w:left w:val="single" w:sz="4" w:space="0" w:color="auto"/>
              <w:bottom w:val="single" w:sz="4" w:space="0" w:color="auto"/>
              <w:right w:val="nil"/>
            </w:tcBorders>
            <w:shd w:val="clear" w:color="auto" w:fill="auto"/>
            <w:noWrap/>
            <w:vAlign w:val="bottom"/>
          </w:tcPr>
          <w:p w14:paraId="0218FA14"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2 696</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3E827F" w14:textId="77777777" w:rsidR="00546202" w:rsidRPr="00BC610C" w:rsidRDefault="00546202" w:rsidP="000803FC">
            <w:pPr>
              <w:jc w:val="center"/>
              <w:rPr>
                <w:rFonts w:eastAsia="Times New Roman" w:cs="Times New Roman"/>
                <w:b/>
                <w:bCs/>
                <w:color w:val="00B050"/>
                <w:sz w:val="18"/>
                <w:szCs w:val="18"/>
                <w:lang w:eastAsia="lv-LV"/>
              </w:rPr>
            </w:pPr>
            <w:r w:rsidRPr="001434E6">
              <w:rPr>
                <w:color w:val="00B050"/>
                <w:sz w:val="18"/>
                <w:szCs w:val="18"/>
              </w:rPr>
              <w:t>-68</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tcPr>
          <w:p w14:paraId="60210293" w14:textId="77777777" w:rsidR="00546202" w:rsidRDefault="00546202" w:rsidP="000803FC">
            <w:pPr>
              <w:jc w:val="center"/>
              <w:rPr>
                <w:rFonts w:cstheme="minorHAnsi"/>
                <w:i/>
                <w:iCs/>
                <w:sz w:val="12"/>
                <w:szCs w:val="12"/>
              </w:rPr>
            </w:pPr>
            <w:r w:rsidRPr="00E96E3B">
              <w:rPr>
                <w:rFonts w:cstheme="minorHAnsi"/>
                <w:i/>
                <w:iCs/>
                <w:sz w:val="12"/>
                <w:szCs w:val="12"/>
              </w:rPr>
              <w:t xml:space="preserve">(VSAOI </w:t>
            </w:r>
            <w:r w:rsidRPr="00A12970">
              <w:rPr>
                <w:rFonts w:cstheme="minorHAnsi"/>
                <w:i/>
                <w:iCs/>
                <w:color w:val="00B050"/>
                <w:sz w:val="12"/>
                <w:szCs w:val="12"/>
              </w:rPr>
              <w:t xml:space="preserve">–19  </w:t>
            </w:r>
          </w:p>
          <w:p w14:paraId="6D6CBA56" w14:textId="77777777" w:rsidR="00546202" w:rsidRPr="00BC610C" w:rsidRDefault="00546202" w:rsidP="000803FC">
            <w:pPr>
              <w:jc w:val="center"/>
              <w:rPr>
                <w:rFonts w:eastAsia="Times New Roman" w:cs="Times New Roman"/>
                <w:b/>
                <w:bCs/>
                <w:color w:val="00B050"/>
                <w:sz w:val="18"/>
                <w:szCs w:val="18"/>
                <w:lang w:eastAsia="lv-LV"/>
              </w:rPr>
            </w:pPr>
            <w:r w:rsidRPr="00E96E3B">
              <w:rPr>
                <w:rFonts w:cstheme="minorHAnsi"/>
                <w:i/>
                <w:iCs/>
                <w:sz w:val="12"/>
                <w:szCs w:val="12"/>
              </w:rPr>
              <w:t xml:space="preserve">IIN </w:t>
            </w:r>
            <w:r w:rsidRPr="00A12970">
              <w:rPr>
                <w:rFonts w:cstheme="minorHAnsi"/>
                <w:i/>
                <w:iCs/>
                <w:color w:val="00B050"/>
                <w:sz w:val="12"/>
                <w:szCs w:val="12"/>
              </w:rPr>
              <w:t>-49</w:t>
            </w:r>
            <w:r>
              <w:rPr>
                <w:rFonts w:cstheme="minorHAnsi"/>
                <w:i/>
                <w:iCs/>
                <w:sz w:val="12"/>
                <w:szCs w:val="12"/>
              </w:rPr>
              <w:t>)</w:t>
            </w:r>
          </w:p>
        </w:tc>
        <w:tc>
          <w:tcPr>
            <w:tcW w:w="709" w:type="dxa"/>
            <w:tcBorders>
              <w:top w:val="nil"/>
              <w:left w:val="nil"/>
              <w:bottom w:val="single" w:sz="4" w:space="0" w:color="auto"/>
              <w:right w:val="single" w:sz="4" w:space="0" w:color="auto"/>
            </w:tcBorders>
            <w:shd w:val="clear" w:color="000000" w:fill="FFFFFF"/>
            <w:noWrap/>
            <w:vAlign w:val="center"/>
          </w:tcPr>
          <w:p w14:paraId="7F355586" w14:textId="77777777" w:rsidR="00546202" w:rsidRPr="00BC610C" w:rsidRDefault="00546202" w:rsidP="000803FC">
            <w:pPr>
              <w:jc w:val="center"/>
              <w:rPr>
                <w:rFonts w:eastAsia="Times New Roman" w:cs="Times New Roman"/>
                <w:sz w:val="18"/>
                <w:szCs w:val="18"/>
                <w:lang w:eastAsia="lv-LV"/>
              </w:rPr>
            </w:pPr>
            <w:r w:rsidRPr="00BC610C">
              <w:rPr>
                <w:rFonts w:cs="Times New Roman"/>
                <w:color w:val="00B050"/>
                <w:sz w:val="18"/>
                <w:szCs w:val="18"/>
              </w:rPr>
              <w:t>-19</w:t>
            </w:r>
          </w:p>
        </w:tc>
        <w:tc>
          <w:tcPr>
            <w:tcW w:w="708" w:type="dxa"/>
            <w:tcBorders>
              <w:top w:val="nil"/>
              <w:left w:val="nil"/>
              <w:bottom w:val="single" w:sz="4" w:space="0" w:color="auto"/>
              <w:right w:val="single" w:sz="4" w:space="0" w:color="auto"/>
            </w:tcBorders>
            <w:shd w:val="clear" w:color="000000" w:fill="FFFFFF"/>
            <w:noWrap/>
            <w:vAlign w:val="center"/>
          </w:tcPr>
          <w:p w14:paraId="3C1EDF41" w14:textId="77777777" w:rsidR="00546202" w:rsidRPr="00BC610C" w:rsidRDefault="00546202" w:rsidP="000803FC">
            <w:pPr>
              <w:jc w:val="center"/>
              <w:rPr>
                <w:rFonts w:eastAsia="Times New Roman" w:cs="Times New Roman"/>
                <w:sz w:val="18"/>
                <w:szCs w:val="18"/>
                <w:lang w:eastAsia="lv-LV"/>
              </w:rPr>
            </w:pPr>
            <w:r w:rsidRPr="00BC610C">
              <w:rPr>
                <w:rFonts w:cs="Times New Roman"/>
                <w:color w:val="00B050"/>
                <w:sz w:val="18"/>
                <w:szCs w:val="18"/>
              </w:rPr>
              <w:t>-9</w:t>
            </w:r>
          </w:p>
        </w:tc>
        <w:tc>
          <w:tcPr>
            <w:tcW w:w="851" w:type="dxa"/>
            <w:tcBorders>
              <w:top w:val="single" w:sz="4" w:space="0" w:color="auto"/>
              <w:left w:val="nil"/>
              <w:bottom w:val="single" w:sz="4" w:space="0" w:color="auto"/>
              <w:right w:val="single" w:sz="4" w:space="0" w:color="auto"/>
            </w:tcBorders>
            <w:shd w:val="clear" w:color="000000" w:fill="FFE699"/>
            <w:noWrap/>
            <w:vAlign w:val="center"/>
          </w:tcPr>
          <w:p w14:paraId="076797E9" w14:textId="77777777" w:rsidR="00546202" w:rsidRPr="00BC610C" w:rsidRDefault="00546202" w:rsidP="000803FC">
            <w:pPr>
              <w:jc w:val="center"/>
              <w:rPr>
                <w:rFonts w:eastAsia="Times New Roman" w:cs="Times New Roman"/>
                <w:b/>
                <w:bCs/>
                <w:color w:val="00B050"/>
                <w:sz w:val="18"/>
                <w:szCs w:val="18"/>
                <w:lang w:eastAsia="lv-LV"/>
              </w:rPr>
            </w:pPr>
            <w:r w:rsidRPr="00BC610C">
              <w:rPr>
                <w:rFonts w:cs="Times New Roman"/>
                <w:b/>
                <w:bCs/>
                <w:color w:val="00B050"/>
                <w:sz w:val="18"/>
                <w:szCs w:val="18"/>
              </w:rPr>
              <w:t>-96</w:t>
            </w:r>
          </w:p>
        </w:tc>
        <w:tc>
          <w:tcPr>
            <w:tcW w:w="850" w:type="dxa"/>
            <w:tcBorders>
              <w:top w:val="single" w:sz="4" w:space="0" w:color="auto"/>
              <w:left w:val="nil"/>
              <w:bottom w:val="single" w:sz="4" w:space="0" w:color="auto"/>
              <w:right w:val="single" w:sz="4" w:space="0" w:color="auto"/>
            </w:tcBorders>
            <w:shd w:val="clear" w:color="000000" w:fill="FFE699"/>
            <w:vAlign w:val="bottom"/>
          </w:tcPr>
          <w:p w14:paraId="2C3B6A36" w14:textId="77777777" w:rsidR="00546202" w:rsidRPr="00BC610C" w:rsidRDefault="00546202" w:rsidP="000803FC">
            <w:pPr>
              <w:jc w:val="center"/>
              <w:rPr>
                <w:rFonts w:eastAsia="Times New Roman" w:cs="Times New Roman"/>
                <w:b/>
                <w:bCs/>
                <w:i/>
                <w:iCs/>
                <w:color w:val="00B050"/>
                <w:sz w:val="18"/>
                <w:szCs w:val="18"/>
                <w:lang w:eastAsia="lv-LV"/>
              </w:rPr>
            </w:pPr>
            <w:r w:rsidRPr="00BC610C">
              <w:rPr>
                <w:rFonts w:cs="Times New Roman"/>
                <w:i/>
                <w:iCs/>
                <w:color w:val="00B050"/>
                <w:sz w:val="18"/>
                <w:szCs w:val="18"/>
              </w:rPr>
              <w:t>-3%</w:t>
            </w:r>
          </w:p>
        </w:tc>
      </w:tr>
      <w:tr w:rsidR="00546202" w:rsidRPr="00E91D56" w14:paraId="3150005D" w14:textId="77777777" w:rsidTr="000803FC">
        <w:trPr>
          <w:trHeight w:val="43"/>
        </w:trPr>
        <w:tc>
          <w:tcPr>
            <w:tcW w:w="1413" w:type="dxa"/>
            <w:tcBorders>
              <w:top w:val="nil"/>
              <w:left w:val="single" w:sz="4" w:space="0" w:color="auto"/>
              <w:bottom w:val="single" w:sz="4" w:space="0" w:color="auto"/>
              <w:right w:val="nil"/>
            </w:tcBorders>
            <w:shd w:val="clear" w:color="auto" w:fill="auto"/>
            <w:noWrap/>
            <w:vAlign w:val="bottom"/>
            <w:hideMark/>
          </w:tcPr>
          <w:p w14:paraId="395738F9" w14:textId="77777777" w:rsidR="00546202" w:rsidRPr="00E91D56" w:rsidRDefault="00546202" w:rsidP="000803FC">
            <w:pPr>
              <w:jc w:val="center"/>
              <w:rPr>
                <w:rFonts w:eastAsia="Times New Roman" w:cs="Times New Roman"/>
                <w:b/>
                <w:bCs/>
                <w:color w:val="000000"/>
                <w:sz w:val="18"/>
                <w:szCs w:val="18"/>
                <w:lang w:eastAsia="lv-LV"/>
              </w:rPr>
            </w:pPr>
            <w:r w:rsidRPr="00E91D56">
              <w:rPr>
                <w:rFonts w:cstheme="minorHAnsi"/>
                <w:sz w:val="18"/>
                <w:szCs w:val="18"/>
              </w:rPr>
              <w:t>2 000</w:t>
            </w:r>
          </w:p>
        </w:tc>
        <w:tc>
          <w:tcPr>
            <w:tcW w:w="850" w:type="dxa"/>
            <w:tcBorders>
              <w:top w:val="nil"/>
              <w:left w:val="single" w:sz="4" w:space="0" w:color="auto"/>
              <w:bottom w:val="single" w:sz="4" w:space="0" w:color="auto"/>
              <w:right w:val="nil"/>
            </w:tcBorders>
            <w:shd w:val="clear" w:color="auto" w:fill="D9D9D9" w:themeFill="background1" w:themeFillShade="D9"/>
            <w:noWrap/>
            <w:vAlign w:val="bottom"/>
          </w:tcPr>
          <w:p w14:paraId="62317901"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3 513</w:t>
            </w:r>
          </w:p>
        </w:tc>
        <w:tc>
          <w:tcPr>
            <w:tcW w:w="851" w:type="dxa"/>
            <w:tcBorders>
              <w:top w:val="nil"/>
              <w:left w:val="single" w:sz="4" w:space="0" w:color="auto"/>
              <w:bottom w:val="single" w:sz="4" w:space="0" w:color="auto"/>
              <w:right w:val="nil"/>
            </w:tcBorders>
            <w:shd w:val="clear" w:color="auto" w:fill="auto"/>
            <w:noWrap/>
            <w:vAlign w:val="bottom"/>
          </w:tcPr>
          <w:p w14:paraId="1EFBFF52"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3 466</w:t>
            </w:r>
          </w:p>
        </w:tc>
        <w:tc>
          <w:tcPr>
            <w:tcW w:w="850" w:type="dxa"/>
            <w:tcBorders>
              <w:top w:val="nil"/>
              <w:left w:val="single" w:sz="4" w:space="0" w:color="auto"/>
              <w:bottom w:val="single" w:sz="4" w:space="0" w:color="auto"/>
              <w:right w:val="nil"/>
            </w:tcBorders>
            <w:shd w:val="clear" w:color="auto" w:fill="auto"/>
            <w:noWrap/>
            <w:vAlign w:val="bottom"/>
          </w:tcPr>
          <w:p w14:paraId="447EAC1B"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3 447</w:t>
            </w:r>
          </w:p>
        </w:tc>
        <w:tc>
          <w:tcPr>
            <w:tcW w:w="851" w:type="dxa"/>
            <w:tcBorders>
              <w:top w:val="nil"/>
              <w:left w:val="single" w:sz="4" w:space="0" w:color="auto"/>
              <w:bottom w:val="single" w:sz="4" w:space="0" w:color="auto"/>
              <w:right w:val="nil"/>
            </w:tcBorders>
            <w:shd w:val="clear" w:color="auto" w:fill="auto"/>
            <w:noWrap/>
            <w:vAlign w:val="bottom"/>
          </w:tcPr>
          <w:p w14:paraId="4A9D4DF1"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3 438</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C3F0FE" w14:textId="77777777" w:rsidR="00546202" w:rsidRPr="00BC610C" w:rsidRDefault="00546202" w:rsidP="000803FC">
            <w:pPr>
              <w:jc w:val="center"/>
              <w:rPr>
                <w:rFonts w:eastAsia="Times New Roman" w:cs="Times New Roman"/>
                <w:b/>
                <w:bCs/>
                <w:color w:val="00B050"/>
                <w:sz w:val="18"/>
                <w:szCs w:val="18"/>
                <w:lang w:eastAsia="lv-LV"/>
              </w:rPr>
            </w:pPr>
            <w:r w:rsidRPr="001434E6">
              <w:rPr>
                <w:color w:val="00B050"/>
                <w:sz w:val="18"/>
                <w:szCs w:val="18"/>
              </w:rPr>
              <w:t>-47</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tcPr>
          <w:p w14:paraId="6B00FCF7" w14:textId="77777777" w:rsidR="00546202" w:rsidRDefault="00546202" w:rsidP="000803FC">
            <w:pPr>
              <w:jc w:val="center"/>
              <w:rPr>
                <w:rFonts w:cstheme="minorHAnsi"/>
                <w:i/>
                <w:iCs/>
                <w:sz w:val="12"/>
                <w:szCs w:val="12"/>
              </w:rPr>
            </w:pPr>
            <w:r w:rsidRPr="00E96E3B">
              <w:rPr>
                <w:rFonts w:cstheme="minorHAnsi"/>
                <w:i/>
                <w:iCs/>
                <w:sz w:val="12"/>
                <w:szCs w:val="12"/>
              </w:rPr>
              <w:t xml:space="preserve">(VSAOI </w:t>
            </w:r>
            <w:r w:rsidRPr="00A12970">
              <w:rPr>
                <w:rFonts w:cstheme="minorHAnsi"/>
                <w:i/>
                <w:iCs/>
                <w:color w:val="00B050"/>
                <w:sz w:val="12"/>
                <w:szCs w:val="12"/>
              </w:rPr>
              <w:t>–13</w:t>
            </w:r>
            <w:r>
              <w:rPr>
                <w:rFonts w:cstheme="minorHAnsi"/>
                <w:i/>
                <w:iCs/>
                <w:sz w:val="12"/>
                <w:szCs w:val="12"/>
              </w:rPr>
              <w:t xml:space="preserve"> </w:t>
            </w:r>
            <w:r w:rsidRPr="00E96E3B">
              <w:rPr>
                <w:rFonts w:cstheme="minorHAnsi"/>
                <w:i/>
                <w:iCs/>
                <w:sz w:val="12"/>
                <w:szCs w:val="12"/>
              </w:rPr>
              <w:t xml:space="preserve"> </w:t>
            </w:r>
          </w:p>
          <w:p w14:paraId="1FF56E84" w14:textId="77777777" w:rsidR="00546202" w:rsidRPr="00BC610C" w:rsidRDefault="00546202" w:rsidP="000803FC">
            <w:pPr>
              <w:jc w:val="center"/>
              <w:rPr>
                <w:rFonts w:eastAsia="Times New Roman" w:cs="Times New Roman"/>
                <w:b/>
                <w:bCs/>
                <w:color w:val="00B050"/>
                <w:sz w:val="18"/>
                <w:szCs w:val="18"/>
                <w:lang w:eastAsia="lv-LV"/>
              </w:rPr>
            </w:pPr>
            <w:r w:rsidRPr="00E96E3B">
              <w:rPr>
                <w:rFonts w:cstheme="minorHAnsi"/>
                <w:i/>
                <w:iCs/>
                <w:sz w:val="12"/>
                <w:szCs w:val="12"/>
              </w:rPr>
              <w:t xml:space="preserve">IIN </w:t>
            </w:r>
            <w:r w:rsidRPr="00A12970">
              <w:rPr>
                <w:rFonts w:cstheme="minorHAnsi"/>
                <w:i/>
                <w:iCs/>
                <w:color w:val="00B050"/>
                <w:sz w:val="12"/>
                <w:szCs w:val="12"/>
              </w:rPr>
              <w:t>-34</w:t>
            </w:r>
            <w:r>
              <w:rPr>
                <w:rFonts w:cstheme="minorHAnsi"/>
                <w:i/>
                <w:iCs/>
                <w:sz w:val="12"/>
                <w:szCs w:val="12"/>
              </w:rPr>
              <w:t>)</w:t>
            </w:r>
          </w:p>
        </w:tc>
        <w:tc>
          <w:tcPr>
            <w:tcW w:w="709" w:type="dxa"/>
            <w:tcBorders>
              <w:top w:val="nil"/>
              <w:left w:val="nil"/>
              <w:bottom w:val="single" w:sz="4" w:space="0" w:color="auto"/>
              <w:right w:val="single" w:sz="4" w:space="0" w:color="auto"/>
            </w:tcBorders>
            <w:shd w:val="clear" w:color="000000" w:fill="FFFFFF"/>
            <w:noWrap/>
            <w:vAlign w:val="center"/>
          </w:tcPr>
          <w:p w14:paraId="259D8F41" w14:textId="77777777" w:rsidR="00546202" w:rsidRPr="00BC610C" w:rsidRDefault="00546202" w:rsidP="000803FC">
            <w:pPr>
              <w:jc w:val="center"/>
              <w:rPr>
                <w:rFonts w:eastAsia="Times New Roman" w:cs="Times New Roman"/>
                <w:sz w:val="18"/>
                <w:szCs w:val="18"/>
                <w:lang w:eastAsia="lv-LV"/>
              </w:rPr>
            </w:pPr>
            <w:r w:rsidRPr="00BC610C">
              <w:rPr>
                <w:rFonts w:cs="Times New Roman"/>
                <w:color w:val="00B050"/>
                <w:sz w:val="18"/>
                <w:szCs w:val="18"/>
              </w:rPr>
              <w:t>-19</w:t>
            </w:r>
          </w:p>
        </w:tc>
        <w:tc>
          <w:tcPr>
            <w:tcW w:w="708" w:type="dxa"/>
            <w:tcBorders>
              <w:top w:val="nil"/>
              <w:left w:val="nil"/>
              <w:bottom w:val="single" w:sz="4" w:space="0" w:color="auto"/>
              <w:right w:val="single" w:sz="4" w:space="0" w:color="auto"/>
            </w:tcBorders>
            <w:shd w:val="clear" w:color="000000" w:fill="FFFFFF"/>
            <w:noWrap/>
            <w:vAlign w:val="center"/>
          </w:tcPr>
          <w:p w14:paraId="288D672A" w14:textId="77777777" w:rsidR="00546202" w:rsidRPr="00BC610C" w:rsidRDefault="00546202" w:rsidP="000803FC">
            <w:pPr>
              <w:jc w:val="center"/>
              <w:rPr>
                <w:rFonts w:eastAsia="Times New Roman" w:cs="Times New Roman"/>
                <w:sz w:val="18"/>
                <w:szCs w:val="18"/>
                <w:lang w:eastAsia="lv-LV"/>
              </w:rPr>
            </w:pPr>
            <w:r w:rsidRPr="00BC610C">
              <w:rPr>
                <w:rFonts w:cs="Times New Roman"/>
                <w:color w:val="00B050"/>
                <w:sz w:val="18"/>
                <w:szCs w:val="18"/>
              </w:rPr>
              <w:t>-9</w:t>
            </w:r>
          </w:p>
        </w:tc>
        <w:tc>
          <w:tcPr>
            <w:tcW w:w="851" w:type="dxa"/>
            <w:tcBorders>
              <w:top w:val="single" w:sz="4" w:space="0" w:color="auto"/>
              <w:left w:val="nil"/>
              <w:bottom w:val="single" w:sz="4" w:space="0" w:color="auto"/>
              <w:right w:val="single" w:sz="4" w:space="0" w:color="auto"/>
            </w:tcBorders>
            <w:shd w:val="clear" w:color="000000" w:fill="FFE699"/>
            <w:noWrap/>
            <w:vAlign w:val="center"/>
          </w:tcPr>
          <w:p w14:paraId="53BB72B9" w14:textId="77777777" w:rsidR="00546202" w:rsidRPr="00BC610C" w:rsidRDefault="00546202" w:rsidP="000803FC">
            <w:pPr>
              <w:jc w:val="center"/>
              <w:rPr>
                <w:rFonts w:eastAsia="Times New Roman" w:cs="Times New Roman"/>
                <w:b/>
                <w:bCs/>
                <w:color w:val="00B050"/>
                <w:sz w:val="18"/>
                <w:szCs w:val="18"/>
                <w:lang w:eastAsia="lv-LV"/>
              </w:rPr>
            </w:pPr>
            <w:r w:rsidRPr="00BC610C">
              <w:rPr>
                <w:rFonts w:cs="Times New Roman"/>
                <w:b/>
                <w:bCs/>
                <w:color w:val="00B050"/>
                <w:sz w:val="18"/>
                <w:szCs w:val="18"/>
              </w:rPr>
              <w:t>-75</w:t>
            </w:r>
          </w:p>
        </w:tc>
        <w:tc>
          <w:tcPr>
            <w:tcW w:w="850" w:type="dxa"/>
            <w:tcBorders>
              <w:top w:val="single" w:sz="4" w:space="0" w:color="auto"/>
              <w:left w:val="nil"/>
              <w:bottom w:val="single" w:sz="4" w:space="0" w:color="auto"/>
              <w:right w:val="single" w:sz="4" w:space="0" w:color="auto"/>
            </w:tcBorders>
            <w:shd w:val="clear" w:color="000000" w:fill="FFE699"/>
            <w:vAlign w:val="bottom"/>
          </w:tcPr>
          <w:p w14:paraId="592D1373" w14:textId="77777777" w:rsidR="00546202" w:rsidRPr="00BC610C" w:rsidRDefault="00546202" w:rsidP="000803FC">
            <w:pPr>
              <w:jc w:val="center"/>
              <w:rPr>
                <w:rFonts w:eastAsia="Times New Roman" w:cs="Times New Roman"/>
                <w:b/>
                <w:bCs/>
                <w:i/>
                <w:iCs/>
                <w:color w:val="00B050"/>
                <w:sz w:val="18"/>
                <w:szCs w:val="18"/>
                <w:lang w:eastAsia="lv-LV"/>
              </w:rPr>
            </w:pPr>
            <w:r w:rsidRPr="00BC610C">
              <w:rPr>
                <w:rFonts w:cs="Times New Roman"/>
                <w:i/>
                <w:iCs/>
                <w:color w:val="00B050"/>
                <w:sz w:val="18"/>
                <w:szCs w:val="18"/>
              </w:rPr>
              <w:t>-2%</w:t>
            </w:r>
          </w:p>
        </w:tc>
      </w:tr>
      <w:tr w:rsidR="00546202" w:rsidRPr="00E91D56" w14:paraId="249F70A9" w14:textId="77777777" w:rsidTr="000803FC">
        <w:trPr>
          <w:trHeight w:val="63"/>
        </w:trPr>
        <w:tc>
          <w:tcPr>
            <w:tcW w:w="1413" w:type="dxa"/>
            <w:tcBorders>
              <w:top w:val="nil"/>
              <w:left w:val="single" w:sz="4" w:space="0" w:color="auto"/>
              <w:bottom w:val="single" w:sz="4" w:space="0" w:color="auto"/>
              <w:right w:val="nil"/>
            </w:tcBorders>
            <w:shd w:val="clear" w:color="auto" w:fill="auto"/>
            <w:noWrap/>
            <w:vAlign w:val="bottom"/>
            <w:hideMark/>
          </w:tcPr>
          <w:p w14:paraId="652AC49A" w14:textId="77777777" w:rsidR="00546202" w:rsidRPr="00E91D56" w:rsidRDefault="00546202" w:rsidP="000803FC">
            <w:pPr>
              <w:jc w:val="center"/>
              <w:rPr>
                <w:rFonts w:eastAsia="Times New Roman" w:cs="Times New Roman"/>
                <w:b/>
                <w:bCs/>
                <w:color w:val="000000"/>
                <w:sz w:val="18"/>
                <w:szCs w:val="18"/>
                <w:lang w:eastAsia="lv-LV"/>
              </w:rPr>
            </w:pPr>
            <w:r w:rsidRPr="00E91D56">
              <w:rPr>
                <w:rFonts w:cstheme="minorHAnsi"/>
                <w:sz w:val="18"/>
                <w:szCs w:val="18"/>
              </w:rPr>
              <w:t>2 500</w:t>
            </w:r>
          </w:p>
        </w:tc>
        <w:tc>
          <w:tcPr>
            <w:tcW w:w="850" w:type="dxa"/>
            <w:tcBorders>
              <w:top w:val="nil"/>
              <w:left w:val="single" w:sz="4" w:space="0" w:color="auto"/>
              <w:bottom w:val="single" w:sz="4" w:space="0" w:color="auto"/>
              <w:right w:val="nil"/>
            </w:tcBorders>
            <w:shd w:val="clear" w:color="auto" w:fill="D9D9D9" w:themeFill="background1" w:themeFillShade="D9"/>
            <w:noWrap/>
            <w:vAlign w:val="bottom"/>
          </w:tcPr>
          <w:p w14:paraId="34C53976"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4 414</w:t>
            </w:r>
          </w:p>
        </w:tc>
        <w:tc>
          <w:tcPr>
            <w:tcW w:w="851" w:type="dxa"/>
            <w:tcBorders>
              <w:top w:val="nil"/>
              <w:left w:val="single" w:sz="4" w:space="0" w:color="auto"/>
              <w:bottom w:val="single" w:sz="4" w:space="0" w:color="auto"/>
              <w:right w:val="nil"/>
            </w:tcBorders>
            <w:shd w:val="clear" w:color="auto" w:fill="auto"/>
            <w:noWrap/>
            <w:vAlign w:val="bottom"/>
          </w:tcPr>
          <w:p w14:paraId="0D3A44D4"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4 393</w:t>
            </w:r>
          </w:p>
        </w:tc>
        <w:tc>
          <w:tcPr>
            <w:tcW w:w="850" w:type="dxa"/>
            <w:tcBorders>
              <w:top w:val="nil"/>
              <w:left w:val="single" w:sz="4" w:space="0" w:color="auto"/>
              <w:bottom w:val="single" w:sz="4" w:space="0" w:color="auto"/>
              <w:right w:val="nil"/>
            </w:tcBorders>
            <w:shd w:val="clear" w:color="auto" w:fill="auto"/>
            <w:noWrap/>
            <w:vAlign w:val="bottom"/>
          </w:tcPr>
          <w:p w14:paraId="0F6F2E25"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4 374</w:t>
            </w:r>
          </w:p>
        </w:tc>
        <w:tc>
          <w:tcPr>
            <w:tcW w:w="851" w:type="dxa"/>
            <w:tcBorders>
              <w:top w:val="nil"/>
              <w:left w:val="single" w:sz="4" w:space="0" w:color="auto"/>
              <w:bottom w:val="single" w:sz="4" w:space="0" w:color="auto"/>
              <w:right w:val="nil"/>
            </w:tcBorders>
            <w:shd w:val="clear" w:color="auto" w:fill="auto"/>
            <w:noWrap/>
            <w:vAlign w:val="bottom"/>
          </w:tcPr>
          <w:p w14:paraId="3749EC9A"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4 364</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069B66" w14:textId="77777777" w:rsidR="00546202" w:rsidRPr="00BC610C" w:rsidRDefault="00546202" w:rsidP="000803FC">
            <w:pPr>
              <w:jc w:val="center"/>
              <w:rPr>
                <w:rFonts w:eastAsia="Times New Roman" w:cs="Times New Roman"/>
                <w:b/>
                <w:bCs/>
                <w:color w:val="00B050"/>
                <w:sz w:val="18"/>
                <w:szCs w:val="18"/>
                <w:lang w:eastAsia="lv-LV"/>
              </w:rPr>
            </w:pPr>
            <w:r w:rsidRPr="001434E6">
              <w:rPr>
                <w:color w:val="00B050"/>
                <w:sz w:val="18"/>
                <w:szCs w:val="18"/>
              </w:rPr>
              <w:t>-21</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tcPr>
          <w:p w14:paraId="5A846E85" w14:textId="77777777" w:rsidR="00546202" w:rsidRDefault="00546202" w:rsidP="000803FC">
            <w:pPr>
              <w:jc w:val="center"/>
              <w:rPr>
                <w:rFonts w:cstheme="minorHAnsi"/>
                <w:i/>
                <w:iCs/>
                <w:sz w:val="12"/>
                <w:szCs w:val="12"/>
              </w:rPr>
            </w:pPr>
            <w:r w:rsidRPr="00E96E3B">
              <w:rPr>
                <w:rFonts w:cstheme="minorHAnsi"/>
                <w:i/>
                <w:iCs/>
                <w:sz w:val="12"/>
                <w:szCs w:val="12"/>
              </w:rPr>
              <w:t xml:space="preserve">(VSAOI </w:t>
            </w:r>
            <w:r w:rsidRPr="00A12970">
              <w:rPr>
                <w:rFonts w:cstheme="minorHAnsi"/>
                <w:i/>
                <w:iCs/>
                <w:color w:val="00B050"/>
                <w:sz w:val="12"/>
                <w:szCs w:val="12"/>
              </w:rPr>
              <w:t>–6</w:t>
            </w:r>
            <w:r>
              <w:rPr>
                <w:rFonts w:cstheme="minorHAnsi"/>
                <w:i/>
                <w:iCs/>
                <w:sz w:val="12"/>
                <w:szCs w:val="12"/>
              </w:rPr>
              <w:t xml:space="preserve"> </w:t>
            </w:r>
            <w:r w:rsidRPr="00E96E3B">
              <w:rPr>
                <w:rFonts w:cstheme="minorHAnsi"/>
                <w:i/>
                <w:iCs/>
                <w:sz w:val="12"/>
                <w:szCs w:val="12"/>
              </w:rPr>
              <w:t xml:space="preserve"> </w:t>
            </w:r>
          </w:p>
          <w:p w14:paraId="2590D5AF" w14:textId="77777777" w:rsidR="00546202" w:rsidRPr="00BC610C" w:rsidRDefault="00546202" w:rsidP="000803FC">
            <w:pPr>
              <w:jc w:val="center"/>
              <w:rPr>
                <w:rFonts w:eastAsia="Times New Roman" w:cs="Times New Roman"/>
                <w:b/>
                <w:bCs/>
                <w:color w:val="00B050"/>
                <w:sz w:val="18"/>
                <w:szCs w:val="18"/>
                <w:lang w:eastAsia="lv-LV"/>
              </w:rPr>
            </w:pPr>
            <w:r w:rsidRPr="00E96E3B">
              <w:rPr>
                <w:rFonts w:cstheme="minorHAnsi"/>
                <w:i/>
                <w:iCs/>
                <w:sz w:val="12"/>
                <w:szCs w:val="12"/>
              </w:rPr>
              <w:t xml:space="preserve">IIN </w:t>
            </w:r>
            <w:r w:rsidRPr="00A12970">
              <w:rPr>
                <w:rFonts w:cstheme="minorHAnsi"/>
                <w:i/>
                <w:iCs/>
                <w:color w:val="00B050"/>
                <w:sz w:val="12"/>
                <w:szCs w:val="12"/>
              </w:rPr>
              <w:t>-15</w:t>
            </w:r>
            <w:r>
              <w:rPr>
                <w:rFonts w:cstheme="minorHAnsi"/>
                <w:i/>
                <w:iCs/>
                <w:sz w:val="12"/>
                <w:szCs w:val="12"/>
              </w:rPr>
              <w:t>)</w:t>
            </w:r>
          </w:p>
        </w:tc>
        <w:tc>
          <w:tcPr>
            <w:tcW w:w="709" w:type="dxa"/>
            <w:tcBorders>
              <w:top w:val="nil"/>
              <w:left w:val="nil"/>
              <w:bottom w:val="single" w:sz="4" w:space="0" w:color="auto"/>
              <w:right w:val="single" w:sz="4" w:space="0" w:color="auto"/>
            </w:tcBorders>
            <w:shd w:val="clear" w:color="000000" w:fill="FFFFFF"/>
            <w:noWrap/>
            <w:vAlign w:val="center"/>
          </w:tcPr>
          <w:p w14:paraId="40626D98" w14:textId="77777777" w:rsidR="00546202" w:rsidRPr="00BC610C" w:rsidRDefault="00546202" w:rsidP="000803FC">
            <w:pPr>
              <w:jc w:val="center"/>
              <w:rPr>
                <w:rFonts w:eastAsia="Times New Roman" w:cs="Times New Roman"/>
                <w:sz w:val="18"/>
                <w:szCs w:val="18"/>
                <w:lang w:eastAsia="lv-LV"/>
              </w:rPr>
            </w:pPr>
            <w:r w:rsidRPr="00BC610C">
              <w:rPr>
                <w:rFonts w:cs="Times New Roman"/>
                <w:color w:val="00B050"/>
                <w:sz w:val="18"/>
                <w:szCs w:val="18"/>
              </w:rPr>
              <w:t>-19</w:t>
            </w:r>
          </w:p>
        </w:tc>
        <w:tc>
          <w:tcPr>
            <w:tcW w:w="708" w:type="dxa"/>
            <w:tcBorders>
              <w:top w:val="nil"/>
              <w:left w:val="nil"/>
              <w:bottom w:val="single" w:sz="4" w:space="0" w:color="auto"/>
              <w:right w:val="single" w:sz="4" w:space="0" w:color="auto"/>
            </w:tcBorders>
            <w:shd w:val="clear" w:color="000000" w:fill="FFFFFF"/>
            <w:noWrap/>
            <w:vAlign w:val="center"/>
          </w:tcPr>
          <w:p w14:paraId="1B1343F3" w14:textId="77777777" w:rsidR="00546202" w:rsidRPr="00BC610C" w:rsidRDefault="00546202" w:rsidP="000803FC">
            <w:pPr>
              <w:jc w:val="center"/>
              <w:rPr>
                <w:rFonts w:eastAsia="Times New Roman" w:cs="Times New Roman"/>
                <w:sz w:val="18"/>
                <w:szCs w:val="18"/>
                <w:lang w:eastAsia="lv-LV"/>
              </w:rPr>
            </w:pPr>
            <w:r w:rsidRPr="00BC610C">
              <w:rPr>
                <w:rFonts w:cs="Times New Roman"/>
                <w:color w:val="00B050"/>
                <w:sz w:val="18"/>
                <w:szCs w:val="18"/>
              </w:rPr>
              <w:t>-9</w:t>
            </w:r>
          </w:p>
        </w:tc>
        <w:tc>
          <w:tcPr>
            <w:tcW w:w="851" w:type="dxa"/>
            <w:tcBorders>
              <w:top w:val="single" w:sz="4" w:space="0" w:color="auto"/>
              <w:left w:val="nil"/>
              <w:bottom w:val="single" w:sz="4" w:space="0" w:color="auto"/>
              <w:right w:val="single" w:sz="4" w:space="0" w:color="auto"/>
            </w:tcBorders>
            <w:shd w:val="clear" w:color="000000" w:fill="FFE699"/>
            <w:noWrap/>
            <w:vAlign w:val="center"/>
          </w:tcPr>
          <w:p w14:paraId="4D22920D" w14:textId="77777777" w:rsidR="00546202" w:rsidRPr="00BC610C" w:rsidRDefault="00546202" w:rsidP="000803FC">
            <w:pPr>
              <w:jc w:val="center"/>
              <w:rPr>
                <w:rFonts w:eastAsia="Times New Roman" w:cs="Times New Roman"/>
                <w:b/>
                <w:bCs/>
                <w:color w:val="00B050"/>
                <w:sz w:val="18"/>
                <w:szCs w:val="18"/>
                <w:lang w:eastAsia="lv-LV"/>
              </w:rPr>
            </w:pPr>
            <w:r w:rsidRPr="00BC610C">
              <w:rPr>
                <w:rFonts w:cs="Times New Roman"/>
                <w:b/>
                <w:bCs/>
                <w:color w:val="00B050"/>
                <w:sz w:val="18"/>
                <w:szCs w:val="18"/>
              </w:rPr>
              <w:t>-49</w:t>
            </w:r>
          </w:p>
        </w:tc>
        <w:tc>
          <w:tcPr>
            <w:tcW w:w="850" w:type="dxa"/>
            <w:tcBorders>
              <w:top w:val="single" w:sz="4" w:space="0" w:color="auto"/>
              <w:left w:val="nil"/>
              <w:bottom w:val="single" w:sz="4" w:space="0" w:color="auto"/>
              <w:right w:val="single" w:sz="4" w:space="0" w:color="auto"/>
            </w:tcBorders>
            <w:shd w:val="clear" w:color="000000" w:fill="FFE699"/>
            <w:vAlign w:val="bottom"/>
          </w:tcPr>
          <w:p w14:paraId="4249CF38" w14:textId="77777777" w:rsidR="00546202" w:rsidRPr="00BC610C" w:rsidRDefault="00546202" w:rsidP="000803FC">
            <w:pPr>
              <w:jc w:val="center"/>
              <w:rPr>
                <w:rFonts w:eastAsia="Times New Roman" w:cs="Times New Roman"/>
                <w:b/>
                <w:bCs/>
                <w:i/>
                <w:iCs/>
                <w:color w:val="00B050"/>
                <w:sz w:val="18"/>
                <w:szCs w:val="18"/>
                <w:lang w:eastAsia="lv-LV"/>
              </w:rPr>
            </w:pPr>
            <w:r w:rsidRPr="00BC610C">
              <w:rPr>
                <w:rFonts w:cs="Times New Roman"/>
                <w:i/>
                <w:iCs/>
                <w:color w:val="00B050"/>
                <w:sz w:val="18"/>
                <w:szCs w:val="18"/>
              </w:rPr>
              <w:t>-1%</w:t>
            </w:r>
          </w:p>
        </w:tc>
      </w:tr>
      <w:tr w:rsidR="00546202" w:rsidRPr="00E91D56" w14:paraId="68BB2A98" w14:textId="77777777" w:rsidTr="000803FC">
        <w:trPr>
          <w:trHeight w:val="43"/>
        </w:trPr>
        <w:tc>
          <w:tcPr>
            <w:tcW w:w="1413" w:type="dxa"/>
            <w:tcBorders>
              <w:top w:val="nil"/>
              <w:left w:val="single" w:sz="4" w:space="0" w:color="auto"/>
              <w:bottom w:val="single" w:sz="4" w:space="0" w:color="auto"/>
              <w:right w:val="nil"/>
            </w:tcBorders>
            <w:shd w:val="clear" w:color="auto" w:fill="auto"/>
            <w:noWrap/>
            <w:vAlign w:val="bottom"/>
            <w:hideMark/>
          </w:tcPr>
          <w:p w14:paraId="13B1CAA8" w14:textId="77777777" w:rsidR="00546202" w:rsidRPr="00E91D56" w:rsidRDefault="00546202" w:rsidP="000803FC">
            <w:pPr>
              <w:jc w:val="center"/>
              <w:rPr>
                <w:rFonts w:eastAsia="Times New Roman" w:cs="Times New Roman"/>
                <w:b/>
                <w:bCs/>
                <w:color w:val="000000"/>
                <w:sz w:val="18"/>
                <w:szCs w:val="18"/>
                <w:lang w:eastAsia="lv-LV"/>
              </w:rPr>
            </w:pPr>
            <w:r w:rsidRPr="00E91D56">
              <w:rPr>
                <w:rFonts w:cstheme="minorHAnsi"/>
                <w:sz w:val="18"/>
                <w:szCs w:val="18"/>
              </w:rPr>
              <w:t>3</w:t>
            </w:r>
            <w:r>
              <w:rPr>
                <w:rFonts w:cstheme="minorHAnsi"/>
                <w:sz w:val="18"/>
                <w:szCs w:val="18"/>
              </w:rPr>
              <w:t> </w:t>
            </w:r>
            <w:r w:rsidRPr="00E91D56">
              <w:rPr>
                <w:rFonts w:cstheme="minorHAnsi"/>
                <w:sz w:val="18"/>
                <w:szCs w:val="18"/>
              </w:rPr>
              <w:t>000</w:t>
            </w:r>
            <w:r w:rsidRPr="00BD15AD">
              <w:rPr>
                <w:rFonts w:cstheme="minorHAnsi"/>
                <w:sz w:val="18"/>
                <w:szCs w:val="18"/>
                <w:vertAlign w:val="superscript"/>
              </w:rPr>
              <w:t>*</w:t>
            </w:r>
          </w:p>
        </w:tc>
        <w:tc>
          <w:tcPr>
            <w:tcW w:w="850" w:type="dxa"/>
            <w:tcBorders>
              <w:top w:val="nil"/>
              <w:left w:val="single" w:sz="4" w:space="0" w:color="auto"/>
              <w:bottom w:val="single" w:sz="4" w:space="0" w:color="auto"/>
              <w:right w:val="nil"/>
            </w:tcBorders>
            <w:shd w:val="clear" w:color="auto" w:fill="D9D9D9" w:themeFill="background1" w:themeFillShade="D9"/>
            <w:noWrap/>
            <w:vAlign w:val="bottom"/>
          </w:tcPr>
          <w:p w14:paraId="26B8388B"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5 315</w:t>
            </w:r>
          </w:p>
        </w:tc>
        <w:tc>
          <w:tcPr>
            <w:tcW w:w="851" w:type="dxa"/>
            <w:tcBorders>
              <w:top w:val="nil"/>
              <w:left w:val="single" w:sz="4" w:space="0" w:color="auto"/>
              <w:bottom w:val="single" w:sz="4" w:space="0" w:color="auto"/>
              <w:right w:val="nil"/>
            </w:tcBorders>
            <w:shd w:val="clear" w:color="auto" w:fill="auto"/>
            <w:noWrap/>
            <w:vAlign w:val="bottom"/>
          </w:tcPr>
          <w:p w14:paraId="045DF81A"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5 320</w:t>
            </w:r>
          </w:p>
        </w:tc>
        <w:tc>
          <w:tcPr>
            <w:tcW w:w="850" w:type="dxa"/>
            <w:tcBorders>
              <w:top w:val="nil"/>
              <w:left w:val="single" w:sz="4" w:space="0" w:color="auto"/>
              <w:bottom w:val="single" w:sz="4" w:space="0" w:color="auto"/>
              <w:right w:val="nil"/>
            </w:tcBorders>
            <w:shd w:val="clear" w:color="auto" w:fill="auto"/>
            <w:noWrap/>
            <w:vAlign w:val="bottom"/>
          </w:tcPr>
          <w:p w14:paraId="2403BB7D"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5 301</w:t>
            </w:r>
          </w:p>
        </w:tc>
        <w:tc>
          <w:tcPr>
            <w:tcW w:w="851" w:type="dxa"/>
            <w:tcBorders>
              <w:top w:val="nil"/>
              <w:left w:val="single" w:sz="4" w:space="0" w:color="auto"/>
              <w:bottom w:val="single" w:sz="4" w:space="0" w:color="auto"/>
              <w:right w:val="nil"/>
            </w:tcBorders>
            <w:shd w:val="clear" w:color="auto" w:fill="auto"/>
            <w:noWrap/>
            <w:vAlign w:val="bottom"/>
          </w:tcPr>
          <w:p w14:paraId="3E3C6D2C"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5 291</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3504C1" w14:textId="77777777" w:rsidR="00546202" w:rsidRPr="00BC610C" w:rsidRDefault="00546202" w:rsidP="000803FC">
            <w:pPr>
              <w:jc w:val="center"/>
              <w:rPr>
                <w:rFonts w:eastAsia="Times New Roman" w:cs="Times New Roman"/>
                <w:b/>
                <w:bCs/>
                <w:color w:val="00B050"/>
                <w:sz w:val="18"/>
                <w:szCs w:val="18"/>
                <w:lang w:eastAsia="lv-LV"/>
              </w:rPr>
            </w:pPr>
            <w:r w:rsidRPr="001434E6">
              <w:rPr>
                <w:color w:val="FF0000"/>
                <w:sz w:val="18"/>
                <w:szCs w:val="18"/>
              </w:rPr>
              <w:t>+5</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tcPr>
          <w:p w14:paraId="20043CCD" w14:textId="77777777" w:rsidR="00546202" w:rsidRDefault="00546202" w:rsidP="000803FC">
            <w:pPr>
              <w:jc w:val="center"/>
              <w:rPr>
                <w:rFonts w:cstheme="minorHAnsi"/>
                <w:i/>
                <w:iCs/>
                <w:sz w:val="12"/>
                <w:szCs w:val="12"/>
              </w:rPr>
            </w:pPr>
            <w:r w:rsidRPr="00E96E3B">
              <w:rPr>
                <w:rFonts w:cstheme="minorHAnsi"/>
                <w:i/>
                <w:iCs/>
                <w:sz w:val="12"/>
                <w:szCs w:val="12"/>
              </w:rPr>
              <w:t xml:space="preserve">(VSAOI </w:t>
            </w:r>
            <w:r w:rsidRPr="00A12970">
              <w:rPr>
                <w:rFonts w:cstheme="minorHAnsi"/>
                <w:i/>
                <w:iCs/>
                <w:color w:val="FF0000"/>
                <w:sz w:val="12"/>
                <w:szCs w:val="12"/>
              </w:rPr>
              <w:t>+1</w:t>
            </w:r>
            <w:r>
              <w:rPr>
                <w:rFonts w:cstheme="minorHAnsi"/>
                <w:i/>
                <w:iCs/>
                <w:sz w:val="12"/>
                <w:szCs w:val="12"/>
              </w:rPr>
              <w:t xml:space="preserve"> </w:t>
            </w:r>
            <w:r w:rsidRPr="00E96E3B">
              <w:rPr>
                <w:rFonts w:cstheme="minorHAnsi"/>
                <w:i/>
                <w:iCs/>
                <w:sz w:val="12"/>
                <w:szCs w:val="12"/>
              </w:rPr>
              <w:t xml:space="preserve"> </w:t>
            </w:r>
          </w:p>
          <w:p w14:paraId="5D9D5266" w14:textId="77777777" w:rsidR="00546202" w:rsidRPr="00BC610C" w:rsidRDefault="00546202" w:rsidP="000803FC">
            <w:pPr>
              <w:jc w:val="center"/>
              <w:rPr>
                <w:rFonts w:eastAsia="Times New Roman" w:cs="Times New Roman"/>
                <w:b/>
                <w:bCs/>
                <w:color w:val="00B050"/>
                <w:sz w:val="18"/>
                <w:szCs w:val="18"/>
                <w:lang w:eastAsia="lv-LV"/>
              </w:rPr>
            </w:pPr>
            <w:r w:rsidRPr="00E96E3B">
              <w:rPr>
                <w:rFonts w:cstheme="minorHAnsi"/>
                <w:i/>
                <w:iCs/>
                <w:sz w:val="12"/>
                <w:szCs w:val="12"/>
              </w:rPr>
              <w:t xml:space="preserve">IIN </w:t>
            </w:r>
            <w:r w:rsidRPr="00A12970">
              <w:rPr>
                <w:rFonts w:cstheme="minorHAnsi"/>
                <w:i/>
                <w:iCs/>
                <w:color w:val="FF0000"/>
                <w:sz w:val="12"/>
                <w:szCs w:val="12"/>
              </w:rPr>
              <w:t>+4</w:t>
            </w:r>
            <w:r>
              <w:rPr>
                <w:rFonts w:cstheme="minorHAnsi"/>
                <w:i/>
                <w:iCs/>
                <w:sz w:val="12"/>
                <w:szCs w:val="12"/>
              </w:rPr>
              <w:t>)</w:t>
            </w:r>
          </w:p>
        </w:tc>
        <w:tc>
          <w:tcPr>
            <w:tcW w:w="709" w:type="dxa"/>
            <w:tcBorders>
              <w:top w:val="nil"/>
              <w:left w:val="nil"/>
              <w:bottom w:val="single" w:sz="4" w:space="0" w:color="auto"/>
              <w:right w:val="single" w:sz="4" w:space="0" w:color="auto"/>
            </w:tcBorders>
            <w:shd w:val="clear" w:color="000000" w:fill="FFFFFF"/>
            <w:noWrap/>
            <w:vAlign w:val="center"/>
          </w:tcPr>
          <w:p w14:paraId="776EE94B" w14:textId="77777777" w:rsidR="00546202" w:rsidRPr="00BC610C" w:rsidRDefault="00546202" w:rsidP="000803FC">
            <w:pPr>
              <w:jc w:val="center"/>
              <w:rPr>
                <w:rFonts w:eastAsia="Times New Roman" w:cs="Times New Roman"/>
                <w:sz w:val="18"/>
                <w:szCs w:val="18"/>
                <w:lang w:eastAsia="lv-LV"/>
              </w:rPr>
            </w:pPr>
            <w:r w:rsidRPr="00BC610C">
              <w:rPr>
                <w:rFonts w:cs="Times New Roman"/>
                <w:color w:val="00B050"/>
                <w:sz w:val="18"/>
                <w:szCs w:val="18"/>
              </w:rPr>
              <w:t>-19</w:t>
            </w:r>
          </w:p>
        </w:tc>
        <w:tc>
          <w:tcPr>
            <w:tcW w:w="708" w:type="dxa"/>
            <w:tcBorders>
              <w:top w:val="nil"/>
              <w:left w:val="nil"/>
              <w:bottom w:val="single" w:sz="4" w:space="0" w:color="auto"/>
              <w:right w:val="single" w:sz="4" w:space="0" w:color="auto"/>
            </w:tcBorders>
            <w:shd w:val="clear" w:color="000000" w:fill="FFFFFF"/>
            <w:noWrap/>
            <w:vAlign w:val="center"/>
          </w:tcPr>
          <w:p w14:paraId="74F8E511" w14:textId="77777777" w:rsidR="00546202" w:rsidRPr="00BC610C" w:rsidRDefault="00546202" w:rsidP="000803FC">
            <w:pPr>
              <w:jc w:val="center"/>
              <w:rPr>
                <w:rFonts w:eastAsia="Times New Roman" w:cs="Times New Roman"/>
                <w:sz w:val="18"/>
                <w:szCs w:val="18"/>
                <w:lang w:eastAsia="lv-LV"/>
              </w:rPr>
            </w:pPr>
            <w:r w:rsidRPr="00BC610C">
              <w:rPr>
                <w:rFonts w:cs="Times New Roman"/>
                <w:color w:val="00B050"/>
                <w:sz w:val="18"/>
                <w:szCs w:val="18"/>
              </w:rPr>
              <w:t>-9</w:t>
            </w:r>
          </w:p>
        </w:tc>
        <w:tc>
          <w:tcPr>
            <w:tcW w:w="851" w:type="dxa"/>
            <w:tcBorders>
              <w:top w:val="single" w:sz="4" w:space="0" w:color="auto"/>
              <w:left w:val="nil"/>
              <w:bottom w:val="single" w:sz="4" w:space="0" w:color="auto"/>
              <w:right w:val="single" w:sz="4" w:space="0" w:color="auto"/>
            </w:tcBorders>
            <w:shd w:val="clear" w:color="000000" w:fill="FFE699"/>
            <w:noWrap/>
            <w:vAlign w:val="center"/>
          </w:tcPr>
          <w:p w14:paraId="0B78C314" w14:textId="77777777" w:rsidR="00546202" w:rsidRPr="00BC610C" w:rsidRDefault="00546202" w:rsidP="000803FC">
            <w:pPr>
              <w:jc w:val="center"/>
              <w:rPr>
                <w:rFonts w:eastAsia="Times New Roman" w:cs="Times New Roman"/>
                <w:b/>
                <w:bCs/>
                <w:color w:val="00B050"/>
                <w:sz w:val="18"/>
                <w:szCs w:val="18"/>
                <w:lang w:eastAsia="lv-LV"/>
              </w:rPr>
            </w:pPr>
            <w:r w:rsidRPr="00BC610C">
              <w:rPr>
                <w:rFonts w:cs="Times New Roman"/>
                <w:b/>
                <w:bCs/>
                <w:color w:val="00B050"/>
                <w:sz w:val="18"/>
                <w:szCs w:val="18"/>
              </w:rPr>
              <w:t>-23</w:t>
            </w:r>
          </w:p>
        </w:tc>
        <w:tc>
          <w:tcPr>
            <w:tcW w:w="850" w:type="dxa"/>
            <w:tcBorders>
              <w:top w:val="single" w:sz="4" w:space="0" w:color="auto"/>
              <w:left w:val="nil"/>
              <w:bottom w:val="single" w:sz="4" w:space="0" w:color="auto"/>
              <w:right w:val="single" w:sz="4" w:space="0" w:color="auto"/>
            </w:tcBorders>
            <w:shd w:val="clear" w:color="000000" w:fill="FFE699"/>
            <w:vAlign w:val="bottom"/>
          </w:tcPr>
          <w:p w14:paraId="32E07A28" w14:textId="77777777" w:rsidR="00546202" w:rsidRPr="00BC610C" w:rsidRDefault="00546202" w:rsidP="000803FC">
            <w:pPr>
              <w:jc w:val="center"/>
              <w:rPr>
                <w:rFonts w:eastAsia="Times New Roman" w:cs="Times New Roman"/>
                <w:b/>
                <w:bCs/>
                <w:i/>
                <w:iCs/>
                <w:color w:val="00B050"/>
                <w:sz w:val="18"/>
                <w:szCs w:val="18"/>
                <w:lang w:eastAsia="lv-LV"/>
              </w:rPr>
            </w:pPr>
            <w:r w:rsidRPr="00BC610C">
              <w:rPr>
                <w:rFonts w:cs="Times New Roman"/>
                <w:i/>
                <w:iCs/>
                <w:color w:val="00B050"/>
                <w:sz w:val="18"/>
                <w:szCs w:val="18"/>
              </w:rPr>
              <w:t>-0,4%</w:t>
            </w:r>
          </w:p>
        </w:tc>
      </w:tr>
      <w:tr w:rsidR="00546202" w:rsidRPr="00E91D56" w14:paraId="47E5CA95" w14:textId="77777777" w:rsidTr="000803FC">
        <w:trPr>
          <w:trHeight w:val="43"/>
        </w:trPr>
        <w:tc>
          <w:tcPr>
            <w:tcW w:w="1413" w:type="dxa"/>
            <w:tcBorders>
              <w:top w:val="nil"/>
              <w:left w:val="single" w:sz="4" w:space="0" w:color="auto"/>
              <w:bottom w:val="single" w:sz="4" w:space="0" w:color="auto"/>
              <w:right w:val="nil"/>
            </w:tcBorders>
            <w:shd w:val="clear" w:color="auto" w:fill="auto"/>
            <w:noWrap/>
            <w:vAlign w:val="bottom"/>
            <w:hideMark/>
          </w:tcPr>
          <w:p w14:paraId="6F5DEFCB" w14:textId="77777777" w:rsidR="00546202" w:rsidRPr="00E91D56" w:rsidRDefault="00546202" w:rsidP="000803FC">
            <w:pPr>
              <w:jc w:val="center"/>
              <w:rPr>
                <w:rFonts w:eastAsia="Times New Roman" w:cs="Times New Roman"/>
                <w:b/>
                <w:bCs/>
                <w:color w:val="000000"/>
                <w:sz w:val="18"/>
                <w:szCs w:val="18"/>
                <w:lang w:eastAsia="lv-LV"/>
              </w:rPr>
            </w:pPr>
            <w:r w:rsidRPr="00E91D56">
              <w:rPr>
                <w:rFonts w:cstheme="minorHAnsi"/>
                <w:sz w:val="18"/>
                <w:szCs w:val="18"/>
              </w:rPr>
              <w:t>4</w:t>
            </w:r>
            <w:r>
              <w:rPr>
                <w:rFonts w:cstheme="minorHAnsi"/>
                <w:sz w:val="18"/>
                <w:szCs w:val="18"/>
              </w:rPr>
              <w:t> </w:t>
            </w:r>
            <w:r w:rsidRPr="00E91D56">
              <w:rPr>
                <w:rFonts w:cstheme="minorHAnsi"/>
                <w:sz w:val="18"/>
                <w:szCs w:val="18"/>
              </w:rPr>
              <w:t>000</w:t>
            </w:r>
            <w:r w:rsidRPr="00BD15AD">
              <w:rPr>
                <w:rFonts w:cstheme="minorHAnsi"/>
                <w:sz w:val="18"/>
                <w:szCs w:val="18"/>
                <w:vertAlign w:val="superscript"/>
              </w:rPr>
              <w:t>*</w:t>
            </w:r>
          </w:p>
        </w:tc>
        <w:tc>
          <w:tcPr>
            <w:tcW w:w="850" w:type="dxa"/>
            <w:tcBorders>
              <w:top w:val="nil"/>
              <w:left w:val="single" w:sz="4" w:space="0" w:color="auto"/>
              <w:bottom w:val="single" w:sz="4" w:space="0" w:color="auto"/>
              <w:right w:val="nil"/>
            </w:tcBorders>
            <w:shd w:val="clear" w:color="auto" w:fill="D9D9D9" w:themeFill="background1" w:themeFillShade="D9"/>
            <w:noWrap/>
            <w:vAlign w:val="bottom"/>
          </w:tcPr>
          <w:p w14:paraId="01C53224"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7 116</w:t>
            </w:r>
          </w:p>
        </w:tc>
        <w:tc>
          <w:tcPr>
            <w:tcW w:w="851" w:type="dxa"/>
            <w:tcBorders>
              <w:top w:val="nil"/>
              <w:left w:val="single" w:sz="4" w:space="0" w:color="auto"/>
              <w:bottom w:val="single" w:sz="4" w:space="0" w:color="auto"/>
              <w:right w:val="nil"/>
            </w:tcBorders>
            <w:shd w:val="clear" w:color="auto" w:fill="auto"/>
            <w:noWrap/>
            <w:vAlign w:val="bottom"/>
          </w:tcPr>
          <w:p w14:paraId="05213811"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7 173</w:t>
            </w:r>
          </w:p>
        </w:tc>
        <w:tc>
          <w:tcPr>
            <w:tcW w:w="850" w:type="dxa"/>
            <w:tcBorders>
              <w:top w:val="nil"/>
              <w:left w:val="single" w:sz="4" w:space="0" w:color="auto"/>
              <w:bottom w:val="single" w:sz="4" w:space="0" w:color="auto"/>
              <w:right w:val="nil"/>
            </w:tcBorders>
            <w:shd w:val="clear" w:color="auto" w:fill="auto"/>
            <w:noWrap/>
            <w:vAlign w:val="bottom"/>
          </w:tcPr>
          <w:p w14:paraId="6670A55D"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7 154</w:t>
            </w:r>
          </w:p>
        </w:tc>
        <w:tc>
          <w:tcPr>
            <w:tcW w:w="851" w:type="dxa"/>
            <w:tcBorders>
              <w:top w:val="nil"/>
              <w:left w:val="single" w:sz="4" w:space="0" w:color="auto"/>
              <w:bottom w:val="single" w:sz="4" w:space="0" w:color="auto"/>
              <w:right w:val="nil"/>
            </w:tcBorders>
            <w:shd w:val="clear" w:color="auto" w:fill="auto"/>
            <w:noWrap/>
            <w:vAlign w:val="bottom"/>
          </w:tcPr>
          <w:p w14:paraId="0A84D2AC"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7 145</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92B846" w14:textId="77777777" w:rsidR="00546202" w:rsidRPr="00BC610C" w:rsidRDefault="00546202" w:rsidP="000803FC">
            <w:pPr>
              <w:jc w:val="center"/>
              <w:rPr>
                <w:rFonts w:eastAsia="Times New Roman" w:cs="Times New Roman"/>
                <w:b/>
                <w:bCs/>
                <w:color w:val="00B050"/>
                <w:sz w:val="18"/>
                <w:szCs w:val="18"/>
                <w:lang w:eastAsia="lv-LV"/>
              </w:rPr>
            </w:pPr>
            <w:r w:rsidRPr="001434E6">
              <w:rPr>
                <w:color w:val="FF0000"/>
                <w:sz w:val="18"/>
                <w:szCs w:val="18"/>
              </w:rPr>
              <w:t>+57</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tcPr>
          <w:p w14:paraId="2BB41A37" w14:textId="77777777" w:rsidR="00546202" w:rsidRDefault="00546202" w:rsidP="000803FC">
            <w:pPr>
              <w:jc w:val="center"/>
              <w:rPr>
                <w:rFonts w:cstheme="minorHAnsi"/>
                <w:i/>
                <w:iCs/>
                <w:sz w:val="12"/>
                <w:szCs w:val="12"/>
              </w:rPr>
            </w:pPr>
            <w:r w:rsidRPr="00E96E3B">
              <w:rPr>
                <w:rFonts w:cstheme="minorHAnsi"/>
                <w:i/>
                <w:iCs/>
                <w:sz w:val="12"/>
                <w:szCs w:val="12"/>
              </w:rPr>
              <w:t xml:space="preserve">(VSAOI </w:t>
            </w:r>
            <w:r w:rsidRPr="00A12970">
              <w:rPr>
                <w:rFonts w:cstheme="minorHAnsi"/>
                <w:i/>
                <w:iCs/>
                <w:color w:val="FF0000"/>
                <w:sz w:val="12"/>
                <w:szCs w:val="12"/>
              </w:rPr>
              <w:t xml:space="preserve">+16  </w:t>
            </w:r>
          </w:p>
          <w:p w14:paraId="375E8014" w14:textId="77777777" w:rsidR="00546202" w:rsidRPr="00BC610C" w:rsidRDefault="00546202" w:rsidP="000803FC">
            <w:pPr>
              <w:jc w:val="center"/>
              <w:rPr>
                <w:rFonts w:eastAsia="Times New Roman" w:cs="Times New Roman"/>
                <w:b/>
                <w:bCs/>
                <w:color w:val="00B050"/>
                <w:sz w:val="18"/>
                <w:szCs w:val="18"/>
                <w:lang w:eastAsia="lv-LV"/>
              </w:rPr>
            </w:pPr>
            <w:r w:rsidRPr="00E96E3B">
              <w:rPr>
                <w:rFonts w:cstheme="minorHAnsi"/>
                <w:i/>
                <w:iCs/>
                <w:sz w:val="12"/>
                <w:szCs w:val="12"/>
              </w:rPr>
              <w:t xml:space="preserve">IIN </w:t>
            </w:r>
            <w:r w:rsidRPr="00A12970">
              <w:rPr>
                <w:rFonts w:cstheme="minorHAnsi"/>
                <w:i/>
                <w:iCs/>
                <w:color w:val="FF0000"/>
                <w:sz w:val="12"/>
                <w:szCs w:val="12"/>
              </w:rPr>
              <w:t>+41</w:t>
            </w:r>
            <w:r>
              <w:rPr>
                <w:rFonts w:cstheme="minorHAnsi"/>
                <w:i/>
                <w:iCs/>
                <w:sz w:val="12"/>
                <w:szCs w:val="12"/>
              </w:rPr>
              <w:t>)</w:t>
            </w:r>
          </w:p>
        </w:tc>
        <w:tc>
          <w:tcPr>
            <w:tcW w:w="709" w:type="dxa"/>
            <w:tcBorders>
              <w:top w:val="nil"/>
              <w:left w:val="nil"/>
              <w:bottom w:val="single" w:sz="4" w:space="0" w:color="auto"/>
              <w:right w:val="single" w:sz="4" w:space="0" w:color="auto"/>
            </w:tcBorders>
            <w:shd w:val="clear" w:color="000000" w:fill="FFFFFF"/>
            <w:noWrap/>
            <w:vAlign w:val="center"/>
          </w:tcPr>
          <w:p w14:paraId="3F645FC6" w14:textId="77777777" w:rsidR="00546202" w:rsidRPr="00BC610C" w:rsidRDefault="00546202" w:rsidP="000803FC">
            <w:pPr>
              <w:jc w:val="center"/>
              <w:rPr>
                <w:rFonts w:eastAsia="Times New Roman" w:cs="Times New Roman"/>
                <w:sz w:val="18"/>
                <w:szCs w:val="18"/>
                <w:lang w:eastAsia="lv-LV"/>
              </w:rPr>
            </w:pPr>
            <w:r w:rsidRPr="00BC610C">
              <w:rPr>
                <w:rFonts w:cs="Times New Roman"/>
                <w:color w:val="00B050"/>
                <w:sz w:val="18"/>
                <w:szCs w:val="18"/>
              </w:rPr>
              <w:t>-19</w:t>
            </w:r>
          </w:p>
        </w:tc>
        <w:tc>
          <w:tcPr>
            <w:tcW w:w="708" w:type="dxa"/>
            <w:tcBorders>
              <w:top w:val="nil"/>
              <w:left w:val="nil"/>
              <w:bottom w:val="single" w:sz="4" w:space="0" w:color="auto"/>
              <w:right w:val="single" w:sz="4" w:space="0" w:color="auto"/>
            </w:tcBorders>
            <w:shd w:val="clear" w:color="000000" w:fill="FFFFFF"/>
            <w:noWrap/>
            <w:vAlign w:val="center"/>
          </w:tcPr>
          <w:p w14:paraId="08BB06F9" w14:textId="77777777" w:rsidR="00546202" w:rsidRPr="00BC610C" w:rsidRDefault="00546202" w:rsidP="000803FC">
            <w:pPr>
              <w:jc w:val="center"/>
              <w:rPr>
                <w:rFonts w:eastAsia="Times New Roman" w:cs="Times New Roman"/>
                <w:sz w:val="18"/>
                <w:szCs w:val="18"/>
                <w:lang w:eastAsia="lv-LV"/>
              </w:rPr>
            </w:pPr>
            <w:r w:rsidRPr="00BC610C">
              <w:rPr>
                <w:rFonts w:cs="Times New Roman"/>
                <w:color w:val="00B050"/>
                <w:sz w:val="18"/>
                <w:szCs w:val="18"/>
              </w:rPr>
              <w:t>-9</w:t>
            </w:r>
          </w:p>
        </w:tc>
        <w:tc>
          <w:tcPr>
            <w:tcW w:w="851" w:type="dxa"/>
            <w:tcBorders>
              <w:top w:val="single" w:sz="4" w:space="0" w:color="auto"/>
              <w:left w:val="nil"/>
              <w:bottom w:val="single" w:sz="4" w:space="0" w:color="auto"/>
              <w:right w:val="single" w:sz="4" w:space="0" w:color="auto"/>
            </w:tcBorders>
            <w:shd w:val="clear" w:color="000000" w:fill="FFE699"/>
            <w:noWrap/>
            <w:vAlign w:val="center"/>
          </w:tcPr>
          <w:p w14:paraId="0A074258" w14:textId="77777777" w:rsidR="00546202" w:rsidRPr="00BC610C" w:rsidRDefault="00546202" w:rsidP="000803FC">
            <w:pPr>
              <w:jc w:val="center"/>
              <w:rPr>
                <w:rFonts w:eastAsia="Times New Roman" w:cs="Times New Roman"/>
                <w:b/>
                <w:bCs/>
                <w:color w:val="00B050"/>
                <w:sz w:val="18"/>
                <w:szCs w:val="18"/>
                <w:lang w:eastAsia="lv-LV"/>
              </w:rPr>
            </w:pPr>
            <w:r w:rsidRPr="00BC610C">
              <w:rPr>
                <w:rFonts w:cs="Times New Roman"/>
                <w:b/>
                <w:bCs/>
                <w:color w:val="FF0000"/>
                <w:sz w:val="18"/>
                <w:szCs w:val="18"/>
              </w:rPr>
              <w:t>+28</w:t>
            </w:r>
          </w:p>
        </w:tc>
        <w:tc>
          <w:tcPr>
            <w:tcW w:w="850" w:type="dxa"/>
            <w:tcBorders>
              <w:top w:val="single" w:sz="4" w:space="0" w:color="auto"/>
              <w:left w:val="nil"/>
              <w:bottom w:val="single" w:sz="4" w:space="0" w:color="auto"/>
              <w:right w:val="single" w:sz="4" w:space="0" w:color="auto"/>
            </w:tcBorders>
            <w:shd w:val="clear" w:color="000000" w:fill="FFE699"/>
            <w:vAlign w:val="bottom"/>
          </w:tcPr>
          <w:p w14:paraId="5388F32C" w14:textId="77777777" w:rsidR="00546202" w:rsidRPr="00BC610C" w:rsidRDefault="00546202" w:rsidP="000803FC">
            <w:pPr>
              <w:jc w:val="center"/>
              <w:rPr>
                <w:rFonts w:eastAsia="Times New Roman" w:cs="Times New Roman"/>
                <w:b/>
                <w:bCs/>
                <w:i/>
                <w:iCs/>
                <w:color w:val="00B050"/>
                <w:sz w:val="18"/>
                <w:szCs w:val="18"/>
                <w:lang w:eastAsia="lv-LV"/>
              </w:rPr>
            </w:pPr>
            <w:r w:rsidRPr="00BC610C">
              <w:rPr>
                <w:rFonts w:cs="Times New Roman"/>
                <w:i/>
                <w:iCs/>
                <w:color w:val="FF0000"/>
                <w:sz w:val="18"/>
                <w:szCs w:val="18"/>
              </w:rPr>
              <w:t>+0,4%</w:t>
            </w:r>
          </w:p>
        </w:tc>
      </w:tr>
      <w:tr w:rsidR="00912ADA" w:rsidRPr="00E91D56" w14:paraId="48791B8B" w14:textId="77777777" w:rsidTr="00F8545A">
        <w:trPr>
          <w:trHeight w:val="43"/>
        </w:trPr>
        <w:tc>
          <w:tcPr>
            <w:tcW w:w="1413" w:type="dxa"/>
            <w:tcBorders>
              <w:top w:val="nil"/>
              <w:left w:val="single" w:sz="4" w:space="0" w:color="auto"/>
              <w:bottom w:val="single" w:sz="4" w:space="0" w:color="auto"/>
              <w:right w:val="nil"/>
            </w:tcBorders>
            <w:shd w:val="clear" w:color="auto" w:fill="auto"/>
            <w:noWrap/>
            <w:vAlign w:val="bottom"/>
          </w:tcPr>
          <w:p w14:paraId="16781A59" w14:textId="4821A031" w:rsidR="00912ADA" w:rsidRPr="00E91D56" w:rsidRDefault="00912ADA" w:rsidP="00912ADA">
            <w:pPr>
              <w:jc w:val="center"/>
              <w:rPr>
                <w:rFonts w:cstheme="minorHAnsi"/>
                <w:sz w:val="18"/>
                <w:szCs w:val="18"/>
              </w:rPr>
            </w:pPr>
            <w:r>
              <w:rPr>
                <w:rFonts w:cstheme="minorHAnsi"/>
                <w:sz w:val="18"/>
                <w:szCs w:val="18"/>
              </w:rPr>
              <w:t>5 000</w:t>
            </w:r>
            <w:r w:rsidRPr="00BD15AD">
              <w:rPr>
                <w:rFonts w:cstheme="minorHAnsi"/>
                <w:sz w:val="18"/>
                <w:szCs w:val="18"/>
                <w:vertAlign w:val="superscript"/>
              </w:rPr>
              <w:t>*</w:t>
            </w:r>
          </w:p>
        </w:tc>
        <w:tc>
          <w:tcPr>
            <w:tcW w:w="850" w:type="dxa"/>
            <w:tcBorders>
              <w:top w:val="nil"/>
              <w:left w:val="single" w:sz="4" w:space="0" w:color="auto"/>
              <w:bottom w:val="single" w:sz="4" w:space="0" w:color="auto"/>
              <w:right w:val="nil"/>
            </w:tcBorders>
            <w:shd w:val="clear" w:color="auto" w:fill="D9D9D9" w:themeFill="background1" w:themeFillShade="D9"/>
            <w:noWrap/>
            <w:vAlign w:val="bottom"/>
          </w:tcPr>
          <w:p w14:paraId="189785A0" w14:textId="3E18E5CB" w:rsidR="00912ADA" w:rsidRPr="00912ADA" w:rsidRDefault="00912ADA" w:rsidP="00912ADA">
            <w:pPr>
              <w:jc w:val="center"/>
              <w:rPr>
                <w:color w:val="000000"/>
                <w:sz w:val="18"/>
                <w:szCs w:val="18"/>
              </w:rPr>
            </w:pPr>
            <w:r w:rsidRPr="00912ADA">
              <w:rPr>
                <w:sz w:val="18"/>
                <w:szCs w:val="18"/>
              </w:rPr>
              <w:t>8 854</w:t>
            </w:r>
          </w:p>
        </w:tc>
        <w:tc>
          <w:tcPr>
            <w:tcW w:w="851" w:type="dxa"/>
            <w:tcBorders>
              <w:top w:val="nil"/>
              <w:left w:val="single" w:sz="4" w:space="0" w:color="auto"/>
              <w:bottom w:val="single" w:sz="4" w:space="0" w:color="auto"/>
              <w:right w:val="nil"/>
            </w:tcBorders>
            <w:shd w:val="clear" w:color="auto" w:fill="auto"/>
            <w:noWrap/>
            <w:vAlign w:val="center"/>
          </w:tcPr>
          <w:p w14:paraId="07EE14EF" w14:textId="5C348306" w:rsidR="00912ADA" w:rsidRPr="00912ADA" w:rsidRDefault="00912ADA" w:rsidP="00912ADA">
            <w:pPr>
              <w:jc w:val="center"/>
              <w:rPr>
                <w:color w:val="000000"/>
                <w:sz w:val="18"/>
                <w:szCs w:val="18"/>
              </w:rPr>
            </w:pPr>
            <w:r w:rsidRPr="00912ADA">
              <w:rPr>
                <w:sz w:val="18"/>
                <w:szCs w:val="18"/>
              </w:rPr>
              <w:t>9 027</w:t>
            </w:r>
          </w:p>
        </w:tc>
        <w:tc>
          <w:tcPr>
            <w:tcW w:w="850" w:type="dxa"/>
            <w:tcBorders>
              <w:top w:val="nil"/>
              <w:left w:val="single" w:sz="4" w:space="0" w:color="auto"/>
              <w:bottom w:val="single" w:sz="4" w:space="0" w:color="auto"/>
              <w:right w:val="nil"/>
            </w:tcBorders>
            <w:shd w:val="clear" w:color="auto" w:fill="auto"/>
            <w:noWrap/>
            <w:vAlign w:val="center"/>
          </w:tcPr>
          <w:p w14:paraId="53A5C514" w14:textId="659354B2" w:rsidR="00912ADA" w:rsidRPr="00912ADA" w:rsidRDefault="00912ADA" w:rsidP="00912ADA">
            <w:pPr>
              <w:jc w:val="center"/>
              <w:rPr>
                <w:color w:val="000000"/>
                <w:sz w:val="18"/>
                <w:szCs w:val="18"/>
              </w:rPr>
            </w:pPr>
            <w:r w:rsidRPr="00912ADA">
              <w:rPr>
                <w:sz w:val="18"/>
                <w:szCs w:val="18"/>
              </w:rPr>
              <w:t>9 008</w:t>
            </w:r>
          </w:p>
        </w:tc>
        <w:tc>
          <w:tcPr>
            <w:tcW w:w="851" w:type="dxa"/>
            <w:tcBorders>
              <w:top w:val="nil"/>
              <w:left w:val="single" w:sz="4" w:space="0" w:color="auto"/>
              <w:bottom w:val="single" w:sz="4" w:space="0" w:color="auto"/>
              <w:right w:val="nil"/>
            </w:tcBorders>
            <w:shd w:val="clear" w:color="auto" w:fill="auto"/>
            <w:noWrap/>
            <w:vAlign w:val="center"/>
          </w:tcPr>
          <w:p w14:paraId="19866935" w14:textId="6025107F" w:rsidR="00912ADA" w:rsidRPr="00912ADA" w:rsidRDefault="00912ADA" w:rsidP="00912ADA">
            <w:pPr>
              <w:jc w:val="center"/>
              <w:rPr>
                <w:color w:val="000000"/>
                <w:sz w:val="18"/>
                <w:szCs w:val="18"/>
              </w:rPr>
            </w:pPr>
            <w:r w:rsidRPr="00912ADA">
              <w:rPr>
                <w:sz w:val="18"/>
                <w:szCs w:val="18"/>
              </w:rPr>
              <w:t>8 998</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7EE108" w14:textId="40AF1689" w:rsidR="00912ADA" w:rsidRPr="001434E6" w:rsidRDefault="00912ADA" w:rsidP="00912ADA">
            <w:pPr>
              <w:jc w:val="center"/>
              <w:rPr>
                <w:color w:val="FF0000"/>
                <w:sz w:val="18"/>
                <w:szCs w:val="18"/>
              </w:rPr>
            </w:pPr>
            <w:r>
              <w:rPr>
                <w:color w:val="FF0000"/>
                <w:sz w:val="18"/>
                <w:szCs w:val="18"/>
              </w:rPr>
              <w:t>+173</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tcPr>
          <w:p w14:paraId="1724EE98" w14:textId="799DBAA0" w:rsidR="00912ADA" w:rsidRDefault="00912ADA" w:rsidP="00912ADA">
            <w:pPr>
              <w:jc w:val="center"/>
              <w:rPr>
                <w:rFonts w:cstheme="minorHAnsi"/>
                <w:i/>
                <w:iCs/>
                <w:sz w:val="12"/>
                <w:szCs w:val="12"/>
              </w:rPr>
            </w:pPr>
            <w:r w:rsidRPr="00E96E3B">
              <w:rPr>
                <w:rFonts w:cstheme="minorHAnsi"/>
                <w:i/>
                <w:iCs/>
                <w:sz w:val="12"/>
                <w:szCs w:val="12"/>
              </w:rPr>
              <w:t xml:space="preserve">(VSAOI </w:t>
            </w:r>
            <w:r w:rsidRPr="00A12970">
              <w:rPr>
                <w:rFonts w:cstheme="minorHAnsi"/>
                <w:i/>
                <w:iCs/>
                <w:color w:val="FF0000"/>
                <w:sz w:val="12"/>
                <w:szCs w:val="12"/>
              </w:rPr>
              <w:t>+</w:t>
            </w:r>
            <w:r>
              <w:rPr>
                <w:rFonts w:cstheme="minorHAnsi"/>
                <w:i/>
                <w:iCs/>
                <w:color w:val="FF0000"/>
                <w:sz w:val="12"/>
                <w:szCs w:val="12"/>
              </w:rPr>
              <w:t>165</w:t>
            </w:r>
            <w:r w:rsidRPr="00A12970">
              <w:rPr>
                <w:rFonts w:cstheme="minorHAnsi"/>
                <w:i/>
                <w:iCs/>
                <w:color w:val="FF0000"/>
                <w:sz w:val="12"/>
                <w:szCs w:val="12"/>
              </w:rPr>
              <w:t xml:space="preserve">  </w:t>
            </w:r>
          </w:p>
          <w:p w14:paraId="228BD463" w14:textId="330D8450" w:rsidR="00912ADA" w:rsidRPr="00E96E3B" w:rsidRDefault="00912ADA" w:rsidP="00912ADA">
            <w:pPr>
              <w:jc w:val="center"/>
              <w:rPr>
                <w:rFonts w:cstheme="minorHAnsi"/>
                <w:i/>
                <w:iCs/>
                <w:sz w:val="12"/>
                <w:szCs w:val="12"/>
              </w:rPr>
            </w:pPr>
            <w:r w:rsidRPr="00E96E3B">
              <w:rPr>
                <w:rFonts w:cstheme="minorHAnsi"/>
                <w:i/>
                <w:iCs/>
                <w:sz w:val="12"/>
                <w:szCs w:val="12"/>
              </w:rPr>
              <w:t xml:space="preserve">IIN </w:t>
            </w:r>
            <w:r w:rsidRPr="00A12970">
              <w:rPr>
                <w:rFonts w:cstheme="minorHAnsi"/>
                <w:i/>
                <w:iCs/>
                <w:color w:val="FF0000"/>
                <w:sz w:val="12"/>
                <w:szCs w:val="12"/>
              </w:rPr>
              <w:t>+</w:t>
            </w:r>
            <w:r>
              <w:rPr>
                <w:rFonts w:cstheme="minorHAnsi"/>
                <w:i/>
                <w:iCs/>
                <w:color w:val="FF0000"/>
                <w:sz w:val="12"/>
                <w:szCs w:val="12"/>
              </w:rPr>
              <w:t>8</w:t>
            </w:r>
            <w:r>
              <w:rPr>
                <w:rFonts w:cstheme="minorHAnsi"/>
                <w:i/>
                <w:iCs/>
                <w:sz w:val="12"/>
                <w:szCs w:val="12"/>
              </w:rPr>
              <w:t>)</w:t>
            </w:r>
          </w:p>
        </w:tc>
        <w:tc>
          <w:tcPr>
            <w:tcW w:w="709" w:type="dxa"/>
            <w:tcBorders>
              <w:top w:val="nil"/>
              <w:left w:val="nil"/>
              <w:bottom w:val="single" w:sz="4" w:space="0" w:color="auto"/>
              <w:right w:val="single" w:sz="4" w:space="0" w:color="auto"/>
            </w:tcBorders>
            <w:shd w:val="clear" w:color="000000" w:fill="FFFFFF"/>
            <w:noWrap/>
            <w:vAlign w:val="center"/>
          </w:tcPr>
          <w:p w14:paraId="695FA3B1" w14:textId="7FABA780" w:rsidR="00912ADA" w:rsidRPr="00BC610C" w:rsidRDefault="00912ADA" w:rsidP="00912ADA">
            <w:pPr>
              <w:jc w:val="center"/>
              <w:rPr>
                <w:rFonts w:cs="Times New Roman"/>
                <w:color w:val="00B050"/>
                <w:sz w:val="18"/>
                <w:szCs w:val="18"/>
              </w:rPr>
            </w:pPr>
            <w:r w:rsidRPr="00BC610C">
              <w:rPr>
                <w:rFonts w:cs="Times New Roman"/>
                <w:color w:val="00B050"/>
                <w:sz w:val="18"/>
                <w:szCs w:val="18"/>
              </w:rPr>
              <w:t>-19</w:t>
            </w:r>
          </w:p>
        </w:tc>
        <w:tc>
          <w:tcPr>
            <w:tcW w:w="708" w:type="dxa"/>
            <w:tcBorders>
              <w:top w:val="nil"/>
              <w:left w:val="nil"/>
              <w:bottom w:val="single" w:sz="4" w:space="0" w:color="auto"/>
              <w:right w:val="single" w:sz="4" w:space="0" w:color="auto"/>
            </w:tcBorders>
            <w:shd w:val="clear" w:color="000000" w:fill="FFFFFF"/>
            <w:noWrap/>
            <w:vAlign w:val="center"/>
          </w:tcPr>
          <w:p w14:paraId="1517B351" w14:textId="7745D3C8" w:rsidR="00912ADA" w:rsidRPr="00BC610C" w:rsidRDefault="00912ADA" w:rsidP="00912ADA">
            <w:pPr>
              <w:jc w:val="center"/>
              <w:rPr>
                <w:rFonts w:cs="Times New Roman"/>
                <w:color w:val="00B050"/>
                <w:sz w:val="18"/>
                <w:szCs w:val="18"/>
              </w:rPr>
            </w:pPr>
            <w:r w:rsidRPr="00BC610C">
              <w:rPr>
                <w:rFonts w:cs="Times New Roman"/>
                <w:color w:val="00B050"/>
                <w:sz w:val="18"/>
                <w:szCs w:val="18"/>
              </w:rPr>
              <w:t>-9</w:t>
            </w:r>
          </w:p>
        </w:tc>
        <w:tc>
          <w:tcPr>
            <w:tcW w:w="851" w:type="dxa"/>
            <w:tcBorders>
              <w:top w:val="single" w:sz="4" w:space="0" w:color="auto"/>
              <w:left w:val="nil"/>
              <w:bottom w:val="single" w:sz="4" w:space="0" w:color="auto"/>
              <w:right w:val="single" w:sz="4" w:space="0" w:color="auto"/>
            </w:tcBorders>
            <w:shd w:val="clear" w:color="000000" w:fill="FFE699"/>
            <w:noWrap/>
            <w:vAlign w:val="center"/>
          </w:tcPr>
          <w:p w14:paraId="4946E120" w14:textId="6E166A8A" w:rsidR="00912ADA" w:rsidRPr="00BC610C" w:rsidRDefault="00912ADA" w:rsidP="00912ADA">
            <w:pPr>
              <w:jc w:val="center"/>
              <w:rPr>
                <w:rFonts w:cs="Times New Roman"/>
                <w:b/>
                <w:bCs/>
                <w:color w:val="FF0000"/>
                <w:sz w:val="18"/>
                <w:szCs w:val="18"/>
              </w:rPr>
            </w:pPr>
            <w:r>
              <w:rPr>
                <w:rFonts w:cs="Times New Roman"/>
                <w:b/>
                <w:bCs/>
                <w:color w:val="FF0000"/>
                <w:sz w:val="18"/>
                <w:szCs w:val="18"/>
              </w:rPr>
              <w:t>+145</w:t>
            </w:r>
          </w:p>
        </w:tc>
        <w:tc>
          <w:tcPr>
            <w:tcW w:w="850" w:type="dxa"/>
            <w:tcBorders>
              <w:top w:val="single" w:sz="4" w:space="0" w:color="auto"/>
              <w:left w:val="nil"/>
              <w:bottom w:val="single" w:sz="4" w:space="0" w:color="auto"/>
              <w:right w:val="single" w:sz="4" w:space="0" w:color="auto"/>
            </w:tcBorders>
            <w:shd w:val="clear" w:color="000000" w:fill="FFE699"/>
            <w:vAlign w:val="bottom"/>
          </w:tcPr>
          <w:p w14:paraId="3F375307" w14:textId="5A1FA50A" w:rsidR="00912ADA" w:rsidRPr="00BC610C" w:rsidRDefault="00912ADA" w:rsidP="00912ADA">
            <w:pPr>
              <w:jc w:val="center"/>
              <w:rPr>
                <w:rFonts w:cs="Times New Roman"/>
                <w:i/>
                <w:iCs/>
                <w:color w:val="FF0000"/>
                <w:sz w:val="18"/>
                <w:szCs w:val="18"/>
              </w:rPr>
            </w:pPr>
            <w:r>
              <w:rPr>
                <w:rFonts w:cs="Times New Roman"/>
                <w:i/>
                <w:iCs/>
                <w:color w:val="FF0000"/>
                <w:sz w:val="18"/>
                <w:szCs w:val="18"/>
              </w:rPr>
              <w:t>+1,6%</w:t>
            </w:r>
          </w:p>
        </w:tc>
      </w:tr>
      <w:tr w:rsidR="00546202" w:rsidRPr="00E91D56" w14:paraId="19E3F89A" w14:textId="77777777" w:rsidTr="000803FC">
        <w:trPr>
          <w:trHeight w:val="43"/>
        </w:trPr>
        <w:tc>
          <w:tcPr>
            <w:tcW w:w="1413" w:type="dxa"/>
            <w:tcBorders>
              <w:top w:val="nil"/>
              <w:left w:val="single" w:sz="4" w:space="0" w:color="auto"/>
              <w:bottom w:val="single" w:sz="4" w:space="0" w:color="auto"/>
              <w:right w:val="nil"/>
            </w:tcBorders>
            <w:shd w:val="clear" w:color="auto" w:fill="auto"/>
            <w:noWrap/>
            <w:vAlign w:val="bottom"/>
            <w:hideMark/>
          </w:tcPr>
          <w:p w14:paraId="559989AC" w14:textId="77777777" w:rsidR="00546202" w:rsidRPr="00E91D56" w:rsidRDefault="00546202" w:rsidP="000803FC">
            <w:pPr>
              <w:jc w:val="center"/>
              <w:rPr>
                <w:rFonts w:eastAsia="Times New Roman" w:cs="Times New Roman"/>
                <w:b/>
                <w:bCs/>
                <w:color w:val="000000"/>
                <w:sz w:val="18"/>
                <w:szCs w:val="18"/>
                <w:lang w:eastAsia="lv-LV"/>
              </w:rPr>
            </w:pPr>
            <w:r w:rsidRPr="00E91D56">
              <w:rPr>
                <w:rFonts w:cstheme="minorHAnsi"/>
                <w:sz w:val="18"/>
                <w:szCs w:val="18"/>
              </w:rPr>
              <w:t>6</w:t>
            </w:r>
            <w:r>
              <w:rPr>
                <w:rFonts w:cstheme="minorHAnsi"/>
                <w:sz w:val="18"/>
                <w:szCs w:val="18"/>
              </w:rPr>
              <w:t> </w:t>
            </w:r>
            <w:r w:rsidRPr="00E91D56">
              <w:rPr>
                <w:rFonts w:cstheme="minorHAnsi"/>
                <w:sz w:val="18"/>
                <w:szCs w:val="18"/>
              </w:rPr>
              <w:t>000</w:t>
            </w:r>
            <w:r w:rsidRPr="00BD15AD">
              <w:rPr>
                <w:rFonts w:cstheme="minorHAnsi"/>
                <w:sz w:val="18"/>
                <w:szCs w:val="18"/>
                <w:vertAlign w:val="superscript"/>
              </w:rPr>
              <w:t>*</w:t>
            </w:r>
          </w:p>
        </w:tc>
        <w:tc>
          <w:tcPr>
            <w:tcW w:w="850" w:type="dxa"/>
            <w:tcBorders>
              <w:top w:val="nil"/>
              <w:left w:val="single" w:sz="4" w:space="0" w:color="auto"/>
              <w:bottom w:val="single" w:sz="4" w:space="0" w:color="auto"/>
              <w:right w:val="nil"/>
            </w:tcBorders>
            <w:shd w:val="clear" w:color="auto" w:fill="D9D9D9" w:themeFill="background1" w:themeFillShade="D9"/>
            <w:noWrap/>
            <w:vAlign w:val="bottom"/>
          </w:tcPr>
          <w:p w14:paraId="7E4379A0"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10 523</w:t>
            </w:r>
          </w:p>
        </w:tc>
        <w:tc>
          <w:tcPr>
            <w:tcW w:w="851" w:type="dxa"/>
            <w:tcBorders>
              <w:top w:val="nil"/>
              <w:left w:val="single" w:sz="4" w:space="0" w:color="auto"/>
              <w:bottom w:val="single" w:sz="4" w:space="0" w:color="auto"/>
              <w:right w:val="nil"/>
            </w:tcBorders>
            <w:shd w:val="clear" w:color="auto" w:fill="auto"/>
            <w:noWrap/>
            <w:vAlign w:val="bottom"/>
          </w:tcPr>
          <w:p w14:paraId="7D9DEFC6"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10 878</w:t>
            </w:r>
          </w:p>
        </w:tc>
        <w:tc>
          <w:tcPr>
            <w:tcW w:w="850" w:type="dxa"/>
            <w:tcBorders>
              <w:top w:val="nil"/>
              <w:left w:val="single" w:sz="4" w:space="0" w:color="auto"/>
              <w:bottom w:val="single" w:sz="4" w:space="0" w:color="auto"/>
              <w:right w:val="nil"/>
            </w:tcBorders>
            <w:shd w:val="clear" w:color="auto" w:fill="auto"/>
            <w:noWrap/>
            <w:vAlign w:val="bottom"/>
          </w:tcPr>
          <w:p w14:paraId="2F047A7D"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10 860</w:t>
            </w:r>
          </w:p>
        </w:tc>
        <w:tc>
          <w:tcPr>
            <w:tcW w:w="851" w:type="dxa"/>
            <w:tcBorders>
              <w:top w:val="nil"/>
              <w:left w:val="single" w:sz="4" w:space="0" w:color="auto"/>
              <w:bottom w:val="single" w:sz="4" w:space="0" w:color="auto"/>
              <w:right w:val="nil"/>
            </w:tcBorders>
            <w:shd w:val="clear" w:color="auto" w:fill="auto"/>
            <w:noWrap/>
            <w:vAlign w:val="bottom"/>
          </w:tcPr>
          <w:p w14:paraId="59DBD51E"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10 851</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8BB338" w14:textId="77777777" w:rsidR="00546202" w:rsidRPr="00BC610C" w:rsidRDefault="00546202" w:rsidP="000803FC">
            <w:pPr>
              <w:jc w:val="center"/>
              <w:rPr>
                <w:rFonts w:eastAsia="Times New Roman" w:cs="Times New Roman"/>
                <w:b/>
                <w:bCs/>
                <w:color w:val="00B050"/>
                <w:sz w:val="18"/>
                <w:szCs w:val="18"/>
                <w:lang w:eastAsia="lv-LV"/>
              </w:rPr>
            </w:pPr>
            <w:r w:rsidRPr="001434E6">
              <w:rPr>
                <w:color w:val="FF0000"/>
                <w:sz w:val="18"/>
                <w:szCs w:val="18"/>
              </w:rPr>
              <w:t>+355</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tcPr>
          <w:p w14:paraId="47674495" w14:textId="77777777" w:rsidR="00546202" w:rsidRDefault="00546202" w:rsidP="000803FC">
            <w:pPr>
              <w:jc w:val="center"/>
              <w:rPr>
                <w:rFonts w:cstheme="minorHAnsi"/>
                <w:i/>
                <w:iCs/>
                <w:sz w:val="12"/>
                <w:szCs w:val="12"/>
              </w:rPr>
            </w:pPr>
            <w:r w:rsidRPr="00E96E3B">
              <w:rPr>
                <w:rFonts w:cstheme="minorHAnsi"/>
                <w:i/>
                <w:iCs/>
                <w:sz w:val="12"/>
                <w:szCs w:val="12"/>
              </w:rPr>
              <w:t xml:space="preserve">(VSAOI </w:t>
            </w:r>
            <w:r w:rsidRPr="00A12970">
              <w:rPr>
                <w:rFonts w:cstheme="minorHAnsi"/>
                <w:i/>
                <w:iCs/>
                <w:color w:val="FF0000"/>
                <w:sz w:val="12"/>
                <w:szCs w:val="12"/>
              </w:rPr>
              <w:t xml:space="preserve">+452  </w:t>
            </w:r>
          </w:p>
          <w:p w14:paraId="5FBEEEC7" w14:textId="77777777" w:rsidR="00546202" w:rsidRPr="00BC610C" w:rsidRDefault="00546202" w:rsidP="000803FC">
            <w:pPr>
              <w:jc w:val="center"/>
              <w:rPr>
                <w:rFonts w:eastAsia="Times New Roman" w:cs="Times New Roman"/>
                <w:b/>
                <w:bCs/>
                <w:color w:val="00B050"/>
                <w:sz w:val="18"/>
                <w:szCs w:val="18"/>
                <w:lang w:eastAsia="lv-LV"/>
              </w:rPr>
            </w:pPr>
            <w:r w:rsidRPr="00E96E3B">
              <w:rPr>
                <w:rFonts w:cstheme="minorHAnsi"/>
                <w:i/>
                <w:iCs/>
                <w:sz w:val="12"/>
                <w:szCs w:val="12"/>
              </w:rPr>
              <w:t xml:space="preserve">IIN </w:t>
            </w:r>
            <w:r w:rsidRPr="00A12970">
              <w:rPr>
                <w:rFonts w:cstheme="minorHAnsi"/>
                <w:i/>
                <w:iCs/>
                <w:color w:val="00B050"/>
                <w:sz w:val="12"/>
                <w:szCs w:val="12"/>
              </w:rPr>
              <w:t>-97</w:t>
            </w:r>
            <w:r>
              <w:rPr>
                <w:rFonts w:cstheme="minorHAnsi"/>
                <w:i/>
                <w:iCs/>
                <w:sz w:val="12"/>
                <w:szCs w:val="12"/>
              </w:rPr>
              <w:t>)</w:t>
            </w:r>
          </w:p>
        </w:tc>
        <w:tc>
          <w:tcPr>
            <w:tcW w:w="709" w:type="dxa"/>
            <w:tcBorders>
              <w:top w:val="nil"/>
              <w:left w:val="nil"/>
              <w:bottom w:val="single" w:sz="4" w:space="0" w:color="auto"/>
              <w:right w:val="single" w:sz="4" w:space="0" w:color="auto"/>
            </w:tcBorders>
            <w:shd w:val="clear" w:color="000000" w:fill="FFFFFF"/>
            <w:noWrap/>
            <w:vAlign w:val="center"/>
          </w:tcPr>
          <w:p w14:paraId="3ADB42A7" w14:textId="77777777" w:rsidR="00546202" w:rsidRPr="00BC610C" w:rsidRDefault="00546202" w:rsidP="000803FC">
            <w:pPr>
              <w:jc w:val="center"/>
              <w:rPr>
                <w:rFonts w:eastAsia="Times New Roman" w:cs="Times New Roman"/>
                <w:sz w:val="18"/>
                <w:szCs w:val="18"/>
                <w:lang w:eastAsia="lv-LV"/>
              </w:rPr>
            </w:pPr>
            <w:r w:rsidRPr="00BC610C">
              <w:rPr>
                <w:rFonts w:cs="Times New Roman"/>
                <w:color w:val="00B050"/>
                <w:sz w:val="18"/>
                <w:szCs w:val="18"/>
              </w:rPr>
              <w:t>-18</w:t>
            </w:r>
          </w:p>
        </w:tc>
        <w:tc>
          <w:tcPr>
            <w:tcW w:w="708" w:type="dxa"/>
            <w:tcBorders>
              <w:top w:val="nil"/>
              <w:left w:val="nil"/>
              <w:bottom w:val="single" w:sz="4" w:space="0" w:color="auto"/>
              <w:right w:val="single" w:sz="4" w:space="0" w:color="auto"/>
            </w:tcBorders>
            <w:shd w:val="clear" w:color="000000" w:fill="FFFFFF"/>
            <w:noWrap/>
            <w:vAlign w:val="center"/>
          </w:tcPr>
          <w:p w14:paraId="0898CBE6" w14:textId="77777777" w:rsidR="00546202" w:rsidRPr="00BC610C" w:rsidRDefault="00546202" w:rsidP="000803FC">
            <w:pPr>
              <w:jc w:val="center"/>
              <w:rPr>
                <w:rFonts w:eastAsia="Times New Roman" w:cs="Times New Roman"/>
                <w:sz w:val="18"/>
                <w:szCs w:val="18"/>
                <w:lang w:eastAsia="lv-LV"/>
              </w:rPr>
            </w:pPr>
            <w:r w:rsidRPr="00BC610C">
              <w:rPr>
                <w:rFonts w:cs="Times New Roman"/>
                <w:color w:val="00B050"/>
                <w:sz w:val="18"/>
                <w:szCs w:val="18"/>
              </w:rPr>
              <w:t>-9</w:t>
            </w:r>
          </w:p>
        </w:tc>
        <w:tc>
          <w:tcPr>
            <w:tcW w:w="851" w:type="dxa"/>
            <w:tcBorders>
              <w:top w:val="single" w:sz="4" w:space="0" w:color="auto"/>
              <w:left w:val="nil"/>
              <w:bottom w:val="single" w:sz="4" w:space="0" w:color="auto"/>
              <w:right w:val="single" w:sz="4" w:space="0" w:color="auto"/>
            </w:tcBorders>
            <w:shd w:val="clear" w:color="000000" w:fill="FFE699"/>
            <w:noWrap/>
            <w:vAlign w:val="center"/>
          </w:tcPr>
          <w:p w14:paraId="68D2F81D" w14:textId="77777777" w:rsidR="00546202" w:rsidRPr="00BC610C" w:rsidRDefault="00546202" w:rsidP="000803FC">
            <w:pPr>
              <w:jc w:val="center"/>
              <w:rPr>
                <w:rFonts w:eastAsia="Times New Roman" w:cs="Times New Roman"/>
                <w:b/>
                <w:bCs/>
                <w:color w:val="00B050"/>
                <w:sz w:val="18"/>
                <w:szCs w:val="18"/>
                <w:lang w:eastAsia="lv-LV"/>
              </w:rPr>
            </w:pPr>
            <w:r w:rsidRPr="00BC610C">
              <w:rPr>
                <w:rFonts w:cs="Times New Roman"/>
                <w:b/>
                <w:bCs/>
                <w:color w:val="FF0000"/>
                <w:sz w:val="18"/>
                <w:szCs w:val="18"/>
              </w:rPr>
              <w:t>+329</w:t>
            </w:r>
          </w:p>
        </w:tc>
        <w:tc>
          <w:tcPr>
            <w:tcW w:w="850" w:type="dxa"/>
            <w:tcBorders>
              <w:top w:val="single" w:sz="4" w:space="0" w:color="auto"/>
              <w:left w:val="nil"/>
              <w:bottom w:val="single" w:sz="4" w:space="0" w:color="auto"/>
              <w:right w:val="single" w:sz="4" w:space="0" w:color="auto"/>
            </w:tcBorders>
            <w:shd w:val="clear" w:color="000000" w:fill="FFE699"/>
            <w:vAlign w:val="bottom"/>
          </w:tcPr>
          <w:p w14:paraId="00856E45" w14:textId="77777777" w:rsidR="00546202" w:rsidRPr="00BC610C" w:rsidRDefault="00546202" w:rsidP="000803FC">
            <w:pPr>
              <w:jc w:val="center"/>
              <w:rPr>
                <w:rFonts w:eastAsia="Times New Roman" w:cs="Times New Roman"/>
                <w:b/>
                <w:bCs/>
                <w:i/>
                <w:iCs/>
                <w:color w:val="00B050"/>
                <w:sz w:val="18"/>
                <w:szCs w:val="18"/>
                <w:lang w:eastAsia="lv-LV"/>
              </w:rPr>
            </w:pPr>
            <w:r w:rsidRPr="00BC610C">
              <w:rPr>
                <w:rFonts w:cs="Times New Roman"/>
                <w:i/>
                <w:iCs/>
                <w:color w:val="FF0000"/>
                <w:sz w:val="18"/>
                <w:szCs w:val="18"/>
              </w:rPr>
              <w:t>+3%</w:t>
            </w:r>
          </w:p>
        </w:tc>
      </w:tr>
      <w:tr w:rsidR="00546202" w:rsidRPr="00E91D56" w14:paraId="66BE1EDE" w14:textId="77777777" w:rsidTr="000803FC">
        <w:trPr>
          <w:trHeight w:val="43"/>
        </w:trPr>
        <w:tc>
          <w:tcPr>
            <w:tcW w:w="1413" w:type="dxa"/>
            <w:tcBorders>
              <w:top w:val="single" w:sz="4" w:space="0" w:color="auto"/>
              <w:left w:val="single" w:sz="4" w:space="0" w:color="auto"/>
              <w:bottom w:val="single" w:sz="4" w:space="0" w:color="auto"/>
              <w:right w:val="nil"/>
            </w:tcBorders>
            <w:shd w:val="clear" w:color="auto" w:fill="auto"/>
            <w:noWrap/>
            <w:vAlign w:val="bottom"/>
            <w:hideMark/>
          </w:tcPr>
          <w:p w14:paraId="59C4F3E0" w14:textId="77777777" w:rsidR="00546202" w:rsidRPr="00E91D56" w:rsidRDefault="00546202" w:rsidP="000803FC">
            <w:pPr>
              <w:jc w:val="center"/>
              <w:rPr>
                <w:rFonts w:eastAsia="Times New Roman" w:cs="Times New Roman"/>
                <w:b/>
                <w:bCs/>
                <w:color w:val="000000"/>
                <w:sz w:val="18"/>
                <w:szCs w:val="18"/>
                <w:lang w:eastAsia="lv-LV"/>
              </w:rPr>
            </w:pPr>
            <w:r w:rsidRPr="00E91D56">
              <w:rPr>
                <w:rFonts w:cstheme="minorHAnsi"/>
                <w:sz w:val="18"/>
                <w:szCs w:val="18"/>
              </w:rPr>
              <w:t>7</w:t>
            </w:r>
            <w:r>
              <w:rPr>
                <w:rFonts w:cstheme="minorHAnsi"/>
                <w:sz w:val="18"/>
                <w:szCs w:val="18"/>
              </w:rPr>
              <w:t> </w:t>
            </w:r>
            <w:r w:rsidRPr="00E91D56">
              <w:rPr>
                <w:rFonts w:cstheme="minorHAnsi"/>
                <w:sz w:val="18"/>
                <w:szCs w:val="18"/>
              </w:rPr>
              <w:t>000</w:t>
            </w:r>
            <w:r w:rsidRPr="00BD15AD">
              <w:rPr>
                <w:rFonts w:cstheme="minorHAnsi"/>
                <w:sz w:val="18"/>
                <w:szCs w:val="18"/>
                <w:vertAlign w:val="superscript"/>
              </w:rPr>
              <w:t>*</w:t>
            </w:r>
          </w:p>
        </w:tc>
        <w:tc>
          <w:tcPr>
            <w:tcW w:w="850" w:type="dxa"/>
            <w:tcBorders>
              <w:top w:val="single" w:sz="4" w:space="0" w:color="auto"/>
              <w:left w:val="single" w:sz="4" w:space="0" w:color="auto"/>
              <w:bottom w:val="single" w:sz="4" w:space="0" w:color="auto"/>
              <w:right w:val="nil"/>
            </w:tcBorders>
            <w:shd w:val="clear" w:color="auto" w:fill="D9D9D9" w:themeFill="background1" w:themeFillShade="D9"/>
            <w:noWrap/>
            <w:vAlign w:val="bottom"/>
          </w:tcPr>
          <w:p w14:paraId="73CCCC19"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12 192</w:t>
            </w:r>
          </w:p>
        </w:tc>
        <w:tc>
          <w:tcPr>
            <w:tcW w:w="851" w:type="dxa"/>
            <w:tcBorders>
              <w:top w:val="single" w:sz="4" w:space="0" w:color="auto"/>
              <w:left w:val="single" w:sz="4" w:space="0" w:color="auto"/>
              <w:bottom w:val="single" w:sz="4" w:space="0" w:color="auto"/>
              <w:right w:val="nil"/>
            </w:tcBorders>
            <w:shd w:val="clear" w:color="auto" w:fill="auto"/>
            <w:noWrap/>
            <w:vAlign w:val="bottom"/>
          </w:tcPr>
          <w:p w14:paraId="12BEDD03"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12 595</w:t>
            </w:r>
          </w:p>
        </w:tc>
        <w:tc>
          <w:tcPr>
            <w:tcW w:w="850" w:type="dxa"/>
            <w:tcBorders>
              <w:top w:val="single" w:sz="4" w:space="0" w:color="auto"/>
              <w:left w:val="single" w:sz="4" w:space="0" w:color="auto"/>
              <w:bottom w:val="single" w:sz="4" w:space="0" w:color="auto"/>
              <w:right w:val="nil"/>
            </w:tcBorders>
            <w:shd w:val="clear" w:color="auto" w:fill="auto"/>
            <w:noWrap/>
            <w:vAlign w:val="bottom"/>
          </w:tcPr>
          <w:p w14:paraId="3F316E5E"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12 577</w:t>
            </w:r>
          </w:p>
        </w:tc>
        <w:tc>
          <w:tcPr>
            <w:tcW w:w="851" w:type="dxa"/>
            <w:tcBorders>
              <w:top w:val="single" w:sz="4" w:space="0" w:color="auto"/>
              <w:left w:val="single" w:sz="4" w:space="0" w:color="auto"/>
              <w:bottom w:val="single" w:sz="4" w:space="0" w:color="auto"/>
              <w:right w:val="nil"/>
            </w:tcBorders>
            <w:shd w:val="clear" w:color="auto" w:fill="auto"/>
            <w:noWrap/>
            <w:vAlign w:val="bottom"/>
          </w:tcPr>
          <w:p w14:paraId="6663E16A"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12 569</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CB9479" w14:textId="77777777" w:rsidR="00546202" w:rsidRPr="00BC610C" w:rsidRDefault="00546202" w:rsidP="000803FC">
            <w:pPr>
              <w:jc w:val="center"/>
              <w:rPr>
                <w:rFonts w:eastAsia="Times New Roman" w:cs="Times New Roman"/>
                <w:b/>
                <w:bCs/>
                <w:color w:val="00B050"/>
                <w:sz w:val="18"/>
                <w:szCs w:val="18"/>
                <w:lang w:eastAsia="lv-LV"/>
              </w:rPr>
            </w:pPr>
            <w:r w:rsidRPr="001434E6">
              <w:rPr>
                <w:color w:val="FF0000"/>
                <w:sz w:val="18"/>
                <w:szCs w:val="18"/>
              </w:rPr>
              <w:t>+403</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tcPr>
          <w:p w14:paraId="3D0BAE30" w14:textId="77777777" w:rsidR="00546202" w:rsidRDefault="00546202" w:rsidP="000803FC">
            <w:pPr>
              <w:jc w:val="center"/>
              <w:rPr>
                <w:rFonts w:cstheme="minorHAnsi"/>
                <w:i/>
                <w:iCs/>
                <w:sz w:val="12"/>
                <w:szCs w:val="12"/>
              </w:rPr>
            </w:pPr>
            <w:r w:rsidRPr="00E96E3B">
              <w:rPr>
                <w:rFonts w:cstheme="minorHAnsi"/>
                <w:i/>
                <w:iCs/>
                <w:sz w:val="12"/>
                <w:szCs w:val="12"/>
              </w:rPr>
              <w:t xml:space="preserve">(VSAOI </w:t>
            </w:r>
            <w:r w:rsidRPr="00A12970">
              <w:rPr>
                <w:rFonts w:cstheme="minorHAnsi"/>
                <w:i/>
                <w:iCs/>
                <w:color w:val="FF0000"/>
                <w:sz w:val="12"/>
                <w:szCs w:val="12"/>
              </w:rPr>
              <w:t xml:space="preserve">+458  </w:t>
            </w:r>
          </w:p>
          <w:p w14:paraId="0426452D" w14:textId="77777777" w:rsidR="00546202" w:rsidRPr="00BC610C" w:rsidRDefault="00546202" w:rsidP="000803FC">
            <w:pPr>
              <w:jc w:val="center"/>
              <w:rPr>
                <w:rFonts w:eastAsia="Times New Roman" w:cs="Times New Roman"/>
                <w:b/>
                <w:bCs/>
                <w:color w:val="00B050"/>
                <w:sz w:val="18"/>
                <w:szCs w:val="18"/>
                <w:lang w:eastAsia="lv-LV"/>
              </w:rPr>
            </w:pPr>
            <w:r w:rsidRPr="00E96E3B">
              <w:rPr>
                <w:rFonts w:cstheme="minorHAnsi"/>
                <w:i/>
                <w:iCs/>
                <w:sz w:val="12"/>
                <w:szCs w:val="12"/>
              </w:rPr>
              <w:t xml:space="preserve">IIN </w:t>
            </w:r>
            <w:r w:rsidRPr="00A12970">
              <w:rPr>
                <w:rFonts w:cstheme="minorHAnsi"/>
                <w:i/>
                <w:iCs/>
                <w:color w:val="00B050"/>
                <w:sz w:val="12"/>
                <w:szCs w:val="12"/>
              </w:rPr>
              <w:t>-55</w:t>
            </w:r>
            <w:r>
              <w:rPr>
                <w:rFonts w:cstheme="minorHAnsi"/>
                <w:i/>
                <w:iCs/>
                <w:sz w:val="12"/>
                <w:szCs w:val="12"/>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4B388BBD" w14:textId="77777777" w:rsidR="00546202" w:rsidRPr="00BC610C" w:rsidRDefault="00546202" w:rsidP="000803FC">
            <w:pPr>
              <w:jc w:val="center"/>
              <w:rPr>
                <w:rFonts w:eastAsia="Times New Roman" w:cs="Times New Roman"/>
                <w:sz w:val="18"/>
                <w:szCs w:val="18"/>
                <w:lang w:eastAsia="lv-LV"/>
              </w:rPr>
            </w:pPr>
            <w:r w:rsidRPr="00BC610C">
              <w:rPr>
                <w:rFonts w:cs="Times New Roman"/>
                <w:color w:val="00B050"/>
                <w:sz w:val="18"/>
                <w:szCs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14:paraId="5355BAEF" w14:textId="77777777" w:rsidR="00546202" w:rsidRPr="00BC610C" w:rsidRDefault="00546202" w:rsidP="000803FC">
            <w:pPr>
              <w:jc w:val="center"/>
              <w:rPr>
                <w:rFonts w:eastAsia="Times New Roman" w:cs="Times New Roman"/>
                <w:sz w:val="18"/>
                <w:szCs w:val="18"/>
                <w:lang w:eastAsia="lv-LV"/>
              </w:rPr>
            </w:pPr>
            <w:r w:rsidRPr="00BC610C">
              <w:rPr>
                <w:rFonts w:cs="Times New Roman"/>
                <w:color w:val="00B050"/>
                <w:sz w:val="18"/>
                <w:szCs w:val="18"/>
              </w:rPr>
              <w:t>-9</w:t>
            </w:r>
          </w:p>
        </w:tc>
        <w:tc>
          <w:tcPr>
            <w:tcW w:w="851" w:type="dxa"/>
            <w:tcBorders>
              <w:top w:val="single" w:sz="4" w:space="0" w:color="auto"/>
              <w:left w:val="nil"/>
              <w:bottom w:val="single" w:sz="4" w:space="0" w:color="auto"/>
              <w:right w:val="single" w:sz="4" w:space="0" w:color="auto"/>
            </w:tcBorders>
            <w:shd w:val="clear" w:color="000000" w:fill="FFE699"/>
            <w:noWrap/>
            <w:vAlign w:val="center"/>
          </w:tcPr>
          <w:p w14:paraId="1AF14489" w14:textId="77777777" w:rsidR="00546202" w:rsidRPr="00BC610C" w:rsidRDefault="00546202" w:rsidP="000803FC">
            <w:pPr>
              <w:jc w:val="center"/>
              <w:rPr>
                <w:rFonts w:eastAsia="Times New Roman" w:cs="Times New Roman"/>
                <w:b/>
                <w:bCs/>
                <w:color w:val="00B050"/>
                <w:sz w:val="18"/>
                <w:szCs w:val="18"/>
                <w:lang w:eastAsia="lv-LV"/>
              </w:rPr>
            </w:pPr>
            <w:r w:rsidRPr="00BC610C">
              <w:rPr>
                <w:rFonts w:cs="Times New Roman"/>
                <w:b/>
                <w:bCs/>
                <w:color w:val="FF0000"/>
                <w:sz w:val="18"/>
                <w:szCs w:val="18"/>
              </w:rPr>
              <w:t>+377</w:t>
            </w:r>
          </w:p>
        </w:tc>
        <w:tc>
          <w:tcPr>
            <w:tcW w:w="850" w:type="dxa"/>
            <w:tcBorders>
              <w:top w:val="single" w:sz="4" w:space="0" w:color="auto"/>
              <w:left w:val="nil"/>
              <w:bottom w:val="single" w:sz="4" w:space="0" w:color="auto"/>
              <w:right w:val="single" w:sz="4" w:space="0" w:color="auto"/>
            </w:tcBorders>
            <w:shd w:val="clear" w:color="000000" w:fill="FFE699"/>
            <w:vAlign w:val="bottom"/>
          </w:tcPr>
          <w:p w14:paraId="34DEE9DA" w14:textId="77777777" w:rsidR="00546202" w:rsidRPr="00BC610C" w:rsidRDefault="00546202" w:rsidP="000803FC">
            <w:pPr>
              <w:jc w:val="center"/>
              <w:rPr>
                <w:rFonts w:eastAsia="Times New Roman" w:cs="Times New Roman"/>
                <w:b/>
                <w:bCs/>
                <w:i/>
                <w:iCs/>
                <w:color w:val="00B050"/>
                <w:sz w:val="18"/>
                <w:szCs w:val="18"/>
                <w:lang w:eastAsia="lv-LV"/>
              </w:rPr>
            </w:pPr>
            <w:r w:rsidRPr="00BC610C">
              <w:rPr>
                <w:rFonts w:cs="Times New Roman"/>
                <w:i/>
                <w:iCs/>
                <w:color w:val="FF0000"/>
                <w:sz w:val="18"/>
                <w:szCs w:val="18"/>
              </w:rPr>
              <w:t>+3%</w:t>
            </w:r>
          </w:p>
        </w:tc>
      </w:tr>
      <w:tr w:rsidR="00546202" w:rsidRPr="00E91D56" w14:paraId="4268844F" w14:textId="77777777" w:rsidTr="000803FC">
        <w:trPr>
          <w:trHeight w:val="43"/>
        </w:trPr>
        <w:tc>
          <w:tcPr>
            <w:tcW w:w="1413" w:type="dxa"/>
            <w:tcBorders>
              <w:top w:val="single" w:sz="4" w:space="0" w:color="auto"/>
              <w:left w:val="single" w:sz="4" w:space="0" w:color="auto"/>
              <w:bottom w:val="single" w:sz="4" w:space="0" w:color="auto"/>
              <w:right w:val="nil"/>
            </w:tcBorders>
            <w:shd w:val="clear" w:color="auto" w:fill="auto"/>
            <w:noWrap/>
            <w:vAlign w:val="bottom"/>
          </w:tcPr>
          <w:p w14:paraId="26B32036" w14:textId="77777777" w:rsidR="00546202" w:rsidRPr="00E91D56" w:rsidRDefault="00546202" w:rsidP="000803FC">
            <w:pPr>
              <w:jc w:val="center"/>
              <w:rPr>
                <w:rFonts w:eastAsia="Times New Roman" w:cs="Times New Roman"/>
                <w:b/>
                <w:bCs/>
                <w:color w:val="000000"/>
                <w:sz w:val="18"/>
                <w:szCs w:val="18"/>
                <w:lang w:eastAsia="lv-LV"/>
              </w:rPr>
            </w:pPr>
            <w:r w:rsidRPr="00E91D56">
              <w:rPr>
                <w:rFonts w:cstheme="minorHAnsi"/>
                <w:sz w:val="18"/>
                <w:szCs w:val="18"/>
              </w:rPr>
              <w:t>8</w:t>
            </w:r>
            <w:r>
              <w:rPr>
                <w:rFonts w:cstheme="minorHAnsi"/>
                <w:sz w:val="18"/>
                <w:szCs w:val="18"/>
              </w:rPr>
              <w:t> </w:t>
            </w:r>
            <w:r w:rsidRPr="00E91D56">
              <w:rPr>
                <w:rFonts w:cstheme="minorHAnsi"/>
                <w:sz w:val="18"/>
                <w:szCs w:val="18"/>
              </w:rPr>
              <w:t>000</w:t>
            </w:r>
            <w:r w:rsidRPr="00BD15AD">
              <w:rPr>
                <w:rFonts w:cstheme="minorHAnsi"/>
                <w:sz w:val="18"/>
                <w:szCs w:val="18"/>
                <w:vertAlign w:val="superscript"/>
              </w:rPr>
              <w:t>*</w:t>
            </w:r>
          </w:p>
        </w:tc>
        <w:tc>
          <w:tcPr>
            <w:tcW w:w="850" w:type="dxa"/>
            <w:tcBorders>
              <w:top w:val="single" w:sz="4" w:space="0" w:color="auto"/>
              <w:left w:val="single" w:sz="4" w:space="0" w:color="auto"/>
              <w:bottom w:val="single" w:sz="4" w:space="0" w:color="auto"/>
              <w:right w:val="nil"/>
            </w:tcBorders>
            <w:shd w:val="clear" w:color="auto" w:fill="D9D9D9" w:themeFill="background1" w:themeFillShade="D9"/>
            <w:noWrap/>
            <w:vAlign w:val="bottom"/>
          </w:tcPr>
          <w:p w14:paraId="40E7913B"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13 861</w:t>
            </w:r>
          </w:p>
        </w:tc>
        <w:tc>
          <w:tcPr>
            <w:tcW w:w="851" w:type="dxa"/>
            <w:tcBorders>
              <w:top w:val="single" w:sz="4" w:space="0" w:color="auto"/>
              <w:left w:val="single" w:sz="4" w:space="0" w:color="auto"/>
              <w:bottom w:val="single" w:sz="4" w:space="0" w:color="auto"/>
              <w:right w:val="nil"/>
            </w:tcBorders>
            <w:shd w:val="clear" w:color="auto" w:fill="auto"/>
            <w:noWrap/>
            <w:vAlign w:val="bottom"/>
          </w:tcPr>
          <w:p w14:paraId="0EBB6791"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14 312</w:t>
            </w:r>
          </w:p>
        </w:tc>
        <w:tc>
          <w:tcPr>
            <w:tcW w:w="850" w:type="dxa"/>
            <w:tcBorders>
              <w:top w:val="single" w:sz="4" w:space="0" w:color="auto"/>
              <w:left w:val="single" w:sz="4" w:space="0" w:color="auto"/>
              <w:bottom w:val="single" w:sz="4" w:space="0" w:color="auto"/>
              <w:right w:val="nil"/>
            </w:tcBorders>
            <w:shd w:val="clear" w:color="auto" w:fill="auto"/>
            <w:noWrap/>
            <w:vAlign w:val="bottom"/>
          </w:tcPr>
          <w:p w14:paraId="4680E511"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14 295</w:t>
            </w:r>
          </w:p>
        </w:tc>
        <w:tc>
          <w:tcPr>
            <w:tcW w:w="851" w:type="dxa"/>
            <w:tcBorders>
              <w:top w:val="single" w:sz="4" w:space="0" w:color="auto"/>
              <w:left w:val="single" w:sz="4" w:space="0" w:color="auto"/>
              <w:bottom w:val="single" w:sz="4" w:space="0" w:color="auto"/>
              <w:right w:val="nil"/>
            </w:tcBorders>
            <w:shd w:val="clear" w:color="auto" w:fill="auto"/>
            <w:noWrap/>
            <w:vAlign w:val="bottom"/>
          </w:tcPr>
          <w:p w14:paraId="59E08A47" w14:textId="77777777" w:rsidR="00546202" w:rsidRPr="00BC610C" w:rsidRDefault="00546202" w:rsidP="000803FC">
            <w:pPr>
              <w:jc w:val="center"/>
              <w:rPr>
                <w:rFonts w:eastAsia="Times New Roman" w:cs="Times New Roman"/>
                <w:color w:val="000000"/>
                <w:sz w:val="18"/>
                <w:szCs w:val="18"/>
                <w:lang w:eastAsia="lv-LV"/>
              </w:rPr>
            </w:pPr>
            <w:r w:rsidRPr="00BC610C">
              <w:rPr>
                <w:color w:val="000000"/>
                <w:sz w:val="18"/>
                <w:szCs w:val="18"/>
              </w:rPr>
              <w:t>14 286</w:t>
            </w:r>
          </w:p>
        </w:tc>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259C1D" w14:textId="77777777" w:rsidR="00546202" w:rsidRPr="00BC610C" w:rsidRDefault="00546202" w:rsidP="000803FC">
            <w:pPr>
              <w:jc w:val="center"/>
              <w:rPr>
                <w:rFonts w:eastAsia="Times New Roman" w:cs="Times New Roman"/>
                <w:b/>
                <w:bCs/>
                <w:color w:val="00B050"/>
                <w:sz w:val="18"/>
                <w:szCs w:val="18"/>
                <w:lang w:eastAsia="lv-LV"/>
              </w:rPr>
            </w:pPr>
            <w:r w:rsidRPr="001434E6">
              <w:rPr>
                <w:color w:val="FF0000"/>
                <w:sz w:val="18"/>
                <w:szCs w:val="18"/>
              </w:rPr>
              <w:t>+451</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tcPr>
          <w:p w14:paraId="3BE2C19A" w14:textId="77777777" w:rsidR="00546202" w:rsidRDefault="00546202" w:rsidP="000803FC">
            <w:pPr>
              <w:jc w:val="center"/>
              <w:rPr>
                <w:rFonts w:cstheme="minorHAnsi"/>
                <w:i/>
                <w:iCs/>
                <w:sz w:val="12"/>
                <w:szCs w:val="12"/>
              </w:rPr>
            </w:pPr>
            <w:r w:rsidRPr="00E96E3B">
              <w:rPr>
                <w:rFonts w:cstheme="minorHAnsi"/>
                <w:i/>
                <w:iCs/>
                <w:sz w:val="12"/>
                <w:szCs w:val="12"/>
              </w:rPr>
              <w:t xml:space="preserve">(VSAOI </w:t>
            </w:r>
            <w:r w:rsidRPr="00A12970">
              <w:rPr>
                <w:rFonts w:cstheme="minorHAnsi"/>
                <w:i/>
                <w:iCs/>
                <w:color w:val="FF0000"/>
                <w:sz w:val="12"/>
                <w:szCs w:val="12"/>
              </w:rPr>
              <w:t xml:space="preserve">+465  </w:t>
            </w:r>
          </w:p>
          <w:p w14:paraId="052A0C36" w14:textId="77777777" w:rsidR="00546202" w:rsidRPr="00BC610C" w:rsidRDefault="00546202" w:rsidP="000803FC">
            <w:pPr>
              <w:jc w:val="center"/>
              <w:rPr>
                <w:rFonts w:eastAsia="Times New Roman" w:cs="Times New Roman"/>
                <w:b/>
                <w:bCs/>
                <w:color w:val="00B050"/>
                <w:sz w:val="18"/>
                <w:szCs w:val="18"/>
                <w:lang w:eastAsia="lv-LV"/>
              </w:rPr>
            </w:pPr>
            <w:r w:rsidRPr="00E96E3B">
              <w:rPr>
                <w:rFonts w:cstheme="minorHAnsi"/>
                <w:i/>
                <w:iCs/>
                <w:sz w:val="12"/>
                <w:szCs w:val="12"/>
              </w:rPr>
              <w:t xml:space="preserve">IIN </w:t>
            </w:r>
            <w:r w:rsidRPr="00A12970">
              <w:rPr>
                <w:rFonts w:cstheme="minorHAnsi"/>
                <w:i/>
                <w:iCs/>
                <w:color w:val="00B050"/>
                <w:sz w:val="12"/>
                <w:szCs w:val="12"/>
              </w:rPr>
              <w:t>-14</w:t>
            </w:r>
            <w:r>
              <w:rPr>
                <w:rFonts w:cstheme="minorHAnsi"/>
                <w:i/>
                <w:iCs/>
                <w:sz w:val="12"/>
                <w:szCs w:val="12"/>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3923303C" w14:textId="77777777" w:rsidR="00546202" w:rsidRPr="00BC610C" w:rsidRDefault="00546202" w:rsidP="000803FC">
            <w:pPr>
              <w:jc w:val="center"/>
              <w:rPr>
                <w:rFonts w:eastAsia="Times New Roman" w:cs="Times New Roman"/>
                <w:sz w:val="18"/>
                <w:szCs w:val="18"/>
                <w:lang w:eastAsia="lv-LV"/>
              </w:rPr>
            </w:pPr>
            <w:r w:rsidRPr="00BC610C">
              <w:rPr>
                <w:rFonts w:cs="Times New Roman"/>
                <w:color w:val="00B050"/>
                <w:sz w:val="18"/>
                <w:szCs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14:paraId="15FE459E" w14:textId="77777777" w:rsidR="00546202" w:rsidRPr="00BC610C" w:rsidRDefault="00546202" w:rsidP="000803FC">
            <w:pPr>
              <w:jc w:val="center"/>
              <w:rPr>
                <w:rFonts w:eastAsia="Times New Roman" w:cs="Times New Roman"/>
                <w:sz w:val="18"/>
                <w:szCs w:val="18"/>
                <w:lang w:eastAsia="lv-LV"/>
              </w:rPr>
            </w:pPr>
            <w:r w:rsidRPr="00BC610C">
              <w:rPr>
                <w:rFonts w:cs="Times New Roman"/>
                <w:color w:val="00B050"/>
                <w:sz w:val="18"/>
                <w:szCs w:val="18"/>
              </w:rPr>
              <w:t>-9</w:t>
            </w:r>
          </w:p>
        </w:tc>
        <w:tc>
          <w:tcPr>
            <w:tcW w:w="851" w:type="dxa"/>
            <w:tcBorders>
              <w:top w:val="single" w:sz="4" w:space="0" w:color="auto"/>
              <w:left w:val="nil"/>
              <w:bottom w:val="single" w:sz="4" w:space="0" w:color="auto"/>
              <w:right w:val="single" w:sz="4" w:space="0" w:color="auto"/>
            </w:tcBorders>
            <w:shd w:val="clear" w:color="000000" w:fill="FFE699"/>
            <w:noWrap/>
            <w:vAlign w:val="center"/>
          </w:tcPr>
          <w:p w14:paraId="56C16D61" w14:textId="77777777" w:rsidR="00546202" w:rsidRPr="00BC610C" w:rsidRDefault="00546202" w:rsidP="000803FC">
            <w:pPr>
              <w:jc w:val="center"/>
              <w:rPr>
                <w:rFonts w:eastAsia="Times New Roman" w:cs="Times New Roman"/>
                <w:b/>
                <w:bCs/>
                <w:color w:val="00B050"/>
                <w:sz w:val="18"/>
                <w:szCs w:val="18"/>
                <w:lang w:eastAsia="lv-LV"/>
              </w:rPr>
            </w:pPr>
            <w:r w:rsidRPr="00BC610C">
              <w:rPr>
                <w:rFonts w:cs="Times New Roman"/>
                <w:b/>
                <w:bCs/>
                <w:color w:val="FF0000"/>
                <w:sz w:val="18"/>
                <w:szCs w:val="18"/>
              </w:rPr>
              <w:t>+425</w:t>
            </w:r>
          </w:p>
        </w:tc>
        <w:tc>
          <w:tcPr>
            <w:tcW w:w="850" w:type="dxa"/>
            <w:tcBorders>
              <w:top w:val="single" w:sz="4" w:space="0" w:color="auto"/>
              <w:left w:val="nil"/>
              <w:bottom w:val="single" w:sz="4" w:space="0" w:color="auto"/>
              <w:right w:val="single" w:sz="4" w:space="0" w:color="auto"/>
            </w:tcBorders>
            <w:shd w:val="clear" w:color="000000" w:fill="FFE699"/>
            <w:vAlign w:val="bottom"/>
          </w:tcPr>
          <w:p w14:paraId="558DF7CE" w14:textId="77777777" w:rsidR="00546202" w:rsidRPr="00BC610C" w:rsidRDefault="00546202" w:rsidP="000803FC">
            <w:pPr>
              <w:jc w:val="center"/>
              <w:rPr>
                <w:rFonts w:eastAsia="Times New Roman" w:cs="Times New Roman"/>
                <w:b/>
                <w:bCs/>
                <w:i/>
                <w:iCs/>
                <w:color w:val="00B050"/>
                <w:sz w:val="18"/>
                <w:szCs w:val="18"/>
                <w:lang w:eastAsia="lv-LV"/>
              </w:rPr>
            </w:pPr>
            <w:r w:rsidRPr="00BC610C">
              <w:rPr>
                <w:rFonts w:cs="Times New Roman"/>
                <w:i/>
                <w:iCs/>
                <w:color w:val="FF0000"/>
                <w:sz w:val="18"/>
                <w:szCs w:val="18"/>
              </w:rPr>
              <w:t>+3%</w:t>
            </w:r>
          </w:p>
        </w:tc>
      </w:tr>
    </w:tbl>
    <w:p w14:paraId="3EA8A8CF" w14:textId="49539BEA" w:rsidR="00546202" w:rsidRPr="00AD7A5D" w:rsidRDefault="00546202" w:rsidP="00546202">
      <w:pPr>
        <w:spacing w:before="40"/>
        <w:jc w:val="both"/>
        <w:rPr>
          <w:rFonts w:cs="Times New Roman"/>
          <w:b/>
          <w:bCs/>
          <w:i/>
          <w:iCs/>
          <w:sz w:val="22"/>
        </w:rPr>
      </w:pPr>
      <w:r w:rsidRPr="00AD7A5D">
        <w:rPr>
          <w:rFonts w:cstheme="minorHAnsi"/>
          <w:b/>
          <w:bCs/>
          <w:i/>
          <w:iCs/>
          <w:color w:val="000000" w:themeColor="text1"/>
          <w:sz w:val="16"/>
          <w:szCs w:val="16"/>
          <w:vertAlign w:val="superscript"/>
        </w:rPr>
        <w:t xml:space="preserve">* </w:t>
      </w:r>
      <w:r w:rsidRPr="00AD7A5D">
        <w:rPr>
          <w:rFonts w:cstheme="minorHAnsi"/>
          <w:i/>
          <w:iCs/>
          <w:color w:val="000000" w:themeColor="text1"/>
          <w:sz w:val="16"/>
          <w:szCs w:val="16"/>
        </w:rPr>
        <w:t>Pieņemot, ka darba devējs kompensē darba ņēmējam neto algas samazinājumu, kas rodas IIN likmes pieauguma rezultātā</w:t>
      </w:r>
      <w:r>
        <w:rPr>
          <w:rFonts w:cstheme="minorHAnsi"/>
          <w:i/>
          <w:iCs/>
          <w:color w:val="000000" w:themeColor="text1"/>
          <w:sz w:val="16"/>
          <w:szCs w:val="16"/>
        </w:rPr>
        <w:t xml:space="preserve">. IIN </w:t>
      </w:r>
      <w:r w:rsidRPr="00AD7A5D">
        <w:rPr>
          <w:rFonts w:cstheme="minorHAnsi"/>
          <w:i/>
          <w:iCs/>
          <w:color w:val="000000" w:themeColor="text1"/>
          <w:sz w:val="16"/>
          <w:szCs w:val="16"/>
        </w:rPr>
        <w:t xml:space="preserve">likmes </w:t>
      </w:r>
      <w:r>
        <w:rPr>
          <w:rFonts w:cstheme="minorHAnsi"/>
          <w:i/>
          <w:iCs/>
          <w:color w:val="000000" w:themeColor="text1"/>
          <w:sz w:val="16"/>
          <w:szCs w:val="16"/>
        </w:rPr>
        <w:t xml:space="preserve">radīto neto algas samazinājumu vairs nekompensē ieviestais fiksētais </w:t>
      </w:r>
      <w:r w:rsidRPr="00AD7A5D">
        <w:rPr>
          <w:rFonts w:cstheme="minorHAnsi"/>
          <w:i/>
          <w:iCs/>
          <w:color w:val="000000" w:themeColor="text1"/>
          <w:sz w:val="16"/>
          <w:szCs w:val="16"/>
        </w:rPr>
        <w:t xml:space="preserve">NM. Kā arī daļējs izmaksu pieaugums ir no VSAOI </w:t>
      </w:r>
      <w:r w:rsidR="001427FB">
        <w:rPr>
          <w:rFonts w:cstheme="minorHAnsi"/>
          <w:i/>
          <w:iCs/>
          <w:color w:val="000000" w:themeColor="text1"/>
          <w:sz w:val="16"/>
          <w:szCs w:val="16"/>
        </w:rPr>
        <w:t>objekta maksimālā apmēra</w:t>
      </w:r>
      <w:r w:rsidRPr="00AD7A5D">
        <w:rPr>
          <w:rFonts w:cstheme="minorHAnsi"/>
          <w:i/>
          <w:iCs/>
          <w:color w:val="000000" w:themeColor="text1"/>
          <w:sz w:val="16"/>
          <w:szCs w:val="16"/>
        </w:rPr>
        <w:t xml:space="preserve"> paaugstināšanas 2025.g. no 78 100 euro uz 105 300 euro</w:t>
      </w:r>
      <w:r w:rsidR="005973A7">
        <w:rPr>
          <w:rFonts w:cstheme="minorHAnsi"/>
          <w:i/>
          <w:iCs/>
          <w:color w:val="000000" w:themeColor="text1"/>
          <w:sz w:val="16"/>
          <w:szCs w:val="16"/>
        </w:rPr>
        <w:t xml:space="preserve"> gadā</w:t>
      </w:r>
      <w:r w:rsidRPr="00AD7A5D">
        <w:rPr>
          <w:rFonts w:cstheme="minorHAnsi"/>
          <w:i/>
          <w:iCs/>
          <w:color w:val="000000" w:themeColor="text1"/>
          <w:sz w:val="16"/>
          <w:szCs w:val="16"/>
        </w:rPr>
        <w:t>.</w:t>
      </w:r>
    </w:p>
    <w:p w14:paraId="6760EC6E" w14:textId="397A32B2" w:rsidR="00546202" w:rsidRDefault="00546202" w:rsidP="00546202">
      <w:pPr>
        <w:spacing w:before="40"/>
        <w:jc w:val="both"/>
        <w:rPr>
          <w:rFonts w:cs="Times New Roman"/>
          <w:i/>
          <w:iCs/>
          <w:sz w:val="18"/>
          <w:szCs w:val="18"/>
        </w:rPr>
      </w:pPr>
      <w:r w:rsidRPr="00AD7A5D">
        <w:rPr>
          <w:rFonts w:cs="Times New Roman"/>
          <w:b/>
          <w:bCs/>
          <w:i/>
          <w:iCs/>
          <w:sz w:val="18"/>
          <w:szCs w:val="18"/>
        </w:rPr>
        <w:t>Avots</w:t>
      </w:r>
      <w:r w:rsidRPr="00AD7A5D">
        <w:rPr>
          <w:rFonts w:cs="Times New Roman"/>
          <w:i/>
          <w:iCs/>
          <w:sz w:val="18"/>
          <w:szCs w:val="18"/>
        </w:rPr>
        <w:t xml:space="preserve">: </w:t>
      </w:r>
      <w:r w:rsidR="00FA7FB6">
        <w:rPr>
          <w:rFonts w:cs="Times New Roman"/>
          <w:i/>
          <w:iCs/>
          <w:sz w:val="18"/>
          <w:szCs w:val="18"/>
        </w:rPr>
        <w:t>FM</w:t>
      </w:r>
      <w:r w:rsidRPr="00AD7A5D">
        <w:rPr>
          <w:rFonts w:cs="Times New Roman"/>
          <w:i/>
          <w:iCs/>
          <w:sz w:val="18"/>
          <w:szCs w:val="18"/>
        </w:rPr>
        <w:t xml:space="preserve"> aprēķini. </w:t>
      </w:r>
    </w:p>
    <w:p w14:paraId="41F29BA5" w14:textId="77777777" w:rsidR="00646EC5" w:rsidRDefault="00646EC5" w:rsidP="00B4173B">
      <w:pPr>
        <w:rPr>
          <w:rStyle w:val="Heading2Char"/>
          <w:szCs w:val="24"/>
          <w:highlight w:val="yellow"/>
        </w:rPr>
      </w:pPr>
      <w:bookmarkStart w:id="8" w:name="_Toc168938060"/>
    </w:p>
    <w:p w14:paraId="469CEB58" w14:textId="73DE54FE" w:rsidR="00FF1FE7" w:rsidRPr="00456496" w:rsidRDefault="00FF1FE7" w:rsidP="00456496">
      <w:pPr>
        <w:pStyle w:val="Heading3"/>
        <w:spacing w:before="240" w:after="240"/>
        <w:ind w:left="567" w:hanging="567"/>
      </w:pPr>
      <w:bookmarkStart w:id="9" w:name="_Toc177627696"/>
      <w:r>
        <w:t>1.1.4. Piedāvātā risinājuma ietekme uz pensiju saņēmējiem</w:t>
      </w:r>
      <w:bookmarkEnd w:id="9"/>
    </w:p>
    <w:p w14:paraId="7EC67B64" w14:textId="14192F33" w:rsidR="00E64B87" w:rsidRPr="00B4173B" w:rsidRDefault="00E64B87" w:rsidP="00B4173B">
      <w:pPr>
        <w:ind w:firstLine="567"/>
        <w:jc w:val="both"/>
        <w:rPr>
          <w:rFonts w:eastAsiaTheme="majorEastAsia" w:cstheme="majorBidi"/>
          <w:bCs/>
          <w:szCs w:val="24"/>
        </w:rPr>
      </w:pPr>
      <w:r>
        <w:rPr>
          <w:bCs/>
          <w:color w:val="000000" w:themeColor="text1"/>
          <w:szCs w:val="26"/>
          <w:shd w:val="clear" w:color="auto" w:fill="FFFFFF"/>
        </w:rPr>
        <w:t>I</w:t>
      </w:r>
      <w:r w:rsidRPr="00AC1782">
        <w:rPr>
          <w:bCs/>
          <w:color w:val="000000" w:themeColor="text1"/>
          <w:szCs w:val="26"/>
          <w:shd w:val="clear" w:color="auto" w:fill="FFFFFF"/>
        </w:rPr>
        <w:t xml:space="preserve">eviešot </w:t>
      </w:r>
      <w:r>
        <w:rPr>
          <w:bCs/>
          <w:color w:val="000000" w:themeColor="text1"/>
          <w:szCs w:val="26"/>
          <w:shd w:val="clear" w:color="auto" w:fill="FFFFFF"/>
        </w:rPr>
        <w:t xml:space="preserve">visus iepriekš </w:t>
      </w:r>
      <w:r w:rsidRPr="00AC1782">
        <w:rPr>
          <w:bCs/>
          <w:color w:val="000000" w:themeColor="text1"/>
          <w:szCs w:val="26"/>
          <w:shd w:val="clear" w:color="auto" w:fill="FFFFFF"/>
        </w:rPr>
        <w:t>minētos pasākumus</w:t>
      </w:r>
      <w:r>
        <w:rPr>
          <w:rFonts w:eastAsiaTheme="majorEastAsia" w:cstheme="majorBidi"/>
          <w:bCs/>
          <w:szCs w:val="24"/>
        </w:rPr>
        <w:t>, ietekme bū</w:t>
      </w:r>
      <w:r w:rsidR="007656D5">
        <w:rPr>
          <w:rFonts w:eastAsiaTheme="majorEastAsia" w:cstheme="majorBidi"/>
          <w:bCs/>
          <w:szCs w:val="24"/>
        </w:rPr>
        <w:t>s</w:t>
      </w:r>
      <w:r>
        <w:rPr>
          <w:rFonts w:eastAsiaTheme="majorEastAsia" w:cstheme="majorBidi"/>
          <w:bCs/>
          <w:szCs w:val="24"/>
        </w:rPr>
        <w:t xml:space="preserve"> ne tikai uz </w:t>
      </w:r>
      <w:r w:rsidR="00C55E2E">
        <w:rPr>
          <w:rFonts w:eastAsiaTheme="majorEastAsia" w:cstheme="majorBidi"/>
          <w:bCs/>
          <w:szCs w:val="24"/>
        </w:rPr>
        <w:t>strādājošām</w:t>
      </w:r>
      <w:r>
        <w:rPr>
          <w:rFonts w:eastAsiaTheme="majorEastAsia" w:cstheme="majorBidi"/>
          <w:bCs/>
          <w:szCs w:val="24"/>
        </w:rPr>
        <w:t xml:space="preserve"> personām, bet arī </w:t>
      </w:r>
      <w:r w:rsidR="00C55E2E">
        <w:rPr>
          <w:rFonts w:eastAsiaTheme="majorEastAsia" w:cstheme="majorBidi"/>
          <w:bCs/>
          <w:szCs w:val="24"/>
        </w:rPr>
        <w:t>personā</w:t>
      </w:r>
      <w:r w:rsidR="00151142">
        <w:rPr>
          <w:rFonts w:eastAsiaTheme="majorEastAsia" w:cstheme="majorBidi"/>
          <w:bCs/>
          <w:szCs w:val="24"/>
        </w:rPr>
        <w:t>m</w:t>
      </w:r>
      <w:r w:rsidR="00C55E2E">
        <w:rPr>
          <w:rFonts w:eastAsiaTheme="majorEastAsia" w:cstheme="majorBidi"/>
          <w:bCs/>
          <w:szCs w:val="24"/>
        </w:rPr>
        <w:t>, k</w:t>
      </w:r>
      <w:r w:rsidR="00151142">
        <w:rPr>
          <w:rFonts w:eastAsiaTheme="majorEastAsia" w:cstheme="majorBidi"/>
          <w:bCs/>
          <w:szCs w:val="24"/>
        </w:rPr>
        <w:t>ura</w:t>
      </w:r>
      <w:r w:rsidR="00C55E2E">
        <w:rPr>
          <w:rFonts w:eastAsiaTheme="majorEastAsia" w:cstheme="majorBidi"/>
          <w:bCs/>
          <w:szCs w:val="24"/>
        </w:rPr>
        <w:t xml:space="preserve">s saņem dažāda veida pensijas. </w:t>
      </w:r>
      <w:r w:rsidRPr="00E64B87">
        <w:rPr>
          <w:rFonts w:eastAsiaTheme="majorEastAsia" w:cstheme="majorBidi"/>
          <w:bCs/>
          <w:szCs w:val="24"/>
        </w:rPr>
        <w:t>2023.</w:t>
      </w:r>
      <w:r w:rsidR="00C55E2E">
        <w:rPr>
          <w:rFonts w:eastAsiaTheme="majorEastAsia" w:cstheme="majorBidi"/>
          <w:bCs/>
          <w:szCs w:val="24"/>
        </w:rPr>
        <w:t> </w:t>
      </w:r>
      <w:r w:rsidRPr="00E64B87">
        <w:rPr>
          <w:rFonts w:eastAsiaTheme="majorEastAsia" w:cstheme="majorBidi"/>
          <w:bCs/>
          <w:szCs w:val="24"/>
        </w:rPr>
        <w:t>gadā 54% no vi</w:t>
      </w:r>
      <w:r w:rsidR="00151142">
        <w:rPr>
          <w:rFonts w:eastAsiaTheme="majorEastAsia" w:cstheme="majorBidi"/>
          <w:bCs/>
          <w:szCs w:val="24"/>
        </w:rPr>
        <w:t>s</w:t>
      </w:r>
      <w:r w:rsidRPr="00E64B87">
        <w:rPr>
          <w:rFonts w:eastAsiaTheme="majorEastAsia" w:cstheme="majorBidi"/>
          <w:bCs/>
          <w:szCs w:val="24"/>
        </w:rPr>
        <w:t>iem pensiju saņēmējiem pensijas apmērs bija līdz 500</w:t>
      </w:r>
      <w:r w:rsidR="00C55E2E">
        <w:rPr>
          <w:rFonts w:eastAsiaTheme="majorEastAsia" w:cstheme="majorBidi"/>
          <w:bCs/>
          <w:szCs w:val="24"/>
        </w:rPr>
        <w:t> </w:t>
      </w:r>
      <w:r w:rsidRPr="00C55E2E">
        <w:rPr>
          <w:rFonts w:eastAsiaTheme="majorEastAsia" w:cstheme="majorBidi"/>
          <w:bCs/>
          <w:i/>
          <w:iCs/>
          <w:szCs w:val="24"/>
        </w:rPr>
        <w:t>euro</w:t>
      </w:r>
      <w:r w:rsidRPr="00E64B87">
        <w:rPr>
          <w:rFonts w:eastAsiaTheme="majorEastAsia" w:cstheme="majorBidi"/>
          <w:bCs/>
          <w:szCs w:val="24"/>
        </w:rPr>
        <w:t xml:space="preserve"> mēnesī. Pēc </w:t>
      </w:r>
      <w:r w:rsidR="001508F0">
        <w:rPr>
          <w:rFonts w:eastAsiaTheme="majorEastAsia" w:cstheme="majorBidi"/>
          <w:bCs/>
          <w:szCs w:val="24"/>
        </w:rPr>
        <w:t>CSP</w:t>
      </w:r>
      <w:r w:rsidR="00C55E2E">
        <w:rPr>
          <w:rFonts w:eastAsiaTheme="majorEastAsia" w:cstheme="majorBidi"/>
          <w:bCs/>
          <w:szCs w:val="24"/>
        </w:rPr>
        <w:t xml:space="preserve"> datiem </w:t>
      </w:r>
      <w:r w:rsidRPr="00E64B87">
        <w:rPr>
          <w:rFonts w:eastAsiaTheme="majorEastAsia" w:cstheme="majorBidi"/>
          <w:bCs/>
          <w:szCs w:val="24"/>
        </w:rPr>
        <w:t>2023.</w:t>
      </w:r>
      <w:r w:rsidR="00C55E2E">
        <w:rPr>
          <w:rFonts w:eastAsiaTheme="majorEastAsia" w:cstheme="majorBidi"/>
          <w:bCs/>
          <w:szCs w:val="24"/>
        </w:rPr>
        <w:t> </w:t>
      </w:r>
      <w:r w:rsidRPr="00E64B87">
        <w:rPr>
          <w:rFonts w:eastAsiaTheme="majorEastAsia" w:cstheme="majorBidi"/>
          <w:bCs/>
          <w:szCs w:val="24"/>
        </w:rPr>
        <w:t xml:space="preserve">gadā vecuma pensijas vidējais apmērs bija 513,72 </w:t>
      </w:r>
      <w:r w:rsidRPr="00C55E2E">
        <w:rPr>
          <w:rFonts w:eastAsiaTheme="majorEastAsia" w:cstheme="majorBidi"/>
          <w:bCs/>
          <w:i/>
          <w:iCs/>
          <w:szCs w:val="24"/>
        </w:rPr>
        <w:t>euro</w:t>
      </w:r>
      <w:r w:rsidRPr="00E64B87">
        <w:rPr>
          <w:rFonts w:eastAsiaTheme="majorEastAsia" w:cstheme="majorBidi"/>
          <w:bCs/>
          <w:szCs w:val="24"/>
        </w:rPr>
        <w:t xml:space="preserve"> mēnesī, bet izdienas pensiju vidējais apmērs bija 649,87 </w:t>
      </w:r>
      <w:r w:rsidRPr="00C55E2E">
        <w:rPr>
          <w:rFonts w:eastAsiaTheme="majorEastAsia" w:cstheme="majorBidi"/>
          <w:bCs/>
          <w:i/>
          <w:iCs/>
          <w:szCs w:val="24"/>
        </w:rPr>
        <w:t>euro</w:t>
      </w:r>
      <w:r w:rsidRPr="00E64B87">
        <w:rPr>
          <w:rFonts w:eastAsiaTheme="majorEastAsia" w:cstheme="majorBidi"/>
          <w:bCs/>
          <w:szCs w:val="24"/>
        </w:rPr>
        <w:t xml:space="preserve"> mēnesī.</w:t>
      </w:r>
    </w:p>
    <w:p w14:paraId="6603C835" w14:textId="77777777" w:rsidR="00B4173B" w:rsidRPr="00B4173B" w:rsidRDefault="00B4173B" w:rsidP="00685A93">
      <w:pPr>
        <w:rPr>
          <w:rFonts w:eastAsiaTheme="majorEastAsia" w:cstheme="majorBidi"/>
          <w:bCs/>
          <w:szCs w:val="24"/>
        </w:rPr>
      </w:pPr>
    </w:p>
    <w:tbl>
      <w:tblPr>
        <w:tblStyle w:val="TableGrid1"/>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1F07D1" w:rsidRPr="00022C28" w14:paraId="57DA1259" w14:textId="77777777" w:rsidTr="00475FE9">
        <w:trPr>
          <w:jc w:val="center"/>
        </w:trPr>
        <w:tc>
          <w:tcPr>
            <w:tcW w:w="9498" w:type="dxa"/>
          </w:tcPr>
          <w:p w14:paraId="32AAA71F" w14:textId="4C71CCF1" w:rsidR="001F07D1" w:rsidRPr="00022C28" w:rsidRDefault="00D72852" w:rsidP="001B1642">
            <w:pPr>
              <w:spacing w:after="120"/>
              <w:jc w:val="center"/>
              <w:rPr>
                <w:rFonts w:eastAsia="Calibri"/>
                <w:b/>
                <w:bCs/>
                <w:sz w:val="18"/>
                <w:szCs w:val="18"/>
              </w:rPr>
            </w:pPr>
            <w:r>
              <w:rPr>
                <w:color w:val="000000" w:themeColor="text1"/>
                <w:sz w:val="20"/>
                <w:szCs w:val="20"/>
                <w:shd w:val="clear" w:color="auto" w:fill="FFFFFF"/>
              </w:rPr>
              <w:t>5</w:t>
            </w:r>
            <w:r w:rsidRPr="00CD1EC4">
              <w:rPr>
                <w:color w:val="000000" w:themeColor="text1"/>
                <w:sz w:val="20"/>
                <w:szCs w:val="20"/>
                <w:shd w:val="clear" w:color="auto" w:fill="FFFFFF"/>
              </w:rPr>
              <w:t>.att.</w:t>
            </w:r>
            <w:r>
              <w:rPr>
                <w:b/>
                <w:bCs/>
                <w:color w:val="000000" w:themeColor="text1"/>
                <w:sz w:val="20"/>
                <w:szCs w:val="20"/>
                <w:shd w:val="clear" w:color="auto" w:fill="FFFFFF"/>
              </w:rPr>
              <w:t xml:space="preserve"> </w:t>
            </w:r>
            <w:r w:rsidR="001F07D1" w:rsidRPr="00D72852">
              <w:rPr>
                <w:b/>
                <w:bCs/>
                <w:color w:val="000000" w:themeColor="text1"/>
                <w:sz w:val="20"/>
                <w:szCs w:val="20"/>
                <w:shd w:val="clear" w:color="auto" w:fill="FFFFFF"/>
              </w:rPr>
              <w:t>Visu veidu pensiju saņēmēju struktūra pēc pensijas lieluma mēnesī</w:t>
            </w:r>
            <w:r w:rsidR="001B1642" w:rsidRPr="001B1642">
              <w:rPr>
                <w:color w:val="000000" w:themeColor="text1"/>
                <w:sz w:val="20"/>
                <w:szCs w:val="20"/>
                <w:shd w:val="clear" w:color="auto" w:fill="FFFFFF"/>
                <w:vertAlign w:val="superscript"/>
              </w:rPr>
              <w:t>*</w:t>
            </w:r>
            <w:r w:rsidR="001F07D1" w:rsidRPr="00D72852">
              <w:rPr>
                <w:color w:val="000000" w:themeColor="text1"/>
                <w:sz w:val="20"/>
                <w:szCs w:val="20"/>
                <w:shd w:val="clear" w:color="auto" w:fill="FFFFFF"/>
              </w:rPr>
              <w:t>,</w:t>
            </w:r>
            <w:r w:rsidR="001F07D1" w:rsidRPr="00D72852">
              <w:rPr>
                <w:i/>
                <w:iCs/>
                <w:color w:val="000000" w:themeColor="text1"/>
                <w:sz w:val="20"/>
                <w:szCs w:val="20"/>
                <w:shd w:val="clear" w:color="auto" w:fill="FFFFFF"/>
              </w:rPr>
              <w:t xml:space="preserve"> %</w:t>
            </w:r>
          </w:p>
        </w:tc>
      </w:tr>
      <w:tr w:rsidR="001F07D1" w:rsidRPr="00022C28" w14:paraId="2B7673F4" w14:textId="77777777" w:rsidTr="00475FE9">
        <w:trPr>
          <w:jc w:val="center"/>
        </w:trPr>
        <w:tc>
          <w:tcPr>
            <w:tcW w:w="9498" w:type="dxa"/>
          </w:tcPr>
          <w:p w14:paraId="63FEC21D" w14:textId="77777777" w:rsidR="001F07D1" w:rsidRPr="00022C28" w:rsidRDefault="001F07D1" w:rsidP="00475FE9">
            <w:pPr>
              <w:spacing w:before="40" w:after="40"/>
              <w:jc w:val="both"/>
              <w:rPr>
                <w:rFonts w:eastAsia="Calibri"/>
                <w:noProof/>
                <w:sz w:val="20"/>
              </w:rPr>
            </w:pPr>
            <w:r w:rsidRPr="00022C28">
              <w:rPr>
                <w:noProof/>
              </w:rPr>
              <w:drawing>
                <wp:inline distT="0" distB="0" distL="0" distR="0" wp14:anchorId="35B3CFC8" wp14:editId="490F03C8">
                  <wp:extent cx="5810885" cy="1348740"/>
                  <wp:effectExtent l="0" t="0" r="18415" b="3810"/>
                  <wp:docPr id="1612716578" name="Chart 1">
                    <a:extLst xmlns:a="http://schemas.openxmlformats.org/drawingml/2006/main">
                      <a:ext uri="{FF2B5EF4-FFF2-40B4-BE49-F238E27FC236}">
                        <a16:creationId xmlns:a16="http://schemas.microsoft.com/office/drawing/2014/main" id="{A96DF72B-0B53-DD21-841B-F9A21EB5F2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69ADF3" w14:textId="0E9A524E" w:rsidR="001F07D1" w:rsidRPr="00E64B87" w:rsidRDefault="001F07D1" w:rsidP="00475FE9">
            <w:pPr>
              <w:spacing w:before="40" w:after="40"/>
              <w:jc w:val="both"/>
              <w:rPr>
                <w:rFonts w:eastAsia="Calibri"/>
                <w:i/>
                <w:iCs/>
                <w:sz w:val="16"/>
                <w:szCs w:val="16"/>
              </w:rPr>
            </w:pPr>
            <w:r w:rsidRPr="001B1642">
              <w:rPr>
                <w:rFonts w:eastAsia="Calibri"/>
                <w:i/>
                <w:iCs/>
                <w:sz w:val="16"/>
                <w:szCs w:val="16"/>
                <w:vertAlign w:val="superscript"/>
              </w:rPr>
              <w:t>*</w:t>
            </w:r>
            <w:r w:rsidRPr="00E64B87">
              <w:rPr>
                <w:rFonts w:eastAsia="Calibri"/>
                <w:i/>
                <w:iCs/>
                <w:sz w:val="16"/>
                <w:szCs w:val="16"/>
              </w:rPr>
              <w:t xml:space="preserve"> </w:t>
            </w:r>
            <w:r w:rsidR="00E64B87">
              <w:rPr>
                <w:rFonts w:eastAsia="Calibri"/>
                <w:i/>
                <w:iCs/>
                <w:sz w:val="16"/>
                <w:szCs w:val="16"/>
              </w:rPr>
              <w:t>Personu īpatsvarā pensijas apmērā v</w:t>
            </w:r>
            <w:r w:rsidRPr="00E64B87">
              <w:rPr>
                <w:rFonts w:eastAsia="Calibri"/>
                <w:i/>
                <w:iCs/>
                <w:sz w:val="16"/>
                <w:szCs w:val="16"/>
              </w:rPr>
              <w:t>irs 1 000 euro</w:t>
            </w:r>
            <w:r w:rsidR="00E64B87" w:rsidRPr="00E64B87">
              <w:rPr>
                <w:rFonts w:eastAsia="Calibri"/>
                <w:i/>
                <w:iCs/>
                <w:sz w:val="16"/>
                <w:szCs w:val="16"/>
              </w:rPr>
              <w:t xml:space="preserve"> mēnesī</w:t>
            </w:r>
            <w:r w:rsidRPr="00E64B87">
              <w:rPr>
                <w:rFonts w:eastAsia="Calibri"/>
                <w:i/>
                <w:iCs/>
                <w:sz w:val="16"/>
                <w:szCs w:val="16"/>
              </w:rPr>
              <w:t xml:space="preserve"> 81% sastāda personas, kas saņem pensiju no 1 000,01 līdz 1 667,00, pārēj</w:t>
            </w:r>
            <w:r w:rsidR="00E64B87">
              <w:rPr>
                <w:rFonts w:eastAsia="Calibri"/>
                <w:i/>
                <w:iCs/>
                <w:sz w:val="16"/>
                <w:szCs w:val="16"/>
              </w:rPr>
              <w:t>iem 19% šajā grupā</w:t>
            </w:r>
            <w:r w:rsidRPr="00E64B87">
              <w:rPr>
                <w:rFonts w:eastAsia="Calibri"/>
                <w:i/>
                <w:iCs/>
                <w:sz w:val="16"/>
                <w:szCs w:val="16"/>
              </w:rPr>
              <w:t xml:space="preserve"> pensijas </w:t>
            </w:r>
            <w:r w:rsidR="00E64B87">
              <w:rPr>
                <w:rFonts w:eastAsia="Calibri"/>
                <w:i/>
                <w:iCs/>
                <w:sz w:val="16"/>
                <w:szCs w:val="16"/>
              </w:rPr>
              <w:t xml:space="preserve">apmērs </w:t>
            </w:r>
            <w:r w:rsidRPr="00E64B87">
              <w:rPr>
                <w:rFonts w:eastAsia="Calibri"/>
                <w:i/>
                <w:iCs/>
                <w:sz w:val="16"/>
                <w:szCs w:val="16"/>
              </w:rPr>
              <w:t>ir lielākas par 1 667 euro</w:t>
            </w:r>
            <w:r w:rsidR="00E64B87">
              <w:rPr>
                <w:rFonts w:eastAsia="Calibri"/>
                <w:i/>
                <w:iCs/>
                <w:sz w:val="16"/>
                <w:szCs w:val="16"/>
              </w:rPr>
              <w:t xml:space="preserve"> mēnesī</w:t>
            </w:r>
            <w:r w:rsidRPr="00E64B87">
              <w:rPr>
                <w:rFonts w:eastAsia="Calibri"/>
                <w:i/>
                <w:iCs/>
                <w:sz w:val="16"/>
                <w:szCs w:val="16"/>
              </w:rPr>
              <w:t>.</w:t>
            </w:r>
          </w:p>
          <w:p w14:paraId="54430DD5" w14:textId="221327D6" w:rsidR="001F07D1" w:rsidRPr="00022C28" w:rsidRDefault="00E64B87" w:rsidP="00475FE9">
            <w:pPr>
              <w:spacing w:before="40" w:after="40"/>
              <w:jc w:val="both"/>
              <w:rPr>
                <w:rFonts w:eastAsia="Calibri"/>
                <w:i/>
                <w:iCs/>
                <w:sz w:val="14"/>
                <w:szCs w:val="14"/>
              </w:rPr>
            </w:pPr>
            <w:r w:rsidRPr="00E64B87">
              <w:rPr>
                <w:rFonts w:eastAsia="Calibri"/>
                <w:b/>
                <w:bCs/>
                <w:i/>
                <w:iCs/>
                <w:sz w:val="18"/>
                <w:szCs w:val="18"/>
              </w:rPr>
              <w:t>A</w:t>
            </w:r>
            <w:r w:rsidR="001F07D1" w:rsidRPr="00E64B87">
              <w:rPr>
                <w:rFonts w:eastAsia="Calibri"/>
                <w:b/>
                <w:bCs/>
                <w:i/>
                <w:iCs/>
                <w:sz w:val="18"/>
                <w:szCs w:val="18"/>
              </w:rPr>
              <w:t>vots</w:t>
            </w:r>
            <w:r w:rsidR="001F07D1" w:rsidRPr="00E64B87">
              <w:rPr>
                <w:rFonts w:eastAsia="Calibri"/>
                <w:i/>
                <w:iCs/>
                <w:sz w:val="18"/>
                <w:szCs w:val="18"/>
              </w:rPr>
              <w:t>: V</w:t>
            </w:r>
            <w:r w:rsidR="004210E6">
              <w:rPr>
                <w:rFonts w:eastAsia="Calibri"/>
                <w:i/>
                <w:iCs/>
                <w:sz w:val="18"/>
                <w:szCs w:val="18"/>
              </w:rPr>
              <w:t xml:space="preserve">alsts sociālās apdrošināšanas aģentūras </w:t>
            </w:r>
            <w:r w:rsidR="001F07D1" w:rsidRPr="00E64B87">
              <w:rPr>
                <w:rFonts w:eastAsia="Calibri"/>
                <w:i/>
                <w:iCs/>
                <w:sz w:val="18"/>
                <w:szCs w:val="18"/>
              </w:rPr>
              <w:t xml:space="preserve">un </w:t>
            </w:r>
            <w:r w:rsidR="004210E6" w:rsidRPr="004210E6">
              <w:rPr>
                <w:rFonts w:eastAsia="Calibri"/>
                <w:i/>
                <w:iCs/>
                <w:sz w:val="18"/>
                <w:szCs w:val="18"/>
              </w:rPr>
              <w:t xml:space="preserve">Aizsardzības ministrijas </w:t>
            </w:r>
            <w:r w:rsidR="001F07D1" w:rsidRPr="00E64B87">
              <w:rPr>
                <w:rFonts w:eastAsia="Calibri"/>
                <w:i/>
                <w:iCs/>
                <w:sz w:val="18"/>
                <w:szCs w:val="18"/>
              </w:rPr>
              <w:t>dati</w:t>
            </w:r>
          </w:p>
        </w:tc>
      </w:tr>
      <w:tr w:rsidR="001F07D1" w:rsidRPr="00EC13DA" w14:paraId="312653D3" w14:textId="77777777" w:rsidTr="00475FE9">
        <w:tblPrEx>
          <w:jc w:val="left"/>
        </w:tblPrEx>
        <w:trPr>
          <w:trHeight w:val="328"/>
        </w:trPr>
        <w:tc>
          <w:tcPr>
            <w:tcW w:w="9498" w:type="dxa"/>
          </w:tcPr>
          <w:p w14:paraId="7A4B2DBB" w14:textId="51AF77A3" w:rsidR="001F07D1" w:rsidRPr="00022C28" w:rsidRDefault="00D72852" w:rsidP="00475FE9">
            <w:pPr>
              <w:spacing w:before="120" w:after="120"/>
              <w:jc w:val="center"/>
              <w:rPr>
                <w:rFonts w:eastAsia="Calibri"/>
                <w:b/>
                <w:bCs/>
                <w:sz w:val="18"/>
                <w:szCs w:val="18"/>
              </w:rPr>
            </w:pPr>
            <w:r>
              <w:rPr>
                <w:bCs/>
                <w:sz w:val="20"/>
                <w:szCs w:val="20"/>
                <w:shd w:val="clear" w:color="auto" w:fill="FFFFFF"/>
              </w:rPr>
              <w:t>7</w:t>
            </w:r>
            <w:r w:rsidRPr="00CD1EC4">
              <w:rPr>
                <w:bCs/>
                <w:sz w:val="20"/>
                <w:szCs w:val="20"/>
                <w:shd w:val="clear" w:color="auto" w:fill="FFFFFF"/>
              </w:rPr>
              <w:t>.tab.</w:t>
            </w:r>
            <w:r>
              <w:rPr>
                <w:b/>
                <w:sz w:val="20"/>
                <w:szCs w:val="20"/>
                <w:shd w:val="clear" w:color="auto" w:fill="FFFFFF"/>
              </w:rPr>
              <w:t xml:space="preserve"> </w:t>
            </w:r>
            <w:r w:rsidR="001F07D1" w:rsidRPr="00022C28">
              <w:rPr>
                <w:rFonts w:eastAsia="Calibri"/>
                <w:b/>
                <w:bCs/>
                <w:sz w:val="20"/>
                <w:szCs w:val="20"/>
              </w:rPr>
              <w:t>Izmaksāto pensiju vidējais apmērs pēc pensijas veida</w:t>
            </w:r>
          </w:p>
        </w:tc>
      </w:tr>
      <w:tr w:rsidR="001F07D1" w:rsidRPr="00EC13DA" w14:paraId="11744CD2" w14:textId="77777777" w:rsidTr="00475FE9">
        <w:tblPrEx>
          <w:jc w:val="left"/>
        </w:tblPrEx>
        <w:trPr>
          <w:trHeight w:val="1567"/>
        </w:trPr>
        <w:tc>
          <w:tcPr>
            <w:tcW w:w="9498" w:type="dxa"/>
          </w:tcPr>
          <w:tbl>
            <w:tblPr>
              <w:tblStyle w:val="TableGrid1"/>
              <w:tblW w:w="9127" w:type="dxa"/>
              <w:jc w:val="center"/>
              <w:tblLook w:val="04A0" w:firstRow="1" w:lastRow="0" w:firstColumn="1" w:lastColumn="0" w:noHBand="0" w:noVBand="1"/>
            </w:tblPr>
            <w:tblGrid>
              <w:gridCol w:w="5920"/>
              <w:gridCol w:w="1515"/>
              <w:gridCol w:w="1692"/>
            </w:tblGrid>
            <w:tr w:rsidR="001F07D1" w:rsidRPr="00022C28" w14:paraId="05F0068F" w14:textId="77777777" w:rsidTr="001B1642">
              <w:trPr>
                <w:trHeight w:val="247"/>
                <w:jc w:val="center"/>
              </w:trPr>
              <w:tc>
                <w:tcPr>
                  <w:tcW w:w="5920" w:type="dxa"/>
                  <w:tcBorders>
                    <w:right w:val="single" w:sz="4" w:space="0" w:color="FFFFFF" w:themeColor="background1"/>
                  </w:tcBorders>
                  <w:shd w:val="clear" w:color="auto" w:fill="002060"/>
                  <w:noWrap/>
                  <w:hideMark/>
                </w:tcPr>
                <w:p w14:paraId="266A86EB" w14:textId="77777777" w:rsidR="001F07D1" w:rsidRPr="001B1642" w:rsidRDefault="001F07D1" w:rsidP="00475FE9">
                  <w:pPr>
                    <w:rPr>
                      <w:rFonts w:eastAsia="Times New Roman"/>
                      <w:sz w:val="20"/>
                      <w:szCs w:val="20"/>
                      <w:lang w:eastAsia="lv-LV"/>
                    </w:rPr>
                  </w:pPr>
                  <w:r w:rsidRPr="001B1642">
                    <w:rPr>
                      <w:rFonts w:eastAsia="Times New Roman"/>
                      <w:i/>
                      <w:iCs/>
                      <w:sz w:val="20"/>
                      <w:szCs w:val="20"/>
                      <w:lang w:eastAsia="lv-LV"/>
                    </w:rPr>
                    <w:t>Pensijas veids</w:t>
                  </w:r>
                </w:p>
              </w:tc>
              <w:tc>
                <w:tcPr>
                  <w:tcW w:w="1515" w:type="dxa"/>
                  <w:tcBorders>
                    <w:left w:val="single" w:sz="4" w:space="0" w:color="FFFFFF" w:themeColor="background1"/>
                    <w:right w:val="single" w:sz="4" w:space="0" w:color="FFFFFF" w:themeColor="background1"/>
                  </w:tcBorders>
                  <w:shd w:val="clear" w:color="auto" w:fill="002060"/>
                  <w:noWrap/>
                  <w:hideMark/>
                </w:tcPr>
                <w:p w14:paraId="5FC6A0DD" w14:textId="77777777" w:rsidR="001F07D1" w:rsidRPr="001B1642" w:rsidRDefault="001F07D1" w:rsidP="00475FE9">
                  <w:pPr>
                    <w:jc w:val="center"/>
                    <w:rPr>
                      <w:rFonts w:eastAsia="Times New Roman" w:cs="Calibri"/>
                      <w:b/>
                      <w:bCs/>
                      <w:color w:val="FFFFFF" w:themeColor="background1"/>
                      <w:sz w:val="20"/>
                      <w:szCs w:val="20"/>
                      <w:lang w:eastAsia="lv-LV"/>
                    </w:rPr>
                  </w:pPr>
                  <w:r w:rsidRPr="001B1642">
                    <w:rPr>
                      <w:rFonts w:eastAsia="Times New Roman" w:cs="Calibri"/>
                      <w:b/>
                      <w:bCs/>
                      <w:color w:val="FFFFFF" w:themeColor="background1"/>
                      <w:sz w:val="20"/>
                      <w:szCs w:val="20"/>
                      <w:lang w:eastAsia="lv-LV"/>
                    </w:rPr>
                    <w:t>2022</w:t>
                  </w:r>
                </w:p>
              </w:tc>
              <w:tc>
                <w:tcPr>
                  <w:tcW w:w="1692" w:type="dxa"/>
                  <w:tcBorders>
                    <w:left w:val="single" w:sz="4" w:space="0" w:color="FFFFFF" w:themeColor="background1"/>
                  </w:tcBorders>
                  <w:shd w:val="clear" w:color="auto" w:fill="002060"/>
                  <w:noWrap/>
                  <w:hideMark/>
                </w:tcPr>
                <w:p w14:paraId="621620AA" w14:textId="77777777" w:rsidR="001F07D1" w:rsidRPr="001B1642" w:rsidRDefault="001F07D1" w:rsidP="00475FE9">
                  <w:pPr>
                    <w:jc w:val="center"/>
                    <w:rPr>
                      <w:rFonts w:eastAsia="Times New Roman" w:cs="Calibri"/>
                      <w:b/>
                      <w:bCs/>
                      <w:color w:val="FFFFFF" w:themeColor="background1"/>
                      <w:sz w:val="20"/>
                      <w:szCs w:val="20"/>
                      <w:lang w:eastAsia="lv-LV"/>
                    </w:rPr>
                  </w:pPr>
                  <w:r w:rsidRPr="001B1642">
                    <w:rPr>
                      <w:rFonts w:eastAsia="Times New Roman" w:cs="Calibri"/>
                      <w:b/>
                      <w:bCs/>
                      <w:color w:val="FFFFFF" w:themeColor="background1"/>
                      <w:sz w:val="20"/>
                      <w:szCs w:val="20"/>
                      <w:lang w:eastAsia="lv-LV"/>
                    </w:rPr>
                    <w:t>2023</w:t>
                  </w:r>
                </w:p>
              </w:tc>
            </w:tr>
            <w:tr w:rsidR="001F07D1" w:rsidRPr="00022C28" w14:paraId="28D195F7" w14:textId="77777777" w:rsidTr="001B1642">
              <w:trPr>
                <w:trHeight w:val="181"/>
                <w:jc w:val="center"/>
              </w:trPr>
              <w:tc>
                <w:tcPr>
                  <w:tcW w:w="5920" w:type="dxa"/>
                  <w:noWrap/>
                  <w:hideMark/>
                </w:tcPr>
                <w:p w14:paraId="64384588" w14:textId="77777777" w:rsidR="001F07D1" w:rsidRPr="001B1642" w:rsidRDefault="001F07D1" w:rsidP="00475FE9">
                  <w:pPr>
                    <w:rPr>
                      <w:rFonts w:eastAsia="Times New Roman" w:cs="Calibri"/>
                      <w:color w:val="000000"/>
                      <w:sz w:val="20"/>
                      <w:szCs w:val="20"/>
                      <w:lang w:eastAsia="lv-LV"/>
                    </w:rPr>
                  </w:pPr>
                  <w:r w:rsidRPr="001B1642">
                    <w:rPr>
                      <w:rFonts w:eastAsia="Times New Roman" w:cs="Calibri"/>
                      <w:color w:val="000000"/>
                      <w:sz w:val="20"/>
                      <w:szCs w:val="20"/>
                      <w:lang w:eastAsia="lv-LV"/>
                    </w:rPr>
                    <w:t>Vecuma pensija</w:t>
                  </w:r>
                </w:p>
              </w:tc>
              <w:tc>
                <w:tcPr>
                  <w:tcW w:w="1515" w:type="dxa"/>
                  <w:noWrap/>
                  <w:hideMark/>
                </w:tcPr>
                <w:p w14:paraId="5DD06B57" w14:textId="77777777" w:rsidR="001F07D1" w:rsidRPr="001B1642" w:rsidRDefault="001F07D1" w:rsidP="00475FE9">
                  <w:pPr>
                    <w:jc w:val="center"/>
                    <w:rPr>
                      <w:rFonts w:eastAsia="Times New Roman" w:cs="Calibri"/>
                      <w:color w:val="000000"/>
                      <w:sz w:val="20"/>
                      <w:szCs w:val="20"/>
                      <w:lang w:eastAsia="lv-LV"/>
                    </w:rPr>
                  </w:pPr>
                  <w:r w:rsidRPr="001B1642">
                    <w:rPr>
                      <w:rFonts w:eastAsia="Times New Roman" w:cs="Calibri"/>
                      <w:color w:val="000000"/>
                      <w:sz w:val="20"/>
                      <w:szCs w:val="20"/>
                      <w:lang w:eastAsia="lv-LV"/>
                    </w:rPr>
                    <w:t>449,88</w:t>
                  </w:r>
                </w:p>
              </w:tc>
              <w:tc>
                <w:tcPr>
                  <w:tcW w:w="1692" w:type="dxa"/>
                  <w:noWrap/>
                  <w:hideMark/>
                </w:tcPr>
                <w:p w14:paraId="1FB2C8E4" w14:textId="77777777" w:rsidR="001F07D1" w:rsidRPr="001B1642" w:rsidRDefault="001F07D1" w:rsidP="00475FE9">
                  <w:pPr>
                    <w:jc w:val="center"/>
                    <w:rPr>
                      <w:rFonts w:eastAsia="Times New Roman" w:cs="Calibri"/>
                      <w:color w:val="000000"/>
                      <w:sz w:val="20"/>
                      <w:szCs w:val="20"/>
                      <w:lang w:eastAsia="lv-LV"/>
                    </w:rPr>
                  </w:pPr>
                  <w:r w:rsidRPr="001B1642">
                    <w:rPr>
                      <w:rFonts w:eastAsia="Times New Roman" w:cs="Calibri"/>
                      <w:color w:val="000000"/>
                      <w:sz w:val="20"/>
                      <w:szCs w:val="20"/>
                      <w:lang w:eastAsia="lv-LV"/>
                    </w:rPr>
                    <w:t>513,72</w:t>
                  </w:r>
                </w:p>
              </w:tc>
            </w:tr>
            <w:tr w:rsidR="001F07D1" w:rsidRPr="00022C28" w14:paraId="6A7C2A7F" w14:textId="77777777" w:rsidTr="001B1642">
              <w:trPr>
                <w:trHeight w:val="222"/>
                <w:jc w:val="center"/>
              </w:trPr>
              <w:tc>
                <w:tcPr>
                  <w:tcW w:w="5920" w:type="dxa"/>
                  <w:noWrap/>
                  <w:hideMark/>
                </w:tcPr>
                <w:p w14:paraId="0B72F4FB" w14:textId="77777777" w:rsidR="001F07D1" w:rsidRPr="001B1642" w:rsidRDefault="001F07D1" w:rsidP="00475FE9">
                  <w:pPr>
                    <w:rPr>
                      <w:rFonts w:eastAsia="Times New Roman" w:cs="Calibri"/>
                      <w:color w:val="000000"/>
                      <w:sz w:val="20"/>
                      <w:szCs w:val="20"/>
                      <w:lang w:eastAsia="lv-LV"/>
                    </w:rPr>
                  </w:pPr>
                  <w:r w:rsidRPr="001B1642">
                    <w:rPr>
                      <w:rFonts w:eastAsia="Times New Roman" w:cs="Calibri"/>
                      <w:color w:val="000000"/>
                      <w:sz w:val="20"/>
                      <w:szCs w:val="20"/>
                      <w:lang w:eastAsia="lv-LV"/>
                    </w:rPr>
                    <w:t>Invaliditātes pensija</w:t>
                  </w:r>
                </w:p>
              </w:tc>
              <w:tc>
                <w:tcPr>
                  <w:tcW w:w="1515" w:type="dxa"/>
                  <w:noWrap/>
                  <w:hideMark/>
                </w:tcPr>
                <w:p w14:paraId="542D0944" w14:textId="77777777" w:rsidR="001F07D1" w:rsidRPr="001B1642" w:rsidRDefault="001F07D1" w:rsidP="00475FE9">
                  <w:pPr>
                    <w:jc w:val="center"/>
                    <w:rPr>
                      <w:rFonts w:eastAsia="Times New Roman" w:cs="Calibri"/>
                      <w:color w:val="000000"/>
                      <w:sz w:val="20"/>
                      <w:szCs w:val="20"/>
                      <w:lang w:eastAsia="lv-LV"/>
                    </w:rPr>
                  </w:pPr>
                  <w:r w:rsidRPr="001B1642">
                    <w:rPr>
                      <w:rFonts w:eastAsia="Times New Roman" w:cs="Calibri"/>
                      <w:color w:val="000000"/>
                      <w:sz w:val="20"/>
                      <w:szCs w:val="20"/>
                      <w:lang w:eastAsia="lv-LV"/>
                    </w:rPr>
                    <w:t>251,59</w:t>
                  </w:r>
                </w:p>
              </w:tc>
              <w:tc>
                <w:tcPr>
                  <w:tcW w:w="1692" w:type="dxa"/>
                  <w:noWrap/>
                  <w:hideMark/>
                </w:tcPr>
                <w:p w14:paraId="5EC94580" w14:textId="77777777" w:rsidR="001F07D1" w:rsidRPr="001B1642" w:rsidRDefault="001F07D1" w:rsidP="00475FE9">
                  <w:pPr>
                    <w:jc w:val="center"/>
                    <w:rPr>
                      <w:rFonts w:eastAsia="Times New Roman" w:cs="Calibri"/>
                      <w:color w:val="000000"/>
                      <w:sz w:val="20"/>
                      <w:szCs w:val="20"/>
                      <w:lang w:eastAsia="lv-LV"/>
                    </w:rPr>
                  </w:pPr>
                  <w:r w:rsidRPr="001B1642">
                    <w:rPr>
                      <w:rFonts w:eastAsia="Times New Roman" w:cs="Calibri"/>
                      <w:color w:val="000000"/>
                      <w:sz w:val="20"/>
                      <w:szCs w:val="20"/>
                      <w:lang w:eastAsia="lv-LV"/>
                    </w:rPr>
                    <w:t>281,89</w:t>
                  </w:r>
                </w:p>
              </w:tc>
            </w:tr>
            <w:tr w:rsidR="001F07D1" w:rsidRPr="00022C28" w14:paraId="6A17A739" w14:textId="77777777" w:rsidTr="001B1642">
              <w:trPr>
                <w:trHeight w:val="247"/>
                <w:jc w:val="center"/>
              </w:trPr>
              <w:tc>
                <w:tcPr>
                  <w:tcW w:w="5920" w:type="dxa"/>
                  <w:noWrap/>
                  <w:hideMark/>
                </w:tcPr>
                <w:p w14:paraId="387732AA" w14:textId="77777777" w:rsidR="001F07D1" w:rsidRPr="001B1642" w:rsidRDefault="001F07D1" w:rsidP="00475FE9">
                  <w:pPr>
                    <w:rPr>
                      <w:rFonts w:eastAsia="Times New Roman" w:cs="Calibri"/>
                      <w:color w:val="000000"/>
                      <w:sz w:val="20"/>
                      <w:szCs w:val="20"/>
                      <w:lang w:eastAsia="lv-LV"/>
                    </w:rPr>
                  </w:pPr>
                  <w:r w:rsidRPr="001B1642">
                    <w:rPr>
                      <w:rFonts w:eastAsia="Times New Roman" w:cs="Calibri"/>
                      <w:color w:val="000000"/>
                      <w:sz w:val="20"/>
                      <w:szCs w:val="20"/>
                      <w:lang w:eastAsia="lv-LV"/>
                    </w:rPr>
                    <w:t>Apgādnieka zaudējuma pensija</w:t>
                  </w:r>
                </w:p>
              </w:tc>
              <w:tc>
                <w:tcPr>
                  <w:tcW w:w="1515" w:type="dxa"/>
                  <w:noWrap/>
                  <w:hideMark/>
                </w:tcPr>
                <w:p w14:paraId="4FDF6625" w14:textId="77777777" w:rsidR="001F07D1" w:rsidRPr="001B1642" w:rsidRDefault="001F07D1" w:rsidP="00475FE9">
                  <w:pPr>
                    <w:jc w:val="center"/>
                    <w:rPr>
                      <w:rFonts w:eastAsia="Times New Roman" w:cs="Calibri"/>
                      <w:color w:val="000000"/>
                      <w:sz w:val="20"/>
                      <w:szCs w:val="20"/>
                      <w:lang w:eastAsia="lv-LV"/>
                    </w:rPr>
                  </w:pPr>
                  <w:r w:rsidRPr="001B1642">
                    <w:rPr>
                      <w:rFonts w:eastAsia="Times New Roman" w:cs="Calibri"/>
                      <w:color w:val="000000"/>
                      <w:sz w:val="20"/>
                      <w:szCs w:val="20"/>
                      <w:lang w:eastAsia="lv-LV"/>
                    </w:rPr>
                    <w:t>265,51</w:t>
                  </w:r>
                </w:p>
              </w:tc>
              <w:tc>
                <w:tcPr>
                  <w:tcW w:w="1692" w:type="dxa"/>
                  <w:noWrap/>
                  <w:hideMark/>
                </w:tcPr>
                <w:p w14:paraId="485E70BC" w14:textId="77777777" w:rsidR="001F07D1" w:rsidRPr="001B1642" w:rsidRDefault="001F07D1" w:rsidP="00475FE9">
                  <w:pPr>
                    <w:jc w:val="center"/>
                    <w:rPr>
                      <w:rFonts w:eastAsia="Times New Roman" w:cs="Calibri"/>
                      <w:color w:val="000000"/>
                      <w:sz w:val="20"/>
                      <w:szCs w:val="20"/>
                      <w:lang w:eastAsia="lv-LV"/>
                    </w:rPr>
                  </w:pPr>
                  <w:r w:rsidRPr="001B1642">
                    <w:rPr>
                      <w:rFonts w:eastAsia="Times New Roman" w:cs="Calibri"/>
                      <w:color w:val="000000"/>
                      <w:sz w:val="20"/>
                      <w:szCs w:val="20"/>
                      <w:lang w:eastAsia="lv-LV"/>
                    </w:rPr>
                    <w:t>301,62</w:t>
                  </w:r>
                </w:p>
              </w:tc>
            </w:tr>
            <w:tr w:rsidR="001F07D1" w:rsidRPr="00022C28" w14:paraId="3ED0ABEB" w14:textId="77777777" w:rsidTr="001B1642">
              <w:trPr>
                <w:trHeight w:val="217"/>
                <w:jc w:val="center"/>
              </w:trPr>
              <w:tc>
                <w:tcPr>
                  <w:tcW w:w="5920" w:type="dxa"/>
                  <w:noWrap/>
                  <w:hideMark/>
                </w:tcPr>
                <w:p w14:paraId="28772820" w14:textId="77777777" w:rsidR="001F07D1" w:rsidRPr="001B1642" w:rsidRDefault="001F07D1" w:rsidP="00475FE9">
                  <w:pPr>
                    <w:rPr>
                      <w:rFonts w:eastAsia="Times New Roman" w:cs="Calibri"/>
                      <w:color w:val="000000"/>
                      <w:sz w:val="20"/>
                      <w:szCs w:val="20"/>
                      <w:lang w:eastAsia="lv-LV"/>
                    </w:rPr>
                  </w:pPr>
                  <w:r w:rsidRPr="001B1642">
                    <w:rPr>
                      <w:rFonts w:eastAsia="Times New Roman" w:cs="Calibri"/>
                      <w:color w:val="000000"/>
                      <w:sz w:val="20"/>
                      <w:szCs w:val="20"/>
                      <w:lang w:eastAsia="lv-LV"/>
                    </w:rPr>
                    <w:t>Izdienas pensija</w:t>
                  </w:r>
                </w:p>
              </w:tc>
              <w:tc>
                <w:tcPr>
                  <w:tcW w:w="1515" w:type="dxa"/>
                  <w:noWrap/>
                  <w:hideMark/>
                </w:tcPr>
                <w:p w14:paraId="7E4B151C" w14:textId="77777777" w:rsidR="001F07D1" w:rsidRPr="001B1642" w:rsidRDefault="001F07D1" w:rsidP="00475FE9">
                  <w:pPr>
                    <w:jc w:val="center"/>
                    <w:rPr>
                      <w:rFonts w:eastAsia="Times New Roman" w:cs="Calibri"/>
                      <w:color w:val="000000"/>
                      <w:sz w:val="20"/>
                      <w:szCs w:val="20"/>
                      <w:lang w:eastAsia="lv-LV"/>
                    </w:rPr>
                  </w:pPr>
                  <w:r w:rsidRPr="001B1642">
                    <w:rPr>
                      <w:rFonts w:eastAsia="Times New Roman" w:cs="Calibri"/>
                      <w:color w:val="000000"/>
                      <w:sz w:val="20"/>
                      <w:szCs w:val="20"/>
                      <w:lang w:eastAsia="lv-LV"/>
                    </w:rPr>
                    <w:t>567,73</w:t>
                  </w:r>
                </w:p>
              </w:tc>
              <w:tc>
                <w:tcPr>
                  <w:tcW w:w="1692" w:type="dxa"/>
                  <w:noWrap/>
                  <w:hideMark/>
                </w:tcPr>
                <w:p w14:paraId="2175C9EF" w14:textId="77777777" w:rsidR="001F07D1" w:rsidRPr="001B1642" w:rsidRDefault="001F07D1" w:rsidP="00475FE9">
                  <w:pPr>
                    <w:jc w:val="center"/>
                    <w:rPr>
                      <w:rFonts w:eastAsia="Times New Roman" w:cs="Calibri"/>
                      <w:color w:val="000000"/>
                      <w:sz w:val="20"/>
                      <w:szCs w:val="20"/>
                      <w:lang w:eastAsia="lv-LV"/>
                    </w:rPr>
                  </w:pPr>
                  <w:r w:rsidRPr="001B1642">
                    <w:rPr>
                      <w:rFonts w:eastAsia="Times New Roman" w:cs="Calibri"/>
                      <w:color w:val="000000"/>
                      <w:sz w:val="20"/>
                      <w:szCs w:val="20"/>
                      <w:lang w:eastAsia="lv-LV"/>
                    </w:rPr>
                    <w:t>649,84</w:t>
                  </w:r>
                </w:p>
              </w:tc>
            </w:tr>
          </w:tbl>
          <w:p w14:paraId="666024E5" w14:textId="6143B2C1" w:rsidR="001F07D1" w:rsidRPr="00022C28" w:rsidRDefault="00E64B87" w:rsidP="00475FE9">
            <w:pPr>
              <w:spacing w:before="40" w:after="40"/>
              <w:jc w:val="both"/>
              <w:rPr>
                <w:rFonts w:eastAsia="Calibri"/>
                <w:i/>
                <w:iCs/>
                <w:sz w:val="20"/>
                <w:szCs w:val="20"/>
              </w:rPr>
            </w:pPr>
            <w:r w:rsidRPr="00E64B87">
              <w:rPr>
                <w:rFonts w:eastAsia="Calibri"/>
                <w:b/>
                <w:bCs/>
                <w:i/>
                <w:iCs/>
                <w:sz w:val="18"/>
                <w:szCs w:val="18"/>
              </w:rPr>
              <w:t>A</w:t>
            </w:r>
            <w:r w:rsidR="001F07D1" w:rsidRPr="00E64B87">
              <w:rPr>
                <w:rFonts w:eastAsia="Calibri"/>
                <w:b/>
                <w:bCs/>
                <w:i/>
                <w:iCs/>
                <w:sz w:val="18"/>
                <w:szCs w:val="18"/>
              </w:rPr>
              <w:t>vots</w:t>
            </w:r>
            <w:r w:rsidR="001F07D1" w:rsidRPr="00E64B87">
              <w:rPr>
                <w:rFonts w:eastAsia="Calibri"/>
                <w:i/>
                <w:iCs/>
                <w:sz w:val="18"/>
                <w:szCs w:val="18"/>
              </w:rPr>
              <w:t xml:space="preserve">: </w:t>
            </w:r>
            <w:r w:rsidR="001508F0">
              <w:rPr>
                <w:rFonts w:eastAsia="Calibri"/>
                <w:i/>
                <w:iCs/>
                <w:sz w:val="18"/>
                <w:szCs w:val="18"/>
              </w:rPr>
              <w:t>CSP</w:t>
            </w:r>
            <w:r w:rsidR="001F07D1" w:rsidRPr="00E64B87">
              <w:rPr>
                <w:rFonts w:eastAsia="Calibri"/>
                <w:i/>
                <w:iCs/>
                <w:sz w:val="18"/>
                <w:szCs w:val="18"/>
              </w:rPr>
              <w:t xml:space="preserve"> dati. </w:t>
            </w:r>
          </w:p>
        </w:tc>
      </w:tr>
    </w:tbl>
    <w:p w14:paraId="79F6524F" w14:textId="77777777" w:rsidR="001B1642" w:rsidRDefault="001B1642" w:rsidP="00E64B87">
      <w:pPr>
        <w:ind w:firstLine="567"/>
        <w:jc w:val="both"/>
        <w:rPr>
          <w:rFonts w:eastAsiaTheme="majorEastAsia" w:cstheme="majorBidi"/>
          <w:bCs/>
          <w:szCs w:val="24"/>
        </w:rPr>
      </w:pPr>
    </w:p>
    <w:p w14:paraId="4BFCE73A" w14:textId="35EDDF20" w:rsidR="00D03788" w:rsidRPr="00725CD9" w:rsidRDefault="00E64B87" w:rsidP="00725CD9">
      <w:pPr>
        <w:ind w:firstLine="567"/>
        <w:jc w:val="both"/>
        <w:rPr>
          <w:rStyle w:val="Heading2Char"/>
          <w:b w:val="0"/>
          <w:bCs/>
          <w:szCs w:val="24"/>
        </w:rPr>
      </w:pPr>
      <w:r w:rsidRPr="00B4173B">
        <w:rPr>
          <w:rFonts w:eastAsiaTheme="majorEastAsia" w:cstheme="majorBidi"/>
          <w:bCs/>
          <w:szCs w:val="24"/>
        </w:rPr>
        <w:t xml:space="preserve">Paaugstinot pensionāra neapliekamo minimumu </w:t>
      </w:r>
      <w:r>
        <w:rPr>
          <w:rFonts w:eastAsiaTheme="majorEastAsia" w:cstheme="majorBidi"/>
          <w:bCs/>
          <w:szCs w:val="24"/>
        </w:rPr>
        <w:t xml:space="preserve">no </w:t>
      </w:r>
      <w:r w:rsidRPr="00B4173B">
        <w:rPr>
          <w:rFonts w:eastAsiaTheme="majorEastAsia" w:cstheme="majorBidi"/>
          <w:b/>
          <w:szCs w:val="24"/>
        </w:rPr>
        <w:t>500</w:t>
      </w:r>
      <w:r>
        <w:rPr>
          <w:rFonts w:eastAsiaTheme="majorEastAsia" w:cstheme="majorBidi"/>
          <w:bCs/>
          <w:szCs w:val="24"/>
        </w:rPr>
        <w:t xml:space="preserve"> </w:t>
      </w:r>
      <w:r w:rsidRPr="00B4173B">
        <w:rPr>
          <w:rFonts w:eastAsiaTheme="majorEastAsia" w:cstheme="majorBidi"/>
          <w:bCs/>
          <w:szCs w:val="24"/>
        </w:rPr>
        <w:t xml:space="preserve">līdz </w:t>
      </w:r>
      <w:r w:rsidR="00456496">
        <w:rPr>
          <w:rFonts w:eastAsiaTheme="majorEastAsia" w:cstheme="majorBidi"/>
          <w:b/>
          <w:color w:val="FF0000"/>
          <w:szCs w:val="24"/>
        </w:rPr>
        <w:t>1</w:t>
      </w:r>
      <w:r w:rsidR="001F064E">
        <w:rPr>
          <w:rFonts w:eastAsiaTheme="majorEastAsia" w:cstheme="majorBidi"/>
          <w:b/>
          <w:color w:val="FF0000"/>
          <w:szCs w:val="24"/>
        </w:rPr>
        <w:t> </w:t>
      </w:r>
      <w:r w:rsidR="00456496">
        <w:rPr>
          <w:rFonts w:eastAsiaTheme="majorEastAsia" w:cstheme="majorBidi"/>
          <w:b/>
          <w:color w:val="FF0000"/>
          <w:szCs w:val="24"/>
        </w:rPr>
        <w:t>000</w:t>
      </w:r>
      <w:r w:rsidR="001F064E">
        <w:rPr>
          <w:rFonts w:eastAsiaTheme="majorEastAsia" w:cstheme="majorBidi"/>
          <w:bCs/>
          <w:color w:val="FF0000"/>
          <w:szCs w:val="24"/>
        </w:rPr>
        <w:t> </w:t>
      </w:r>
      <w:r w:rsidRPr="00B4173B">
        <w:rPr>
          <w:rFonts w:eastAsiaTheme="majorEastAsia" w:cstheme="majorBidi"/>
          <w:bCs/>
          <w:i/>
          <w:iCs/>
          <w:szCs w:val="24"/>
        </w:rPr>
        <w:t>euro</w:t>
      </w:r>
      <w:r w:rsidRPr="00B4173B">
        <w:rPr>
          <w:rFonts w:eastAsiaTheme="majorEastAsia" w:cstheme="majorBidi"/>
          <w:bCs/>
          <w:szCs w:val="24"/>
        </w:rPr>
        <w:t xml:space="preserve"> </w:t>
      </w:r>
      <w:r w:rsidRPr="001F064E">
        <w:rPr>
          <w:rFonts w:eastAsiaTheme="majorEastAsia" w:cstheme="majorBidi"/>
          <w:bCs/>
          <w:szCs w:val="24"/>
        </w:rPr>
        <w:t xml:space="preserve">mēnesī un, vienlaicīgi pārejot uz divām IIN likmēm, kopējās izmaiņas  neietekmēs ap </w:t>
      </w:r>
      <w:r w:rsidRPr="001F064E">
        <w:rPr>
          <w:rFonts w:eastAsiaTheme="majorEastAsia" w:cstheme="majorBidi"/>
          <w:b/>
          <w:szCs w:val="24"/>
        </w:rPr>
        <w:t>5</w:t>
      </w:r>
      <w:r w:rsidR="001F064E">
        <w:rPr>
          <w:rFonts w:eastAsiaTheme="majorEastAsia" w:cstheme="majorBidi"/>
          <w:b/>
          <w:szCs w:val="24"/>
        </w:rPr>
        <w:t>3,8</w:t>
      </w:r>
      <w:r w:rsidRPr="001F064E">
        <w:rPr>
          <w:rFonts w:eastAsiaTheme="majorEastAsia" w:cstheme="majorBidi"/>
          <w:b/>
          <w:szCs w:val="24"/>
        </w:rPr>
        <w:t>%</w:t>
      </w:r>
      <w:r w:rsidRPr="001F064E">
        <w:rPr>
          <w:rFonts w:eastAsiaTheme="majorEastAsia" w:cstheme="majorBidi"/>
          <w:bCs/>
          <w:szCs w:val="24"/>
        </w:rPr>
        <w:t xml:space="preserve"> visu veidu pensiju saņēmējus (jo šīs personas jau šobrīd no saņemtās </w:t>
      </w:r>
      <w:r w:rsidRPr="00513AC2">
        <w:rPr>
          <w:rFonts w:eastAsiaTheme="majorEastAsia" w:cstheme="majorBidi"/>
          <w:bCs/>
          <w:szCs w:val="24"/>
        </w:rPr>
        <w:t xml:space="preserve">pensijas nemaksā IIN), pozitīva ietekme būs ap </w:t>
      </w:r>
      <w:r w:rsidRPr="00513AC2">
        <w:rPr>
          <w:rFonts w:eastAsiaTheme="majorEastAsia" w:cstheme="majorBidi"/>
          <w:b/>
          <w:szCs w:val="24"/>
        </w:rPr>
        <w:t>4</w:t>
      </w:r>
      <w:r w:rsidR="001F064E" w:rsidRPr="00513AC2">
        <w:rPr>
          <w:rFonts w:eastAsiaTheme="majorEastAsia" w:cstheme="majorBidi"/>
          <w:b/>
          <w:szCs w:val="24"/>
        </w:rPr>
        <w:t>6,2</w:t>
      </w:r>
      <w:r w:rsidRPr="00513AC2">
        <w:rPr>
          <w:rFonts w:eastAsiaTheme="majorEastAsia" w:cstheme="majorBidi"/>
          <w:b/>
          <w:szCs w:val="24"/>
        </w:rPr>
        <w:t>%</w:t>
      </w:r>
      <w:r w:rsidRPr="00513AC2">
        <w:rPr>
          <w:rFonts w:eastAsiaTheme="majorEastAsia" w:cstheme="majorBidi"/>
          <w:bCs/>
          <w:szCs w:val="24"/>
        </w:rPr>
        <w:t xml:space="preserve"> visu veidu pensiju saņēmēju, bet tikai </w:t>
      </w:r>
      <w:r w:rsidR="001F064E" w:rsidRPr="00513AC2">
        <w:rPr>
          <w:rFonts w:eastAsiaTheme="majorEastAsia" w:cstheme="majorBidi"/>
          <w:b/>
          <w:szCs w:val="24"/>
        </w:rPr>
        <w:t>0,04</w:t>
      </w:r>
      <w:r w:rsidRPr="00513AC2">
        <w:rPr>
          <w:rFonts w:eastAsiaTheme="majorEastAsia" w:cstheme="majorBidi"/>
          <w:b/>
          <w:szCs w:val="24"/>
        </w:rPr>
        <w:t>%</w:t>
      </w:r>
      <w:r w:rsidRPr="00513AC2">
        <w:rPr>
          <w:rFonts w:eastAsiaTheme="majorEastAsia" w:cstheme="majorBidi"/>
          <w:bCs/>
          <w:szCs w:val="24"/>
        </w:rPr>
        <w:t xml:space="preserve"> šīs izmaiņas skars </w:t>
      </w:r>
      <w:r w:rsidR="00151142" w:rsidRPr="00513AC2">
        <w:rPr>
          <w:rFonts w:eastAsiaTheme="majorEastAsia" w:cstheme="majorBidi"/>
          <w:bCs/>
          <w:szCs w:val="24"/>
        </w:rPr>
        <w:t>negatīvi</w:t>
      </w:r>
      <w:r w:rsidRPr="00513AC2">
        <w:rPr>
          <w:rFonts w:eastAsiaTheme="majorEastAsia" w:cstheme="majorBidi"/>
          <w:bCs/>
          <w:szCs w:val="24"/>
        </w:rPr>
        <w:t xml:space="preserve">. Pozitīva ietekme veidojas pensionāra ienākumam līdz </w:t>
      </w:r>
      <w:r w:rsidR="001F064E" w:rsidRPr="00513AC2">
        <w:rPr>
          <w:rFonts w:eastAsiaTheme="majorEastAsia" w:cstheme="majorBidi"/>
          <w:bCs/>
          <w:szCs w:val="24"/>
        </w:rPr>
        <w:t>4 200 </w:t>
      </w:r>
      <w:r w:rsidRPr="00513AC2">
        <w:rPr>
          <w:rFonts w:eastAsiaTheme="majorEastAsia" w:cstheme="majorBidi"/>
          <w:bCs/>
          <w:i/>
          <w:iCs/>
          <w:szCs w:val="24"/>
        </w:rPr>
        <w:t>euro</w:t>
      </w:r>
      <w:r w:rsidRPr="00513AC2">
        <w:rPr>
          <w:rFonts w:eastAsiaTheme="majorEastAsia" w:cstheme="majorBidi"/>
          <w:bCs/>
          <w:szCs w:val="24"/>
        </w:rPr>
        <w:t xml:space="preserve"> mēnesī.</w:t>
      </w:r>
      <w:r w:rsidRPr="00B4173B">
        <w:rPr>
          <w:rFonts w:eastAsiaTheme="majorEastAsia" w:cstheme="majorBidi"/>
          <w:bCs/>
          <w:szCs w:val="24"/>
        </w:rPr>
        <w:t xml:space="preserve"> </w:t>
      </w:r>
      <w:r w:rsidR="00D03788">
        <w:rPr>
          <w:rStyle w:val="Heading2Char"/>
          <w:sz w:val="28"/>
          <w:szCs w:val="28"/>
          <w:highlight w:val="yellow"/>
        </w:rPr>
        <w:br w:type="page"/>
      </w:r>
    </w:p>
    <w:p w14:paraId="6EB5CD02" w14:textId="62EA2792" w:rsidR="00354A4A" w:rsidRPr="00D03788" w:rsidRDefault="001E3250" w:rsidP="001E3250">
      <w:pPr>
        <w:pStyle w:val="ListParagraph"/>
        <w:numPr>
          <w:ilvl w:val="1"/>
          <w:numId w:val="19"/>
        </w:numPr>
        <w:tabs>
          <w:tab w:val="left" w:pos="567"/>
        </w:tabs>
        <w:spacing w:before="100" w:beforeAutospacing="1" w:after="100" w:afterAutospacing="1"/>
        <w:ind w:left="567" w:hanging="567"/>
        <w:rPr>
          <w:color w:val="000000"/>
          <w:sz w:val="28"/>
          <w:szCs w:val="28"/>
        </w:rPr>
      </w:pPr>
      <w:bookmarkStart w:id="10" w:name="_Toc177627697"/>
      <w:r w:rsidRPr="00D03788">
        <w:rPr>
          <w:rStyle w:val="Heading2Char"/>
          <w:sz w:val="28"/>
          <w:szCs w:val="28"/>
        </w:rPr>
        <w:lastRenderedPageBreak/>
        <w:t xml:space="preserve">Fondēto pensiju shēmas (II līmeņa) pārnešana </w:t>
      </w:r>
      <w:r w:rsidR="00354A4A" w:rsidRPr="00D03788">
        <w:rPr>
          <w:rStyle w:val="Heading2Char"/>
          <w:sz w:val="28"/>
          <w:szCs w:val="28"/>
        </w:rPr>
        <w:t>uz pensiju pirmo</w:t>
      </w:r>
      <w:bookmarkEnd w:id="10"/>
      <w:r w:rsidR="00354A4A" w:rsidRPr="00D03788">
        <w:rPr>
          <w:sz w:val="28"/>
          <w:szCs w:val="28"/>
        </w:rPr>
        <w:t xml:space="preserve"> </w:t>
      </w:r>
      <w:r w:rsidR="00354A4A" w:rsidRPr="00D03788">
        <w:rPr>
          <w:b/>
          <w:bCs/>
          <w:sz w:val="28"/>
          <w:szCs w:val="28"/>
        </w:rPr>
        <w:t>līmeni</w:t>
      </w:r>
    </w:p>
    <w:p w14:paraId="1752E8A6" w14:textId="05CCD692" w:rsidR="00646EC5" w:rsidRDefault="00D03788" w:rsidP="00646EC5">
      <w:pPr>
        <w:shd w:val="clear" w:color="auto" w:fill="FFFFFF"/>
        <w:spacing w:after="120"/>
        <w:ind w:firstLine="567"/>
        <w:jc w:val="both"/>
        <w:rPr>
          <w:szCs w:val="24"/>
          <w:shd w:val="clear" w:color="auto" w:fill="FFFFFF" w:themeFill="background1"/>
        </w:rPr>
      </w:pPr>
      <w:r w:rsidRPr="003B4417">
        <w:rPr>
          <w:szCs w:val="24"/>
          <w:shd w:val="clear" w:color="auto" w:fill="FFFFFF" w:themeFill="background1"/>
        </w:rPr>
        <w:t>Lai kompensētu</w:t>
      </w:r>
      <w:r>
        <w:rPr>
          <w:szCs w:val="24"/>
          <w:shd w:val="clear" w:color="auto" w:fill="FFFFFF" w:themeFill="background1"/>
        </w:rPr>
        <w:t xml:space="preserve"> plānoto</w:t>
      </w:r>
      <w:r w:rsidRPr="003B4417">
        <w:rPr>
          <w:szCs w:val="24"/>
          <w:shd w:val="clear" w:color="auto" w:fill="FFFFFF" w:themeFill="background1"/>
        </w:rPr>
        <w:t xml:space="preserve"> darbaspēka nodokļu izmaiņu radīto samazinājumu budžeta ieņēmumos, piedāvājumā </w:t>
      </w:r>
      <w:r>
        <w:rPr>
          <w:szCs w:val="24"/>
          <w:shd w:val="clear" w:color="auto" w:fill="FFFFFF" w:themeFill="background1"/>
        </w:rPr>
        <w:t xml:space="preserve">ir </w:t>
      </w:r>
      <w:r w:rsidRPr="003B4417">
        <w:rPr>
          <w:szCs w:val="24"/>
          <w:shd w:val="clear" w:color="auto" w:fill="FFFFFF" w:themeFill="background1"/>
        </w:rPr>
        <w:t xml:space="preserve">ietverta </w:t>
      </w:r>
      <w:r w:rsidRPr="00D03788">
        <w:rPr>
          <w:b/>
          <w:bCs/>
          <w:color w:val="FF0000"/>
          <w:szCs w:val="24"/>
          <w:shd w:val="clear" w:color="auto" w:fill="FFFFFF" w:themeFill="background1"/>
        </w:rPr>
        <w:t>1</w:t>
      </w:r>
      <w:r w:rsidR="001B1642">
        <w:rPr>
          <w:b/>
          <w:bCs/>
          <w:color w:val="FF0000"/>
          <w:szCs w:val="24"/>
          <w:shd w:val="clear" w:color="auto" w:fill="FFFFFF" w:themeFill="background1"/>
        </w:rPr>
        <w:t xml:space="preserve"> procentpunkta</w:t>
      </w:r>
      <w:r w:rsidRPr="003B4417">
        <w:rPr>
          <w:szCs w:val="24"/>
          <w:shd w:val="clear" w:color="auto" w:fill="FFFFFF" w:themeFill="background1"/>
        </w:rPr>
        <w:t xml:space="preserve"> pārnese no fondētās pensiju shēmas (otrā līmeņa) uz pensiju pirmo līmeni. </w:t>
      </w:r>
      <w:r w:rsidR="00646EC5" w:rsidRPr="00646EC5">
        <w:rPr>
          <w:szCs w:val="24"/>
          <w:shd w:val="clear" w:color="auto" w:fill="FFFFFF" w:themeFill="background1"/>
        </w:rPr>
        <w:t xml:space="preserve">Risinājums pašlaik plānots terminēti – </w:t>
      </w:r>
      <w:r w:rsidR="00646EC5" w:rsidRPr="00FC51AA">
        <w:rPr>
          <w:b/>
          <w:bCs/>
          <w:szCs w:val="24"/>
          <w:shd w:val="clear" w:color="auto" w:fill="FFFFFF" w:themeFill="background1"/>
        </w:rPr>
        <w:t>līdz četriem gadiem</w:t>
      </w:r>
      <w:r w:rsidR="00646EC5" w:rsidRPr="00646EC5">
        <w:rPr>
          <w:szCs w:val="24"/>
          <w:shd w:val="clear" w:color="auto" w:fill="FFFFFF" w:themeFill="background1"/>
        </w:rPr>
        <w:t xml:space="preserve">. </w:t>
      </w:r>
      <w:r w:rsidRPr="003B4417">
        <w:rPr>
          <w:szCs w:val="24"/>
          <w:shd w:val="clear" w:color="auto" w:fill="FFFFFF" w:themeFill="background1"/>
        </w:rPr>
        <w:t>Tas</w:t>
      </w:r>
      <w:r>
        <w:rPr>
          <w:szCs w:val="24"/>
          <w:shd w:val="clear" w:color="auto" w:fill="FFFFFF" w:themeFill="background1"/>
        </w:rPr>
        <w:t xml:space="preserve"> ir viens no galvenajiem iemesliem, kas</w:t>
      </w:r>
      <w:r w:rsidRPr="003B4417">
        <w:rPr>
          <w:szCs w:val="24"/>
          <w:shd w:val="clear" w:color="auto" w:fill="FFFFFF" w:themeFill="background1"/>
        </w:rPr>
        <w:t xml:space="preserve"> ļaus īstenot darbaspēka nodokļu samazinājumu, vienlaikus arī uzlabojot nākotnes pensiju apmēru. </w:t>
      </w:r>
    </w:p>
    <w:p w14:paraId="27FAE53A" w14:textId="2702C17D" w:rsidR="00646EC5" w:rsidRPr="00646EC5" w:rsidRDefault="00646EC5" w:rsidP="00646EC5">
      <w:pPr>
        <w:shd w:val="clear" w:color="auto" w:fill="FFFFFF"/>
        <w:spacing w:after="120"/>
        <w:ind w:firstLine="567"/>
        <w:jc w:val="both"/>
        <w:rPr>
          <w:szCs w:val="24"/>
          <w:shd w:val="clear" w:color="auto" w:fill="FFFFFF" w:themeFill="background1"/>
        </w:rPr>
      </w:pPr>
      <w:r w:rsidRPr="00646EC5">
        <w:rPr>
          <w:szCs w:val="24"/>
          <w:shd w:val="clear" w:color="auto" w:fill="FFFFFF" w:themeFill="background1"/>
        </w:rPr>
        <w:t xml:space="preserve">Ja otrā </w:t>
      </w:r>
      <w:r w:rsidR="00FC51AA">
        <w:rPr>
          <w:szCs w:val="24"/>
          <w:shd w:val="clear" w:color="auto" w:fill="FFFFFF" w:themeFill="background1"/>
        </w:rPr>
        <w:t xml:space="preserve">pensiju </w:t>
      </w:r>
      <w:r w:rsidRPr="00646EC5">
        <w:rPr>
          <w:szCs w:val="24"/>
          <w:shd w:val="clear" w:color="auto" w:fill="FFFFFF" w:themeFill="background1"/>
        </w:rPr>
        <w:t xml:space="preserve">līmeņa iemaksas var ciest arī zaudējumus un ieguldītais kapitāls var samazināties, tad valsts pirmā līmeņa pensijas kapitāls katru gadu tiek indeksēts, ir ar ierobežotu minimālo indeksāciju </w:t>
      </w:r>
      <w:r w:rsidR="00FC51AA">
        <w:rPr>
          <w:szCs w:val="24"/>
          <w:shd w:val="clear" w:color="auto" w:fill="FFFFFF" w:themeFill="background1"/>
        </w:rPr>
        <w:t xml:space="preserve">un, </w:t>
      </w:r>
      <w:r w:rsidR="00FC51AA" w:rsidRPr="00455DD7">
        <w:rPr>
          <w:szCs w:val="24"/>
          <w:shd w:val="clear" w:color="auto" w:fill="FFFFFF" w:themeFill="background1"/>
        </w:rPr>
        <w:t>j</w:t>
      </w:r>
      <w:r w:rsidR="00FC51AA" w:rsidRPr="00455DD7">
        <w:t>a apdrošināšanas iemaksu algas indekss, ar ko indeksē pirmā pensiju līmeņa kapitālu, ir mazāks par “1”, pensijas kapitāls atšķirībā no pensiju otrā līmeņa nekad netiek samazināts</w:t>
      </w:r>
      <w:r w:rsidRPr="00455DD7">
        <w:rPr>
          <w:szCs w:val="24"/>
          <w:shd w:val="clear" w:color="auto" w:fill="FFFFFF" w:themeFill="background1"/>
        </w:rPr>
        <w:t>.</w:t>
      </w:r>
      <w:r w:rsidRPr="00646EC5">
        <w:rPr>
          <w:szCs w:val="24"/>
          <w:shd w:val="clear" w:color="auto" w:fill="FFFFFF" w:themeFill="background1"/>
        </w:rPr>
        <w:t xml:space="preserve"> Pārnestās iemaksas tiks uzskaitītas un aprēķinātas katra iedzīvotāja pensiju kapitālā, tādējādi palielinot prognozējamās nākotnes pensijas apmēru.</w:t>
      </w:r>
    </w:p>
    <w:p w14:paraId="7B92BBBD" w14:textId="77777777" w:rsidR="001A42A4" w:rsidRDefault="00D03788" w:rsidP="001A42A4">
      <w:pPr>
        <w:shd w:val="clear" w:color="auto" w:fill="FFFFFF"/>
        <w:spacing w:after="120"/>
        <w:ind w:firstLine="567"/>
        <w:jc w:val="both"/>
        <w:rPr>
          <w:szCs w:val="24"/>
          <w:shd w:val="clear" w:color="auto" w:fill="FFFFFF" w:themeFill="background1"/>
        </w:rPr>
      </w:pPr>
      <w:r w:rsidRPr="003B4417">
        <w:rPr>
          <w:szCs w:val="24"/>
          <w:shd w:val="clear" w:color="auto" w:fill="FFFFFF" w:themeFill="background1"/>
        </w:rPr>
        <w:t xml:space="preserve">Pašlaik </w:t>
      </w:r>
      <w:r w:rsidRPr="00D03788">
        <w:rPr>
          <w:b/>
          <w:bCs/>
          <w:szCs w:val="24"/>
          <w:shd w:val="clear" w:color="auto" w:fill="FFFFFF" w:themeFill="background1"/>
        </w:rPr>
        <w:t>14%</w:t>
      </w:r>
      <w:r w:rsidRPr="003B4417">
        <w:rPr>
          <w:szCs w:val="24"/>
          <w:shd w:val="clear" w:color="auto" w:fill="FFFFFF" w:themeFill="background1"/>
        </w:rPr>
        <w:t xml:space="preserve"> tiek novirzīti </w:t>
      </w:r>
      <w:r>
        <w:rPr>
          <w:szCs w:val="24"/>
          <w:shd w:val="clear" w:color="auto" w:fill="FFFFFF" w:themeFill="background1"/>
        </w:rPr>
        <w:t>pirmajam</w:t>
      </w:r>
      <w:r w:rsidRPr="003B4417">
        <w:rPr>
          <w:szCs w:val="24"/>
          <w:shd w:val="clear" w:color="auto" w:fill="FFFFFF" w:themeFill="background1"/>
        </w:rPr>
        <w:t xml:space="preserve"> pensiju līmenim un  </w:t>
      </w:r>
      <w:r w:rsidRPr="00D03788">
        <w:rPr>
          <w:b/>
          <w:bCs/>
          <w:szCs w:val="24"/>
          <w:shd w:val="clear" w:color="auto" w:fill="FFFFFF" w:themeFill="background1"/>
        </w:rPr>
        <w:t>6%</w:t>
      </w:r>
      <w:r w:rsidRPr="003B4417">
        <w:rPr>
          <w:szCs w:val="24"/>
          <w:shd w:val="clear" w:color="auto" w:fill="FFFFFF" w:themeFill="background1"/>
        </w:rPr>
        <w:t xml:space="preserve"> </w:t>
      </w:r>
      <w:r>
        <w:rPr>
          <w:szCs w:val="24"/>
          <w:shd w:val="clear" w:color="auto" w:fill="FFFFFF" w:themeFill="background1"/>
        </w:rPr>
        <w:t>otrajam </w:t>
      </w:r>
      <w:r w:rsidRPr="003B4417">
        <w:rPr>
          <w:szCs w:val="24"/>
          <w:shd w:val="clear" w:color="auto" w:fill="FFFFFF" w:themeFill="background1"/>
        </w:rPr>
        <w:t xml:space="preserve">pensiju līmenim. Piedāvājums </w:t>
      </w:r>
      <w:r w:rsidR="007B2702">
        <w:rPr>
          <w:szCs w:val="24"/>
          <w:shd w:val="clear" w:color="auto" w:fill="FFFFFF" w:themeFill="background1"/>
        </w:rPr>
        <w:t>paredz</w:t>
      </w:r>
      <w:r w:rsidRPr="003B4417">
        <w:rPr>
          <w:szCs w:val="24"/>
          <w:shd w:val="clear" w:color="auto" w:fill="FFFFFF" w:themeFill="background1"/>
        </w:rPr>
        <w:t xml:space="preserve"> </w:t>
      </w:r>
      <w:r>
        <w:rPr>
          <w:szCs w:val="24"/>
          <w:shd w:val="clear" w:color="auto" w:fill="FFFFFF" w:themeFill="background1"/>
        </w:rPr>
        <w:t>pirmajam </w:t>
      </w:r>
      <w:r w:rsidRPr="003B4417">
        <w:rPr>
          <w:szCs w:val="24"/>
          <w:shd w:val="clear" w:color="auto" w:fill="FFFFFF" w:themeFill="background1"/>
        </w:rPr>
        <w:t xml:space="preserve">līmenim novirzīt </w:t>
      </w:r>
      <w:r w:rsidRPr="00D03788">
        <w:rPr>
          <w:b/>
          <w:bCs/>
          <w:color w:val="FF0000"/>
          <w:szCs w:val="24"/>
          <w:shd w:val="clear" w:color="auto" w:fill="FFFFFF" w:themeFill="background1"/>
        </w:rPr>
        <w:t>15%</w:t>
      </w:r>
      <w:r w:rsidRPr="003B4417">
        <w:rPr>
          <w:szCs w:val="24"/>
          <w:shd w:val="clear" w:color="auto" w:fill="FFFFFF" w:themeFill="background1"/>
        </w:rPr>
        <w:t xml:space="preserve"> un </w:t>
      </w:r>
      <w:r>
        <w:rPr>
          <w:szCs w:val="24"/>
          <w:shd w:val="clear" w:color="auto" w:fill="FFFFFF" w:themeFill="background1"/>
        </w:rPr>
        <w:t>otrajam </w:t>
      </w:r>
      <w:r w:rsidRPr="003B4417">
        <w:rPr>
          <w:szCs w:val="24"/>
          <w:shd w:val="clear" w:color="auto" w:fill="FFFFFF" w:themeFill="background1"/>
        </w:rPr>
        <w:t xml:space="preserve">līmenim </w:t>
      </w:r>
      <w:r w:rsidRPr="00D03788">
        <w:rPr>
          <w:b/>
          <w:bCs/>
          <w:color w:val="FF0000"/>
          <w:szCs w:val="24"/>
          <w:shd w:val="clear" w:color="auto" w:fill="FFFFFF" w:themeFill="background1"/>
        </w:rPr>
        <w:t>5%</w:t>
      </w:r>
      <w:r w:rsidRPr="003B4417">
        <w:rPr>
          <w:szCs w:val="24"/>
          <w:shd w:val="clear" w:color="auto" w:fill="FFFFFF" w:themeFill="background1"/>
        </w:rPr>
        <w:t xml:space="preserve">. </w:t>
      </w:r>
      <w:r w:rsidR="00646EC5" w:rsidRPr="00646EC5">
        <w:rPr>
          <w:szCs w:val="24"/>
          <w:shd w:val="clear" w:color="auto" w:fill="FFFFFF" w:themeFill="background1"/>
        </w:rPr>
        <w:t xml:space="preserve">Aprēķini liecina, ka </w:t>
      </w:r>
      <w:r w:rsidR="00646EC5">
        <w:rPr>
          <w:szCs w:val="24"/>
          <w:shd w:val="clear" w:color="auto" w:fill="FFFFFF" w:themeFill="background1"/>
        </w:rPr>
        <w:t>a</w:t>
      </w:r>
      <w:r w:rsidRPr="003B4417">
        <w:rPr>
          <w:szCs w:val="24"/>
          <w:shd w:val="clear" w:color="auto" w:fill="FFFFFF" w:themeFill="background1"/>
        </w:rPr>
        <w:t>biem šiem līmeņiem ir savs ikgadējs ienesīgums</w:t>
      </w:r>
      <w:r w:rsidR="00646EC5">
        <w:rPr>
          <w:szCs w:val="24"/>
          <w:shd w:val="clear" w:color="auto" w:fill="FFFFFF" w:themeFill="background1"/>
        </w:rPr>
        <w:t>.</w:t>
      </w:r>
      <w:r w:rsidRPr="003B4417">
        <w:rPr>
          <w:szCs w:val="24"/>
          <w:shd w:val="clear" w:color="auto" w:fill="FFFFFF" w:themeFill="background1"/>
        </w:rPr>
        <w:t xml:space="preserve"> </w:t>
      </w:r>
      <w:r w:rsidR="001A42A4">
        <w:rPr>
          <w:szCs w:val="24"/>
          <w:shd w:val="clear" w:color="auto" w:fill="FFFFFF" w:themeFill="background1"/>
        </w:rPr>
        <w:t>Pirmajam </w:t>
      </w:r>
      <w:r w:rsidR="001A42A4" w:rsidRPr="003B4417">
        <w:rPr>
          <w:szCs w:val="24"/>
          <w:shd w:val="clear" w:color="auto" w:fill="FFFFFF" w:themeFill="background1"/>
        </w:rPr>
        <w:t xml:space="preserve">līmenim ienesīgumu nosaka </w:t>
      </w:r>
      <w:r w:rsidR="001A42A4">
        <w:rPr>
          <w:szCs w:val="24"/>
          <w:shd w:val="clear" w:color="auto" w:fill="FFFFFF" w:themeFill="background1"/>
        </w:rPr>
        <w:t>atbilstoši valsts vecuma pensijas kapitāla aktualizācijas noteiktajai kārtībai</w:t>
      </w:r>
      <w:r w:rsidR="001A42A4" w:rsidRPr="003B4417">
        <w:rPr>
          <w:szCs w:val="24"/>
          <w:shd w:val="clear" w:color="auto" w:fill="FFFFFF" w:themeFill="background1"/>
        </w:rPr>
        <w:t xml:space="preserve">, </w:t>
      </w:r>
      <w:r w:rsidR="001A42A4" w:rsidRPr="00562689">
        <w:rPr>
          <w:szCs w:val="24"/>
          <w:shd w:val="clear" w:color="auto" w:fill="FFFFFF" w:themeFill="background1"/>
        </w:rPr>
        <w:t xml:space="preserve">kas </w:t>
      </w:r>
      <w:r w:rsidR="001A42A4" w:rsidRPr="00562689">
        <w:rPr>
          <w:szCs w:val="24"/>
        </w:rPr>
        <w:t>atkarīga no a</w:t>
      </w:r>
      <w:r w:rsidR="001A42A4" w:rsidRPr="00562689">
        <w:rPr>
          <w:bCs/>
          <w:szCs w:val="24"/>
        </w:rPr>
        <w:t xml:space="preserve">pdrošināšanas iemaksu algu summas attīstības tendencēm, ko ietekmē </w:t>
      </w:r>
      <w:r w:rsidR="001A42A4" w:rsidRPr="00562689">
        <w:rPr>
          <w:szCs w:val="24"/>
        </w:rPr>
        <w:t>sociāli apdrošināto personu skaits un  apdrošināšanas iemaksu algu apmērs</w:t>
      </w:r>
      <w:r w:rsidR="001A42A4" w:rsidRPr="00646EC5">
        <w:rPr>
          <w:szCs w:val="24"/>
          <w:shd w:val="clear" w:color="auto" w:fill="FFFFFF" w:themeFill="background1"/>
        </w:rPr>
        <w:t>.</w:t>
      </w:r>
      <w:r w:rsidR="001A42A4">
        <w:rPr>
          <w:szCs w:val="24"/>
          <w:shd w:val="clear" w:color="auto" w:fill="FFFFFF" w:themeFill="background1"/>
        </w:rPr>
        <w:t xml:space="preserve"> O</w:t>
      </w:r>
      <w:r w:rsidR="001A42A4" w:rsidRPr="003B4417">
        <w:rPr>
          <w:szCs w:val="24"/>
          <w:shd w:val="clear" w:color="auto" w:fill="FFFFFF" w:themeFill="background1"/>
        </w:rPr>
        <w:t xml:space="preserve">trajam līmenim </w:t>
      </w:r>
      <w:r w:rsidR="001A42A4" w:rsidRPr="00646EC5">
        <w:rPr>
          <w:szCs w:val="24"/>
          <w:shd w:val="clear" w:color="auto" w:fill="FFFFFF" w:themeFill="background1"/>
        </w:rPr>
        <w:t>ienesīgumu nosaka ieguldījumu pārvaldnieka piedāvātā ieguldījumu stratēģija un šo ieguldījumu atdeve</w:t>
      </w:r>
      <w:r w:rsidR="001A42A4" w:rsidRPr="003B4417">
        <w:rPr>
          <w:szCs w:val="24"/>
          <w:shd w:val="clear" w:color="auto" w:fill="FFFFFF" w:themeFill="background1"/>
        </w:rPr>
        <w:t xml:space="preserve">. </w:t>
      </w:r>
    </w:p>
    <w:p w14:paraId="32B54EEF" w14:textId="77777777" w:rsidR="00646EC5" w:rsidRDefault="00646EC5" w:rsidP="00646EC5">
      <w:pPr>
        <w:shd w:val="clear" w:color="auto" w:fill="FFFFFF"/>
        <w:ind w:firstLine="567"/>
        <w:jc w:val="both"/>
        <w:rPr>
          <w:b/>
          <w:bCs/>
          <w:szCs w:val="24"/>
          <w:shd w:val="clear" w:color="auto" w:fill="FFFFFF" w:themeFill="background1"/>
        </w:rPr>
      </w:pPr>
      <w:r w:rsidRPr="00646EC5">
        <w:rPr>
          <w:szCs w:val="24"/>
          <w:shd w:val="clear" w:color="auto" w:fill="FFFFFF" w:themeFill="background1"/>
        </w:rPr>
        <w:t>Pēdējos gados nākotnes pensionāriem pirmā līmeņa pieaugumi no pensiju kapitāla indeksācijas bijuši lielāki salīdzinājumā ar visa otrā līmeņa jeb fondēto pensiju shēmas vidējo ieguldījumu atdevi. Informāciju par prognozējamo vecuma pensijas apmēru var uzzināt Valsts sociālās apdrošināšanas aģentūrā.</w:t>
      </w:r>
      <w:r w:rsidRPr="00646EC5">
        <w:rPr>
          <w:b/>
          <w:bCs/>
          <w:szCs w:val="24"/>
          <w:shd w:val="clear" w:color="auto" w:fill="FFFFFF" w:themeFill="background1"/>
        </w:rPr>
        <w:t xml:space="preserve"> </w:t>
      </w:r>
    </w:p>
    <w:p w14:paraId="7E59ED9B" w14:textId="77777777" w:rsidR="00646EC5" w:rsidRPr="00646EC5" w:rsidRDefault="00646EC5" w:rsidP="00646EC5">
      <w:pPr>
        <w:shd w:val="clear" w:color="auto" w:fill="FFFFFF"/>
        <w:ind w:firstLine="567"/>
        <w:jc w:val="both"/>
        <w:rPr>
          <w:b/>
          <w:bCs/>
          <w:sz w:val="12"/>
          <w:szCs w:val="12"/>
          <w:shd w:val="clear" w:color="auto" w:fill="FFFFFF" w:themeFill="background1"/>
        </w:rPr>
      </w:pPr>
    </w:p>
    <w:p w14:paraId="790ACCDD" w14:textId="1EC502DC" w:rsidR="000203BA" w:rsidRPr="000203BA" w:rsidRDefault="00725CD9" w:rsidP="007B2702">
      <w:pPr>
        <w:spacing w:after="120"/>
        <w:jc w:val="center"/>
        <w:rPr>
          <w:rFonts w:cs="Times New Roman"/>
          <w:sz w:val="20"/>
        </w:rPr>
      </w:pPr>
      <w:r>
        <w:rPr>
          <w:rFonts w:cs="Times New Roman"/>
          <w:sz w:val="20"/>
        </w:rPr>
        <w:t>8</w:t>
      </w:r>
      <w:r w:rsidR="000203BA" w:rsidRPr="000203BA">
        <w:rPr>
          <w:rFonts w:cs="Times New Roman"/>
          <w:sz w:val="20"/>
        </w:rPr>
        <w:t>.tab</w:t>
      </w:r>
      <w:r w:rsidR="000203BA" w:rsidRPr="000203BA">
        <w:rPr>
          <w:rFonts w:cs="Times New Roman"/>
          <w:bCs/>
          <w:sz w:val="20"/>
        </w:rPr>
        <w:t>.</w:t>
      </w:r>
      <w:r w:rsidR="000203BA" w:rsidRPr="000203BA">
        <w:rPr>
          <w:rFonts w:cs="Times New Roman"/>
          <w:b/>
          <w:sz w:val="20"/>
        </w:rPr>
        <w:t xml:space="preserve"> Priekšlikuma indikatīva fiskālā ietekme</w:t>
      </w:r>
      <w:r w:rsidR="000203BA" w:rsidRPr="000203BA">
        <w:rPr>
          <w:rFonts w:cs="Times New Roman"/>
          <w:bCs/>
          <w:sz w:val="20"/>
        </w:rPr>
        <w:t>,</w:t>
      </w:r>
      <w:r w:rsidR="000203BA" w:rsidRPr="000203BA">
        <w:rPr>
          <w:rFonts w:cs="Times New Roman"/>
          <w:bCs/>
          <w:i/>
          <w:iCs/>
          <w:sz w:val="20"/>
        </w:rPr>
        <w:t> euro</w:t>
      </w:r>
    </w:p>
    <w:tbl>
      <w:tblPr>
        <w:tblStyle w:val="TableGrid"/>
        <w:tblW w:w="9067" w:type="dxa"/>
        <w:tblInd w:w="5" w:type="dxa"/>
        <w:tblLook w:val="04A0" w:firstRow="1" w:lastRow="0" w:firstColumn="1" w:lastColumn="0" w:noHBand="0" w:noVBand="1"/>
      </w:tblPr>
      <w:tblGrid>
        <w:gridCol w:w="3823"/>
        <w:gridCol w:w="1275"/>
        <w:gridCol w:w="1276"/>
        <w:gridCol w:w="1276"/>
        <w:gridCol w:w="1417"/>
      </w:tblGrid>
      <w:tr w:rsidR="00FB3ACD" w:rsidRPr="000203BA" w14:paraId="47815E60" w14:textId="6FB2D2D3" w:rsidTr="00E31FD5">
        <w:tc>
          <w:tcPr>
            <w:tcW w:w="3823" w:type="dxa"/>
            <w:tcBorders>
              <w:top w:val="nil"/>
              <w:left w:val="nil"/>
              <w:bottom w:val="single" w:sz="8" w:space="0" w:color="auto"/>
              <w:right w:val="nil"/>
            </w:tcBorders>
          </w:tcPr>
          <w:p w14:paraId="2E622057" w14:textId="77777777" w:rsidR="00FB3ACD" w:rsidRPr="000203BA" w:rsidRDefault="00FB3ACD" w:rsidP="00CE20CC">
            <w:pPr>
              <w:pStyle w:val="ListParagraph"/>
              <w:ind w:left="0"/>
              <w:contextualSpacing w:val="0"/>
              <w:jc w:val="center"/>
              <w:rPr>
                <w:b/>
                <w:bCs/>
                <w:sz w:val="20"/>
                <w:szCs w:val="20"/>
              </w:rPr>
            </w:pPr>
          </w:p>
        </w:tc>
        <w:tc>
          <w:tcPr>
            <w:tcW w:w="1275" w:type="dxa"/>
            <w:tcBorders>
              <w:top w:val="nil"/>
              <w:left w:val="nil"/>
              <w:bottom w:val="single" w:sz="8" w:space="0" w:color="auto"/>
              <w:right w:val="nil"/>
            </w:tcBorders>
            <w:vAlign w:val="bottom"/>
          </w:tcPr>
          <w:p w14:paraId="057F6C5F" w14:textId="760A26B4" w:rsidR="00FB3ACD" w:rsidRPr="000203BA" w:rsidRDefault="00FB3ACD" w:rsidP="00CE20CC">
            <w:pPr>
              <w:pStyle w:val="ListParagraph"/>
              <w:ind w:left="0"/>
              <w:contextualSpacing w:val="0"/>
              <w:jc w:val="center"/>
              <w:rPr>
                <w:b/>
                <w:bCs/>
                <w:sz w:val="20"/>
                <w:szCs w:val="20"/>
              </w:rPr>
            </w:pPr>
            <w:r w:rsidRPr="000203BA">
              <w:rPr>
                <w:b/>
                <w:bCs/>
                <w:sz w:val="20"/>
                <w:szCs w:val="20"/>
              </w:rPr>
              <w:t>202</w:t>
            </w:r>
            <w:r>
              <w:rPr>
                <w:b/>
                <w:bCs/>
                <w:sz w:val="20"/>
                <w:szCs w:val="20"/>
              </w:rPr>
              <w:t>5</w:t>
            </w:r>
          </w:p>
        </w:tc>
        <w:tc>
          <w:tcPr>
            <w:tcW w:w="1276" w:type="dxa"/>
            <w:tcBorders>
              <w:top w:val="nil"/>
              <w:left w:val="nil"/>
              <w:bottom w:val="single" w:sz="8" w:space="0" w:color="auto"/>
              <w:right w:val="nil"/>
            </w:tcBorders>
            <w:vAlign w:val="bottom"/>
          </w:tcPr>
          <w:p w14:paraId="046D25EC" w14:textId="6DDE6160" w:rsidR="00FB3ACD" w:rsidRPr="000203BA" w:rsidRDefault="00FB3ACD" w:rsidP="00CE20CC">
            <w:pPr>
              <w:pStyle w:val="ListParagraph"/>
              <w:ind w:left="0"/>
              <w:contextualSpacing w:val="0"/>
              <w:jc w:val="center"/>
              <w:rPr>
                <w:b/>
                <w:bCs/>
                <w:sz w:val="20"/>
                <w:szCs w:val="20"/>
              </w:rPr>
            </w:pPr>
            <w:r w:rsidRPr="000203BA">
              <w:rPr>
                <w:b/>
                <w:bCs/>
                <w:sz w:val="20"/>
                <w:szCs w:val="20"/>
              </w:rPr>
              <w:t>202</w:t>
            </w:r>
            <w:r>
              <w:rPr>
                <w:b/>
                <w:bCs/>
                <w:sz w:val="20"/>
                <w:szCs w:val="20"/>
              </w:rPr>
              <w:t>6</w:t>
            </w:r>
          </w:p>
        </w:tc>
        <w:tc>
          <w:tcPr>
            <w:tcW w:w="1276" w:type="dxa"/>
            <w:tcBorders>
              <w:top w:val="nil"/>
              <w:left w:val="nil"/>
              <w:bottom w:val="single" w:sz="8" w:space="0" w:color="auto"/>
              <w:right w:val="nil"/>
            </w:tcBorders>
            <w:vAlign w:val="bottom"/>
          </w:tcPr>
          <w:p w14:paraId="6A54850E" w14:textId="550E6F76" w:rsidR="00FB3ACD" w:rsidRPr="000203BA" w:rsidRDefault="00FB3ACD" w:rsidP="00CE20CC">
            <w:pPr>
              <w:pStyle w:val="ListParagraph"/>
              <w:ind w:left="0"/>
              <w:contextualSpacing w:val="0"/>
              <w:jc w:val="center"/>
              <w:rPr>
                <w:b/>
                <w:bCs/>
                <w:sz w:val="20"/>
                <w:szCs w:val="20"/>
              </w:rPr>
            </w:pPr>
            <w:r w:rsidRPr="000203BA">
              <w:rPr>
                <w:b/>
                <w:bCs/>
                <w:sz w:val="20"/>
                <w:szCs w:val="20"/>
              </w:rPr>
              <w:t>202</w:t>
            </w:r>
            <w:r>
              <w:rPr>
                <w:b/>
                <w:bCs/>
                <w:sz w:val="20"/>
                <w:szCs w:val="20"/>
              </w:rPr>
              <w:t>7</w:t>
            </w:r>
          </w:p>
        </w:tc>
        <w:tc>
          <w:tcPr>
            <w:tcW w:w="1417" w:type="dxa"/>
            <w:tcBorders>
              <w:top w:val="nil"/>
              <w:left w:val="nil"/>
              <w:bottom w:val="single" w:sz="8" w:space="0" w:color="auto"/>
              <w:right w:val="nil"/>
            </w:tcBorders>
          </w:tcPr>
          <w:p w14:paraId="3A4EDDC4" w14:textId="0D5C5F27" w:rsidR="00FB3ACD" w:rsidRPr="000203BA" w:rsidRDefault="00FB3ACD" w:rsidP="00CE20CC">
            <w:pPr>
              <w:pStyle w:val="ListParagraph"/>
              <w:ind w:left="0"/>
              <w:contextualSpacing w:val="0"/>
              <w:jc w:val="center"/>
              <w:rPr>
                <w:b/>
                <w:bCs/>
                <w:sz w:val="20"/>
                <w:szCs w:val="20"/>
              </w:rPr>
            </w:pPr>
            <w:r>
              <w:rPr>
                <w:b/>
                <w:bCs/>
                <w:sz w:val="20"/>
                <w:szCs w:val="20"/>
              </w:rPr>
              <w:t>2028</w:t>
            </w:r>
          </w:p>
        </w:tc>
      </w:tr>
      <w:tr w:rsidR="00FB3ACD" w:rsidRPr="000203BA" w14:paraId="713A1236" w14:textId="335358C0" w:rsidTr="00E31FD5">
        <w:tc>
          <w:tcPr>
            <w:tcW w:w="3823" w:type="dxa"/>
            <w:tcBorders>
              <w:left w:val="nil"/>
            </w:tcBorders>
            <w:shd w:val="clear" w:color="auto" w:fill="E7E6E6" w:themeFill="background2"/>
          </w:tcPr>
          <w:p w14:paraId="0F44CCC1" w14:textId="467F8C6C" w:rsidR="00FB3ACD" w:rsidRPr="000203BA" w:rsidRDefault="00FB3ACD" w:rsidP="00FB3ACD">
            <w:pPr>
              <w:pStyle w:val="ListParagraph"/>
              <w:ind w:left="0"/>
              <w:contextualSpacing w:val="0"/>
              <w:jc w:val="left"/>
              <w:rPr>
                <w:b/>
                <w:bCs/>
                <w:sz w:val="20"/>
                <w:szCs w:val="20"/>
              </w:rPr>
            </w:pPr>
            <w:r>
              <w:rPr>
                <w:b/>
                <w:bCs/>
                <w:sz w:val="20"/>
                <w:szCs w:val="20"/>
              </w:rPr>
              <w:t>VSAOI ieņēmumi</w:t>
            </w:r>
            <w:r w:rsidRPr="00FB3ACD">
              <w:rPr>
                <w:i/>
                <w:iCs/>
                <w:sz w:val="20"/>
                <w:szCs w:val="20"/>
              </w:rPr>
              <w:t>, no tā:</w:t>
            </w:r>
          </w:p>
        </w:tc>
        <w:tc>
          <w:tcPr>
            <w:tcW w:w="1275" w:type="dxa"/>
            <w:shd w:val="clear" w:color="auto" w:fill="E7E6E6" w:themeFill="background2"/>
          </w:tcPr>
          <w:p w14:paraId="5D6FBD50" w14:textId="295BF652" w:rsidR="00FB3ACD" w:rsidRPr="00E31FD5" w:rsidRDefault="00FB3ACD" w:rsidP="00FB3ACD">
            <w:pPr>
              <w:pStyle w:val="ListParagraph"/>
              <w:ind w:left="0"/>
              <w:contextualSpacing w:val="0"/>
              <w:jc w:val="center"/>
              <w:rPr>
                <w:b/>
                <w:bCs/>
                <w:color w:val="00B050"/>
                <w:sz w:val="18"/>
                <w:szCs w:val="18"/>
              </w:rPr>
            </w:pPr>
            <w:r w:rsidRPr="00E31FD5">
              <w:rPr>
                <w:b/>
                <w:bCs/>
                <w:color w:val="00B050"/>
                <w:sz w:val="18"/>
                <w:szCs w:val="18"/>
              </w:rPr>
              <w:t>+104</w:t>
            </w:r>
            <w:r w:rsidR="00E31FD5">
              <w:rPr>
                <w:b/>
                <w:bCs/>
                <w:color w:val="00B050"/>
                <w:sz w:val="18"/>
                <w:szCs w:val="18"/>
              </w:rPr>
              <w:t> </w:t>
            </w:r>
            <w:r w:rsidRPr="00E31FD5">
              <w:rPr>
                <w:b/>
                <w:bCs/>
                <w:color w:val="00B050"/>
                <w:sz w:val="18"/>
                <w:szCs w:val="18"/>
              </w:rPr>
              <w:t>000</w:t>
            </w:r>
            <w:r w:rsidR="00E31FD5">
              <w:rPr>
                <w:b/>
                <w:bCs/>
                <w:color w:val="00B050"/>
                <w:sz w:val="18"/>
                <w:szCs w:val="18"/>
              </w:rPr>
              <w:t xml:space="preserve"> 000</w:t>
            </w:r>
          </w:p>
        </w:tc>
        <w:tc>
          <w:tcPr>
            <w:tcW w:w="1276" w:type="dxa"/>
            <w:shd w:val="clear" w:color="auto" w:fill="E7E6E6" w:themeFill="background2"/>
          </w:tcPr>
          <w:p w14:paraId="22BE7E8E" w14:textId="391A3C8C" w:rsidR="00FB3ACD" w:rsidRPr="00E31FD5" w:rsidRDefault="00FB3ACD" w:rsidP="00FB3ACD">
            <w:pPr>
              <w:pStyle w:val="ListParagraph"/>
              <w:ind w:left="0"/>
              <w:contextualSpacing w:val="0"/>
              <w:jc w:val="center"/>
              <w:rPr>
                <w:b/>
                <w:bCs/>
                <w:color w:val="00B050"/>
                <w:sz w:val="18"/>
                <w:szCs w:val="18"/>
              </w:rPr>
            </w:pPr>
            <w:r w:rsidRPr="00E31FD5">
              <w:rPr>
                <w:b/>
                <w:bCs/>
                <w:color w:val="00B050"/>
                <w:sz w:val="18"/>
                <w:szCs w:val="18"/>
              </w:rPr>
              <w:t>+162</w:t>
            </w:r>
            <w:r w:rsidR="00E31FD5">
              <w:rPr>
                <w:b/>
                <w:bCs/>
                <w:color w:val="00B050"/>
                <w:sz w:val="18"/>
                <w:szCs w:val="18"/>
              </w:rPr>
              <w:t> </w:t>
            </w:r>
            <w:r w:rsidRPr="00E31FD5">
              <w:rPr>
                <w:b/>
                <w:bCs/>
                <w:color w:val="00B050"/>
                <w:sz w:val="18"/>
                <w:szCs w:val="18"/>
              </w:rPr>
              <w:t>000</w:t>
            </w:r>
            <w:r w:rsidR="00E31FD5">
              <w:rPr>
                <w:b/>
                <w:bCs/>
                <w:color w:val="00B050"/>
                <w:sz w:val="18"/>
                <w:szCs w:val="18"/>
              </w:rPr>
              <w:t xml:space="preserve"> 000</w:t>
            </w:r>
          </w:p>
        </w:tc>
        <w:tc>
          <w:tcPr>
            <w:tcW w:w="1276" w:type="dxa"/>
            <w:tcBorders>
              <w:right w:val="nil"/>
            </w:tcBorders>
            <w:shd w:val="clear" w:color="auto" w:fill="E7E6E6" w:themeFill="background2"/>
          </w:tcPr>
          <w:p w14:paraId="0109D4EC" w14:textId="5D5493EE" w:rsidR="00FB3ACD" w:rsidRPr="00E31FD5" w:rsidRDefault="00FB3ACD" w:rsidP="00FB3ACD">
            <w:pPr>
              <w:pStyle w:val="ListParagraph"/>
              <w:ind w:left="0"/>
              <w:contextualSpacing w:val="0"/>
              <w:jc w:val="center"/>
              <w:rPr>
                <w:b/>
                <w:bCs/>
                <w:color w:val="00B050"/>
                <w:sz w:val="18"/>
                <w:szCs w:val="18"/>
              </w:rPr>
            </w:pPr>
            <w:r w:rsidRPr="00E31FD5">
              <w:rPr>
                <w:b/>
                <w:bCs/>
                <w:color w:val="00B050"/>
                <w:sz w:val="18"/>
                <w:szCs w:val="18"/>
              </w:rPr>
              <w:t>+171</w:t>
            </w:r>
            <w:r w:rsidR="00E31FD5">
              <w:rPr>
                <w:b/>
                <w:bCs/>
                <w:color w:val="00B050"/>
                <w:sz w:val="18"/>
                <w:szCs w:val="18"/>
              </w:rPr>
              <w:t> </w:t>
            </w:r>
            <w:r w:rsidRPr="00E31FD5">
              <w:rPr>
                <w:b/>
                <w:bCs/>
                <w:color w:val="00B050"/>
                <w:sz w:val="18"/>
                <w:szCs w:val="18"/>
              </w:rPr>
              <w:t>000</w:t>
            </w:r>
            <w:r w:rsidR="00E31FD5">
              <w:rPr>
                <w:b/>
                <w:bCs/>
                <w:color w:val="00B050"/>
                <w:sz w:val="18"/>
                <w:szCs w:val="18"/>
              </w:rPr>
              <w:t xml:space="preserve"> 000</w:t>
            </w:r>
          </w:p>
        </w:tc>
        <w:tc>
          <w:tcPr>
            <w:tcW w:w="1417" w:type="dxa"/>
            <w:tcBorders>
              <w:right w:val="nil"/>
            </w:tcBorders>
            <w:shd w:val="clear" w:color="auto" w:fill="E7E6E6" w:themeFill="background2"/>
          </w:tcPr>
          <w:p w14:paraId="1F808216" w14:textId="2ED67E9F" w:rsidR="00FB3ACD" w:rsidRPr="00E31FD5" w:rsidRDefault="00FB3ACD" w:rsidP="00FB3ACD">
            <w:pPr>
              <w:pStyle w:val="ListParagraph"/>
              <w:ind w:left="0"/>
              <w:contextualSpacing w:val="0"/>
              <w:jc w:val="center"/>
              <w:rPr>
                <w:b/>
                <w:bCs/>
                <w:color w:val="00B050"/>
                <w:sz w:val="18"/>
                <w:szCs w:val="18"/>
              </w:rPr>
            </w:pPr>
            <w:r w:rsidRPr="00E31FD5">
              <w:rPr>
                <w:b/>
                <w:bCs/>
                <w:color w:val="00B050"/>
                <w:sz w:val="18"/>
                <w:szCs w:val="18"/>
              </w:rPr>
              <w:t>+179</w:t>
            </w:r>
            <w:r w:rsidR="00E31FD5">
              <w:rPr>
                <w:b/>
                <w:bCs/>
                <w:color w:val="00B050"/>
                <w:sz w:val="18"/>
                <w:szCs w:val="18"/>
              </w:rPr>
              <w:t> </w:t>
            </w:r>
            <w:r w:rsidRPr="00E31FD5">
              <w:rPr>
                <w:b/>
                <w:bCs/>
                <w:color w:val="00B050"/>
                <w:sz w:val="18"/>
                <w:szCs w:val="18"/>
              </w:rPr>
              <w:t>000</w:t>
            </w:r>
            <w:r w:rsidR="00E31FD5">
              <w:rPr>
                <w:b/>
                <w:bCs/>
                <w:color w:val="00B050"/>
                <w:sz w:val="18"/>
                <w:szCs w:val="18"/>
              </w:rPr>
              <w:t xml:space="preserve"> 000</w:t>
            </w:r>
          </w:p>
        </w:tc>
      </w:tr>
      <w:tr w:rsidR="00167FEE" w:rsidRPr="000203BA" w14:paraId="0562D873" w14:textId="77777777" w:rsidTr="00E31FD5">
        <w:tc>
          <w:tcPr>
            <w:tcW w:w="3823" w:type="dxa"/>
            <w:tcBorders>
              <w:left w:val="nil"/>
              <w:bottom w:val="nil"/>
            </w:tcBorders>
            <w:shd w:val="clear" w:color="auto" w:fill="FFFFFF" w:themeFill="background1"/>
            <w:vAlign w:val="center"/>
          </w:tcPr>
          <w:p w14:paraId="717B46E1" w14:textId="491F5E46" w:rsidR="00167FEE" w:rsidRPr="00AF797A" w:rsidRDefault="00167FEE" w:rsidP="00167FEE">
            <w:pPr>
              <w:pStyle w:val="ListParagraph"/>
              <w:numPr>
                <w:ilvl w:val="0"/>
                <w:numId w:val="23"/>
              </w:numPr>
              <w:ind w:left="174" w:right="46" w:hanging="174"/>
              <w:contextualSpacing w:val="0"/>
              <w:jc w:val="left"/>
              <w:rPr>
                <w:i/>
                <w:iCs/>
                <w:sz w:val="20"/>
                <w:szCs w:val="20"/>
              </w:rPr>
            </w:pPr>
            <w:r w:rsidRPr="00AF797A">
              <w:rPr>
                <w:i/>
                <w:iCs/>
                <w:sz w:val="20"/>
                <w:szCs w:val="20"/>
              </w:rPr>
              <w:t>speciālajā budžetā</w:t>
            </w:r>
          </w:p>
        </w:tc>
        <w:tc>
          <w:tcPr>
            <w:tcW w:w="1275" w:type="dxa"/>
            <w:tcBorders>
              <w:bottom w:val="nil"/>
            </w:tcBorders>
            <w:shd w:val="clear" w:color="auto" w:fill="FFFFFF" w:themeFill="background1"/>
          </w:tcPr>
          <w:p w14:paraId="215B1F33" w14:textId="4057B190" w:rsidR="00167FEE" w:rsidRPr="00E31FD5" w:rsidRDefault="00167FEE" w:rsidP="00167FEE">
            <w:pPr>
              <w:pStyle w:val="ListParagraph"/>
              <w:ind w:left="0"/>
              <w:contextualSpacing w:val="0"/>
              <w:jc w:val="center"/>
              <w:rPr>
                <w:i/>
                <w:iCs/>
                <w:color w:val="00B050"/>
                <w:sz w:val="18"/>
                <w:szCs w:val="18"/>
              </w:rPr>
            </w:pPr>
            <w:r w:rsidRPr="00E31FD5">
              <w:rPr>
                <w:i/>
                <w:iCs/>
                <w:color w:val="00B050"/>
                <w:sz w:val="18"/>
                <w:szCs w:val="18"/>
              </w:rPr>
              <w:t>+104</w:t>
            </w:r>
            <w:r>
              <w:rPr>
                <w:i/>
                <w:iCs/>
                <w:color w:val="00B050"/>
                <w:sz w:val="18"/>
                <w:szCs w:val="18"/>
              </w:rPr>
              <w:t> </w:t>
            </w:r>
            <w:r w:rsidRPr="00E31FD5">
              <w:rPr>
                <w:i/>
                <w:iCs/>
                <w:color w:val="00B050"/>
                <w:sz w:val="18"/>
                <w:szCs w:val="18"/>
              </w:rPr>
              <w:t>000</w:t>
            </w:r>
            <w:r>
              <w:rPr>
                <w:i/>
                <w:iCs/>
                <w:color w:val="00B050"/>
                <w:sz w:val="18"/>
                <w:szCs w:val="18"/>
              </w:rPr>
              <w:t xml:space="preserve"> 000</w:t>
            </w:r>
          </w:p>
        </w:tc>
        <w:tc>
          <w:tcPr>
            <w:tcW w:w="1276" w:type="dxa"/>
            <w:tcBorders>
              <w:bottom w:val="nil"/>
            </w:tcBorders>
            <w:shd w:val="clear" w:color="auto" w:fill="FFFFFF" w:themeFill="background1"/>
          </w:tcPr>
          <w:p w14:paraId="3FC8ABF0" w14:textId="02CC790C" w:rsidR="00167FEE" w:rsidRPr="00E31FD5" w:rsidRDefault="00167FEE" w:rsidP="00167FEE">
            <w:pPr>
              <w:pStyle w:val="ListParagraph"/>
              <w:ind w:left="0"/>
              <w:contextualSpacing w:val="0"/>
              <w:jc w:val="center"/>
              <w:rPr>
                <w:b/>
                <w:bCs/>
                <w:color w:val="00B050"/>
                <w:sz w:val="18"/>
                <w:szCs w:val="18"/>
              </w:rPr>
            </w:pPr>
            <w:r w:rsidRPr="00E31FD5">
              <w:rPr>
                <w:i/>
                <w:iCs/>
                <w:color w:val="00B050"/>
                <w:sz w:val="18"/>
                <w:szCs w:val="18"/>
              </w:rPr>
              <w:t>+162</w:t>
            </w:r>
            <w:r>
              <w:rPr>
                <w:i/>
                <w:iCs/>
                <w:color w:val="00B050"/>
                <w:sz w:val="18"/>
                <w:szCs w:val="18"/>
              </w:rPr>
              <w:t> </w:t>
            </w:r>
            <w:r w:rsidRPr="00E31FD5">
              <w:rPr>
                <w:i/>
                <w:iCs/>
                <w:color w:val="00B050"/>
                <w:sz w:val="18"/>
                <w:szCs w:val="18"/>
              </w:rPr>
              <w:t>000</w:t>
            </w:r>
            <w:r>
              <w:rPr>
                <w:i/>
                <w:iCs/>
                <w:color w:val="00B050"/>
                <w:sz w:val="18"/>
                <w:szCs w:val="18"/>
              </w:rPr>
              <w:t xml:space="preserve"> 000</w:t>
            </w:r>
          </w:p>
        </w:tc>
        <w:tc>
          <w:tcPr>
            <w:tcW w:w="1276" w:type="dxa"/>
            <w:tcBorders>
              <w:bottom w:val="nil"/>
              <w:right w:val="nil"/>
            </w:tcBorders>
            <w:shd w:val="clear" w:color="auto" w:fill="FFFFFF" w:themeFill="background1"/>
          </w:tcPr>
          <w:p w14:paraId="1078E9D0" w14:textId="1463796C" w:rsidR="00167FEE" w:rsidRPr="00167FEE" w:rsidRDefault="00167FEE" w:rsidP="00167FEE">
            <w:pPr>
              <w:pStyle w:val="ListParagraph"/>
              <w:ind w:left="0"/>
              <w:contextualSpacing w:val="0"/>
              <w:jc w:val="center"/>
              <w:rPr>
                <w:i/>
                <w:iCs/>
                <w:color w:val="00B050"/>
                <w:sz w:val="18"/>
                <w:szCs w:val="18"/>
              </w:rPr>
            </w:pPr>
            <w:r w:rsidRPr="00167FEE">
              <w:rPr>
                <w:i/>
                <w:iCs/>
                <w:color w:val="00B050"/>
                <w:sz w:val="18"/>
                <w:szCs w:val="18"/>
              </w:rPr>
              <w:t>+171 000 000</w:t>
            </w:r>
          </w:p>
        </w:tc>
        <w:tc>
          <w:tcPr>
            <w:tcW w:w="1417" w:type="dxa"/>
            <w:tcBorders>
              <w:bottom w:val="nil"/>
              <w:right w:val="nil"/>
            </w:tcBorders>
            <w:shd w:val="clear" w:color="auto" w:fill="FFFFFF" w:themeFill="background1"/>
          </w:tcPr>
          <w:p w14:paraId="09AE78F4" w14:textId="76DDBB95" w:rsidR="00167FEE" w:rsidRPr="00167FEE" w:rsidRDefault="00167FEE" w:rsidP="00167FEE">
            <w:pPr>
              <w:pStyle w:val="ListParagraph"/>
              <w:ind w:left="0"/>
              <w:contextualSpacing w:val="0"/>
              <w:jc w:val="center"/>
              <w:rPr>
                <w:i/>
                <w:iCs/>
                <w:color w:val="00B050"/>
                <w:sz w:val="18"/>
                <w:szCs w:val="18"/>
              </w:rPr>
            </w:pPr>
            <w:r w:rsidRPr="00167FEE">
              <w:rPr>
                <w:i/>
                <w:iCs/>
                <w:color w:val="00B050"/>
                <w:sz w:val="18"/>
                <w:szCs w:val="18"/>
              </w:rPr>
              <w:t>+179 000 000</w:t>
            </w:r>
          </w:p>
        </w:tc>
      </w:tr>
      <w:tr w:rsidR="00167FEE" w:rsidRPr="000203BA" w14:paraId="18EC9659" w14:textId="77777777" w:rsidTr="00E31FD5">
        <w:tc>
          <w:tcPr>
            <w:tcW w:w="3823" w:type="dxa"/>
            <w:tcBorders>
              <w:left w:val="nil"/>
              <w:bottom w:val="nil"/>
            </w:tcBorders>
            <w:shd w:val="clear" w:color="auto" w:fill="FFFFFF" w:themeFill="background1"/>
            <w:vAlign w:val="center"/>
          </w:tcPr>
          <w:p w14:paraId="4BF964A2" w14:textId="30B2F979" w:rsidR="00167FEE" w:rsidRPr="00497C03" w:rsidRDefault="00167FEE" w:rsidP="00167FEE">
            <w:pPr>
              <w:pStyle w:val="ListParagraph"/>
              <w:numPr>
                <w:ilvl w:val="0"/>
                <w:numId w:val="23"/>
              </w:numPr>
              <w:ind w:left="174" w:right="46" w:hanging="174"/>
              <w:contextualSpacing w:val="0"/>
              <w:jc w:val="left"/>
              <w:rPr>
                <w:i/>
                <w:iCs/>
                <w:sz w:val="20"/>
                <w:szCs w:val="20"/>
              </w:rPr>
            </w:pPr>
            <w:r w:rsidRPr="00AF797A">
              <w:rPr>
                <w:i/>
                <w:iCs/>
                <w:sz w:val="20"/>
                <w:szCs w:val="20"/>
              </w:rPr>
              <w:t>valsts fondēto pensiju shēmā (informatīvi)</w:t>
            </w:r>
          </w:p>
        </w:tc>
        <w:tc>
          <w:tcPr>
            <w:tcW w:w="1275" w:type="dxa"/>
            <w:tcBorders>
              <w:bottom w:val="nil"/>
            </w:tcBorders>
            <w:shd w:val="clear" w:color="auto" w:fill="FFFFFF" w:themeFill="background1"/>
          </w:tcPr>
          <w:p w14:paraId="39968733" w14:textId="6DF1A760" w:rsidR="00167FEE" w:rsidRPr="00E31FD5" w:rsidRDefault="00167FEE" w:rsidP="00167FEE">
            <w:pPr>
              <w:pStyle w:val="ListParagraph"/>
              <w:ind w:left="0"/>
              <w:contextualSpacing w:val="0"/>
              <w:jc w:val="center"/>
              <w:rPr>
                <w:b/>
                <w:bCs/>
                <w:sz w:val="18"/>
                <w:szCs w:val="18"/>
              </w:rPr>
            </w:pPr>
            <w:r w:rsidRPr="00E31FD5">
              <w:rPr>
                <w:i/>
                <w:iCs/>
                <w:color w:val="C00000"/>
                <w:sz w:val="18"/>
                <w:szCs w:val="18"/>
              </w:rPr>
              <w:t>-104</w:t>
            </w:r>
            <w:r>
              <w:rPr>
                <w:i/>
                <w:iCs/>
                <w:color w:val="C00000"/>
                <w:sz w:val="18"/>
                <w:szCs w:val="18"/>
              </w:rPr>
              <w:t> </w:t>
            </w:r>
            <w:r w:rsidRPr="00E31FD5">
              <w:rPr>
                <w:i/>
                <w:iCs/>
                <w:color w:val="C00000"/>
                <w:sz w:val="18"/>
                <w:szCs w:val="18"/>
              </w:rPr>
              <w:t>000</w:t>
            </w:r>
            <w:r>
              <w:rPr>
                <w:i/>
                <w:iCs/>
                <w:color w:val="C00000"/>
                <w:sz w:val="18"/>
                <w:szCs w:val="18"/>
              </w:rPr>
              <w:t xml:space="preserve"> 000</w:t>
            </w:r>
          </w:p>
        </w:tc>
        <w:tc>
          <w:tcPr>
            <w:tcW w:w="1276" w:type="dxa"/>
            <w:tcBorders>
              <w:bottom w:val="nil"/>
            </w:tcBorders>
            <w:shd w:val="clear" w:color="auto" w:fill="FFFFFF" w:themeFill="background1"/>
          </w:tcPr>
          <w:p w14:paraId="5ECD7C07" w14:textId="634F5042" w:rsidR="00167FEE" w:rsidRPr="00167FEE" w:rsidRDefault="00167FEE" w:rsidP="00167FEE">
            <w:pPr>
              <w:pStyle w:val="ListParagraph"/>
              <w:ind w:left="0"/>
              <w:contextualSpacing w:val="0"/>
              <w:jc w:val="center"/>
              <w:rPr>
                <w:i/>
                <w:iCs/>
                <w:color w:val="C00000"/>
                <w:sz w:val="18"/>
                <w:szCs w:val="18"/>
              </w:rPr>
            </w:pPr>
            <w:r>
              <w:rPr>
                <w:i/>
                <w:iCs/>
                <w:color w:val="C00000"/>
                <w:sz w:val="18"/>
                <w:szCs w:val="18"/>
              </w:rPr>
              <w:t>-</w:t>
            </w:r>
            <w:r w:rsidRPr="00167FEE">
              <w:rPr>
                <w:i/>
                <w:iCs/>
                <w:color w:val="C00000"/>
                <w:sz w:val="18"/>
                <w:szCs w:val="18"/>
              </w:rPr>
              <w:t>162 000 000</w:t>
            </w:r>
          </w:p>
        </w:tc>
        <w:tc>
          <w:tcPr>
            <w:tcW w:w="1276" w:type="dxa"/>
            <w:tcBorders>
              <w:bottom w:val="nil"/>
              <w:right w:val="nil"/>
            </w:tcBorders>
            <w:shd w:val="clear" w:color="auto" w:fill="FFFFFF" w:themeFill="background1"/>
          </w:tcPr>
          <w:p w14:paraId="0C1C03D8" w14:textId="0ECEE32E" w:rsidR="00167FEE" w:rsidRPr="00167FEE" w:rsidRDefault="00167FEE" w:rsidP="00167FEE">
            <w:pPr>
              <w:pStyle w:val="ListParagraph"/>
              <w:ind w:left="0"/>
              <w:contextualSpacing w:val="0"/>
              <w:jc w:val="center"/>
              <w:rPr>
                <w:i/>
                <w:iCs/>
                <w:color w:val="C00000"/>
                <w:sz w:val="18"/>
                <w:szCs w:val="18"/>
              </w:rPr>
            </w:pPr>
            <w:r>
              <w:rPr>
                <w:i/>
                <w:iCs/>
                <w:color w:val="C00000"/>
                <w:sz w:val="18"/>
                <w:szCs w:val="18"/>
              </w:rPr>
              <w:t>-</w:t>
            </w:r>
            <w:r w:rsidRPr="00167FEE">
              <w:rPr>
                <w:i/>
                <w:iCs/>
                <w:color w:val="C00000"/>
                <w:sz w:val="18"/>
                <w:szCs w:val="18"/>
              </w:rPr>
              <w:t>171 000 000</w:t>
            </w:r>
          </w:p>
        </w:tc>
        <w:tc>
          <w:tcPr>
            <w:tcW w:w="1417" w:type="dxa"/>
            <w:tcBorders>
              <w:bottom w:val="nil"/>
              <w:right w:val="nil"/>
            </w:tcBorders>
            <w:shd w:val="clear" w:color="auto" w:fill="FFFFFF" w:themeFill="background1"/>
          </w:tcPr>
          <w:p w14:paraId="29CC2D24" w14:textId="167E6274" w:rsidR="00167FEE" w:rsidRPr="00167FEE" w:rsidRDefault="00167FEE" w:rsidP="00167FEE">
            <w:pPr>
              <w:pStyle w:val="ListParagraph"/>
              <w:ind w:left="0"/>
              <w:contextualSpacing w:val="0"/>
              <w:jc w:val="center"/>
              <w:rPr>
                <w:i/>
                <w:iCs/>
                <w:color w:val="C00000"/>
                <w:sz w:val="18"/>
                <w:szCs w:val="18"/>
              </w:rPr>
            </w:pPr>
            <w:r>
              <w:rPr>
                <w:i/>
                <w:iCs/>
                <w:color w:val="C00000"/>
                <w:sz w:val="18"/>
                <w:szCs w:val="18"/>
              </w:rPr>
              <w:t>-</w:t>
            </w:r>
            <w:r w:rsidRPr="00167FEE">
              <w:rPr>
                <w:i/>
                <w:iCs/>
                <w:color w:val="C00000"/>
                <w:sz w:val="18"/>
                <w:szCs w:val="18"/>
              </w:rPr>
              <w:t>179 000 000</w:t>
            </w:r>
          </w:p>
        </w:tc>
      </w:tr>
    </w:tbl>
    <w:p w14:paraId="5BD98F76" w14:textId="6EE2F2E1" w:rsidR="000203BA" w:rsidRPr="000203BA" w:rsidRDefault="000203BA" w:rsidP="00646EC5">
      <w:pPr>
        <w:tabs>
          <w:tab w:val="left" w:pos="426"/>
        </w:tabs>
        <w:spacing w:before="120"/>
        <w:rPr>
          <w:rFonts w:cs="Times New Roman"/>
          <w:i/>
          <w:sz w:val="18"/>
        </w:rPr>
      </w:pPr>
      <w:r w:rsidRPr="000203BA">
        <w:rPr>
          <w:rFonts w:cs="Times New Roman"/>
          <w:b/>
          <w:bCs/>
          <w:i/>
          <w:sz w:val="18"/>
        </w:rPr>
        <w:t>Avots</w:t>
      </w:r>
      <w:r w:rsidRPr="000203BA">
        <w:rPr>
          <w:rFonts w:cs="Times New Roman"/>
          <w:i/>
          <w:sz w:val="18"/>
        </w:rPr>
        <w:t>: FM aprēķini.</w:t>
      </w:r>
    </w:p>
    <w:p w14:paraId="1DFE2D86" w14:textId="77777777" w:rsidR="00DD3946" w:rsidRPr="00C217F4" w:rsidRDefault="00DD3946" w:rsidP="00646EC5">
      <w:pPr>
        <w:tabs>
          <w:tab w:val="left" w:pos="1170"/>
        </w:tabs>
        <w:ind w:firstLine="567"/>
        <w:rPr>
          <w:color w:val="000000"/>
          <w:sz w:val="12"/>
          <w:szCs w:val="12"/>
          <w:highlight w:val="yellow"/>
        </w:rPr>
      </w:pPr>
    </w:p>
    <w:p w14:paraId="5863073A" w14:textId="14E87BA5" w:rsidR="004D6B66" w:rsidRPr="00646EC5" w:rsidRDefault="002215D9" w:rsidP="001E3250">
      <w:pPr>
        <w:pStyle w:val="Heading2"/>
        <w:numPr>
          <w:ilvl w:val="1"/>
          <w:numId w:val="19"/>
        </w:numPr>
        <w:spacing w:before="100" w:beforeAutospacing="1" w:after="100" w:afterAutospacing="1"/>
        <w:ind w:left="567" w:hanging="567"/>
        <w:rPr>
          <w:color w:val="000000"/>
          <w:sz w:val="28"/>
          <w:szCs w:val="28"/>
        </w:rPr>
      </w:pPr>
      <w:bookmarkStart w:id="11" w:name="_Toc177627698"/>
      <w:r w:rsidRPr="00646EC5">
        <w:rPr>
          <w:bCs/>
          <w:color w:val="000000"/>
          <w:sz w:val="28"/>
          <w:szCs w:val="28"/>
        </w:rPr>
        <w:t>I</w:t>
      </w:r>
      <w:r w:rsidR="001E3250" w:rsidRPr="00646EC5">
        <w:rPr>
          <w:sz w:val="28"/>
          <w:szCs w:val="28"/>
        </w:rPr>
        <w:t xml:space="preserve">edzīvotāju ienākuma nodokļa </w:t>
      </w:r>
      <w:r w:rsidRPr="00646EC5">
        <w:rPr>
          <w:sz w:val="28"/>
          <w:szCs w:val="28"/>
        </w:rPr>
        <w:t xml:space="preserve">papildu </w:t>
      </w:r>
      <w:r w:rsidR="004D6B66" w:rsidRPr="00646EC5">
        <w:rPr>
          <w:sz w:val="28"/>
          <w:szCs w:val="28"/>
        </w:rPr>
        <w:t>likme</w:t>
      </w:r>
      <w:r w:rsidR="001E3250" w:rsidRPr="00646EC5">
        <w:rPr>
          <w:sz w:val="28"/>
          <w:szCs w:val="28"/>
        </w:rPr>
        <w:t>s</w:t>
      </w:r>
      <w:r w:rsidR="004D6B66" w:rsidRPr="00646EC5">
        <w:rPr>
          <w:sz w:val="28"/>
          <w:szCs w:val="28"/>
        </w:rPr>
        <w:t xml:space="preserve"> </w:t>
      </w:r>
      <w:r w:rsidR="001E3250" w:rsidRPr="00646EC5">
        <w:rPr>
          <w:sz w:val="28"/>
          <w:szCs w:val="28"/>
        </w:rPr>
        <w:t>ieviešana</w:t>
      </w:r>
      <w:bookmarkEnd w:id="11"/>
    </w:p>
    <w:p w14:paraId="037C4C95" w14:textId="6FC9BE82" w:rsidR="00F9146F" w:rsidRDefault="006A1310" w:rsidP="00183B22">
      <w:pPr>
        <w:spacing w:after="120"/>
        <w:ind w:firstLine="567"/>
        <w:jc w:val="both"/>
      </w:pPr>
      <w:r>
        <w:rPr>
          <w:color w:val="000000"/>
        </w:rPr>
        <w:t>Lai ieviestu lielāku progresivitāti lielu ienākumu saņēmējiem, n</w:t>
      </w:r>
      <w:r w:rsidR="001E3250" w:rsidRPr="001E3250">
        <w:rPr>
          <w:color w:val="000000"/>
        </w:rPr>
        <w:t xml:space="preserve">o 2025.gada </w:t>
      </w:r>
      <w:r w:rsidR="001E3250" w:rsidRPr="00DD3946">
        <w:rPr>
          <w:rStyle w:val="Heading2Char"/>
          <w:b w:val="0"/>
          <w:bCs/>
          <w:szCs w:val="24"/>
        </w:rPr>
        <w:t xml:space="preserve">plānots </w:t>
      </w:r>
      <w:r w:rsidR="001E3250" w:rsidRPr="001E3250">
        <w:rPr>
          <w:color w:val="000000"/>
        </w:rPr>
        <w:t xml:space="preserve">ieviest </w:t>
      </w:r>
      <w:r w:rsidR="001E3250" w:rsidRPr="001E3250">
        <w:t xml:space="preserve">IIN </w:t>
      </w:r>
      <w:r w:rsidR="002215D9">
        <w:t xml:space="preserve">papildu </w:t>
      </w:r>
      <w:r w:rsidR="001E3250" w:rsidRPr="001E3250">
        <w:t>likm</w:t>
      </w:r>
      <w:r w:rsidR="00646EC5">
        <w:t>i</w:t>
      </w:r>
      <w:r w:rsidR="001E3250" w:rsidRPr="001E3250">
        <w:t xml:space="preserve"> </w:t>
      </w:r>
      <w:r w:rsidR="001E3250" w:rsidRPr="001E3250">
        <w:rPr>
          <w:b/>
          <w:bCs/>
          <w:color w:val="FF0000"/>
        </w:rPr>
        <w:t>3%</w:t>
      </w:r>
      <w:r w:rsidR="001E3250" w:rsidRPr="001E3250">
        <w:t xml:space="preserve"> apmērā ienākumiem (</w:t>
      </w:r>
      <w:r w:rsidR="002215D9">
        <w:rPr>
          <w:szCs w:val="24"/>
        </w:rPr>
        <w:t xml:space="preserve">taksācijas gada ar </w:t>
      </w:r>
      <w:r w:rsidR="00646EC5">
        <w:rPr>
          <w:szCs w:val="24"/>
        </w:rPr>
        <w:t xml:space="preserve">nodokli </w:t>
      </w:r>
      <w:r w:rsidR="002215D9">
        <w:rPr>
          <w:szCs w:val="24"/>
        </w:rPr>
        <w:t>apliekamajiem ienākumiem</w:t>
      </w:r>
      <w:r w:rsidR="00646EC5">
        <w:rPr>
          <w:szCs w:val="24"/>
        </w:rPr>
        <w:t xml:space="preserve">, </w:t>
      </w:r>
      <w:r w:rsidR="002215D9">
        <w:rPr>
          <w:szCs w:val="24"/>
        </w:rPr>
        <w:t>tajā skaitā ienākumiem no kapitāla pieauguma un ienākumiem no kapitāla, kas nav kapitāla pieaugums</w:t>
      </w:r>
      <w:r w:rsidR="00646EC5">
        <w:rPr>
          <w:szCs w:val="24"/>
        </w:rPr>
        <w:t>,</w:t>
      </w:r>
      <w:r w:rsidR="002215D9">
        <w:rPr>
          <w:szCs w:val="24"/>
        </w:rPr>
        <w:t xml:space="preserve"> un no nodokļa atbrīvotajām dividendēm un likvidācijas kvotai</w:t>
      </w:r>
      <w:r w:rsidR="001E3250" w:rsidRPr="001E3250">
        <w:t xml:space="preserve">) virs </w:t>
      </w:r>
      <w:r w:rsidR="001E3250" w:rsidRPr="001E3250">
        <w:rPr>
          <w:b/>
          <w:bCs/>
          <w:color w:val="FF0000"/>
        </w:rPr>
        <w:t>200 000</w:t>
      </w:r>
      <w:r w:rsidR="001E3250" w:rsidRPr="001E3250">
        <w:rPr>
          <w:color w:val="FF0000"/>
        </w:rPr>
        <w:t xml:space="preserve"> </w:t>
      </w:r>
      <w:r w:rsidR="001E3250" w:rsidRPr="001E3250">
        <w:rPr>
          <w:i/>
          <w:iCs/>
        </w:rPr>
        <w:t>euro</w:t>
      </w:r>
      <w:r w:rsidR="001E3250" w:rsidRPr="001E3250">
        <w:t xml:space="preserve"> gadā, </w:t>
      </w:r>
      <w:r w:rsidR="00646EC5">
        <w:t xml:space="preserve">rezumējošā kārtībā </w:t>
      </w:r>
      <w:r w:rsidR="001E3250" w:rsidRPr="001E3250">
        <w:t>deklarējot gada ienākumus</w:t>
      </w:r>
      <w:r w:rsidR="001E3250">
        <w:t>.</w:t>
      </w:r>
      <w:r w:rsidR="002215D9">
        <w:t xml:space="preserve"> </w:t>
      </w:r>
    </w:p>
    <w:p w14:paraId="7460A5D3" w14:textId="41E4F644" w:rsidR="00646EC5" w:rsidRDefault="00646EC5" w:rsidP="00646EC5">
      <w:pPr>
        <w:ind w:firstLine="567"/>
        <w:jc w:val="both"/>
      </w:pPr>
      <w:r>
        <w:t>A</w:t>
      </w:r>
      <w:r w:rsidR="002215D9">
        <w:t xml:space="preserve">r </w:t>
      </w:r>
      <w:r w:rsidR="00F9146F">
        <w:t xml:space="preserve">IIN papildu likmi apliekamajā bāzē ietilptu tādi </w:t>
      </w:r>
      <w:r w:rsidR="003851B7">
        <w:rPr>
          <w:szCs w:val="24"/>
        </w:rPr>
        <w:t xml:space="preserve">taksācijas gada </w:t>
      </w:r>
      <w:r w:rsidR="00F9146F">
        <w:t>ar IIN apliekami</w:t>
      </w:r>
      <w:r w:rsidR="0099600F">
        <w:t>e</w:t>
      </w:r>
      <w:r w:rsidR="00F9146F">
        <w:t xml:space="preserve"> ienākumi kā</w:t>
      </w:r>
      <w:r>
        <w:t>:</w:t>
      </w:r>
    </w:p>
    <w:p w14:paraId="277726EE" w14:textId="0D6F097A" w:rsidR="00646EC5" w:rsidRPr="00646EC5" w:rsidRDefault="00F9146F" w:rsidP="00646EC5">
      <w:pPr>
        <w:pStyle w:val="ListParagraph"/>
        <w:numPr>
          <w:ilvl w:val="0"/>
          <w:numId w:val="23"/>
        </w:numPr>
        <w:spacing w:after="120"/>
        <w:rPr>
          <w:szCs w:val="24"/>
        </w:rPr>
      </w:pPr>
      <w:r>
        <w:t>algota darba ienākumi</w:t>
      </w:r>
      <w:r w:rsidR="00646EC5">
        <w:t>;</w:t>
      </w:r>
      <w:r>
        <w:t xml:space="preserve"> </w:t>
      </w:r>
    </w:p>
    <w:p w14:paraId="7AB1FF3F" w14:textId="58A77632" w:rsidR="00646EC5" w:rsidRDefault="00F9146F" w:rsidP="00646EC5">
      <w:pPr>
        <w:pStyle w:val="ListParagraph"/>
        <w:numPr>
          <w:ilvl w:val="0"/>
          <w:numId w:val="23"/>
        </w:numPr>
        <w:spacing w:after="120"/>
        <w:rPr>
          <w:szCs w:val="24"/>
        </w:rPr>
      </w:pPr>
      <w:r>
        <w:t>saimnieciskās darbības ienākumi</w:t>
      </w:r>
      <w:r w:rsidR="003851B7">
        <w:t>,</w:t>
      </w:r>
      <w:r>
        <w:t xml:space="preserve"> </w:t>
      </w:r>
      <w:r w:rsidRPr="00646EC5">
        <w:rPr>
          <w:szCs w:val="24"/>
        </w:rPr>
        <w:t>arī ienākumi no zemniek</w:t>
      </w:r>
      <w:r w:rsidR="007B2702">
        <w:rPr>
          <w:szCs w:val="24"/>
        </w:rPr>
        <w:t>u</w:t>
      </w:r>
      <w:r w:rsidRPr="00646EC5">
        <w:rPr>
          <w:szCs w:val="24"/>
        </w:rPr>
        <w:t xml:space="preserve"> vai zvejniek</w:t>
      </w:r>
      <w:r w:rsidR="007B2702">
        <w:rPr>
          <w:szCs w:val="24"/>
        </w:rPr>
        <w:t>u</w:t>
      </w:r>
      <w:r w:rsidRPr="00646EC5">
        <w:rPr>
          <w:szCs w:val="24"/>
        </w:rPr>
        <w:t xml:space="preserve"> saimniecības, ja tā nav UIN maksātāja</w:t>
      </w:r>
      <w:r w:rsidR="00646EC5">
        <w:rPr>
          <w:szCs w:val="24"/>
        </w:rPr>
        <w:t>;</w:t>
      </w:r>
      <w:r w:rsidRPr="00646EC5">
        <w:rPr>
          <w:szCs w:val="24"/>
        </w:rPr>
        <w:t xml:space="preserve"> </w:t>
      </w:r>
    </w:p>
    <w:p w14:paraId="7D1DC75E" w14:textId="7A765CB4" w:rsidR="00646EC5" w:rsidRDefault="00F9146F" w:rsidP="00646EC5">
      <w:pPr>
        <w:pStyle w:val="ListParagraph"/>
        <w:numPr>
          <w:ilvl w:val="0"/>
          <w:numId w:val="23"/>
        </w:numPr>
        <w:spacing w:after="120"/>
        <w:rPr>
          <w:szCs w:val="24"/>
        </w:rPr>
      </w:pPr>
      <w:r w:rsidRPr="00646EC5">
        <w:rPr>
          <w:szCs w:val="24"/>
        </w:rPr>
        <w:t>ienākumi no intelektuālā īpašuma</w:t>
      </w:r>
      <w:r w:rsidR="00646EC5">
        <w:rPr>
          <w:szCs w:val="24"/>
        </w:rPr>
        <w:t>;</w:t>
      </w:r>
      <w:r w:rsidRPr="00646EC5">
        <w:rPr>
          <w:szCs w:val="24"/>
        </w:rPr>
        <w:t xml:space="preserve"> </w:t>
      </w:r>
    </w:p>
    <w:p w14:paraId="0F085BFF" w14:textId="0DD2C032" w:rsidR="003851B7" w:rsidRDefault="00F9146F" w:rsidP="00646EC5">
      <w:pPr>
        <w:pStyle w:val="ListParagraph"/>
        <w:numPr>
          <w:ilvl w:val="0"/>
          <w:numId w:val="23"/>
        </w:numPr>
        <w:spacing w:after="120"/>
        <w:rPr>
          <w:szCs w:val="24"/>
        </w:rPr>
      </w:pPr>
      <w:r w:rsidRPr="00646EC5">
        <w:rPr>
          <w:szCs w:val="24"/>
        </w:rPr>
        <w:t>ienākumi no kapitāla pieauguma</w:t>
      </w:r>
      <w:r w:rsidR="003851B7">
        <w:rPr>
          <w:szCs w:val="24"/>
        </w:rPr>
        <w:t>, tajā skaitā</w:t>
      </w:r>
      <w:r w:rsidRPr="00646EC5">
        <w:rPr>
          <w:szCs w:val="24"/>
        </w:rPr>
        <w:t xml:space="preserve"> ienākumi no tādu kapitāla aktīva atsavināšanas kā nekustamais īpašums, akcijas, kapitāla daļas, </w:t>
      </w:r>
      <w:r w:rsidR="003851B7">
        <w:rPr>
          <w:szCs w:val="24"/>
        </w:rPr>
        <w:t xml:space="preserve">kā </w:t>
      </w:r>
      <w:r w:rsidRPr="00646EC5">
        <w:rPr>
          <w:szCs w:val="24"/>
        </w:rPr>
        <w:t xml:space="preserve">arī citi </w:t>
      </w:r>
      <w:r w:rsidR="0099600F">
        <w:rPr>
          <w:szCs w:val="24"/>
        </w:rPr>
        <w:t>f</w:t>
      </w:r>
      <w:r w:rsidRPr="00646EC5">
        <w:rPr>
          <w:szCs w:val="24"/>
        </w:rPr>
        <w:t>inanšu instrumentu tirgus likumā minētie finanšu instrumenti, ieguldījumu fondu apliecības u.c.</w:t>
      </w:r>
      <w:r w:rsidR="003851B7">
        <w:rPr>
          <w:szCs w:val="24"/>
        </w:rPr>
        <w:t xml:space="preserve"> ienākumi;</w:t>
      </w:r>
      <w:r w:rsidRPr="00646EC5">
        <w:rPr>
          <w:szCs w:val="24"/>
        </w:rPr>
        <w:t xml:space="preserve"> </w:t>
      </w:r>
    </w:p>
    <w:p w14:paraId="1F1DF1D4" w14:textId="0E222344" w:rsidR="003851B7" w:rsidRDefault="00F9146F" w:rsidP="00646EC5">
      <w:pPr>
        <w:pStyle w:val="ListParagraph"/>
        <w:numPr>
          <w:ilvl w:val="0"/>
          <w:numId w:val="23"/>
        </w:numPr>
        <w:spacing w:after="120"/>
        <w:rPr>
          <w:szCs w:val="24"/>
        </w:rPr>
      </w:pPr>
      <w:r w:rsidRPr="00646EC5">
        <w:rPr>
          <w:szCs w:val="24"/>
        </w:rPr>
        <w:lastRenderedPageBreak/>
        <w:t>ienākumi no kapitāla, kas nav kapitāla pieaugums, proti, dividendes un tām pielīdzi</w:t>
      </w:r>
      <w:r w:rsidR="008F3CBD">
        <w:rPr>
          <w:szCs w:val="24"/>
        </w:rPr>
        <w:softHyphen/>
      </w:r>
      <w:r w:rsidRPr="00646EC5">
        <w:rPr>
          <w:szCs w:val="24"/>
        </w:rPr>
        <w:t xml:space="preserve">nāms ienākums, procentu ienākumi, ienākumi no privātajos pensiju fondos veikto iemaksu ieguldīšanas, ienākums no finanšu instrumentu individuālas pārvaldīšanas saskaņā ar ieguldītāja pilnvarojumu (t.s. </w:t>
      </w:r>
      <w:proofErr w:type="spellStart"/>
      <w:r w:rsidRPr="00646EC5">
        <w:rPr>
          <w:szCs w:val="24"/>
        </w:rPr>
        <w:t>por</w:t>
      </w:r>
      <w:r w:rsidR="007B2702">
        <w:rPr>
          <w:szCs w:val="24"/>
        </w:rPr>
        <w:t>t</w:t>
      </w:r>
      <w:r w:rsidRPr="00646EC5">
        <w:rPr>
          <w:szCs w:val="24"/>
        </w:rPr>
        <w:t>feļpārvaldības</w:t>
      </w:r>
      <w:proofErr w:type="spellEnd"/>
      <w:r w:rsidRPr="00646EC5">
        <w:rPr>
          <w:szCs w:val="24"/>
        </w:rPr>
        <w:t xml:space="preserve"> pakalpojuma) u.c.</w:t>
      </w:r>
    </w:p>
    <w:p w14:paraId="4BCD616A" w14:textId="1E24F8DF" w:rsidR="00D03788" w:rsidRPr="0099600F" w:rsidRDefault="0099600F" w:rsidP="008F3CBD">
      <w:pPr>
        <w:spacing w:after="120"/>
        <w:ind w:firstLine="567"/>
        <w:jc w:val="both"/>
        <w:rPr>
          <w:szCs w:val="24"/>
        </w:rPr>
      </w:pPr>
      <w:r>
        <w:t>Ar IIN papildu likmi apliekamajā bāzē ietilptu</w:t>
      </w:r>
      <w:r w:rsidRPr="0099600F">
        <w:rPr>
          <w:szCs w:val="24"/>
        </w:rPr>
        <w:t xml:space="preserve"> </w:t>
      </w:r>
      <w:r w:rsidR="00B12083" w:rsidRPr="0099600F">
        <w:rPr>
          <w:szCs w:val="24"/>
        </w:rPr>
        <w:t xml:space="preserve">vispārējā kārtībā no IIN </w:t>
      </w:r>
      <w:r w:rsidR="003851B7" w:rsidRPr="0099600F">
        <w:rPr>
          <w:szCs w:val="24"/>
        </w:rPr>
        <w:t>atbrīvotās</w:t>
      </w:r>
      <w:r w:rsidR="00B12083" w:rsidRPr="0099600F">
        <w:rPr>
          <w:szCs w:val="24"/>
        </w:rPr>
        <w:t xml:space="preserve"> dividendes, dividendēm pielīdzināms ienākums un nosacītās dividendes, par kurām Latvijā jau ir samaksāts UIN vai ārvalstī ir samaksāts UIN (tam pielīdzināms nodoklis) vai ieturēts IIN (tam pielīdzināms nodoklis).</w:t>
      </w:r>
    </w:p>
    <w:p w14:paraId="7B512E14" w14:textId="36A0151A" w:rsidR="00B12083" w:rsidRDefault="00B12083" w:rsidP="008F3CBD">
      <w:pPr>
        <w:spacing w:after="120"/>
        <w:ind w:firstLine="567"/>
        <w:jc w:val="both"/>
        <w:rPr>
          <w:rFonts w:cs="Times New Roman"/>
          <w:szCs w:val="24"/>
        </w:rPr>
      </w:pPr>
      <w:r>
        <w:rPr>
          <w:rFonts w:cs="Times New Roman"/>
          <w:szCs w:val="24"/>
        </w:rPr>
        <w:t xml:space="preserve">Ar IIN papildu likmi apliekamajā bāzē netiktu iekļauti citi no IIN atbrīvotie ienākumi – piemēram, no IIN atbrīvotie pabalsti un dāvanas,  ienākums no nekustamā īpašuma pārdošanas, ja tas atbilst likumā </w:t>
      </w:r>
      <w:r w:rsidRPr="003851B7">
        <w:rPr>
          <w:rFonts w:cs="Times New Roman"/>
          <w:i/>
          <w:iCs/>
          <w:szCs w:val="24"/>
        </w:rPr>
        <w:t>“Par iedzīvotāju ienākuma nodokli”</w:t>
      </w:r>
      <w:r>
        <w:rPr>
          <w:rFonts w:cs="Times New Roman"/>
          <w:szCs w:val="24"/>
        </w:rPr>
        <w:t xml:space="preserve"> noteiktajiem kritērijiem atbrīvojuma piemērošanai u.c.</w:t>
      </w:r>
      <w:r w:rsidR="002452F9">
        <w:rPr>
          <w:rFonts w:cs="Times New Roman"/>
          <w:szCs w:val="24"/>
        </w:rPr>
        <w:t xml:space="preserve"> Tāpat ar IIN papildu likmi apliekamajā bāzē nebūtu iekļaujami ienākumi no MUN, jo MUN bāze, atšķirībā no IIN, ir apgrozījums.</w:t>
      </w:r>
    </w:p>
    <w:p w14:paraId="2537CF03" w14:textId="4DA02140" w:rsidR="00B12083" w:rsidRDefault="00B12083" w:rsidP="008F3CBD">
      <w:pPr>
        <w:spacing w:after="120"/>
        <w:ind w:firstLine="567"/>
        <w:jc w:val="both"/>
        <w:rPr>
          <w:rFonts w:cs="Times New Roman"/>
          <w:szCs w:val="24"/>
        </w:rPr>
      </w:pPr>
      <w:r>
        <w:rPr>
          <w:rFonts w:cs="Times New Roman"/>
          <w:szCs w:val="24"/>
        </w:rPr>
        <w:t>IIN papildu likm</w:t>
      </w:r>
      <w:r w:rsidR="002452F9">
        <w:rPr>
          <w:rFonts w:cs="Times New Roman"/>
          <w:szCs w:val="24"/>
        </w:rPr>
        <w:t>i</w:t>
      </w:r>
      <w:r>
        <w:rPr>
          <w:rFonts w:cs="Times New Roman"/>
          <w:szCs w:val="24"/>
        </w:rPr>
        <w:t xml:space="preserve"> </w:t>
      </w:r>
      <w:r w:rsidR="002452F9">
        <w:rPr>
          <w:rFonts w:cs="Times New Roman"/>
          <w:szCs w:val="24"/>
        </w:rPr>
        <w:t xml:space="preserve">plānots </w:t>
      </w:r>
      <w:r>
        <w:rPr>
          <w:rFonts w:cs="Times New Roman"/>
          <w:szCs w:val="24"/>
        </w:rPr>
        <w:t xml:space="preserve">ieviest no 2025. gada un </w:t>
      </w:r>
      <w:r w:rsidR="002452F9">
        <w:rPr>
          <w:rFonts w:cs="Times New Roman"/>
          <w:szCs w:val="24"/>
        </w:rPr>
        <w:t xml:space="preserve">tā </w:t>
      </w:r>
      <w:r>
        <w:rPr>
          <w:rFonts w:cs="Times New Roman"/>
          <w:szCs w:val="24"/>
        </w:rPr>
        <w:t>būtu piemēroja</w:t>
      </w:r>
      <w:r w:rsidR="002452F9">
        <w:rPr>
          <w:rFonts w:cs="Times New Roman"/>
          <w:szCs w:val="24"/>
        </w:rPr>
        <w:t>m</w:t>
      </w:r>
      <w:r>
        <w:rPr>
          <w:rFonts w:cs="Times New Roman"/>
          <w:szCs w:val="24"/>
        </w:rPr>
        <w:t>a rezumējošā kārtībā, iesniedzot gada ienākumu deklarāciju. Attiecīgi pirmā deklarācija, kurā ienākums</w:t>
      </w:r>
      <w:r w:rsidR="002452F9">
        <w:rPr>
          <w:rFonts w:cs="Times New Roman"/>
          <w:szCs w:val="24"/>
        </w:rPr>
        <w:t xml:space="preserve"> tiktu aplikts ar IIN papildu likmi 3% apmērā, būtu iesniedzama 2026. gadā par 2025. taksācijas gadu.</w:t>
      </w:r>
    </w:p>
    <w:p w14:paraId="69502457" w14:textId="2EF1635C" w:rsidR="002452F9" w:rsidRPr="002215D9" w:rsidRDefault="002452F9" w:rsidP="00685A93">
      <w:pPr>
        <w:jc w:val="both"/>
        <w:rPr>
          <w:rFonts w:cs="Times New Roman"/>
          <w:szCs w:val="24"/>
        </w:rPr>
      </w:pPr>
      <w:r>
        <w:rPr>
          <w:rFonts w:cs="Times New Roman"/>
          <w:szCs w:val="24"/>
        </w:rPr>
        <w:t xml:space="preserve">Minētais risinājums ienestu papildu progresivitātes elementu iedzīvotāju ienākumu aplikšanā ar IIN. </w:t>
      </w:r>
    </w:p>
    <w:p w14:paraId="5A93FE33" w14:textId="77777777" w:rsidR="003A2BA9" w:rsidRPr="00C217F4" w:rsidRDefault="003A2BA9" w:rsidP="003A2BA9">
      <w:pPr>
        <w:jc w:val="center"/>
        <w:rPr>
          <w:rFonts w:cs="Times New Roman"/>
          <w:sz w:val="10"/>
          <w:szCs w:val="10"/>
        </w:rPr>
      </w:pPr>
    </w:p>
    <w:p w14:paraId="5C3DA444" w14:textId="5E73E6BD" w:rsidR="00542971" w:rsidRDefault="00725CD9" w:rsidP="00542971">
      <w:pPr>
        <w:spacing w:after="120"/>
        <w:jc w:val="center"/>
        <w:rPr>
          <w:rFonts w:cs="Times New Roman"/>
          <w:bCs/>
          <w:i/>
          <w:iCs/>
          <w:sz w:val="20"/>
        </w:rPr>
      </w:pPr>
      <w:r>
        <w:rPr>
          <w:rFonts w:cs="Times New Roman"/>
          <w:sz w:val="20"/>
        </w:rPr>
        <w:t>9</w:t>
      </w:r>
      <w:r w:rsidR="00542971" w:rsidRPr="00D03788">
        <w:rPr>
          <w:rFonts w:cs="Times New Roman"/>
          <w:sz w:val="20"/>
        </w:rPr>
        <w:t>.</w:t>
      </w:r>
      <w:r w:rsidR="00542971" w:rsidRPr="002E0A09">
        <w:rPr>
          <w:rFonts w:cs="Times New Roman"/>
          <w:sz w:val="20"/>
        </w:rPr>
        <w:t>tab</w:t>
      </w:r>
      <w:r w:rsidR="00542971" w:rsidRPr="002E0A09">
        <w:rPr>
          <w:rFonts w:cs="Times New Roman"/>
          <w:bCs/>
          <w:sz w:val="20"/>
        </w:rPr>
        <w:t>.</w:t>
      </w:r>
      <w:r w:rsidR="00542971" w:rsidRPr="002E0A09">
        <w:rPr>
          <w:rFonts w:cs="Times New Roman"/>
          <w:b/>
          <w:sz w:val="20"/>
        </w:rPr>
        <w:t xml:space="preserve"> Priekšlikuma indikatīva fiskālā ietekme</w:t>
      </w:r>
      <w:r w:rsidR="00542971" w:rsidRPr="002E0A09">
        <w:rPr>
          <w:rFonts w:cs="Times New Roman"/>
          <w:bCs/>
          <w:sz w:val="20"/>
        </w:rPr>
        <w:t>,</w:t>
      </w:r>
      <w:r w:rsidR="00542971" w:rsidRPr="002E0A09">
        <w:rPr>
          <w:rFonts w:cs="Times New Roman"/>
          <w:bCs/>
          <w:i/>
          <w:iCs/>
          <w:sz w:val="20"/>
        </w:rPr>
        <w:t> euro</w:t>
      </w:r>
    </w:p>
    <w:tbl>
      <w:tblPr>
        <w:tblStyle w:val="TableGrid"/>
        <w:tblW w:w="0" w:type="auto"/>
        <w:tblLook w:val="04A0" w:firstRow="1" w:lastRow="0" w:firstColumn="1" w:lastColumn="0" w:noHBand="0" w:noVBand="1"/>
      </w:tblPr>
      <w:tblGrid>
        <w:gridCol w:w="3686"/>
        <w:gridCol w:w="1134"/>
        <w:gridCol w:w="1417"/>
        <w:gridCol w:w="1418"/>
        <w:gridCol w:w="1407"/>
      </w:tblGrid>
      <w:tr w:rsidR="00D03788" w14:paraId="5BB73613" w14:textId="77777777" w:rsidTr="008D6A91">
        <w:tc>
          <w:tcPr>
            <w:tcW w:w="3686" w:type="dxa"/>
            <w:tcBorders>
              <w:top w:val="nil"/>
              <w:left w:val="nil"/>
              <w:bottom w:val="single" w:sz="8" w:space="0" w:color="auto"/>
            </w:tcBorders>
          </w:tcPr>
          <w:p w14:paraId="194EF4D5" w14:textId="77777777" w:rsidR="00D03788" w:rsidRDefault="00D03788" w:rsidP="00D03788">
            <w:pPr>
              <w:jc w:val="center"/>
              <w:rPr>
                <w:rFonts w:cs="Times New Roman"/>
                <w:bCs/>
                <w:i/>
                <w:iCs/>
                <w:sz w:val="20"/>
              </w:rPr>
            </w:pPr>
          </w:p>
        </w:tc>
        <w:tc>
          <w:tcPr>
            <w:tcW w:w="1134" w:type="dxa"/>
            <w:tcBorders>
              <w:top w:val="nil"/>
              <w:bottom w:val="single" w:sz="8" w:space="0" w:color="auto"/>
            </w:tcBorders>
            <w:vAlign w:val="bottom"/>
          </w:tcPr>
          <w:p w14:paraId="05135165" w14:textId="591CDE58" w:rsidR="00D03788" w:rsidRDefault="00D03788" w:rsidP="00D03788">
            <w:pPr>
              <w:jc w:val="center"/>
              <w:rPr>
                <w:rFonts w:cs="Times New Roman"/>
                <w:bCs/>
                <w:i/>
                <w:iCs/>
                <w:sz w:val="20"/>
              </w:rPr>
            </w:pPr>
            <w:r w:rsidRPr="000203BA">
              <w:rPr>
                <w:b/>
                <w:bCs/>
                <w:sz w:val="20"/>
                <w:szCs w:val="20"/>
              </w:rPr>
              <w:t>202</w:t>
            </w:r>
            <w:r>
              <w:rPr>
                <w:b/>
                <w:bCs/>
                <w:sz w:val="20"/>
                <w:szCs w:val="20"/>
              </w:rPr>
              <w:t>5</w:t>
            </w:r>
          </w:p>
        </w:tc>
        <w:tc>
          <w:tcPr>
            <w:tcW w:w="1417" w:type="dxa"/>
            <w:tcBorders>
              <w:top w:val="nil"/>
              <w:bottom w:val="single" w:sz="8" w:space="0" w:color="auto"/>
            </w:tcBorders>
            <w:vAlign w:val="bottom"/>
          </w:tcPr>
          <w:p w14:paraId="51264424" w14:textId="438ABB59" w:rsidR="00D03788" w:rsidRDefault="00D03788" w:rsidP="00D03788">
            <w:pPr>
              <w:jc w:val="center"/>
              <w:rPr>
                <w:rFonts w:cs="Times New Roman"/>
                <w:bCs/>
                <w:i/>
                <w:iCs/>
                <w:sz w:val="20"/>
              </w:rPr>
            </w:pPr>
            <w:r w:rsidRPr="000203BA">
              <w:rPr>
                <w:b/>
                <w:bCs/>
                <w:sz w:val="20"/>
                <w:szCs w:val="20"/>
              </w:rPr>
              <w:t>202</w:t>
            </w:r>
            <w:r>
              <w:rPr>
                <w:b/>
                <w:bCs/>
                <w:sz w:val="20"/>
                <w:szCs w:val="20"/>
              </w:rPr>
              <w:t>6</w:t>
            </w:r>
          </w:p>
        </w:tc>
        <w:tc>
          <w:tcPr>
            <w:tcW w:w="1418" w:type="dxa"/>
            <w:tcBorders>
              <w:top w:val="nil"/>
              <w:bottom w:val="single" w:sz="8" w:space="0" w:color="auto"/>
            </w:tcBorders>
            <w:vAlign w:val="bottom"/>
          </w:tcPr>
          <w:p w14:paraId="4410F89D" w14:textId="3C4215F5" w:rsidR="00D03788" w:rsidRDefault="00D03788" w:rsidP="00D03788">
            <w:pPr>
              <w:jc w:val="center"/>
              <w:rPr>
                <w:rFonts w:cs="Times New Roman"/>
                <w:bCs/>
                <w:i/>
                <w:iCs/>
                <w:sz w:val="20"/>
              </w:rPr>
            </w:pPr>
            <w:r w:rsidRPr="000203BA">
              <w:rPr>
                <w:b/>
                <w:bCs/>
                <w:sz w:val="20"/>
                <w:szCs w:val="20"/>
              </w:rPr>
              <w:t>202</w:t>
            </w:r>
            <w:r>
              <w:rPr>
                <w:b/>
                <w:bCs/>
                <w:sz w:val="20"/>
                <w:szCs w:val="20"/>
              </w:rPr>
              <w:t>7</w:t>
            </w:r>
          </w:p>
        </w:tc>
        <w:tc>
          <w:tcPr>
            <w:tcW w:w="1407" w:type="dxa"/>
            <w:tcBorders>
              <w:top w:val="nil"/>
              <w:bottom w:val="single" w:sz="8" w:space="0" w:color="auto"/>
              <w:right w:val="nil"/>
            </w:tcBorders>
          </w:tcPr>
          <w:p w14:paraId="5A1E6937" w14:textId="4E511C90" w:rsidR="00D03788" w:rsidRDefault="00D03788" w:rsidP="00D03788">
            <w:pPr>
              <w:jc w:val="center"/>
              <w:rPr>
                <w:rFonts w:cs="Times New Roman"/>
                <w:bCs/>
                <w:i/>
                <w:iCs/>
                <w:sz w:val="20"/>
              </w:rPr>
            </w:pPr>
            <w:r>
              <w:rPr>
                <w:b/>
                <w:bCs/>
                <w:sz w:val="20"/>
                <w:szCs w:val="20"/>
              </w:rPr>
              <w:t>2028</w:t>
            </w:r>
          </w:p>
        </w:tc>
      </w:tr>
      <w:tr w:rsidR="00D03788" w14:paraId="5D405030" w14:textId="77777777" w:rsidTr="008D6A91">
        <w:tc>
          <w:tcPr>
            <w:tcW w:w="3686" w:type="dxa"/>
            <w:tcBorders>
              <w:top w:val="single" w:sz="8" w:space="0" w:color="auto"/>
              <w:left w:val="nil"/>
            </w:tcBorders>
            <w:shd w:val="clear" w:color="auto" w:fill="E7E6E6" w:themeFill="background2"/>
            <w:vAlign w:val="center"/>
          </w:tcPr>
          <w:p w14:paraId="7D9EF3E5" w14:textId="65AA63CE" w:rsidR="00D03788" w:rsidRDefault="00D03788" w:rsidP="00D03788">
            <w:pPr>
              <w:rPr>
                <w:rFonts w:cs="Times New Roman"/>
                <w:bCs/>
                <w:i/>
                <w:iCs/>
                <w:sz w:val="20"/>
              </w:rPr>
            </w:pPr>
            <w:r>
              <w:rPr>
                <w:b/>
                <w:bCs/>
                <w:sz w:val="20"/>
                <w:szCs w:val="20"/>
              </w:rPr>
              <w:t>IIN</w:t>
            </w:r>
            <w:r w:rsidRPr="00FC5CE3">
              <w:rPr>
                <w:b/>
                <w:bCs/>
                <w:sz w:val="20"/>
                <w:szCs w:val="20"/>
              </w:rPr>
              <w:t xml:space="preserve"> ieņēmumi</w:t>
            </w:r>
            <w:r w:rsidRPr="002B6702">
              <w:rPr>
                <w:i/>
                <w:iCs/>
                <w:sz w:val="20"/>
                <w:szCs w:val="20"/>
              </w:rPr>
              <w:t>, no tā:</w:t>
            </w:r>
          </w:p>
        </w:tc>
        <w:tc>
          <w:tcPr>
            <w:tcW w:w="1134" w:type="dxa"/>
            <w:tcBorders>
              <w:top w:val="single" w:sz="8" w:space="0" w:color="auto"/>
            </w:tcBorders>
            <w:shd w:val="clear" w:color="auto" w:fill="E7E6E6" w:themeFill="background2"/>
            <w:vAlign w:val="center"/>
          </w:tcPr>
          <w:p w14:paraId="55FF9CAA" w14:textId="22D1094C" w:rsidR="00D03788" w:rsidRDefault="002C47B1" w:rsidP="00D03788">
            <w:pPr>
              <w:jc w:val="center"/>
              <w:rPr>
                <w:rFonts w:cs="Times New Roman"/>
                <w:bCs/>
                <w:i/>
                <w:iCs/>
                <w:sz w:val="20"/>
              </w:rPr>
            </w:pPr>
            <w:r>
              <w:rPr>
                <w:rFonts w:cs="Times New Roman"/>
                <w:bCs/>
                <w:i/>
                <w:iCs/>
                <w:sz w:val="20"/>
              </w:rPr>
              <w:t>-</w:t>
            </w:r>
          </w:p>
        </w:tc>
        <w:tc>
          <w:tcPr>
            <w:tcW w:w="1417" w:type="dxa"/>
            <w:tcBorders>
              <w:top w:val="single" w:sz="8" w:space="0" w:color="auto"/>
            </w:tcBorders>
            <w:shd w:val="clear" w:color="auto" w:fill="E7E6E6" w:themeFill="background2"/>
            <w:vAlign w:val="center"/>
          </w:tcPr>
          <w:p w14:paraId="4A2A04FE" w14:textId="3D5F9013" w:rsidR="00D03788" w:rsidRDefault="00D03788" w:rsidP="00D03788">
            <w:pPr>
              <w:jc w:val="center"/>
              <w:rPr>
                <w:rFonts w:cs="Times New Roman"/>
                <w:bCs/>
                <w:i/>
                <w:iCs/>
                <w:sz w:val="20"/>
              </w:rPr>
            </w:pPr>
            <w:r>
              <w:rPr>
                <w:b/>
                <w:bCs/>
                <w:color w:val="00B050"/>
                <w:sz w:val="20"/>
                <w:szCs w:val="20"/>
              </w:rPr>
              <w:t>+1</w:t>
            </w:r>
            <w:r w:rsidRPr="00542971">
              <w:rPr>
                <w:b/>
                <w:bCs/>
                <w:color w:val="00B050"/>
                <w:sz w:val="20"/>
                <w:szCs w:val="20"/>
              </w:rPr>
              <w:t>3</w:t>
            </w:r>
            <w:r w:rsidR="008D6A91">
              <w:rPr>
                <w:b/>
                <w:bCs/>
                <w:color w:val="00B050"/>
                <w:sz w:val="20"/>
                <w:szCs w:val="20"/>
              </w:rPr>
              <w:t> </w:t>
            </w:r>
            <w:r w:rsidRPr="00542971">
              <w:rPr>
                <w:b/>
                <w:bCs/>
                <w:color w:val="00B050"/>
                <w:sz w:val="20"/>
                <w:szCs w:val="20"/>
              </w:rPr>
              <w:t>0</w:t>
            </w:r>
            <w:r>
              <w:rPr>
                <w:b/>
                <w:bCs/>
                <w:color w:val="00B050"/>
                <w:sz w:val="20"/>
                <w:szCs w:val="20"/>
              </w:rPr>
              <w:t>00</w:t>
            </w:r>
            <w:r w:rsidR="008D6A91">
              <w:rPr>
                <w:b/>
                <w:bCs/>
                <w:color w:val="00B050"/>
                <w:sz w:val="20"/>
                <w:szCs w:val="20"/>
              </w:rPr>
              <w:t xml:space="preserve"> 000</w:t>
            </w:r>
          </w:p>
        </w:tc>
        <w:tc>
          <w:tcPr>
            <w:tcW w:w="1418" w:type="dxa"/>
            <w:tcBorders>
              <w:top w:val="single" w:sz="8" w:space="0" w:color="auto"/>
            </w:tcBorders>
            <w:shd w:val="clear" w:color="auto" w:fill="E7E6E6" w:themeFill="background2"/>
            <w:vAlign w:val="center"/>
          </w:tcPr>
          <w:p w14:paraId="490E58F1" w14:textId="6E85450C" w:rsidR="00D03788" w:rsidRDefault="00D03788" w:rsidP="00D03788">
            <w:pPr>
              <w:jc w:val="center"/>
              <w:rPr>
                <w:rFonts w:cs="Times New Roman"/>
                <w:bCs/>
                <w:i/>
                <w:iCs/>
                <w:sz w:val="20"/>
              </w:rPr>
            </w:pPr>
            <w:r>
              <w:rPr>
                <w:b/>
                <w:bCs/>
                <w:color w:val="00B050"/>
                <w:sz w:val="20"/>
                <w:szCs w:val="20"/>
              </w:rPr>
              <w:t>+1</w:t>
            </w:r>
            <w:r w:rsidRPr="00542971">
              <w:rPr>
                <w:b/>
                <w:bCs/>
                <w:color w:val="00B050"/>
                <w:sz w:val="20"/>
                <w:szCs w:val="20"/>
              </w:rPr>
              <w:t>3</w:t>
            </w:r>
            <w:r w:rsidR="008D6A91">
              <w:rPr>
                <w:b/>
                <w:bCs/>
                <w:color w:val="00B050"/>
                <w:sz w:val="20"/>
                <w:szCs w:val="20"/>
              </w:rPr>
              <w:t> </w:t>
            </w:r>
            <w:r w:rsidRPr="00542971">
              <w:rPr>
                <w:b/>
                <w:bCs/>
                <w:color w:val="00B050"/>
                <w:sz w:val="20"/>
                <w:szCs w:val="20"/>
              </w:rPr>
              <w:t>0</w:t>
            </w:r>
            <w:r>
              <w:rPr>
                <w:b/>
                <w:bCs/>
                <w:color w:val="00B050"/>
                <w:sz w:val="20"/>
                <w:szCs w:val="20"/>
              </w:rPr>
              <w:t>00</w:t>
            </w:r>
            <w:r w:rsidR="008D6A91">
              <w:rPr>
                <w:b/>
                <w:bCs/>
                <w:color w:val="00B050"/>
                <w:sz w:val="20"/>
                <w:szCs w:val="20"/>
              </w:rPr>
              <w:t xml:space="preserve"> 000</w:t>
            </w:r>
          </w:p>
        </w:tc>
        <w:tc>
          <w:tcPr>
            <w:tcW w:w="1407" w:type="dxa"/>
            <w:tcBorders>
              <w:top w:val="single" w:sz="8" w:space="0" w:color="auto"/>
              <w:right w:val="nil"/>
            </w:tcBorders>
            <w:shd w:val="clear" w:color="auto" w:fill="E7E6E6" w:themeFill="background2"/>
            <w:vAlign w:val="center"/>
          </w:tcPr>
          <w:p w14:paraId="4676F921" w14:textId="750968E2" w:rsidR="00D03788" w:rsidRDefault="00D03788" w:rsidP="00D03788">
            <w:pPr>
              <w:jc w:val="center"/>
              <w:rPr>
                <w:rFonts w:cs="Times New Roman"/>
                <w:bCs/>
                <w:i/>
                <w:iCs/>
                <w:sz w:val="20"/>
              </w:rPr>
            </w:pPr>
            <w:r>
              <w:rPr>
                <w:b/>
                <w:bCs/>
                <w:color w:val="00B050"/>
                <w:sz w:val="20"/>
                <w:szCs w:val="20"/>
              </w:rPr>
              <w:t>+</w:t>
            </w:r>
            <w:r w:rsidR="008D6A91">
              <w:rPr>
                <w:b/>
                <w:bCs/>
                <w:color w:val="00B050"/>
                <w:sz w:val="20"/>
                <w:szCs w:val="20"/>
              </w:rPr>
              <w:t>1</w:t>
            </w:r>
            <w:r w:rsidR="008D6A91" w:rsidRPr="00542971">
              <w:rPr>
                <w:b/>
                <w:bCs/>
                <w:color w:val="00B050"/>
                <w:sz w:val="20"/>
                <w:szCs w:val="20"/>
              </w:rPr>
              <w:t>3</w:t>
            </w:r>
            <w:r w:rsidR="008D6A91">
              <w:rPr>
                <w:b/>
                <w:bCs/>
                <w:color w:val="00B050"/>
                <w:sz w:val="20"/>
                <w:szCs w:val="20"/>
              </w:rPr>
              <w:t> </w:t>
            </w:r>
            <w:r w:rsidR="008D6A91" w:rsidRPr="00542971">
              <w:rPr>
                <w:b/>
                <w:bCs/>
                <w:color w:val="00B050"/>
                <w:sz w:val="20"/>
                <w:szCs w:val="20"/>
              </w:rPr>
              <w:t>0</w:t>
            </w:r>
            <w:r w:rsidR="008D6A91">
              <w:rPr>
                <w:b/>
                <w:bCs/>
                <w:color w:val="00B050"/>
                <w:sz w:val="20"/>
                <w:szCs w:val="20"/>
              </w:rPr>
              <w:t>00 000</w:t>
            </w:r>
          </w:p>
        </w:tc>
      </w:tr>
      <w:tr w:rsidR="008D6A91" w14:paraId="235C2309" w14:textId="77777777" w:rsidTr="008D6A91">
        <w:tc>
          <w:tcPr>
            <w:tcW w:w="3686" w:type="dxa"/>
            <w:tcBorders>
              <w:left w:val="nil"/>
            </w:tcBorders>
            <w:vAlign w:val="center"/>
          </w:tcPr>
          <w:p w14:paraId="29877C9D" w14:textId="6318FB79" w:rsidR="008D6A91" w:rsidRDefault="008D6A91" w:rsidP="008D6A91">
            <w:pPr>
              <w:rPr>
                <w:rFonts w:cs="Times New Roman"/>
                <w:bCs/>
                <w:i/>
                <w:iCs/>
                <w:sz w:val="20"/>
              </w:rPr>
            </w:pPr>
            <w:r w:rsidRPr="002B6702">
              <w:rPr>
                <w:i/>
                <w:iCs/>
                <w:sz w:val="20"/>
                <w:szCs w:val="20"/>
              </w:rPr>
              <w:t>valsts pamatbudžetā</w:t>
            </w:r>
          </w:p>
        </w:tc>
        <w:tc>
          <w:tcPr>
            <w:tcW w:w="1134" w:type="dxa"/>
            <w:vAlign w:val="center"/>
          </w:tcPr>
          <w:p w14:paraId="4DC46408" w14:textId="48858588" w:rsidR="008D6A91" w:rsidRDefault="008D6A91" w:rsidP="008D6A91">
            <w:pPr>
              <w:jc w:val="center"/>
              <w:rPr>
                <w:rFonts w:cs="Times New Roman"/>
                <w:bCs/>
                <w:i/>
                <w:iCs/>
                <w:sz w:val="20"/>
              </w:rPr>
            </w:pPr>
            <w:r>
              <w:rPr>
                <w:rFonts w:cs="Times New Roman"/>
                <w:bCs/>
                <w:i/>
                <w:iCs/>
                <w:sz w:val="20"/>
              </w:rPr>
              <w:t>-</w:t>
            </w:r>
          </w:p>
        </w:tc>
        <w:tc>
          <w:tcPr>
            <w:tcW w:w="1417" w:type="dxa"/>
            <w:vAlign w:val="center"/>
          </w:tcPr>
          <w:p w14:paraId="023E6E50" w14:textId="5F40D3B0" w:rsidR="008D6A91" w:rsidRDefault="008D6A91" w:rsidP="008D6A91">
            <w:pPr>
              <w:jc w:val="center"/>
              <w:rPr>
                <w:rFonts w:cs="Times New Roman"/>
                <w:bCs/>
                <w:i/>
                <w:iCs/>
                <w:sz w:val="20"/>
              </w:rPr>
            </w:pPr>
            <w:r>
              <w:rPr>
                <w:i/>
                <w:iCs/>
                <w:color w:val="00B050"/>
                <w:sz w:val="20"/>
                <w:szCs w:val="20"/>
              </w:rPr>
              <w:t>+3 250 000</w:t>
            </w:r>
          </w:p>
        </w:tc>
        <w:tc>
          <w:tcPr>
            <w:tcW w:w="1418" w:type="dxa"/>
            <w:vAlign w:val="center"/>
          </w:tcPr>
          <w:p w14:paraId="301A99A7" w14:textId="6E031E81" w:rsidR="008D6A91" w:rsidRDefault="008D6A91" w:rsidP="008D6A91">
            <w:pPr>
              <w:jc w:val="center"/>
              <w:rPr>
                <w:rFonts w:cs="Times New Roman"/>
                <w:bCs/>
                <w:i/>
                <w:iCs/>
                <w:sz w:val="20"/>
              </w:rPr>
            </w:pPr>
            <w:r>
              <w:rPr>
                <w:i/>
                <w:iCs/>
                <w:color w:val="00B050"/>
                <w:sz w:val="20"/>
                <w:szCs w:val="20"/>
              </w:rPr>
              <w:t>+3 250 000</w:t>
            </w:r>
          </w:p>
        </w:tc>
        <w:tc>
          <w:tcPr>
            <w:tcW w:w="1407" w:type="dxa"/>
            <w:tcBorders>
              <w:right w:val="nil"/>
            </w:tcBorders>
            <w:vAlign w:val="center"/>
          </w:tcPr>
          <w:p w14:paraId="0785640E" w14:textId="066BC033" w:rsidR="008D6A91" w:rsidRDefault="008D6A91" w:rsidP="008D6A91">
            <w:pPr>
              <w:jc w:val="center"/>
              <w:rPr>
                <w:rFonts w:cs="Times New Roman"/>
                <w:bCs/>
                <w:i/>
                <w:iCs/>
                <w:sz w:val="20"/>
              </w:rPr>
            </w:pPr>
            <w:r>
              <w:rPr>
                <w:i/>
                <w:iCs/>
                <w:color w:val="00B050"/>
                <w:sz w:val="20"/>
                <w:szCs w:val="20"/>
              </w:rPr>
              <w:t>+3 250 000</w:t>
            </w:r>
          </w:p>
        </w:tc>
      </w:tr>
      <w:tr w:rsidR="008D6A91" w14:paraId="47D5CE15" w14:textId="77777777" w:rsidTr="008D6A91">
        <w:tc>
          <w:tcPr>
            <w:tcW w:w="3686" w:type="dxa"/>
            <w:tcBorders>
              <w:left w:val="nil"/>
              <w:bottom w:val="nil"/>
            </w:tcBorders>
            <w:vAlign w:val="center"/>
          </w:tcPr>
          <w:p w14:paraId="0F9E1B26" w14:textId="704FD218" w:rsidR="008D6A91" w:rsidRPr="002B6702" w:rsidRDefault="008D6A91" w:rsidP="008D6A91">
            <w:pPr>
              <w:rPr>
                <w:i/>
                <w:iCs/>
                <w:sz w:val="20"/>
                <w:szCs w:val="20"/>
              </w:rPr>
            </w:pPr>
            <w:r>
              <w:rPr>
                <w:i/>
                <w:iCs/>
                <w:sz w:val="20"/>
                <w:szCs w:val="20"/>
              </w:rPr>
              <w:t>pašvaldību budžetos</w:t>
            </w:r>
          </w:p>
        </w:tc>
        <w:tc>
          <w:tcPr>
            <w:tcW w:w="1134" w:type="dxa"/>
            <w:tcBorders>
              <w:bottom w:val="nil"/>
            </w:tcBorders>
            <w:vAlign w:val="center"/>
          </w:tcPr>
          <w:p w14:paraId="3F844BF5" w14:textId="2BBF5124" w:rsidR="008D6A91" w:rsidRDefault="008D6A91" w:rsidP="008D6A91">
            <w:pPr>
              <w:jc w:val="center"/>
              <w:rPr>
                <w:rFonts w:cs="Times New Roman"/>
                <w:bCs/>
                <w:i/>
                <w:iCs/>
                <w:sz w:val="20"/>
              </w:rPr>
            </w:pPr>
            <w:r>
              <w:rPr>
                <w:rFonts w:cs="Times New Roman"/>
                <w:bCs/>
                <w:i/>
                <w:iCs/>
                <w:sz w:val="20"/>
              </w:rPr>
              <w:t>-</w:t>
            </w:r>
          </w:p>
        </w:tc>
        <w:tc>
          <w:tcPr>
            <w:tcW w:w="1417" w:type="dxa"/>
            <w:tcBorders>
              <w:bottom w:val="nil"/>
            </w:tcBorders>
            <w:vAlign w:val="center"/>
          </w:tcPr>
          <w:p w14:paraId="5162D6F6" w14:textId="02376D65" w:rsidR="008D6A91" w:rsidRDefault="008D6A91" w:rsidP="008D6A91">
            <w:pPr>
              <w:jc w:val="center"/>
              <w:rPr>
                <w:i/>
                <w:iCs/>
                <w:color w:val="00B050"/>
                <w:sz w:val="20"/>
                <w:szCs w:val="20"/>
              </w:rPr>
            </w:pPr>
            <w:r>
              <w:rPr>
                <w:i/>
                <w:iCs/>
                <w:color w:val="00B050"/>
                <w:sz w:val="20"/>
                <w:szCs w:val="20"/>
              </w:rPr>
              <w:t>+9 750 000</w:t>
            </w:r>
          </w:p>
        </w:tc>
        <w:tc>
          <w:tcPr>
            <w:tcW w:w="1418" w:type="dxa"/>
            <w:tcBorders>
              <w:bottom w:val="nil"/>
            </w:tcBorders>
            <w:vAlign w:val="center"/>
          </w:tcPr>
          <w:p w14:paraId="57DD76DA" w14:textId="4ED471A7" w:rsidR="008D6A91" w:rsidRDefault="008D6A91" w:rsidP="008D6A91">
            <w:pPr>
              <w:jc w:val="center"/>
              <w:rPr>
                <w:i/>
                <w:iCs/>
                <w:color w:val="00B050"/>
                <w:sz w:val="20"/>
                <w:szCs w:val="20"/>
              </w:rPr>
            </w:pPr>
            <w:r>
              <w:rPr>
                <w:i/>
                <w:iCs/>
                <w:color w:val="00B050"/>
                <w:sz w:val="20"/>
                <w:szCs w:val="20"/>
              </w:rPr>
              <w:t>+9 750 000</w:t>
            </w:r>
          </w:p>
        </w:tc>
        <w:tc>
          <w:tcPr>
            <w:tcW w:w="1407" w:type="dxa"/>
            <w:tcBorders>
              <w:bottom w:val="nil"/>
              <w:right w:val="nil"/>
            </w:tcBorders>
            <w:vAlign w:val="center"/>
          </w:tcPr>
          <w:p w14:paraId="66258114" w14:textId="500856F2" w:rsidR="008D6A91" w:rsidRDefault="008D6A91" w:rsidP="008D6A91">
            <w:pPr>
              <w:jc w:val="center"/>
              <w:rPr>
                <w:i/>
                <w:iCs/>
                <w:color w:val="00B050"/>
                <w:sz w:val="20"/>
                <w:szCs w:val="20"/>
              </w:rPr>
            </w:pPr>
            <w:r>
              <w:rPr>
                <w:i/>
                <w:iCs/>
                <w:color w:val="00B050"/>
                <w:sz w:val="20"/>
                <w:szCs w:val="20"/>
              </w:rPr>
              <w:t>+9 750 000</w:t>
            </w:r>
          </w:p>
        </w:tc>
      </w:tr>
    </w:tbl>
    <w:p w14:paraId="3E862460" w14:textId="77777777" w:rsidR="00542971" w:rsidRPr="000203BA" w:rsidRDefault="00542971" w:rsidP="008F3CBD">
      <w:pPr>
        <w:tabs>
          <w:tab w:val="left" w:pos="426"/>
        </w:tabs>
        <w:spacing w:before="80"/>
        <w:rPr>
          <w:rFonts w:cs="Times New Roman"/>
          <w:i/>
          <w:sz w:val="18"/>
        </w:rPr>
      </w:pPr>
      <w:r w:rsidRPr="000203BA">
        <w:rPr>
          <w:rFonts w:cs="Times New Roman"/>
          <w:b/>
          <w:bCs/>
          <w:i/>
          <w:sz w:val="18"/>
        </w:rPr>
        <w:t>Avots</w:t>
      </w:r>
      <w:r w:rsidRPr="000203BA">
        <w:rPr>
          <w:rFonts w:cs="Times New Roman"/>
          <w:i/>
          <w:sz w:val="18"/>
        </w:rPr>
        <w:t>: FM aprēķini.</w:t>
      </w:r>
    </w:p>
    <w:p w14:paraId="39BED405" w14:textId="77777777" w:rsidR="008F3CBD" w:rsidRPr="00C217F4" w:rsidRDefault="008F3CBD" w:rsidP="008F3CBD">
      <w:pPr>
        <w:rPr>
          <w:sz w:val="12"/>
          <w:szCs w:val="12"/>
        </w:rPr>
      </w:pPr>
      <w:bookmarkStart w:id="12" w:name="_Toc176965766"/>
    </w:p>
    <w:p w14:paraId="0D5B7D74" w14:textId="3C7D9B62" w:rsidR="00455DD7" w:rsidRPr="00CF5E9C" w:rsidRDefault="00455DD7" w:rsidP="00C217F4">
      <w:pPr>
        <w:pStyle w:val="Heading2"/>
        <w:numPr>
          <w:ilvl w:val="1"/>
          <w:numId w:val="19"/>
        </w:numPr>
        <w:ind w:left="567" w:hanging="567"/>
        <w:rPr>
          <w:bCs/>
          <w:color w:val="000000"/>
          <w:sz w:val="28"/>
          <w:szCs w:val="28"/>
        </w:rPr>
      </w:pPr>
      <w:bookmarkStart w:id="13" w:name="_Toc177627699"/>
      <w:r w:rsidRPr="00CF5E9C">
        <w:rPr>
          <w:bCs/>
          <w:color w:val="000000"/>
          <w:sz w:val="28"/>
          <w:szCs w:val="28"/>
        </w:rPr>
        <w:t>Valsts sociālās apdrošināšanas obligāto iemaksu un brīvprātīgo apdrošināšanas iemaksu objekta maksimālā apmēra palielināšana</w:t>
      </w:r>
      <w:bookmarkEnd w:id="12"/>
      <w:bookmarkEnd w:id="13"/>
    </w:p>
    <w:p w14:paraId="09E8824B" w14:textId="61673B24" w:rsidR="00455DD7" w:rsidRPr="00CF5E9C" w:rsidRDefault="00455DD7" w:rsidP="00455DD7">
      <w:pPr>
        <w:spacing w:after="120"/>
        <w:ind w:firstLine="567"/>
        <w:jc w:val="both"/>
      </w:pPr>
      <w:r w:rsidRPr="00CF5E9C">
        <w:t xml:space="preserve">Likuma </w:t>
      </w:r>
      <w:r w:rsidRPr="00CF5E9C">
        <w:rPr>
          <w:i/>
          <w:iCs/>
        </w:rPr>
        <w:t>“Par valsts sociālo apdrošināšanu”</w:t>
      </w:r>
      <w:r w:rsidRPr="00CF5E9C">
        <w:t xml:space="preserve"> 14.</w:t>
      </w:r>
      <w:r w:rsidR="00CF5E9C">
        <w:t> </w:t>
      </w:r>
      <w:r w:rsidRPr="00CF5E9C">
        <w:t xml:space="preserve">panta piektā daļa paredz, ka no 2019. gada 1. janvāra VSAOI un brīvprātīgo apdrošināšanas iemaksu objekta maksimālais apmērs tiek aprēķināts un noteikts </w:t>
      </w:r>
      <w:r w:rsidRPr="00CF5E9C">
        <w:rPr>
          <w:b/>
        </w:rPr>
        <w:t>trim gadiem</w:t>
      </w:r>
      <w:r w:rsidRPr="00CF5E9C">
        <w:t xml:space="preserve">, ņemot vērā iepriekšējā perioda iemaksu objekta maksimālo apmēru, nākamajiem trim kalendāra gadiem Finanšu ministrijas prognozētās tautsaimniecībā nodarbināto mēneša vidējās bruto darba samaksas vidējo pieaugumu vai samazinājumu un iepriekšējā aprēķina perioda faktisko tautsaimniecībā nodarbināto mēneša vidējās bruto darba samaksas vidējo pieaugumu vai samazinājumu. </w:t>
      </w:r>
    </w:p>
    <w:p w14:paraId="37DB1EBC" w14:textId="19AF89DA" w:rsidR="00455DD7" w:rsidRPr="00CF5E9C" w:rsidRDefault="00455DD7" w:rsidP="00455DD7">
      <w:pPr>
        <w:spacing w:after="120"/>
        <w:ind w:firstLine="567"/>
        <w:jc w:val="both"/>
        <w:rPr>
          <w:i/>
          <w:iCs/>
        </w:rPr>
      </w:pPr>
      <w:r w:rsidRPr="00CF5E9C">
        <w:t xml:space="preserve">VSAOI objekta maksimālā apmēra noteikšanas kārtību nosaka Ministru kabineta 2021. gada 17. augusta noteikumi Nr. 555 </w:t>
      </w:r>
      <w:r w:rsidRPr="00CF5E9C">
        <w:rPr>
          <w:i/>
          <w:iCs/>
        </w:rPr>
        <w:t>“Noteikumi par valsts sociālās apdrošināšanas obligāto un brīvprātīgo iemaksu objekta minimālo un maksimālo apmēru”</w:t>
      </w:r>
      <w:r w:rsidRPr="00CF5E9C">
        <w:t xml:space="preserve"> </w:t>
      </w:r>
      <w:r w:rsidRPr="00CF5E9C">
        <w:rPr>
          <w:i/>
          <w:iCs/>
        </w:rPr>
        <w:t>(turpmāk - Ministru kabineta noteikumi Nr.555).</w:t>
      </w:r>
    </w:p>
    <w:p w14:paraId="6C36E192" w14:textId="4FB3BCDD" w:rsidR="00455DD7" w:rsidRPr="00CF5E9C" w:rsidRDefault="00455DD7" w:rsidP="00455DD7">
      <w:pPr>
        <w:spacing w:after="120"/>
        <w:ind w:firstLine="567"/>
        <w:jc w:val="both"/>
      </w:pPr>
      <w:r w:rsidRPr="00CF5E9C">
        <w:t xml:space="preserve">VSAOI un brīvprātīgo iemaksu objekta maksimālais apmērs no 2019. līdz 2021. gada bija </w:t>
      </w:r>
      <w:r w:rsidRPr="00CF5E9C">
        <w:rPr>
          <w:b/>
          <w:bCs/>
        </w:rPr>
        <w:t>62 800</w:t>
      </w:r>
      <w:r w:rsidRPr="00CF5E9C">
        <w:t xml:space="preserve"> </w:t>
      </w:r>
      <w:r w:rsidRPr="00CF5E9C">
        <w:rPr>
          <w:i/>
        </w:rPr>
        <w:t>euro</w:t>
      </w:r>
      <w:r w:rsidRPr="00CF5E9C">
        <w:t xml:space="preserve">, bet no 2022. līdz 2024. gadam – </w:t>
      </w:r>
      <w:r w:rsidRPr="00CF5E9C">
        <w:rPr>
          <w:b/>
          <w:bCs/>
        </w:rPr>
        <w:t>78 100</w:t>
      </w:r>
      <w:r w:rsidRPr="00CF5E9C">
        <w:t xml:space="preserve"> </w:t>
      </w:r>
      <w:r w:rsidRPr="00CF5E9C">
        <w:rPr>
          <w:i/>
        </w:rPr>
        <w:t>euro</w:t>
      </w:r>
      <w:r w:rsidRPr="00CF5E9C">
        <w:t>.</w:t>
      </w:r>
    </w:p>
    <w:p w14:paraId="10787EA0" w14:textId="5054AD9E" w:rsidR="00455DD7" w:rsidRPr="00CF5E9C" w:rsidRDefault="00455DD7" w:rsidP="00455DD7">
      <w:pPr>
        <w:spacing w:after="120"/>
        <w:ind w:firstLine="567"/>
        <w:jc w:val="both"/>
      </w:pPr>
      <w:r w:rsidRPr="00CF5E9C">
        <w:t xml:space="preserve">Līdz ar to ir </w:t>
      </w:r>
      <w:r w:rsidR="00AF172F" w:rsidRPr="00CF5E9C">
        <w:t>plānots</w:t>
      </w:r>
      <w:r w:rsidRPr="00CF5E9C">
        <w:t xml:space="preserve"> veikt </w:t>
      </w:r>
      <w:bookmarkStart w:id="14" w:name="_Hlk176965620"/>
      <w:r w:rsidRPr="00CF5E9C">
        <w:t>VSAOI un brīvprātīgo apdrošināšanas iemaksu objekta maksimālā apmēra aktualizāciju (pārrēķinu</w:t>
      </w:r>
      <w:bookmarkEnd w:id="14"/>
      <w:r w:rsidRPr="00CF5E9C">
        <w:t>). Veicot aprēķinus atbilstoši Ministru kabineta noteikumiem Nr.</w:t>
      </w:r>
      <w:r w:rsidR="00CF5E9C">
        <w:t> </w:t>
      </w:r>
      <w:r w:rsidRPr="00CF5E9C">
        <w:t>555, turpmākos trīs gadus (no 2025. līdz 2027.</w:t>
      </w:r>
      <w:r w:rsidR="00CF5E9C">
        <w:t> </w:t>
      </w:r>
      <w:r w:rsidRPr="00CF5E9C">
        <w:t xml:space="preserve">gadam) VSAOI un brīvprātīgo apdrošināšanas iemaksu objekta maksimālais apmērs tiek noteikts </w:t>
      </w:r>
      <w:r w:rsidRPr="00CF5E9C">
        <w:rPr>
          <w:b/>
          <w:color w:val="FF0000"/>
        </w:rPr>
        <w:t>105 300</w:t>
      </w:r>
      <w:r w:rsidRPr="00CF5E9C">
        <w:rPr>
          <w:b/>
        </w:rPr>
        <w:t xml:space="preserve"> </w:t>
      </w:r>
      <w:r w:rsidRPr="00CF5E9C">
        <w:rPr>
          <w:bCs/>
          <w:i/>
        </w:rPr>
        <w:t>euro</w:t>
      </w:r>
      <w:r w:rsidRPr="00CF5E9C">
        <w:t xml:space="preserve"> apmērā.</w:t>
      </w:r>
    </w:p>
    <w:p w14:paraId="60248639" w14:textId="77777777" w:rsidR="00C217F4" w:rsidRDefault="00455DD7" w:rsidP="00455DD7">
      <w:pPr>
        <w:spacing w:after="120"/>
        <w:ind w:firstLine="567"/>
        <w:jc w:val="both"/>
      </w:pPr>
      <w:r w:rsidRPr="00CF5E9C">
        <w:tab/>
        <w:t>Nākamā VSAOI un brīvprātīgo apdrošināšanas iemaksu objekta maksimālā apmēra aktualizācija (pārrēķins) būs nepieciešam</w:t>
      </w:r>
      <w:r w:rsidR="00AF172F" w:rsidRPr="00CF5E9C">
        <w:t>a</w:t>
      </w:r>
      <w:r w:rsidRPr="00CF5E9C">
        <w:t xml:space="preserve"> 2027.</w:t>
      </w:r>
      <w:r w:rsidR="00CF5E9C">
        <w:t> </w:t>
      </w:r>
      <w:r w:rsidRPr="00CF5E9C">
        <w:t>gadā, nosakot VSAOI un brīvprātīgo apdrošināšanas iemaksu objekta maksimālo apmēru nākamajam trīs gadu periodam, t.i., 2028., 2029. un 2030.</w:t>
      </w:r>
      <w:r w:rsidR="00CF5E9C">
        <w:t> </w:t>
      </w:r>
      <w:r w:rsidRPr="00CF5E9C">
        <w:t>gadam.</w:t>
      </w:r>
      <w:r w:rsidRPr="00F46B0E">
        <w:t xml:space="preserve"> </w:t>
      </w:r>
    </w:p>
    <w:p w14:paraId="772A9D11" w14:textId="06CB5AFD" w:rsidR="00FC5CE3" w:rsidRDefault="00C217F4" w:rsidP="00455DD7">
      <w:pPr>
        <w:spacing w:after="120"/>
        <w:ind w:firstLine="567"/>
        <w:jc w:val="both"/>
        <w:rPr>
          <w:rFonts w:eastAsiaTheme="majorEastAsia" w:cstheme="majorBidi"/>
          <w:b/>
          <w:sz w:val="40"/>
          <w:szCs w:val="32"/>
        </w:rPr>
      </w:pPr>
      <w:r>
        <w:rPr>
          <w:rFonts w:eastAsia="Times New Roman" w:cs="Times New Roman"/>
          <w:shd w:val="clear" w:color="auto" w:fill="FFFFFF"/>
          <w:lang w:eastAsia="lv-LV"/>
        </w:rPr>
        <w:lastRenderedPageBreak/>
        <w:t>P</w:t>
      </w:r>
      <w:r w:rsidRPr="000E3528">
        <w:rPr>
          <w:rFonts w:eastAsia="Times New Roman" w:cs="Times New Roman"/>
          <w:shd w:val="clear" w:color="auto" w:fill="FFFFFF"/>
          <w:lang w:eastAsia="lv-LV"/>
        </w:rPr>
        <w:t>riekšlikuma</w:t>
      </w:r>
      <w:r w:rsidRPr="000E3528">
        <w:rPr>
          <w:rFonts w:eastAsia="Times New Roman" w:cs="Times New Roman"/>
          <w:b/>
          <w:bCs/>
          <w:shd w:val="clear" w:color="auto" w:fill="FFFFFF"/>
          <w:lang w:eastAsia="lv-LV"/>
        </w:rPr>
        <w:t xml:space="preserve"> fiskālā ietekme</w:t>
      </w:r>
      <w:r w:rsidRPr="000E3528">
        <w:rPr>
          <w:rFonts w:eastAsia="Times New Roman" w:cs="Times New Roman"/>
          <w:shd w:val="clear" w:color="auto" w:fill="FFFFFF"/>
          <w:lang w:eastAsia="lv-LV"/>
        </w:rPr>
        <w:t xml:space="preserve"> </w:t>
      </w:r>
      <w:r>
        <w:rPr>
          <w:rFonts w:eastAsia="Times New Roman" w:cs="Times New Roman"/>
          <w:shd w:val="clear" w:color="auto" w:fill="FFFFFF"/>
          <w:lang w:eastAsia="lv-LV"/>
        </w:rPr>
        <w:t>jau iekļauta nodokļu ieņēmumu bāzes prognozē</w:t>
      </w:r>
      <w:r w:rsidR="008E364E">
        <w:rPr>
          <w:rFonts w:eastAsia="Times New Roman" w:cs="Times New Roman"/>
          <w:shd w:val="clear" w:color="auto" w:fill="FFFFFF"/>
          <w:lang w:eastAsia="lv-LV"/>
        </w:rPr>
        <w:t>s</w:t>
      </w:r>
      <w:r w:rsidRPr="000E3528">
        <w:rPr>
          <w:rFonts w:eastAsia="Times New Roman" w:cs="Times New Roman"/>
          <w:shd w:val="clear" w:color="auto" w:fill="FFFFFF"/>
          <w:lang w:eastAsia="lv-LV"/>
        </w:rPr>
        <w:t>.</w:t>
      </w:r>
      <w:r w:rsidR="00FC5CE3">
        <w:br w:type="page"/>
      </w:r>
    </w:p>
    <w:p w14:paraId="305B3B05" w14:textId="3C467CB2" w:rsidR="00EA1993" w:rsidRDefault="00EA1993" w:rsidP="00FF31ED">
      <w:pPr>
        <w:pStyle w:val="Heading1"/>
        <w:numPr>
          <w:ilvl w:val="0"/>
          <w:numId w:val="11"/>
        </w:numPr>
      </w:pPr>
      <w:bookmarkStart w:id="15" w:name="_Toc177627700"/>
      <w:r>
        <w:lastRenderedPageBreak/>
        <w:t>Citi pasākumi</w:t>
      </w:r>
      <w:bookmarkEnd w:id="15"/>
    </w:p>
    <w:p w14:paraId="34BF57CF" w14:textId="773AF9F7" w:rsidR="00EA1993" w:rsidRDefault="00EA1993" w:rsidP="00EA1993">
      <w:pPr>
        <w:pStyle w:val="Heading2"/>
        <w:tabs>
          <w:tab w:val="left" w:pos="567"/>
        </w:tabs>
        <w:ind w:left="567" w:hanging="567"/>
        <w:rPr>
          <w:rFonts w:eastAsiaTheme="minorHAnsi"/>
        </w:rPr>
      </w:pPr>
      <w:bookmarkStart w:id="16" w:name="_Toc177627701"/>
      <w:r>
        <w:t>2.1.</w:t>
      </w:r>
      <w:r w:rsidRPr="00EA1993">
        <w:rPr>
          <w:rFonts w:ascii="Verdana" w:eastAsia="Verdana" w:hAnsi="Verdana"/>
          <w:color w:val="000000" w:themeColor="text1"/>
          <w:sz w:val="26"/>
          <w:lang w:eastAsia="lv-LV"/>
        </w:rPr>
        <w:t xml:space="preserve"> </w:t>
      </w:r>
      <w:r w:rsidR="000C6E7C">
        <w:rPr>
          <w:rFonts w:ascii="Verdana" w:eastAsia="Verdana" w:hAnsi="Verdana"/>
          <w:color w:val="000000" w:themeColor="text1"/>
          <w:sz w:val="26"/>
          <w:lang w:eastAsia="lv-LV"/>
        </w:rPr>
        <w:tab/>
      </w:r>
      <w:r w:rsidRPr="00EA1993">
        <w:rPr>
          <w:rFonts w:eastAsiaTheme="minorHAnsi"/>
        </w:rPr>
        <w:t>P</w:t>
      </w:r>
      <w:r w:rsidR="000C6E7C">
        <w:rPr>
          <w:rFonts w:eastAsiaTheme="minorHAnsi"/>
        </w:rPr>
        <w:t xml:space="preserve">ievienotās vērtības nodokļa </w:t>
      </w:r>
      <w:r w:rsidR="00BE2638">
        <w:rPr>
          <w:rFonts w:eastAsiaTheme="minorHAnsi"/>
        </w:rPr>
        <w:t xml:space="preserve">samazinātās </w:t>
      </w:r>
      <w:r w:rsidRPr="00EA1993">
        <w:rPr>
          <w:rFonts w:eastAsiaTheme="minorHAnsi"/>
        </w:rPr>
        <w:t xml:space="preserve">likmes piemērošana arī turpmāk </w:t>
      </w:r>
      <w:r w:rsidR="00BE2638" w:rsidRPr="00EA1993">
        <w:rPr>
          <w:rFonts w:eastAsiaTheme="minorHAnsi"/>
        </w:rPr>
        <w:t>svaigiem augļiem, ogām un dārzeņiem</w:t>
      </w:r>
      <w:bookmarkEnd w:id="16"/>
    </w:p>
    <w:p w14:paraId="2B8A1E5B" w14:textId="4BDC2AF3" w:rsidR="00C63FC3" w:rsidRDefault="000409A0" w:rsidP="00C078BF">
      <w:pPr>
        <w:ind w:firstLine="567"/>
        <w:jc w:val="both"/>
      </w:pPr>
      <w:r w:rsidRPr="000B6BD9">
        <w:t xml:space="preserve">Ņemot vērā </w:t>
      </w:r>
      <w:r w:rsidR="00262531" w:rsidRPr="009B0DE6">
        <w:rPr>
          <w:i/>
          <w:iCs/>
          <w:szCs w:val="24"/>
        </w:rPr>
        <w:t>Nodokļu politikas pilnveidošanas koordinēšanas grup</w:t>
      </w:r>
      <w:r w:rsidR="00262531">
        <w:rPr>
          <w:i/>
          <w:iCs/>
          <w:szCs w:val="24"/>
        </w:rPr>
        <w:t>ā</w:t>
      </w:r>
      <w:r w:rsidR="00262531" w:rsidRPr="000B6BD9">
        <w:t xml:space="preserve"> </w:t>
      </w:r>
      <w:r w:rsidRPr="000B6BD9">
        <w:t>notikušās diskusij</w:t>
      </w:r>
      <w:r w:rsidR="00BE2638" w:rsidRPr="000B6BD9">
        <w:t>a</w:t>
      </w:r>
      <w:r w:rsidRPr="000B6BD9">
        <w:t xml:space="preserve">s, </w:t>
      </w:r>
      <w:r w:rsidR="00096EF5">
        <w:t xml:space="preserve">izteiktos viedokļus un </w:t>
      </w:r>
      <w:r w:rsidR="00367B26">
        <w:t>priekšlikumus</w:t>
      </w:r>
      <w:r w:rsidRPr="000B6BD9">
        <w:t xml:space="preserve"> </w:t>
      </w:r>
      <w:r w:rsidR="00560662" w:rsidRPr="000B6BD9">
        <w:t>piedāvāts</w:t>
      </w:r>
      <w:r w:rsidR="00FB0263" w:rsidRPr="000B6BD9">
        <w:t xml:space="preserve"> </w:t>
      </w:r>
      <w:bookmarkStart w:id="17" w:name="_Hlk175752929"/>
      <w:r w:rsidR="00BE2638" w:rsidRPr="000B6BD9">
        <w:rPr>
          <w:b/>
        </w:rPr>
        <w:t xml:space="preserve">piemērot pievienotās vērtības nodokļa </w:t>
      </w:r>
      <w:r w:rsidR="00BE2638" w:rsidRPr="000B6BD9">
        <w:rPr>
          <w:bCs/>
          <w:i/>
          <w:iCs/>
        </w:rPr>
        <w:t>(turpmāk – PVN)</w:t>
      </w:r>
      <w:r w:rsidR="00BE2638" w:rsidRPr="000B6BD9">
        <w:rPr>
          <w:b/>
        </w:rPr>
        <w:t xml:space="preserve"> samazināto likmi </w:t>
      </w:r>
      <w:r w:rsidR="00BE2638" w:rsidRPr="000B6BD9">
        <w:rPr>
          <w:b/>
          <w:bCs/>
          <w:color w:val="FF0000"/>
        </w:rPr>
        <w:t>12%</w:t>
      </w:r>
      <w:r w:rsidR="00BE2638" w:rsidRPr="000B6BD9">
        <w:t xml:space="preserve"> apmērā </w:t>
      </w:r>
      <w:bookmarkStart w:id="18" w:name="_Hlk175752862"/>
      <w:r w:rsidR="00BE2638" w:rsidRPr="000B6BD9">
        <w:rPr>
          <w:i/>
          <w:iCs/>
        </w:rPr>
        <w:t>Pievienotās vērtības nodokļa likuma</w:t>
      </w:r>
      <w:bookmarkEnd w:id="18"/>
      <w:r w:rsidR="00BE2638" w:rsidRPr="000B6BD9">
        <w:t xml:space="preserve"> pielikumā minētajiem svaigiem augļiem, ogām un dārzeņiem arī turpmāk </w:t>
      </w:r>
      <w:r w:rsidRPr="000B6BD9">
        <w:t xml:space="preserve">līdz nākamajam izvērtēšanas periodam, proti, </w:t>
      </w:r>
      <w:r w:rsidRPr="000B6BD9">
        <w:rPr>
          <w:b/>
          <w:bCs/>
        </w:rPr>
        <w:t>līdz 202</w:t>
      </w:r>
      <w:r w:rsidR="007014B7" w:rsidRPr="000B6BD9">
        <w:rPr>
          <w:b/>
          <w:bCs/>
        </w:rPr>
        <w:t>8</w:t>
      </w:r>
      <w:r w:rsidRPr="000B6BD9">
        <w:rPr>
          <w:b/>
          <w:bCs/>
        </w:rPr>
        <w:t>.</w:t>
      </w:r>
      <w:r w:rsidR="007014B7" w:rsidRPr="000B6BD9">
        <w:rPr>
          <w:b/>
          <w:bCs/>
        </w:rPr>
        <w:t xml:space="preserve"> </w:t>
      </w:r>
      <w:r w:rsidRPr="000B6BD9">
        <w:rPr>
          <w:b/>
          <w:bCs/>
        </w:rPr>
        <w:t>gada 31.</w:t>
      </w:r>
      <w:r w:rsidR="007014B7" w:rsidRPr="000B6BD9">
        <w:rPr>
          <w:b/>
          <w:bCs/>
        </w:rPr>
        <w:t xml:space="preserve"> </w:t>
      </w:r>
      <w:r w:rsidRPr="000B6BD9">
        <w:rPr>
          <w:b/>
          <w:bCs/>
        </w:rPr>
        <w:t>decembrim</w:t>
      </w:r>
      <w:bookmarkEnd w:id="17"/>
      <w:r w:rsidRPr="000B6BD9">
        <w:t>.</w:t>
      </w:r>
      <w:r w:rsidRPr="00BE2638">
        <w:t xml:space="preserve"> </w:t>
      </w:r>
    </w:p>
    <w:p w14:paraId="173C3748" w14:textId="741573BB" w:rsidR="00EA1993" w:rsidRDefault="00EA1993" w:rsidP="00C078BF">
      <w:pPr>
        <w:ind w:firstLine="567"/>
        <w:jc w:val="both"/>
      </w:pPr>
    </w:p>
    <w:p w14:paraId="391A7709" w14:textId="6AF18095" w:rsidR="00FC5CE3" w:rsidRPr="002E0A09" w:rsidRDefault="002111E5" w:rsidP="00FC5CE3">
      <w:pPr>
        <w:spacing w:after="120"/>
        <w:jc w:val="center"/>
        <w:rPr>
          <w:rFonts w:cs="Times New Roman"/>
          <w:sz w:val="20"/>
        </w:rPr>
      </w:pPr>
      <w:r>
        <w:rPr>
          <w:rFonts w:cs="Times New Roman"/>
          <w:sz w:val="20"/>
        </w:rPr>
        <w:t>1</w:t>
      </w:r>
      <w:r w:rsidR="00725CD9">
        <w:rPr>
          <w:rFonts w:cs="Times New Roman"/>
          <w:sz w:val="20"/>
        </w:rPr>
        <w:t>0</w:t>
      </w:r>
      <w:r w:rsidR="00FC5CE3" w:rsidRPr="00D03788">
        <w:rPr>
          <w:rFonts w:cs="Times New Roman"/>
          <w:sz w:val="20"/>
        </w:rPr>
        <w:t>.tab</w:t>
      </w:r>
      <w:r w:rsidR="00FC5CE3" w:rsidRPr="002E0A09">
        <w:rPr>
          <w:rFonts w:cs="Times New Roman"/>
          <w:bCs/>
          <w:sz w:val="20"/>
        </w:rPr>
        <w:t>.</w:t>
      </w:r>
      <w:r w:rsidR="00FC5CE3" w:rsidRPr="002E0A09">
        <w:rPr>
          <w:rFonts w:cs="Times New Roman"/>
          <w:b/>
          <w:sz w:val="20"/>
        </w:rPr>
        <w:t xml:space="preserve"> Priekšlikuma indikatīva fiskālā ietekme</w:t>
      </w:r>
      <w:r w:rsidR="00FC5CE3" w:rsidRPr="002E0A09">
        <w:rPr>
          <w:rFonts w:cs="Times New Roman"/>
          <w:bCs/>
          <w:sz w:val="20"/>
        </w:rPr>
        <w:t>,</w:t>
      </w:r>
      <w:r w:rsidR="00FC5CE3" w:rsidRPr="002E0A09">
        <w:rPr>
          <w:rFonts w:cs="Times New Roman"/>
          <w:bCs/>
          <w:i/>
          <w:iCs/>
          <w:sz w:val="20"/>
        </w:rPr>
        <w:t> euro</w:t>
      </w:r>
    </w:p>
    <w:tbl>
      <w:tblPr>
        <w:tblStyle w:val="TableGrid"/>
        <w:tblW w:w="9067" w:type="dxa"/>
        <w:tblInd w:w="5" w:type="dxa"/>
        <w:tblLook w:val="04A0" w:firstRow="1" w:lastRow="0" w:firstColumn="1" w:lastColumn="0" w:noHBand="0" w:noVBand="1"/>
      </w:tblPr>
      <w:tblGrid>
        <w:gridCol w:w="3672"/>
        <w:gridCol w:w="1376"/>
        <w:gridCol w:w="1375"/>
        <w:gridCol w:w="1375"/>
        <w:gridCol w:w="1269"/>
      </w:tblGrid>
      <w:tr w:rsidR="00FC5CE3" w:rsidRPr="00D738ED" w14:paraId="009AE0E1" w14:textId="77777777" w:rsidTr="00005BE2">
        <w:tc>
          <w:tcPr>
            <w:tcW w:w="3672" w:type="dxa"/>
            <w:tcBorders>
              <w:top w:val="nil"/>
              <w:left w:val="nil"/>
              <w:bottom w:val="single" w:sz="8" w:space="0" w:color="auto"/>
              <w:right w:val="nil"/>
            </w:tcBorders>
            <w:shd w:val="clear" w:color="auto" w:fill="FFFFFF" w:themeFill="background1"/>
          </w:tcPr>
          <w:p w14:paraId="47556558" w14:textId="77777777" w:rsidR="00FC5CE3" w:rsidRPr="00C11875" w:rsidRDefault="00FC5CE3" w:rsidP="00005BE2">
            <w:pPr>
              <w:pStyle w:val="ListParagraph"/>
              <w:ind w:left="0"/>
              <w:contextualSpacing w:val="0"/>
              <w:jc w:val="center"/>
              <w:rPr>
                <w:b/>
                <w:bCs/>
                <w:sz w:val="20"/>
                <w:szCs w:val="20"/>
              </w:rPr>
            </w:pPr>
          </w:p>
        </w:tc>
        <w:tc>
          <w:tcPr>
            <w:tcW w:w="1376" w:type="dxa"/>
            <w:tcBorders>
              <w:top w:val="nil"/>
              <w:left w:val="nil"/>
              <w:bottom w:val="single" w:sz="8" w:space="0" w:color="auto"/>
              <w:right w:val="nil"/>
            </w:tcBorders>
            <w:shd w:val="clear" w:color="auto" w:fill="FFFFFF" w:themeFill="background1"/>
            <w:vAlign w:val="bottom"/>
          </w:tcPr>
          <w:p w14:paraId="321DA8FA" w14:textId="77777777" w:rsidR="00FC5CE3" w:rsidRPr="00C11875" w:rsidRDefault="00FC5CE3" w:rsidP="00005BE2">
            <w:pPr>
              <w:pStyle w:val="ListParagraph"/>
              <w:ind w:left="0"/>
              <w:contextualSpacing w:val="0"/>
              <w:jc w:val="center"/>
              <w:rPr>
                <w:b/>
                <w:bCs/>
                <w:sz w:val="20"/>
                <w:szCs w:val="20"/>
              </w:rPr>
            </w:pPr>
            <w:r w:rsidRPr="00C11875">
              <w:rPr>
                <w:b/>
                <w:bCs/>
                <w:sz w:val="20"/>
                <w:szCs w:val="20"/>
              </w:rPr>
              <w:t>2025</w:t>
            </w:r>
          </w:p>
        </w:tc>
        <w:tc>
          <w:tcPr>
            <w:tcW w:w="1375" w:type="dxa"/>
            <w:tcBorders>
              <w:top w:val="nil"/>
              <w:left w:val="nil"/>
              <w:bottom w:val="single" w:sz="8" w:space="0" w:color="auto"/>
              <w:right w:val="nil"/>
            </w:tcBorders>
            <w:shd w:val="clear" w:color="auto" w:fill="FFFFFF" w:themeFill="background1"/>
            <w:vAlign w:val="bottom"/>
          </w:tcPr>
          <w:p w14:paraId="36E847A7" w14:textId="77777777" w:rsidR="00FC5CE3" w:rsidRPr="00C11875" w:rsidRDefault="00FC5CE3" w:rsidP="00005BE2">
            <w:pPr>
              <w:pStyle w:val="ListParagraph"/>
              <w:ind w:left="0"/>
              <w:contextualSpacing w:val="0"/>
              <w:jc w:val="center"/>
              <w:rPr>
                <w:b/>
                <w:bCs/>
                <w:sz w:val="20"/>
                <w:szCs w:val="20"/>
              </w:rPr>
            </w:pPr>
            <w:r w:rsidRPr="00C11875">
              <w:rPr>
                <w:b/>
                <w:bCs/>
                <w:sz w:val="20"/>
                <w:szCs w:val="20"/>
              </w:rPr>
              <w:t>2026</w:t>
            </w:r>
          </w:p>
        </w:tc>
        <w:tc>
          <w:tcPr>
            <w:tcW w:w="1375" w:type="dxa"/>
            <w:tcBorders>
              <w:top w:val="nil"/>
              <w:left w:val="nil"/>
              <w:bottom w:val="single" w:sz="8" w:space="0" w:color="auto"/>
              <w:right w:val="nil"/>
            </w:tcBorders>
            <w:shd w:val="clear" w:color="auto" w:fill="FFFFFF" w:themeFill="background1"/>
            <w:vAlign w:val="bottom"/>
          </w:tcPr>
          <w:p w14:paraId="08119A6D" w14:textId="77777777" w:rsidR="00FC5CE3" w:rsidRPr="00C11875" w:rsidRDefault="00FC5CE3" w:rsidP="00005BE2">
            <w:pPr>
              <w:pStyle w:val="ListParagraph"/>
              <w:ind w:left="0"/>
              <w:contextualSpacing w:val="0"/>
              <w:jc w:val="center"/>
              <w:rPr>
                <w:b/>
                <w:bCs/>
                <w:sz w:val="20"/>
                <w:szCs w:val="20"/>
              </w:rPr>
            </w:pPr>
            <w:r w:rsidRPr="00C11875">
              <w:rPr>
                <w:b/>
                <w:bCs/>
                <w:sz w:val="20"/>
                <w:szCs w:val="20"/>
              </w:rPr>
              <w:t>2027</w:t>
            </w:r>
          </w:p>
        </w:tc>
        <w:tc>
          <w:tcPr>
            <w:tcW w:w="1269" w:type="dxa"/>
            <w:tcBorders>
              <w:top w:val="nil"/>
              <w:left w:val="nil"/>
              <w:bottom w:val="single" w:sz="8" w:space="0" w:color="auto"/>
              <w:right w:val="nil"/>
            </w:tcBorders>
            <w:shd w:val="clear" w:color="auto" w:fill="FFFFFF" w:themeFill="background1"/>
          </w:tcPr>
          <w:p w14:paraId="265E0963" w14:textId="77777777" w:rsidR="00FC5CE3" w:rsidRPr="00C11875" w:rsidRDefault="00FC5CE3" w:rsidP="00005BE2">
            <w:pPr>
              <w:pStyle w:val="ListParagraph"/>
              <w:ind w:left="0"/>
              <w:contextualSpacing w:val="0"/>
              <w:jc w:val="center"/>
              <w:rPr>
                <w:b/>
                <w:bCs/>
                <w:sz w:val="20"/>
                <w:szCs w:val="20"/>
              </w:rPr>
            </w:pPr>
            <w:r w:rsidRPr="00C11875">
              <w:rPr>
                <w:b/>
                <w:bCs/>
                <w:sz w:val="20"/>
                <w:szCs w:val="20"/>
              </w:rPr>
              <w:t>2028</w:t>
            </w:r>
          </w:p>
        </w:tc>
      </w:tr>
      <w:tr w:rsidR="00FC5CE3" w:rsidRPr="00F53BA5" w14:paraId="149D3723" w14:textId="77777777" w:rsidTr="00FC5CE3">
        <w:tc>
          <w:tcPr>
            <w:tcW w:w="3672" w:type="dxa"/>
            <w:tcBorders>
              <w:top w:val="single" w:sz="4" w:space="0" w:color="auto"/>
              <w:left w:val="nil"/>
              <w:bottom w:val="single" w:sz="4" w:space="0" w:color="auto"/>
            </w:tcBorders>
            <w:shd w:val="clear" w:color="auto" w:fill="E7E6E6" w:themeFill="background2"/>
            <w:vAlign w:val="center"/>
          </w:tcPr>
          <w:p w14:paraId="1508DE38" w14:textId="04E1F2A6" w:rsidR="00FC5CE3" w:rsidRPr="002B6702" w:rsidRDefault="00FC5CE3" w:rsidP="00005BE2">
            <w:pPr>
              <w:pStyle w:val="ListParagraph"/>
              <w:ind w:left="0"/>
              <w:contextualSpacing w:val="0"/>
              <w:jc w:val="left"/>
              <w:rPr>
                <w:sz w:val="20"/>
                <w:szCs w:val="20"/>
              </w:rPr>
            </w:pPr>
            <w:r w:rsidRPr="00FC5CE3">
              <w:rPr>
                <w:b/>
                <w:bCs/>
                <w:sz w:val="20"/>
                <w:szCs w:val="20"/>
              </w:rPr>
              <w:t>PVN ieņēmumi</w:t>
            </w:r>
            <w:r w:rsidRPr="002B6702">
              <w:rPr>
                <w:i/>
                <w:iCs/>
                <w:sz w:val="20"/>
                <w:szCs w:val="20"/>
              </w:rPr>
              <w:t>, no tā:</w:t>
            </w:r>
          </w:p>
        </w:tc>
        <w:tc>
          <w:tcPr>
            <w:tcW w:w="1376" w:type="dxa"/>
            <w:tcBorders>
              <w:top w:val="single" w:sz="4" w:space="0" w:color="auto"/>
              <w:bottom w:val="single" w:sz="4" w:space="0" w:color="auto"/>
            </w:tcBorders>
            <w:shd w:val="clear" w:color="auto" w:fill="E7E6E6" w:themeFill="background2"/>
            <w:vAlign w:val="center"/>
          </w:tcPr>
          <w:p w14:paraId="1041C072" w14:textId="32552CF9" w:rsidR="00FC5CE3" w:rsidRPr="00FC5CE3" w:rsidRDefault="00FC5CE3" w:rsidP="00005BE2">
            <w:pPr>
              <w:pStyle w:val="ListParagraph"/>
              <w:ind w:left="0"/>
              <w:contextualSpacing w:val="0"/>
              <w:jc w:val="center"/>
              <w:rPr>
                <w:b/>
                <w:bCs/>
                <w:color w:val="C00000"/>
                <w:sz w:val="20"/>
                <w:szCs w:val="20"/>
              </w:rPr>
            </w:pPr>
            <w:r w:rsidRPr="00FC5CE3">
              <w:rPr>
                <w:b/>
                <w:bCs/>
                <w:color w:val="C00000"/>
                <w:sz w:val="20"/>
                <w:szCs w:val="20"/>
              </w:rPr>
              <w:t>-17</w:t>
            </w:r>
            <w:r w:rsidR="008D6A91">
              <w:rPr>
                <w:b/>
                <w:bCs/>
                <w:color w:val="C00000"/>
                <w:sz w:val="20"/>
                <w:szCs w:val="20"/>
              </w:rPr>
              <w:t> </w:t>
            </w:r>
            <w:r w:rsidR="002C47B1" w:rsidRPr="00FC5CE3">
              <w:rPr>
                <w:b/>
                <w:bCs/>
                <w:color w:val="C00000"/>
                <w:sz w:val="20"/>
                <w:szCs w:val="20"/>
              </w:rPr>
              <w:t>1</w:t>
            </w:r>
            <w:r w:rsidR="002C47B1">
              <w:rPr>
                <w:b/>
                <w:bCs/>
                <w:color w:val="C00000"/>
                <w:sz w:val="20"/>
                <w:szCs w:val="20"/>
              </w:rPr>
              <w:t>0</w:t>
            </w:r>
            <w:r w:rsidR="002C47B1" w:rsidRPr="00FC5CE3">
              <w:rPr>
                <w:b/>
                <w:bCs/>
                <w:color w:val="C00000"/>
                <w:sz w:val="20"/>
                <w:szCs w:val="20"/>
              </w:rPr>
              <w:t>0</w:t>
            </w:r>
            <w:r w:rsidR="008D6A91">
              <w:rPr>
                <w:b/>
                <w:bCs/>
                <w:color w:val="C00000"/>
                <w:sz w:val="20"/>
                <w:szCs w:val="20"/>
              </w:rPr>
              <w:t xml:space="preserve"> 000</w:t>
            </w:r>
          </w:p>
        </w:tc>
        <w:tc>
          <w:tcPr>
            <w:tcW w:w="1375" w:type="dxa"/>
            <w:tcBorders>
              <w:top w:val="single" w:sz="4" w:space="0" w:color="auto"/>
              <w:bottom w:val="single" w:sz="4" w:space="0" w:color="auto"/>
            </w:tcBorders>
            <w:shd w:val="clear" w:color="auto" w:fill="E7E6E6" w:themeFill="background2"/>
            <w:vAlign w:val="center"/>
          </w:tcPr>
          <w:p w14:paraId="45808E6F" w14:textId="6E75A0C3" w:rsidR="00FC5CE3" w:rsidRPr="00FC5CE3" w:rsidRDefault="00FC5CE3" w:rsidP="00005BE2">
            <w:pPr>
              <w:pStyle w:val="ListParagraph"/>
              <w:ind w:left="0"/>
              <w:contextualSpacing w:val="0"/>
              <w:jc w:val="center"/>
              <w:rPr>
                <w:b/>
                <w:bCs/>
                <w:color w:val="C00000"/>
                <w:sz w:val="20"/>
                <w:szCs w:val="20"/>
              </w:rPr>
            </w:pPr>
            <w:r w:rsidRPr="00FC5CE3">
              <w:rPr>
                <w:b/>
                <w:bCs/>
                <w:color w:val="C00000"/>
                <w:sz w:val="20"/>
                <w:szCs w:val="20"/>
              </w:rPr>
              <w:t>-19</w:t>
            </w:r>
            <w:r w:rsidR="008D6A91">
              <w:rPr>
                <w:b/>
                <w:bCs/>
                <w:color w:val="C00000"/>
                <w:sz w:val="20"/>
                <w:szCs w:val="20"/>
              </w:rPr>
              <w:t> </w:t>
            </w:r>
            <w:r w:rsidRPr="00FC5CE3">
              <w:rPr>
                <w:b/>
                <w:bCs/>
                <w:color w:val="C00000"/>
                <w:sz w:val="20"/>
                <w:szCs w:val="20"/>
              </w:rPr>
              <w:t>100</w:t>
            </w:r>
            <w:r w:rsidR="008D6A91">
              <w:rPr>
                <w:b/>
                <w:bCs/>
                <w:color w:val="C00000"/>
                <w:sz w:val="20"/>
                <w:szCs w:val="20"/>
              </w:rPr>
              <w:t xml:space="preserve"> 000</w:t>
            </w:r>
          </w:p>
        </w:tc>
        <w:tc>
          <w:tcPr>
            <w:tcW w:w="1375" w:type="dxa"/>
            <w:tcBorders>
              <w:top w:val="single" w:sz="4" w:space="0" w:color="auto"/>
              <w:bottom w:val="single" w:sz="4" w:space="0" w:color="auto"/>
            </w:tcBorders>
            <w:shd w:val="clear" w:color="auto" w:fill="E7E6E6" w:themeFill="background2"/>
            <w:vAlign w:val="center"/>
          </w:tcPr>
          <w:p w14:paraId="6FE51AED" w14:textId="0511F227" w:rsidR="00FC5CE3" w:rsidRPr="00FC5CE3" w:rsidRDefault="00FC5CE3" w:rsidP="00005BE2">
            <w:pPr>
              <w:pStyle w:val="ListParagraph"/>
              <w:ind w:left="0"/>
              <w:contextualSpacing w:val="0"/>
              <w:jc w:val="center"/>
              <w:rPr>
                <w:b/>
                <w:bCs/>
                <w:color w:val="C00000"/>
                <w:sz w:val="20"/>
                <w:szCs w:val="20"/>
              </w:rPr>
            </w:pPr>
            <w:r w:rsidRPr="00FC5CE3">
              <w:rPr>
                <w:b/>
                <w:bCs/>
                <w:color w:val="C00000"/>
                <w:sz w:val="20"/>
                <w:szCs w:val="20"/>
              </w:rPr>
              <w:t>-23</w:t>
            </w:r>
            <w:r w:rsidR="008D6A91">
              <w:rPr>
                <w:b/>
                <w:bCs/>
                <w:color w:val="C00000"/>
                <w:sz w:val="20"/>
                <w:szCs w:val="20"/>
              </w:rPr>
              <w:t> </w:t>
            </w:r>
            <w:r w:rsidRPr="00FC5CE3">
              <w:rPr>
                <w:b/>
                <w:bCs/>
                <w:color w:val="C00000"/>
                <w:sz w:val="20"/>
                <w:szCs w:val="20"/>
              </w:rPr>
              <w:t>400</w:t>
            </w:r>
            <w:r w:rsidR="008D6A91">
              <w:rPr>
                <w:b/>
                <w:bCs/>
                <w:color w:val="C00000"/>
                <w:sz w:val="20"/>
                <w:szCs w:val="20"/>
              </w:rPr>
              <w:t xml:space="preserve"> 000</w:t>
            </w:r>
          </w:p>
        </w:tc>
        <w:tc>
          <w:tcPr>
            <w:tcW w:w="1269" w:type="dxa"/>
            <w:tcBorders>
              <w:top w:val="single" w:sz="4" w:space="0" w:color="auto"/>
              <w:bottom w:val="single" w:sz="4" w:space="0" w:color="auto"/>
              <w:right w:val="nil"/>
            </w:tcBorders>
            <w:shd w:val="clear" w:color="auto" w:fill="E7E6E6" w:themeFill="background2"/>
            <w:vAlign w:val="center"/>
          </w:tcPr>
          <w:p w14:paraId="4346F7CC" w14:textId="3B210976" w:rsidR="00FC5CE3" w:rsidRPr="00FC5CE3" w:rsidRDefault="00FC5CE3" w:rsidP="00005BE2">
            <w:pPr>
              <w:pStyle w:val="ListParagraph"/>
              <w:ind w:left="0"/>
              <w:contextualSpacing w:val="0"/>
              <w:jc w:val="center"/>
              <w:rPr>
                <w:b/>
                <w:bCs/>
                <w:color w:val="C00000"/>
                <w:sz w:val="20"/>
                <w:szCs w:val="20"/>
              </w:rPr>
            </w:pPr>
            <w:r w:rsidRPr="00FC5CE3">
              <w:rPr>
                <w:b/>
                <w:bCs/>
                <w:color w:val="C00000"/>
                <w:sz w:val="20"/>
                <w:szCs w:val="20"/>
              </w:rPr>
              <w:t>-24</w:t>
            </w:r>
            <w:r w:rsidR="008D6A91">
              <w:rPr>
                <w:b/>
                <w:bCs/>
                <w:color w:val="C00000"/>
                <w:sz w:val="20"/>
                <w:szCs w:val="20"/>
              </w:rPr>
              <w:t> </w:t>
            </w:r>
            <w:r w:rsidRPr="00FC5CE3">
              <w:rPr>
                <w:b/>
                <w:bCs/>
                <w:color w:val="C00000"/>
                <w:sz w:val="20"/>
                <w:szCs w:val="20"/>
              </w:rPr>
              <w:t>000</w:t>
            </w:r>
            <w:r w:rsidR="008D6A91">
              <w:rPr>
                <w:b/>
                <w:bCs/>
                <w:color w:val="C00000"/>
                <w:sz w:val="20"/>
                <w:szCs w:val="20"/>
              </w:rPr>
              <w:t xml:space="preserve"> 000</w:t>
            </w:r>
          </w:p>
        </w:tc>
      </w:tr>
      <w:tr w:rsidR="008D6A91" w:rsidRPr="002B6702" w14:paraId="108FB967" w14:textId="77777777" w:rsidTr="00005BE2">
        <w:tc>
          <w:tcPr>
            <w:tcW w:w="3672" w:type="dxa"/>
            <w:tcBorders>
              <w:left w:val="nil"/>
              <w:bottom w:val="nil"/>
            </w:tcBorders>
            <w:shd w:val="clear" w:color="auto" w:fill="FFFFFF" w:themeFill="background1"/>
            <w:vAlign w:val="center"/>
          </w:tcPr>
          <w:p w14:paraId="4A341B19" w14:textId="77777777" w:rsidR="008D6A91" w:rsidRPr="002B6702" w:rsidRDefault="008D6A91" w:rsidP="008D6A91">
            <w:pPr>
              <w:pStyle w:val="ListParagraph"/>
              <w:numPr>
                <w:ilvl w:val="0"/>
                <w:numId w:val="9"/>
              </w:numPr>
              <w:tabs>
                <w:tab w:val="clear" w:pos="720"/>
                <w:tab w:val="num" w:pos="306"/>
              </w:tabs>
              <w:ind w:hanging="698"/>
              <w:contextualSpacing w:val="0"/>
              <w:jc w:val="left"/>
              <w:rPr>
                <w:i/>
                <w:iCs/>
                <w:sz w:val="20"/>
                <w:szCs w:val="20"/>
              </w:rPr>
            </w:pPr>
            <w:r w:rsidRPr="002B6702">
              <w:rPr>
                <w:i/>
                <w:iCs/>
                <w:sz w:val="20"/>
                <w:szCs w:val="20"/>
              </w:rPr>
              <w:t>valsts pamatbudžetā</w:t>
            </w:r>
          </w:p>
        </w:tc>
        <w:tc>
          <w:tcPr>
            <w:tcW w:w="1376" w:type="dxa"/>
            <w:tcBorders>
              <w:bottom w:val="nil"/>
            </w:tcBorders>
            <w:shd w:val="clear" w:color="auto" w:fill="FFFFFF" w:themeFill="background1"/>
            <w:vAlign w:val="center"/>
          </w:tcPr>
          <w:p w14:paraId="4C00727C" w14:textId="5FDA637B" w:rsidR="008D6A91" w:rsidRPr="00FC5CE3" w:rsidRDefault="008D6A91" w:rsidP="008D6A91">
            <w:pPr>
              <w:pStyle w:val="ListParagraph"/>
              <w:ind w:left="0"/>
              <w:contextualSpacing w:val="0"/>
              <w:jc w:val="center"/>
              <w:rPr>
                <w:i/>
                <w:iCs/>
                <w:color w:val="C00000"/>
                <w:sz w:val="20"/>
                <w:szCs w:val="20"/>
              </w:rPr>
            </w:pPr>
            <w:r w:rsidRPr="00FC5CE3">
              <w:rPr>
                <w:i/>
                <w:iCs/>
                <w:color w:val="C00000"/>
                <w:sz w:val="20"/>
                <w:szCs w:val="20"/>
              </w:rPr>
              <w:t>-17</w:t>
            </w:r>
            <w:r>
              <w:rPr>
                <w:i/>
                <w:iCs/>
                <w:color w:val="C00000"/>
                <w:sz w:val="20"/>
                <w:szCs w:val="20"/>
              </w:rPr>
              <w:t> </w:t>
            </w:r>
            <w:r w:rsidRPr="00FC5CE3">
              <w:rPr>
                <w:i/>
                <w:iCs/>
                <w:color w:val="C00000"/>
                <w:sz w:val="20"/>
                <w:szCs w:val="20"/>
              </w:rPr>
              <w:t>1</w:t>
            </w:r>
            <w:r>
              <w:rPr>
                <w:i/>
                <w:iCs/>
                <w:color w:val="C00000"/>
                <w:sz w:val="20"/>
                <w:szCs w:val="20"/>
              </w:rPr>
              <w:t>0</w:t>
            </w:r>
            <w:r w:rsidRPr="00FC5CE3">
              <w:rPr>
                <w:i/>
                <w:iCs/>
                <w:color w:val="C00000"/>
                <w:sz w:val="20"/>
                <w:szCs w:val="20"/>
              </w:rPr>
              <w:t>0</w:t>
            </w:r>
            <w:r>
              <w:rPr>
                <w:i/>
                <w:iCs/>
                <w:color w:val="C00000"/>
                <w:sz w:val="20"/>
                <w:szCs w:val="20"/>
              </w:rPr>
              <w:t xml:space="preserve"> 000</w:t>
            </w:r>
          </w:p>
        </w:tc>
        <w:tc>
          <w:tcPr>
            <w:tcW w:w="1375" w:type="dxa"/>
            <w:tcBorders>
              <w:bottom w:val="nil"/>
            </w:tcBorders>
            <w:shd w:val="clear" w:color="auto" w:fill="FFFFFF" w:themeFill="background1"/>
            <w:vAlign w:val="center"/>
          </w:tcPr>
          <w:p w14:paraId="4834E82C" w14:textId="54CE179E" w:rsidR="008D6A91" w:rsidRPr="00FC5CE3" w:rsidRDefault="008D6A91" w:rsidP="008D6A91">
            <w:pPr>
              <w:pStyle w:val="ListParagraph"/>
              <w:ind w:left="0"/>
              <w:contextualSpacing w:val="0"/>
              <w:jc w:val="center"/>
              <w:rPr>
                <w:i/>
                <w:iCs/>
                <w:color w:val="C00000"/>
                <w:sz w:val="20"/>
                <w:szCs w:val="20"/>
              </w:rPr>
            </w:pPr>
            <w:r w:rsidRPr="008D6A91">
              <w:rPr>
                <w:i/>
                <w:iCs/>
                <w:color w:val="C00000"/>
                <w:sz w:val="20"/>
                <w:szCs w:val="20"/>
              </w:rPr>
              <w:t>-19 100 000</w:t>
            </w:r>
          </w:p>
        </w:tc>
        <w:tc>
          <w:tcPr>
            <w:tcW w:w="1375" w:type="dxa"/>
            <w:tcBorders>
              <w:bottom w:val="nil"/>
            </w:tcBorders>
            <w:shd w:val="clear" w:color="auto" w:fill="FFFFFF" w:themeFill="background1"/>
            <w:vAlign w:val="center"/>
          </w:tcPr>
          <w:p w14:paraId="30BBB3C1" w14:textId="4B9CF3E6" w:rsidR="008D6A91" w:rsidRPr="00FC5CE3" w:rsidRDefault="008D6A91" w:rsidP="008D6A91">
            <w:pPr>
              <w:pStyle w:val="ListParagraph"/>
              <w:ind w:left="0"/>
              <w:contextualSpacing w:val="0"/>
              <w:jc w:val="center"/>
              <w:rPr>
                <w:i/>
                <w:iCs/>
                <w:color w:val="C00000"/>
                <w:sz w:val="20"/>
                <w:szCs w:val="20"/>
              </w:rPr>
            </w:pPr>
            <w:r w:rsidRPr="008D6A91">
              <w:rPr>
                <w:i/>
                <w:iCs/>
                <w:color w:val="C00000"/>
                <w:sz w:val="20"/>
                <w:szCs w:val="20"/>
              </w:rPr>
              <w:t>-23 400 000</w:t>
            </w:r>
          </w:p>
        </w:tc>
        <w:tc>
          <w:tcPr>
            <w:tcW w:w="1269" w:type="dxa"/>
            <w:tcBorders>
              <w:bottom w:val="nil"/>
              <w:right w:val="nil"/>
            </w:tcBorders>
            <w:shd w:val="clear" w:color="auto" w:fill="FFFFFF" w:themeFill="background1"/>
            <w:vAlign w:val="center"/>
          </w:tcPr>
          <w:p w14:paraId="2BEBCFCD" w14:textId="0AB8060F" w:rsidR="008D6A91" w:rsidRPr="002B6702" w:rsidRDefault="008D6A91" w:rsidP="008D6A91">
            <w:pPr>
              <w:pStyle w:val="ListParagraph"/>
              <w:ind w:left="0"/>
              <w:contextualSpacing w:val="0"/>
              <w:jc w:val="center"/>
              <w:rPr>
                <w:i/>
                <w:iCs/>
                <w:color w:val="C00000"/>
                <w:sz w:val="20"/>
                <w:szCs w:val="20"/>
              </w:rPr>
            </w:pPr>
            <w:r w:rsidRPr="008D6A91">
              <w:rPr>
                <w:i/>
                <w:iCs/>
                <w:color w:val="C00000"/>
                <w:sz w:val="20"/>
                <w:szCs w:val="20"/>
              </w:rPr>
              <w:t>-24 000 000</w:t>
            </w:r>
          </w:p>
        </w:tc>
      </w:tr>
    </w:tbl>
    <w:p w14:paraId="4FACC612" w14:textId="32379115" w:rsidR="00FC5CE3" w:rsidRPr="000203BA" w:rsidRDefault="00FC5CE3" w:rsidP="00E770B5">
      <w:pPr>
        <w:tabs>
          <w:tab w:val="left" w:pos="426"/>
        </w:tabs>
        <w:spacing w:before="120"/>
        <w:rPr>
          <w:rFonts w:cs="Times New Roman"/>
          <w:i/>
          <w:sz w:val="18"/>
        </w:rPr>
      </w:pPr>
      <w:r w:rsidRPr="000203BA">
        <w:rPr>
          <w:rFonts w:cs="Times New Roman"/>
          <w:b/>
          <w:bCs/>
          <w:i/>
          <w:sz w:val="18"/>
        </w:rPr>
        <w:t>Avots</w:t>
      </w:r>
      <w:r w:rsidRPr="000203BA">
        <w:rPr>
          <w:rFonts w:cs="Times New Roman"/>
          <w:i/>
          <w:sz w:val="18"/>
        </w:rPr>
        <w:t>: FM aprēķini.</w:t>
      </w:r>
    </w:p>
    <w:p w14:paraId="4082E1C1" w14:textId="77777777" w:rsidR="000203BA" w:rsidRPr="000409A0" w:rsidRDefault="000203BA" w:rsidP="00E770B5">
      <w:pPr>
        <w:ind w:firstLine="567"/>
        <w:jc w:val="both"/>
      </w:pPr>
    </w:p>
    <w:p w14:paraId="05931F4C" w14:textId="0BF6E4BB" w:rsidR="00EA1993" w:rsidRPr="00EA1993" w:rsidRDefault="00EA1993" w:rsidP="00EA1993">
      <w:pPr>
        <w:pStyle w:val="Heading2"/>
        <w:tabs>
          <w:tab w:val="left" w:pos="567"/>
        </w:tabs>
        <w:ind w:left="567" w:hanging="567"/>
        <w:rPr>
          <w:b w:val="0"/>
          <w:bCs/>
        </w:rPr>
      </w:pPr>
      <w:bookmarkStart w:id="19" w:name="_Toc177627702"/>
      <w:r>
        <w:t xml:space="preserve">2.2. </w:t>
      </w:r>
      <w:r>
        <w:tab/>
      </w:r>
      <w:r w:rsidRPr="00EA1993">
        <w:t xml:space="preserve">Lauksaimnieku saņemtās atbalsta summas arī turpmāka neaplikšana ar </w:t>
      </w:r>
      <w:r w:rsidR="000C6E7C">
        <w:rPr>
          <w:rFonts w:eastAsia="Calibri"/>
        </w:rPr>
        <w:t>iedzīvotāju ienākuma nodokli</w:t>
      </w:r>
      <w:bookmarkEnd w:id="19"/>
    </w:p>
    <w:p w14:paraId="26F7552D" w14:textId="77777777" w:rsidR="00762CCC" w:rsidRDefault="007966A8" w:rsidP="00762CCC">
      <w:pPr>
        <w:spacing w:after="120"/>
        <w:ind w:firstLine="567"/>
        <w:jc w:val="both"/>
        <w:rPr>
          <w:rFonts w:cs="Times New Roman"/>
        </w:rPr>
      </w:pPr>
      <w:r w:rsidRPr="00762CCC">
        <w:rPr>
          <w:rFonts w:cs="Times New Roman"/>
        </w:rPr>
        <w:t xml:space="preserve">Viens no atbalsta mehānismiem lauksaimniekiem ir terminēta iespēja līdz 2024. gadam </w:t>
      </w:r>
      <w:bookmarkStart w:id="20" w:name="_Hlk175751502"/>
      <w:r w:rsidRPr="00762CCC">
        <w:rPr>
          <w:rFonts w:cs="Times New Roman"/>
        </w:rPr>
        <w:t xml:space="preserve">ar </w:t>
      </w:r>
      <w:r w:rsidR="00762CCC">
        <w:rPr>
          <w:rFonts w:cs="Times New Roman"/>
        </w:rPr>
        <w:t>IIN</w:t>
      </w:r>
      <w:r w:rsidRPr="00762CCC">
        <w:rPr>
          <w:rFonts w:cs="Times New Roman"/>
        </w:rPr>
        <w:t xml:space="preserve"> apliekamajā ienākumā neiekļaut saņemtās summas, kas izmaksātas kā valsts atbalsts lauksaimniecībai vai ES atbalsts lauksaimniecībai un lauku attīstībai</w:t>
      </w:r>
      <w:bookmarkEnd w:id="20"/>
      <w:r w:rsidRPr="00762CCC">
        <w:rPr>
          <w:rFonts w:cs="Times New Roman"/>
        </w:rPr>
        <w:t xml:space="preserve">. </w:t>
      </w:r>
    </w:p>
    <w:p w14:paraId="7DC6FDF2" w14:textId="34CCD5A9" w:rsidR="007966A8" w:rsidRPr="00762CCC" w:rsidRDefault="007966A8" w:rsidP="00762CCC">
      <w:pPr>
        <w:spacing w:after="120"/>
        <w:ind w:firstLine="567"/>
        <w:jc w:val="both"/>
        <w:rPr>
          <w:rFonts w:cs="Times New Roman"/>
        </w:rPr>
      </w:pPr>
      <w:r w:rsidRPr="00762CCC">
        <w:rPr>
          <w:rFonts w:cs="Times New Roman"/>
        </w:rPr>
        <w:t xml:space="preserve">Atbrīvojums ir spēkā no 2013. gada un tā piemērošanas termiņš ir ticis regulāri pagarināts. Ņemot vērā, ka saimnieciskās darbības jebkuriem saņemtajiem ieņēmumiem pretī var atzīt izdevumus, arī saimnieciskās darbības veicējiem lauksaimniecībā ir ļauts atzīt visus izdevumus. Tādejādi ir bijusi radīta atšķirīga pieeja, ļaujot saimnieciskās darbības veicējiem lauksaimniecības nozarē, atšķirībā no saimnieciskās darbības veicējiem citās nozarēs, ilgstoši neiekļaut ar IIN apliekamajā ienākumā visus saņemtos ieņēmumus. </w:t>
      </w:r>
    </w:p>
    <w:p w14:paraId="56091C1B" w14:textId="352694BE" w:rsidR="007966A8" w:rsidRDefault="007966A8" w:rsidP="00AB58DE">
      <w:pPr>
        <w:ind w:firstLine="567"/>
        <w:jc w:val="both"/>
        <w:rPr>
          <w:rFonts w:cs="Times New Roman"/>
        </w:rPr>
      </w:pPr>
      <w:r w:rsidRPr="00762CCC">
        <w:rPr>
          <w:rFonts w:cs="Times New Roman"/>
        </w:rPr>
        <w:t>Tomēr</w:t>
      </w:r>
      <w:r w:rsidR="00762CCC">
        <w:rPr>
          <w:rFonts w:cs="Times New Roman"/>
        </w:rPr>
        <w:t>,</w:t>
      </w:r>
      <w:r w:rsidRPr="00762CCC">
        <w:rPr>
          <w:rFonts w:cs="Times New Roman"/>
        </w:rPr>
        <w:t xml:space="preserve"> ņemot vērā, ka </w:t>
      </w:r>
      <w:r w:rsidR="00762CCC">
        <w:rPr>
          <w:rFonts w:cs="Times New Roman"/>
        </w:rPr>
        <w:t>ES</w:t>
      </w:r>
      <w:r w:rsidRPr="00762CCC">
        <w:rPr>
          <w:rFonts w:cs="Times New Roman"/>
        </w:rPr>
        <w:t xml:space="preserve"> atbalsts Latvijas lauksaimniekiem joprojām nesasniedz </w:t>
      </w:r>
      <w:r w:rsidR="00762CCC">
        <w:rPr>
          <w:rFonts w:cs="Times New Roman"/>
        </w:rPr>
        <w:t>ES</w:t>
      </w:r>
      <w:r w:rsidRPr="00762CCC">
        <w:rPr>
          <w:rFonts w:cs="Times New Roman"/>
        </w:rPr>
        <w:t xml:space="preserve"> vidējo atbalsta līmeni, ir </w:t>
      </w:r>
      <w:bookmarkStart w:id="21" w:name="_Hlk175751484"/>
      <w:r w:rsidRPr="00762CCC">
        <w:rPr>
          <w:rFonts w:cs="Times New Roman"/>
        </w:rPr>
        <w:t xml:space="preserve">lietderīgi </w:t>
      </w:r>
      <w:r w:rsidRPr="00762CCC">
        <w:rPr>
          <w:rFonts w:cs="Times New Roman"/>
          <w:b/>
          <w:bCs/>
        </w:rPr>
        <w:t>pagarināt minētā atbrīvojuma darbību</w:t>
      </w:r>
      <w:r w:rsidRPr="00762CCC">
        <w:rPr>
          <w:rFonts w:cs="Times New Roman"/>
        </w:rPr>
        <w:t xml:space="preserve"> </w:t>
      </w:r>
      <w:r w:rsidRPr="00762CCC">
        <w:rPr>
          <w:rFonts w:cs="Times New Roman"/>
          <w:b/>
          <w:bCs/>
        </w:rPr>
        <w:t>vēl uz pieciem gadiem</w:t>
      </w:r>
      <w:r w:rsidRPr="00762CCC">
        <w:rPr>
          <w:rFonts w:cs="Times New Roman"/>
        </w:rPr>
        <w:t>, t.i. no 2025. gada līdz 2029. gadam</w:t>
      </w:r>
      <w:bookmarkEnd w:id="21"/>
      <w:r w:rsidRPr="00762CCC">
        <w:rPr>
          <w:rFonts w:cs="Times New Roman"/>
        </w:rPr>
        <w:t>, pēc tam atkārtoti vērtējo</w:t>
      </w:r>
      <w:r w:rsidR="00963EF5">
        <w:rPr>
          <w:rFonts w:cs="Times New Roman"/>
        </w:rPr>
        <w:t>t</w:t>
      </w:r>
      <w:r w:rsidRPr="00762CCC">
        <w:rPr>
          <w:rFonts w:cs="Times New Roman"/>
        </w:rPr>
        <w:t xml:space="preserve"> minētā atvieglojuma efektivitāti. Ņemot vērā, ka tiek izmaksāti arī citi</w:t>
      </w:r>
      <w:r w:rsidR="00EB43FF">
        <w:rPr>
          <w:rFonts w:cs="Times New Roman"/>
        </w:rPr>
        <w:t xml:space="preserve"> </w:t>
      </w:r>
      <w:r w:rsidRPr="00762CCC">
        <w:rPr>
          <w:rFonts w:cs="Times New Roman"/>
        </w:rPr>
        <w:t xml:space="preserve">pēc būtības un mērķa līdzvērtīgi valsts institūciju veikti atbalsta maksājumi (t.sk. ES LIFE programmas līdzfinansētā projekta </w:t>
      </w:r>
      <w:r w:rsidRPr="00762CCC">
        <w:rPr>
          <w:rFonts w:cs="Times New Roman"/>
          <w:i/>
          <w:iCs/>
        </w:rPr>
        <w:t>“Natura 2000 aizsargājamo teritoriju pārvaldības un apsaimniekošanas optimizācija”</w:t>
      </w:r>
      <w:r w:rsidRPr="00762CCC">
        <w:rPr>
          <w:rFonts w:cs="Times New Roman"/>
        </w:rPr>
        <w:t xml:space="preserve"> ietvaros veiktie atbalsta maksājumi programmās </w:t>
      </w:r>
      <w:r w:rsidRPr="00762CCC">
        <w:rPr>
          <w:rFonts w:cs="Times New Roman"/>
          <w:i/>
          <w:iCs/>
        </w:rPr>
        <w:t>“Dzīvais mežs”</w:t>
      </w:r>
      <w:r w:rsidRPr="00762CCC">
        <w:rPr>
          <w:rFonts w:cs="Times New Roman"/>
        </w:rPr>
        <w:t xml:space="preserve"> un </w:t>
      </w:r>
      <w:r w:rsidRPr="00762CCC">
        <w:rPr>
          <w:rFonts w:cs="Times New Roman"/>
          <w:i/>
          <w:iCs/>
        </w:rPr>
        <w:t>“Ziedu pļavas”</w:t>
      </w:r>
      <w:r w:rsidRPr="00762CCC">
        <w:rPr>
          <w:rFonts w:cs="Times New Roman"/>
        </w:rPr>
        <w:t>), likumā būtu nosakāms, ka šiem maksājumiem būtu piemērojams tāds pats atvieglojuma režīms kā valsts atbalstam lauksaimniecībai vai ES atbalstam lauksaimniecībai un lauku attīstībai</w:t>
      </w:r>
      <w:r w:rsidR="006A4DC1">
        <w:rPr>
          <w:rFonts w:cs="Times New Roman"/>
        </w:rPr>
        <w:t>.</w:t>
      </w:r>
    </w:p>
    <w:p w14:paraId="6271E925" w14:textId="77777777" w:rsidR="001F60AA" w:rsidRDefault="001F60AA" w:rsidP="001F60AA">
      <w:pPr>
        <w:spacing w:after="120"/>
        <w:jc w:val="center"/>
        <w:rPr>
          <w:rFonts w:cs="Times New Roman"/>
          <w:sz w:val="20"/>
          <w:highlight w:val="yellow"/>
        </w:rPr>
      </w:pPr>
    </w:p>
    <w:p w14:paraId="0C6F3F02" w14:textId="74F27BC0" w:rsidR="001F60AA" w:rsidRPr="002E0A09" w:rsidRDefault="00D03788" w:rsidP="001F60AA">
      <w:pPr>
        <w:spacing w:after="120"/>
        <w:jc w:val="center"/>
        <w:rPr>
          <w:rFonts w:cs="Times New Roman"/>
          <w:sz w:val="20"/>
        </w:rPr>
      </w:pPr>
      <w:r w:rsidRPr="00D03788">
        <w:rPr>
          <w:rFonts w:cs="Times New Roman"/>
          <w:sz w:val="20"/>
        </w:rPr>
        <w:t>1</w:t>
      </w:r>
      <w:r w:rsidR="00725CD9">
        <w:rPr>
          <w:rFonts w:cs="Times New Roman"/>
          <w:sz w:val="20"/>
        </w:rPr>
        <w:t>1</w:t>
      </w:r>
      <w:r w:rsidR="001F60AA" w:rsidRPr="00D03788">
        <w:rPr>
          <w:rFonts w:cs="Times New Roman"/>
          <w:sz w:val="20"/>
        </w:rPr>
        <w:t>.</w:t>
      </w:r>
      <w:r w:rsidR="001F60AA" w:rsidRPr="002E0A09">
        <w:rPr>
          <w:rFonts w:cs="Times New Roman"/>
          <w:sz w:val="20"/>
        </w:rPr>
        <w:t>tab</w:t>
      </w:r>
      <w:r w:rsidR="001F60AA" w:rsidRPr="002E0A09">
        <w:rPr>
          <w:rFonts w:cs="Times New Roman"/>
          <w:bCs/>
          <w:sz w:val="20"/>
        </w:rPr>
        <w:t>.</w:t>
      </w:r>
      <w:r w:rsidR="001F60AA" w:rsidRPr="002E0A09">
        <w:rPr>
          <w:rFonts w:cs="Times New Roman"/>
          <w:b/>
          <w:sz w:val="20"/>
        </w:rPr>
        <w:t xml:space="preserve"> Priekšlikuma indikatīva fiskālā ietekme</w:t>
      </w:r>
      <w:r w:rsidR="001F60AA" w:rsidRPr="002E0A09">
        <w:rPr>
          <w:rFonts w:cs="Times New Roman"/>
          <w:bCs/>
          <w:sz w:val="20"/>
        </w:rPr>
        <w:t>,</w:t>
      </w:r>
      <w:r w:rsidR="001F60AA" w:rsidRPr="002E0A09">
        <w:rPr>
          <w:rFonts w:cs="Times New Roman"/>
          <w:bCs/>
          <w:i/>
          <w:iCs/>
          <w:sz w:val="20"/>
        </w:rPr>
        <w:t> euro</w:t>
      </w:r>
    </w:p>
    <w:tbl>
      <w:tblPr>
        <w:tblStyle w:val="TableGrid"/>
        <w:tblW w:w="9067" w:type="dxa"/>
        <w:tblInd w:w="5" w:type="dxa"/>
        <w:tblLook w:val="04A0" w:firstRow="1" w:lastRow="0" w:firstColumn="1" w:lastColumn="0" w:noHBand="0" w:noVBand="1"/>
      </w:tblPr>
      <w:tblGrid>
        <w:gridCol w:w="3672"/>
        <w:gridCol w:w="1376"/>
        <w:gridCol w:w="1375"/>
        <w:gridCol w:w="1375"/>
        <w:gridCol w:w="1269"/>
      </w:tblGrid>
      <w:tr w:rsidR="001F60AA" w:rsidRPr="00D738ED" w14:paraId="60928ADA" w14:textId="77777777" w:rsidTr="00005BE2">
        <w:tc>
          <w:tcPr>
            <w:tcW w:w="3672" w:type="dxa"/>
            <w:tcBorders>
              <w:top w:val="nil"/>
              <w:left w:val="nil"/>
              <w:bottom w:val="single" w:sz="8" w:space="0" w:color="auto"/>
              <w:right w:val="nil"/>
            </w:tcBorders>
            <w:shd w:val="clear" w:color="auto" w:fill="FFFFFF" w:themeFill="background1"/>
          </w:tcPr>
          <w:p w14:paraId="22D0DEA2" w14:textId="77777777" w:rsidR="001F60AA" w:rsidRPr="00C11875" w:rsidRDefault="001F60AA" w:rsidP="00005BE2">
            <w:pPr>
              <w:pStyle w:val="ListParagraph"/>
              <w:ind w:left="0"/>
              <w:contextualSpacing w:val="0"/>
              <w:jc w:val="center"/>
              <w:rPr>
                <w:b/>
                <w:bCs/>
                <w:sz w:val="20"/>
                <w:szCs w:val="20"/>
              </w:rPr>
            </w:pPr>
          </w:p>
        </w:tc>
        <w:tc>
          <w:tcPr>
            <w:tcW w:w="1376" w:type="dxa"/>
            <w:tcBorders>
              <w:top w:val="nil"/>
              <w:left w:val="nil"/>
              <w:bottom w:val="single" w:sz="8" w:space="0" w:color="auto"/>
              <w:right w:val="nil"/>
            </w:tcBorders>
            <w:shd w:val="clear" w:color="auto" w:fill="FFFFFF" w:themeFill="background1"/>
            <w:vAlign w:val="bottom"/>
          </w:tcPr>
          <w:p w14:paraId="41F9BB74" w14:textId="77777777" w:rsidR="001F60AA" w:rsidRPr="00C11875" w:rsidRDefault="001F60AA" w:rsidP="00005BE2">
            <w:pPr>
              <w:pStyle w:val="ListParagraph"/>
              <w:ind w:left="0"/>
              <w:contextualSpacing w:val="0"/>
              <w:jc w:val="center"/>
              <w:rPr>
                <w:b/>
                <w:bCs/>
                <w:sz w:val="20"/>
                <w:szCs w:val="20"/>
              </w:rPr>
            </w:pPr>
            <w:r w:rsidRPr="00C11875">
              <w:rPr>
                <w:b/>
                <w:bCs/>
                <w:sz w:val="20"/>
                <w:szCs w:val="20"/>
              </w:rPr>
              <w:t>2025</w:t>
            </w:r>
          </w:p>
        </w:tc>
        <w:tc>
          <w:tcPr>
            <w:tcW w:w="1375" w:type="dxa"/>
            <w:tcBorders>
              <w:top w:val="nil"/>
              <w:left w:val="nil"/>
              <w:bottom w:val="single" w:sz="8" w:space="0" w:color="auto"/>
              <w:right w:val="nil"/>
            </w:tcBorders>
            <w:shd w:val="clear" w:color="auto" w:fill="FFFFFF" w:themeFill="background1"/>
            <w:vAlign w:val="bottom"/>
          </w:tcPr>
          <w:p w14:paraId="24991960" w14:textId="77777777" w:rsidR="001F60AA" w:rsidRPr="00C11875" w:rsidRDefault="001F60AA" w:rsidP="00005BE2">
            <w:pPr>
              <w:pStyle w:val="ListParagraph"/>
              <w:ind w:left="0"/>
              <w:contextualSpacing w:val="0"/>
              <w:jc w:val="center"/>
              <w:rPr>
                <w:b/>
                <w:bCs/>
                <w:sz w:val="20"/>
                <w:szCs w:val="20"/>
              </w:rPr>
            </w:pPr>
            <w:r w:rsidRPr="00C11875">
              <w:rPr>
                <w:b/>
                <w:bCs/>
                <w:sz w:val="20"/>
                <w:szCs w:val="20"/>
              </w:rPr>
              <w:t>2026</w:t>
            </w:r>
          </w:p>
        </w:tc>
        <w:tc>
          <w:tcPr>
            <w:tcW w:w="1375" w:type="dxa"/>
            <w:tcBorders>
              <w:top w:val="nil"/>
              <w:left w:val="nil"/>
              <w:bottom w:val="single" w:sz="8" w:space="0" w:color="auto"/>
              <w:right w:val="nil"/>
            </w:tcBorders>
            <w:shd w:val="clear" w:color="auto" w:fill="FFFFFF" w:themeFill="background1"/>
            <w:vAlign w:val="bottom"/>
          </w:tcPr>
          <w:p w14:paraId="206F2F40" w14:textId="77777777" w:rsidR="001F60AA" w:rsidRPr="00C11875" w:rsidRDefault="001F60AA" w:rsidP="00005BE2">
            <w:pPr>
              <w:pStyle w:val="ListParagraph"/>
              <w:ind w:left="0"/>
              <w:contextualSpacing w:val="0"/>
              <w:jc w:val="center"/>
              <w:rPr>
                <w:b/>
                <w:bCs/>
                <w:sz w:val="20"/>
                <w:szCs w:val="20"/>
              </w:rPr>
            </w:pPr>
            <w:r w:rsidRPr="00C11875">
              <w:rPr>
                <w:b/>
                <w:bCs/>
                <w:sz w:val="20"/>
                <w:szCs w:val="20"/>
              </w:rPr>
              <w:t>2027</w:t>
            </w:r>
          </w:p>
        </w:tc>
        <w:tc>
          <w:tcPr>
            <w:tcW w:w="1269" w:type="dxa"/>
            <w:tcBorders>
              <w:top w:val="nil"/>
              <w:left w:val="nil"/>
              <w:bottom w:val="single" w:sz="8" w:space="0" w:color="auto"/>
              <w:right w:val="nil"/>
            </w:tcBorders>
            <w:shd w:val="clear" w:color="auto" w:fill="FFFFFF" w:themeFill="background1"/>
          </w:tcPr>
          <w:p w14:paraId="647466A4" w14:textId="77777777" w:rsidR="001F60AA" w:rsidRPr="00C11875" w:rsidRDefault="001F60AA" w:rsidP="00005BE2">
            <w:pPr>
              <w:pStyle w:val="ListParagraph"/>
              <w:ind w:left="0"/>
              <w:contextualSpacing w:val="0"/>
              <w:jc w:val="center"/>
              <w:rPr>
                <w:b/>
                <w:bCs/>
                <w:sz w:val="20"/>
                <w:szCs w:val="20"/>
              </w:rPr>
            </w:pPr>
            <w:r w:rsidRPr="00C11875">
              <w:rPr>
                <w:b/>
                <w:bCs/>
                <w:sz w:val="20"/>
                <w:szCs w:val="20"/>
              </w:rPr>
              <w:t>2028</w:t>
            </w:r>
          </w:p>
        </w:tc>
      </w:tr>
      <w:tr w:rsidR="008D6A91" w:rsidRPr="00F53BA5" w14:paraId="0EFDF5B8" w14:textId="77777777" w:rsidTr="00005BE2">
        <w:tc>
          <w:tcPr>
            <w:tcW w:w="3672" w:type="dxa"/>
            <w:tcBorders>
              <w:top w:val="single" w:sz="4" w:space="0" w:color="auto"/>
              <w:left w:val="nil"/>
              <w:bottom w:val="single" w:sz="4" w:space="0" w:color="auto"/>
            </w:tcBorders>
            <w:shd w:val="clear" w:color="auto" w:fill="E7E6E6" w:themeFill="background2"/>
            <w:vAlign w:val="center"/>
          </w:tcPr>
          <w:p w14:paraId="70E5AEE6" w14:textId="7CBE61AD" w:rsidR="008D6A91" w:rsidRPr="002B6702" w:rsidRDefault="008D6A91" w:rsidP="008D6A91">
            <w:pPr>
              <w:pStyle w:val="ListParagraph"/>
              <w:ind w:left="0"/>
              <w:contextualSpacing w:val="0"/>
              <w:jc w:val="left"/>
              <w:rPr>
                <w:sz w:val="20"/>
                <w:szCs w:val="20"/>
              </w:rPr>
            </w:pPr>
            <w:r>
              <w:rPr>
                <w:b/>
                <w:bCs/>
                <w:sz w:val="20"/>
                <w:szCs w:val="20"/>
              </w:rPr>
              <w:t>IIN</w:t>
            </w:r>
            <w:r w:rsidRPr="00FC5CE3">
              <w:rPr>
                <w:b/>
                <w:bCs/>
                <w:sz w:val="20"/>
                <w:szCs w:val="20"/>
              </w:rPr>
              <w:t xml:space="preserve"> ieņēmumi</w:t>
            </w:r>
            <w:r w:rsidRPr="002B6702">
              <w:rPr>
                <w:i/>
                <w:iCs/>
                <w:sz w:val="20"/>
                <w:szCs w:val="20"/>
              </w:rPr>
              <w:t>, no tā:</w:t>
            </w:r>
          </w:p>
        </w:tc>
        <w:tc>
          <w:tcPr>
            <w:tcW w:w="1376" w:type="dxa"/>
            <w:tcBorders>
              <w:top w:val="single" w:sz="4" w:space="0" w:color="auto"/>
              <w:bottom w:val="single" w:sz="4" w:space="0" w:color="auto"/>
            </w:tcBorders>
            <w:shd w:val="clear" w:color="auto" w:fill="E7E6E6" w:themeFill="background2"/>
            <w:vAlign w:val="center"/>
          </w:tcPr>
          <w:p w14:paraId="3673A85D" w14:textId="58274A29" w:rsidR="008D6A91" w:rsidRPr="00DE7B79" w:rsidRDefault="008D6A91" w:rsidP="008D6A91">
            <w:pPr>
              <w:pStyle w:val="ListParagraph"/>
              <w:ind w:left="0"/>
              <w:contextualSpacing w:val="0"/>
              <w:jc w:val="center"/>
              <w:rPr>
                <w:b/>
                <w:bCs/>
                <w:sz w:val="20"/>
                <w:szCs w:val="20"/>
              </w:rPr>
            </w:pPr>
            <w:r>
              <w:rPr>
                <w:b/>
                <w:bCs/>
                <w:sz w:val="20"/>
                <w:szCs w:val="20"/>
              </w:rPr>
              <w:t>-</w:t>
            </w:r>
          </w:p>
        </w:tc>
        <w:tc>
          <w:tcPr>
            <w:tcW w:w="1375" w:type="dxa"/>
            <w:tcBorders>
              <w:top w:val="single" w:sz="4" w:space="0" w:color="auto"/>
              <w:bottom w:val="single" w:sz="4" w:space="0" w:color="auto"/>
            </w:tcBorders>
            <w:shd w:val="clear" w:color="auto" w:fill="E7E6E6" w:themeFill="background2"/>
            <w:vAlign w:val="center"/>
          </w:tcPr>
          <w:p w14:paraId="0E0EC68A" w14:textId="51239698" w:rsidR="008D6A91" w:rsidRPr="00FC5CE3" w:rsidRDefault="008D6A91" w:rsidP="008D6A91">
            <w:pPr>
              <w:pStyle w:val="ListParagraph"/>
              <w:ind w:left="0"/>
              <w:contextualSpacing w:val="0"/>
              <w:jc w:val="center"/>
              <w:rPr>
                <w:b/>
                <w:bCs/>
                <w:color w:val="C00000"/>
                <w:sz w:val="20"/>
                <w:szCs w:val="20"/>
              </w:rPr>
            </w:pPr>
            <w:r w:rsidRPr="00FC5CE3">
              <w:rPr>
                <w:b/>
                <w:bCs/>
                <w:color w:val="C00000"/>
                <w:sz w:val="20"/>
                <w:szCs w:val="20"/>
              </w:rPr>
              <w:t>-</w:t>
            </w:r>
            <w:r>
              <w:rPr>
                <w:b/>
                <w:bCs/>
                <w:color w:val="C00000"/>
                <w:sz w:val="20"/>
                <w:szCs w:val="20"/>
              </w:rPr>
              <w:t>23 064 000</w:t>
            </w:r>
          </w:p>
        </w:tc>
        <w:tc>
          <w:tcPr>
            <w:tcW w:w="1375" w:type="dxa"/>
            <w:tcBorders>
              <w:top w:val="single" w:sz="4" w:space="0" w:color="auto"/>
              <w:bottom w:val="single" w:sz="4" w:space="0" w:color="auto"/>
            </w:tcBorders>
            <w:shd w:val="clear" w:color="auto" w:fill="E7E6E6" w:themeFill="background2"/>
            <w:vAlign w:val="center"/>
          </w:tcPr>
          <w:p w14:paraId="67E34BEF" w14:textId="0AC7CB85" w:rsidR="008D6A91" w:rsidRPr="00FC5CE3" w:rsidRDefault="008D6A91" w:rsidP="008D6A91">
            <w:pPr>
              <w:pStyle w:val="ListParagraph"/>
              <w:ind w:left="0"/>
              <w:contextualSpacing w:val="0"/>
              <w:jc w:val="center"/>
              <w:rPr>
                <w:b/>
                <w:bCs/>
                <w:color w:val="C00000"/>
                <w:sz w:val="20"/>
                <w:szCs w:val="20"/>
              </w:rPr>
            </w:pPr>
            <w:r w:rsidRPr="00FC5CE3">
              <w:rPr>
                <w:b/>
                <w:bCs/>
                <w:color w:val="C00000"/>
                <w:sz w:val="20"/>
                <w:szCs w:val="20"/>
              </w:rPr>
              <w:t>-</w:t>
            </w:r>
            <w:r>
              <w:rPr>
                <w:b/>
                <w:bCs/>
                <w:color w:val="C00000"/>
                <w:sz w:val="20"/>
                <w:szCs w:val="20"/>
              </w:rPr>
              <w:t>23 064 000</w:t>
            </w:r>
          </w:p>
        </w:tc>
        <w:tc>
          <w:tcPr>
            <w:tcW w:w="1269" w:type="dxa"/>
            <w:tcBorders>
              <w:top w:val="single" w:sz="4" w:space="0" w:color="auto"/>
              <w:bottom w:val="single" w:sz="4" w:space="0" w:color="auto"/>
              <w:right w:val="nil"/>
            </w:tcBorders>
            <w:shd w:val="clear" w:color="auto" w:fill="E7E6E6" w:themeFill="background2"/>
            <w:vAlign w:val="center"/>
          </w:tcPr>
          <w:p w14:paraId="15E50BAF" w14:textId="3C59DC2F" w:rsidR="008D6A91" w:rsidRPr="00FC5CE3" w:rsidRDefault="008D6A91" w:rsidP="008D6A91">
            <w:pPr>
              <w:pStyle w:val="ListParagraph"/>
              <w:ind w:left="0"/>
              <w:contextualSpacing w:val="0"/>
              <w:jc w:val="center"/>
              <w:rPr>
                <w:b/>
                <w:bCs/>
                <w:color w:val="C00000"/>
                <w:sz w:val="20"/>
                <w:szCs w:val="20"/>
              </w:rPr>
            </w:pPr>
            <w:r w:rsidRPr="00FC5CE3">
              <w:rPr>
                <w:b/>
                <w:bCs/>
                <w:color w:val="C00000"/>
                <w:sz w:val="20"/>
                <w:szCs w:val="20"/>
              </w:rPr>
              <w:t>-</w:t>
            </w:r>
            <w:r>
              <w:rPr>
                <w:b/>
                <w:bCs/>
                <w:color w:val="C00000"/>
                <w:sz w:val="20"/>
                <w:szCs w:val="20"/>
              </w:rPr>
              <w:t>23 064 000</w:t>
            </w:r>
          </w:p>
        </w:tc>
      </w:tr>
      <w:tr w:rsidR="008D6A91" w:rsidRPr="002B6702" w14:paraId="7A11F1BC" w14:textId="77777777" w:rsidTr="001F60AA">
        <w:tc>
          <w:tcPr>
            <w:tcW w:w="3672" w:type="dxa"/>
            <w:tcBorders>
              <w:left w:val="nil"/>
            </w:tcBorders>
            <w:shd w:val="clear" w:color="auto" w:fill="FFFFFF" w:themeFill="background1"/>
            <w:vAlign w:val="center"/>
          </w:tcPr>
          <w:p w14:paraId="3FC84FB6" w14:textId="77777777" w:rsidR="008D6A91" w:rsidRPr="002B6702" w:rsidRDefault="008D6A91" w:rsidP="008D6A91">
            <w:pPr>
              <w:pStyle w:val="ListParagraph"/>
              <w:numPr>
                <w:ilvl w:val="0"/>
                <w:numId w:val="9"/>
              </w:numPr>
              <w:tabs>
                <w:tab w:val="clear" w:pos="720"/>
                <w:tab w:val="num" w:pos="306"/>
              </w:tabs>
              <w:ind w:hanging="698"/>
              <w:contextualSpacing w:val="0"/>
              <w:jc w:val="left"/>
              <w:rPr>
                <w:i/>
                <w:iCs/>
                <w:sz w:val="20"/>
                <w:szCs w:val="20"/>
              </w:rPr>
            </w:pPr>
            <w:r w:rsidRPr="002B6702">
              <w:rPr>
                <w:i/>
                <w:iCs/>
                <w:sz w:val="20"/>
                <w:szCs w:val="20"/>
              </w:rPr>
              <w:t>valsts pamatbudžetā</w:t>
            </w:r>
          </w:p>
        </w:tc>
        <w:tc>
          <w:tcPr>
            <w:tcW w:w="1376" w:type="dxa"/>
            <w:shd w:val="clear" w:color="auto" w:fill="FFFFFF" w:themeFill="background1"/>
            <w:vAlign w:val="center"/>
          </w:tcPr>
          <w:p w14:paraId="02A6D7FB" w14:textId="7654F6FC" w:rsidR="008D6A91" w:rsidRPr="00DE7B79" w:rsidRDefault="008D6A91" w:rsidP="008D6A91">
            <w:pPr>
              <w:pStyle w:val="ListParagraph"/>
              <w:ind w:left="0"/>
              <w:contextualSpacing w:val="0"/>
              <w:jc w:val="center"/>
              <w:rPr>
                <w:i/>
                <w:iCs/>
                <w:sz w:val="20"/>
                <w:szCs w:val="20"/>
              </w:rPr>
            </w:pPr>
            <w:r>
              <w:rPr>
                <w:i/>
                <w:iCs/>
                <w:sz w:val="20"/>
                <w:szCs w:val="20"/>
              </w:rPr>
              <w:t>-</w:t>
            </w:r>
          </w:p>
        </w:tc>
        <w:tc>
          <w:tcPr>
            <w:tcW w:w="1375" w:type="dxa"/>
            <w:shd w:val="clear" w:color="auto" w:fill="FFFFFF" w:themeFill="background1"/>
            <w:vAlign w:val="center"/>
          </w:tcPr>
          <w:p w14:paraId="55B86A03" w14:textId="79CFD99C" w:rsidR="008D6A91" w:rsidRPr="00FC5CE3" w:rsidRDefault="008D6A91" w:rsidP="008D6A91">
            <w:pPr>
              <w:pStyle w:val="ListParagraph"/>
              <w:ind w:left="0"/>
              <w:contextualSpacing w:val="0"/>
              <w:jc w:val="center"/>
              <w:rPr>
                <w:i/>
                <w:iCs/>
                <w:color w:val="C00000"/>
                <w:sz w:val="20"/>
                <w:szCs w:val="20"/>
              </w:rPr>
            </w:pPr>
            <w:r w:rsidRPr="00FC5CE3">
              <w:rPr>
                <w:i/>
                <w:iCs/>
                <w:color w:val="C00000"/>
                <w:sz w:val="20"/>
                <w:szCs w:val="20"/>
              </w:rPr>
              <w:t>-</w:t>
            </w:r>
            <w:r>
              <w:rPr>
                <w:i/>
                <w:iCs/>
                <w:color w:val="C00000"/>
                <w:sz w:val="20"/>
                <w:szCs w:val="20"/>
              </w:rPr>
              <w:t>5 766 000</w:t>
            </w:r>
          </w:p>
        </w:tc>
        <w:tc>
          <w:tcPr>
            <w:tcW w:w="1375" w:type="dxa"/>
            <w:shd w:val="clear" w:color="auto" w:fill="FFFFFF" w:themeFill="background1"/>
            <w:vAlign w:val="center"/>
          </w:tcPr>
          <w:p w14:paraId="1EC7C6EB" w14:textId="399DE071" w:rsidR="008D6A91" w:rsidRPr="00FC5CE3" w:rsidRDefault="008D6A91" w:rsidP="008D6A91">
            <w:pPr>
              <w:pStyle w:val="ListParagraph"/>
              <w:ind w:left="0"/>
              <w:contextualSpacing w:val="0"/>
              <w:jc w:val="center"/>
              <w:rPr>
                <w:i/>
                <w:iCs/>
                <w:color w:val="C00000"/>
                <w:sz w:val="20"/>
                <w:szCs w:val="20"/>
              </w:rPr>
            </w:pPr>
            <w:r w:rsidRPr="00FC5CE3">
              <w:rPr>
                <w:i/>
                <w:iCs/>
                <w:color w:val="C00000"/>
                <w:sz w:val="20"/>
                <w:szCs w:val="20"/>
              </w:rPr>
              <w:t>-</w:t>
            </w:r>
            <w:r>
              <w:rPr>
                <w:i/>
                <w:iCs/>
                <w:color w:val="C00000"/>
                <w:sz w:val="20"/>
                <w:szCs w:val="20"/>
              </w:rPr>
              <w:t>5 766 000</w:t>
            </w:r>
          </w:p>
        </w:tc>
        <w:tc>
          <w:tcPr>
            <w:tcW w:w="1269" w:type="dxa"/>
            <w:tcBorders>
              <w:right w:val="nil"/>
            </w:tcBorders>
            <w:shd w:val="clear" w:color="auto" w:fill="FFFFFF" w:themeFill="background1"/>
            <w:vAlign w:val="center"/>
          </w:tcPr>
          <w:p w14:paraId="7126D6F9" w14:textId="40A3708E" w:rsidR="008D6A91" w:rsidRPr="002B6702" w:rsidRDefault="008D6A91" w:rsidP="008D6A91">
            <w:pPr>
              <w:pStyle w:val="ListParagraph"/>
              <w:ind w:left="0"/>
              <w:contextualSpacing w:val="0"/>
              <w:jc w:val="center"/>
              <w:rPr>
                <w:i/>
                <w:iCs/>
                <w:color w:val="C00000"/>
                <w:sz w:val="20"/>
                <w:szCs w:val="20"/>
              </w:rPr>
            </w:pPr>
            <w:r w:rsidRPr="00FC5CE3">
              <w:rPr>
                <w:i/>
                <w:iCs/>
                <w:color w:val="C00000"/>
                <w:sz w:val="20"/>
                <w:szCs w:val="20"/>
              </w:rPr>
              <w:t>-</w:t>
            </w:r>
            <w:r>
              <w:rPr>
                <w:i/>
                <w:iCs/>
                <w:color w:val="C00000"/>
                <w:sz w:val="20"/>
                <w:szCs w:val="20"/>
              </w:rPr>
              <w:t>5 766 000</w:t>
            </w:r>
          </w:p>
        </w:tc>
      </w:tr>
      <w:tr w:rsidR="008D6A91" w:rsidRPr="002B6702" w14:paraId="4EF83305" w14:textId="77777777" w:rsidTr="00005BE2">
        <w:tc>
          <w:tcPr>
            <w:tcW w:w="3672" w:type="dxa"/>
            <w:tcBorders>
              <w:left w:val="nil"/>
              <w:bottom w:val="nil"/>
            </w:tcBorders>
            <w:shd w:val="clear" w:color="auto" w:fill="FFFFFF" w:themeFill="background1"/>
            <w:vAlign w:val="center"/>
          </w:tcPr>
          <w:p w14:paraId="54CE43BD" w14:textId="571813B3" w:rsidR="008D6A91" w:rsidRPr="002B6702" w:rsidRDefault="008D6A91" w:rsidP="008D6A91">
            <w:pPr>
              <w:pStyle w:val="ListParagraph"/>
              <w:numPr>
                <w:ilvl w:val="0"/>
                <w:numId w:val="9"/>
              </w:numPr>
              <w:tabs>
                <w:tab w:val="clear" w:pos="720"/>
                <w:tab w:val="num" w:pos="306"/>
              </w:tabs>
              <w:ind w:hanging="698"/>
              <w:contextualSpacing w:val="0"/>
              <w:jc w:val="left"/>
              <w:rPr>
                <w:i/>
                <w:iCs/>
                <w:sz w:val="20"/>
                <w:szCs w:val="20"/>
              </w:rPr>
            </w:pPr>
            <w:r>
              <w:rPr>
                <w:i/>
                <w:iCs/>
                <w:sz w:val="20"/>
                <w:szCs w:val="20"/>
              </w:rPr>
              <w:t>pašvaldību budžetos</w:t>
            </w:r>
          </w:p>
        </w:tc>
        <w:tc>
          <w:tcPr>
            <w:tcW w:w="1376" w:type="dxa"/>
            <w:tcBorders>
              <w:bottom w:val="nil"/>
            </w:tcBorders>
            <w:shd w:val="clear" w:color="auto" w:fill="FFFFFF" w:themeFill="background1"/>
            <w:vAlign w:val="center"/>
          </w:tcPr>
          <w:p w14:paraId="08098826" w14:textId="3494178F" w:rsidR="008D6A91" w:rsidRPr="00DE7B79" w:rsidRDefault="008D6A91" w:rsidP="008D6A91">
            <w:pPr>
              <w:pStyle w:val="ListParagraph"/>
              <w:ind w:left="0"/>
              <w:contextualSpacing w:val="0"/>
              <w:jc w:val="center"/>
              <w:rPr>
                <w:i/>
                <w:iCs/>
                <w:sz w:val="20"/>
                <w:szCs w:val="20"/>
              </w:rPr>
            </w:pPr>
            <w:r>
              <w:rPr>
                <w:i/>
                <w:iCs/>
                <w:sz w:val="20"/>
                <w:szCs w:val="20"/>
              </w:rPr>
              <w:t>-</w:t>
            </w:r>
          </w:p>
        </w:tc>
        <w:tc>
          <w:tcPr>
            <w:tcW w:w="1375" w:type="dxa"/>
            <w:tcBorders>
              <w:bottom w:val="nil"/>
            </w:tcBorders>
            <w:shd w:val="clear" w:color="auto" w:fill="FFFFFF" w:themeFill="background1"/>
            <w:vAlign w:val="center"/>
          </w:tcPr>
          <w:p w14:paraId="70B8CF27" w14:textId="1C64E045" w:rsidR="008D6A91" w:rsidRPr="00FC5CE3" w:rsidRDefault="008D6A91" w:rsidP="008D6A91">
            <w:pPr>
              <w:pStyle w:val="ListParagraph"/>
              <w:ind w:left="0"/>
              <w:contextualSpacing w:val="0"/>
              <w:jc w:val="center"/>
              <w:rPr>
                <w:i/>
                <w:iCs/>
                <w:color w:val="C00000"/>
                <w:sz w:val="20"/>
                <w:szCs w:val="20"/>
              </w:rPr>
            </w:pPr>
            <w:r>
              <w:rPr>
                <w:i/>
                <w:iCs/>
                <w:color w:val="C00000"/>
                <w:sz w:val="20"/>
                <w:szCs w:val="20"/>
              </w:rPr>
              <w:t>-17 298 000</w:t>
            </w:r>
          </w:p>
        </w:tc>
        <w:tc>
          <w:tcPr>
            <w:tcW w:w="1375" w:type="dxa"/>
            <w:tcBorders>
              <w:bottom w:val="nil"/>
            </w:tcBorders>
            <w:shd w:val="clear" w:color="auto" w:fill="FFFFFF" w:themeFill="background1"/>
            <w:vAlign w:val="center"/>
          </w:tcPr>
          <w:p w14:paraId="7CEFF197" w14:textId="48411FDA" w:rsidR="008D6A91" w:rsidRPr="00FC5CE3" w:rsidRDefault="008D6A91" w:rsidP="008D6A91">
            <w:pPr>
              <w:pStyle w:val="ListParagraph"/>
              <w:ind w:left="0"/>
              <w:contextualSpacing w:val="0"/>
              <w:jc w:val="center"/>
              <w:rPr>
                <w:i/>
                <w:iCs/>
                <w:color w:val="C00000"/>
                <w:sz w:val="20"/>
                <w:szCs w:val="20"/>
              </w:rPr>
            </w:pPr>
            <w:r>
              <w:rPr>
                <w:i/>
                <w:iCs/>
                <w:color w:val="C00000"/>
                <w:sz w:val="20"/>
                <w:szCs w:val="20"/>
              </w:rPr>
              <w:t>-17 298 000</w:t>
            </w:r>
          </w:p>
        </w:tc>
        <w:tc>
          <w:tcPr>
            <w:tcW w:w="1269" w:type="dxa"/>
            <w:tcBorders>
              <w:bottom w:val="nil"/>
              <w:right w:val="nil"/>
            </w:tcBorders>
            <w:shd w:val="clear" w:color="auto" w:fill="FFFFFF" w:themeFill="background1"/>
            <w:vAlign w:val="center"/>
          </w:tcPr>
          <w:p w14:paraId="1C1439C0" w14:textId="0049C156" w:rsidR="008D6A91" w:rsidRPr="002B6702" w:rsidRDefault="008D6A91" w:rsidP="008D6A91">
            <w:pPr>
              <w:pStyle w:val="ListParagraph"/>
              <w:ind w:left="0"/>
              <w:contextualSpacing w:val="0"/>
              <w:jc w:val="center"/>
              <w:rPr>
                <w:i/>
                <w:iCs/>
                <w:color w:val="C00000"/>
                <w:sz w:val="20"/>
                <w:szCs w:val="20"/>
              </w:rPr>
            </w:pPr>
            <w:r>
              <w:rPr>
                <w:i/>
                <w:iCs/>
                <w:color w:val="C00000"/>
                <w:sz w:val="20"/>
                <w:szCs w:val="20"/>
              </w:rPr>
              <w:t>-17 298 000</w:t>
            </w:r>
          </w:p>
        </w:tc>
      </w:tr>
    </w:tbl>
    <w:p w14:paraId="79C30AB6" w14:textId="77777777" w:rsidR="001F60AA" w:rsidRPr="000203BA" w:rsidRDefault="001F60AA" w:rsidP="00CF5E9C">
      <w:pPr>
        <w:tabs>
          <w:tab w:val="left" w:pos="426"/>
        </w:tabs>
        <w:spacing w:before="120"/>
        <w:rPr>
          <w:rFonts w:cs="Times New Roman"/>
          <w:i/>
          <w:sz w:val="18"/>
        </w:rPr>
      </w:pPr>
      <w:r w:rsidRPr="000203BA">
        <w:rPr>
          <w:rFonts w:cs="Times New Roman"/>
          <w:b/>
          <w:bCs/>
          <w:i/>
          <w:sz w:val="18"/>
        </w:rPr>
        <w:t>Avots</w:t>
      </w:r>
      <w:r w:rsidRPr="000203BA">
        <w:rPr>
          <w:rFonts w:cs="Times New Roman"/>
          <w:i/>
          <w:sz w:val="18"/>
        </w:rPr>
        <w:t>: FM aprēķini.</w:t>
      </w:r>
    </w:p>
    <w:p w14:paraId="171F588F" w14:textId="77777777" w:rsidR="006A4DC1" w:rsidRPr="00762CCC" w:rsidRDefault="006A4DC1" w:rsidP="00AB58DE">
      <w:pPr>
        <w:ind w:firstLine="567"/>
        <w:jc w:val="both"/>
        <w:rPr>
          <w:rFonts w:cs="Times New Roman"/>
        </w:rPr>
      </w:pPr>
    </w:p>
    <w:p w14:paraId="7B25CE43" w14:textId="15F5DFA1" w:rsidR="00EA1993" w:rsidRPr="000B6BD9" w:rsidRDefault="00804CC1" w:rsidP="00804CC1">
      <w:pPr>
        <w:pStyle w:val="Heading2"/>
        <w:tabs>
          <w:tab w:val="left" w:pos="567"/>
        </w:tabs>
        <w:ind w:left="567" w:hanging="567"/>
      </w:pPr>
      <w:bookmarkStart w:id="22" w:name="_Hlk175228886"/>
      <w:bookmarkStart w:id="23" w:name="_Toc177627703"/>
      <w:r w:rsidRPr="000B6BD9">
        <w:t xml:space="preserve">2.3. </w:t>
      </w:r>
      <w:r w:rsidRPr="000B6BD9">
        <w:tab/>
        <w:t xml:space="preserve">Lauksaimniecības zemes neaplikšana ar </w:t>
      </w:r>
      <w:r w:rsidRPr="000B6BD9">
        <w:rPr>
          <w:rFonts w:eastAsia="Calibri"/>
        </w:rPr>
        <w:t>iedzīvotāju ienākuma nodokli</w:t>
      </w:r>
      <w:bookmarkEnd w:id="23"/>
    </w:p>
    <w:p w14:paraId="7F50F707" w14:textId="08935F8B" w:rsidR="007966A8" w:rsidRPr="000B6BD9" w:rsidRDefault="007966A8" w:rsidP="000B6BD9">
      <w:pPr>
        <w:ind w:firstLine="567"/>
        <w:jc w:val="both"/>
        <w:rPr>
          <w:rFonts w:eastAsia="Times New Roman" w:cs="Times New Roman"/>
          <w:shd w:val="clear" w:color="auto" w:fill="FFFFFF"/>
          <w:lang w:eastAsia="lv-LV"/>
        </w:rPr>
      </w:pPr>
      <w:bookmarkStart w:id="24" w:name="_Hlk175143772"/>
      <w:bookmarkEnd w:id="22"/>
      <w:r w:rsidRPr="000B6BD9">
        <w:rPr>
          <w:rFonts w:eastAsia="Times New Roman" w:cs="Times New Roman"/>
          <w:shd w:val="clear" w:color="auto" w:fill="FFFFFF"/>
          <w:lang w:eastAsia="lv-LV"/>
        </w:rPr>
        <w:t xml:space="preserve">Likumā </w:t>
      </w:r>
      <w:r w:rsidRPr="000B6BD9">
        <w:rPr>
          <w:rFonts w:eastAsia="Times New Roman" w:cs="Times New Roman"/>
          <w:i/>
          <w:iCs/>
          <w:shd w:val="clear" w:color="auto" w:fill="FFFFFF"/>
          <w:lang w:eastAsia="lv-LV"/>
        </w:rPr>
        <w:t>“Par iedzīvotāju ienākuma nodokli”</w:t>
      </w:r>
      <w:r w:rsidRPr="000B6BD9">
        <w:rPr>
          <w:rFonts w:eastAsia="Times New Roman" w:cs="Times New Roman"/>
          <w:shd w:val="clear" w:color="auto" w:fill="FFFFFF"/>
          <w:lang w:eastAsia="lv-LV"/>
        </w:rPr>
        <w:t xml:space="preserve"> </w:t>
      </w:r>
      <w:r w:rsidRPr="000B6BD9">
        <w:rPr>
          <w:rFonts w:cs="Times New Roman"/>
        </w:rPr>
        <w:t>ietvertās normas arī paredz, ka</w:t>
      </w:r>
      <w:r w:rsidRPr="000B6BD9">
        <w:rPr>
          <w:rFonts w:eastAsia="Times New Roman" w:cs="Times New Roman"/>
          <w:shd w:val="clear" w:color="auto" w:fill="FFFFFF"/>
          <w:lang w:eastAsia="lv-LV"/>
        </w:rPr>
        <w:t xml:space="preserve"> ar nodokli </w:t>
      </w:r>
      <w:bookmarkStart w:id="25" w:name="_Hlk175751593"/>
      <w:r w:rsidRPr="000B6BD9">
        <w:rPr>
          <w:rFonts w:eastAsia="Times New Roman" w:cs="Times New Roman"/>
          <w:shd w:val="clear" w:color="auto" w:fill="FFFFFF"/>
          <w:lang w:eastAsia="lv-LV"/>
        </w:rPr>
        <w:t xml:space="preserve">neapliek ienākumu no tāda nekustamā īpašuma atsavināšanas, kurš pēc lietošanas veida ir </w:t>
      </w:r>
      <w:r w:rsidRPr="000B6BD9">
        <w:rPr>
          <w:rFonts w:eastAsia="Times New Roman" w:cs="Times New Roman"/>
          <w:shd w:val="clear" w:color="auto" w:fill="FFFFFF"/>
          <w:lang w:eastAsia="lv-LV"/>
        </w:rPr>
        <w:lastRenderedPageBreak/>
        <w:t>lauksaim</w:t>
      </w:r>
      <w:r w:rsidR="00AB58DE" w:rsidRPr="000B6BD9">
        <w:rPr>
          <w:rFonts w:eastAsia="Times New Roman" w:cs="Times New Roman"/>
          <w:shd w:val="clear" w:color="auto" w:fill="FFFFFF"/>
          <w:lang w:eastAsia="lv-LV"/>
        </w:rPr>
        <w:softHyphen/>
      </w:r>
      <w:r w:rsidRPr="000B6BD9">
        <w:rPr>
          <w:rFonts w:eastAsia="Times New Roman" w:cs="Times New Roman"/>
          <w:shd w:val="clear" w:color="auto" w:fill="FFFFFF"/>
          <w:lang w:eastAsia="lv-LV"/>
        </w:rPr>
        <w:t xml:space="preserve">niecībā izmantojama zeme </w:t>
      </w:r>
      <w:r w:rsidRPr="000B6BD9">
        <w:rPr>
          <w:rFonts w:eastAsia="Times New Roman" w:cs="Times New Roman"/>
          <w:i/>
          <w:iCs/>
          <w:shd w:val="clear" w:color="auto" w:fill="FFFFFF"/>
          <w:lang w:eastAsia="lv-LV"/>
        </w:rPr>
        <w:t>(turpmāk – LIZ)</w:t>
      </w:r>
      <w:r w:rsidRPr="000B6BD9">
        <w:rPr>
          <w:rFonts w:eastAsia="Times New Roman" w:cs="Times New Roman"/>
          <w:shd w:val="clear" w:color="auto" w:fill="FFFFFF"/>
          <w:lang w:eastAsia="lv-LV"/>
        </w:rPr>
        <w:t>, un ir izpildīti abi turpmāk minētie nosacījumi</w:t>
      </w:r>
      <w:bookmarkEnd w:id="25"/>
      <w:r w:rsidRPr="000B6BD9">
        <w:rPr>
          <w:rFonts w:eastAsia="Times New Roman" w:cs="Times New Roman"/>
          <w:shd w:val="clear" w:color="auto" w:fill="FFFFFF"/>
          <w:lang w:eastAsia="lv-LV"/>
        </w:rPr>
        <w:t>:</w:t>
      </w:r>
    </w:p>
    <w:p w14:paraId="40327667" w14:textId="274EE0AF" w:rsidR="00880159" w:rsidRPr="000B6BD9" w:rsidRDefault="007966A8" w:rsidP="00FF31ED">
      <w:pPr>
        <w:pStyle w:val="ListParagraph"/>
        <w:numPr>
          <w:ilvl w:val="0"/>
          <w:numId w:val="13"/>
        </w:numPr>
        <w:spacing w:after="120"/>
        <w:ind w:left="993" w:hanging="426"/>
        <w:rPr>
          <w:rFonts w:eastAsia="Times New Roman"/>
          <w:shd w:val="clear" w:color="auto" w:fill="FFFFFF"/>
          <w:lang w:eastAsia="lv-LV"/>
        </w:rPr>
      </w:pPr>
      <w:r w:rsidRPr="000B6BD9">
        <w:rPr>
          <w:rFonts w:eastAsia="Times New Roman"/>
          <w:shd w:val="clear" w:color="auto" w:fill="FFFFFF"/>
          <w:lang w:eastAsia="lv-LV"/>
        </w:rPr>
        <w:t xml:space="preserve">īpašumtiesības uz nekustamo īpašumu tā atsavināšanas rezultātā iegūst persona, kura </w:t>
      </w:r>
      <w:r w:rsidRPr="000B6BD9">
        <w:rPr>
          <w:rFonts w:eastAsia="Times New Roman"/>
          <w:i/>
          <w:iCs/>
          <w:shd w:val="clear" w:color="auto" w:fill="FFFFFF"/>
          <w:lang w:eastAsia="lv-LV"/>
        </w:rPr>
        <w:t>Uzņēmumu reģistrā</w:t>
      </w:r>
      <w:r w:rsidRPr="000B6BD9">
        <w:rPr>
          <w:rFonts w:eastAsia="Times New Roman"/>
          <w:shd w:val="clear" w:color="auto" w:fill="FFFFFF"/>
          <w:lang w:eastAsia="lv-LV"/>
        </w:rPr>
        <w:t xml:space="preserve"> reģistrēta kā komercsabiedrība vai zemnieku saimniecība vai </w:t>
      </w:r>
      <w:r w:rsidR="000B6BD9">
        <w:rPr>
          <w:rFonts w:eastAsia="Times New Roman"/>
          <w:shd w:val="clear" w:color="auto" w:fill="FFFFFF"/>
          <w:lang w:eastAsia="lv-LV"/>
        </w:rPr>
        <w:t>VID</w:t>
      </w:r>
      <w:r w:rsidRPr="000B6BD9">
        <w:rPr>
          <w:rFonts w:eastAsia="Times New Roman"/>
          <w:shd w:val="clear" w:color="auto" w:fill="FFFFFF"/>
          <w:lang w:eastAsia="lv-LV"/>
        </w:rPr>
        <w:t xml:space="preserve"> – kā saimnieciskās darbības veicēja vai īpašumtiesības uz nekustamo īpašumu tā atsavināšanas rezultātā iegūst </w:t>
      </w:r>
      <w:r w:rsidRPr="000B6BD9">
        <w:rPr>
          <w:rFonts w:eastAsia="Times New Roman"/>
          <w:i/>
          <w:iCs/>
          <w:shd w:val="clear" w:color="auto" w:fill="FFFFFF"/>
          <w:lang w:eastAsia="lv-LV"/>
        </w:rPr>
        <w:t>Latvijas zemes fonds</w:t>
      </w:r>
      <w:r w:rsidRPr="000B6BD9">
        <w:rPr>
          <w:rFonts w:eastAsia="Times New Roman"/>
          <w:shd w:val="clear" w:color="auto" w:fill="FFFFFF"/>
          <w:lang w:eastAsia="lv-LV"/>
        </w:rPr>
        <w:t>;</w:t>
      </w:r>
    </w:p>
    <w:p w14:paraId="018B304C" w14:textId="77777777" w:rsidR="00CE5FAD" w:rsidRPr="000B6BD9" w:rsidRDefault="007966A8" w:rsidP="000B6BD9">
      <w:pPr>
        <w:pStyle w:val="ListParagraph"/>
        <w:numPr>
          <w:ilvl w:val="0"/>
          <w:numId w:val="13"/>
        </w:numPr>
        <w:ind w:left="992" w:hanging="426"/>
        <w:rPr>
          <w:shd w:val="clear" w:color="auto" w:fill="FFFFFF"/>
          <w:lang w:eastAsia="lv-LV"/>
        </w:rPr>
      </w:pPr>
      <w:r w:rsidRPr="000B6BD9">
        <w:rPr>
          <w:rFonts w:eastAsia="Times New Roman"/>
          <w:shd w:val="clear" w:color="auto" w:fill="FFFFFF"/>
          <w:lang w:eastAsia="lv-LV"/>
        </w:rPr>
        <w:t xml:space="preserve">vismaz vienā taksācijas periodā no pēdējiem trim pirmstaksācijas periodiem vairāk nekā pusi no minētās personas saimnieciskās darbības ieņēmumiem veido ieņēmumi no lauksaimnieciskās darbības vai arī šī persona no </w:t>
      </w:r>
      <w:r w:rsidRPr="000B6BD9">
        <w:rPr>
          <w:rFonts w:eastAsia="Times New Roman"/>
          <w:i/>
          <w:iCs/>
          <w:shd w:val="clear" w:color="auto" w:fill="FFFFFF"/>
          <w:lang w:eastAsia="lv-LV"/>
        </w:rPr>
        <w:t>Eiropas Lauksaimniecības virzības un garantiju fonda</w:t>
      </w:r>
      <w:r w:rsidRPr="000B6BD9">
        <w:rPr>
          <w:rFonts w:eastAsia="Times New Roman"/>
          <w:shd w:val="clear" w:color="auto" w:fill="FFFFFF"/>
          <w:lang w:eastAsia="lv-LV"/>
        </w:rPr>
        <w:t xml:space="preserve"> saņem atbalstu kā jaunais lauksaimnieks. </w:t>
      </w:r>
    </w:p>
    <w:p w14:paraId="482B2F6E" w14:textId="77777777" w:rsidR="000B6BD9" w:rsidRPr="000B6BD9" w:rsidRDefault="000B6BD9" w:rsidP="000B6BD9">
      <w:pPr>
        <w:pStyle w:val="ListParagraph"/>
        <w:ind w:left="992"/>
        <w:rPr>
          <w:shd w:val="clear" w:color="auto" w:fill="FFFFFF"/>
          <w:lang w:eastAsia="lv-LV"/>
        </w:rPr>
      </w:pPr>
    </w:p>
    <w:p w14:paraId="487F599C" w14:textId="77777777" w:rsidR="00CE5FAD" w:rsidRPr="000B6BD9" w:rsidRDefault="007966A8" w:rsidP="00CE5FAD">
      <w:pPr>
        <w:spacing w:after="120"/>
        <w:ind w:firstLine="567"/>
        <w:jc w:val="both"/>
        <w:rPr>
          <w:rFonts w:eastAsia="Times New Roman"/>
          <w:shd w:val="clear" w:color="auto" w:fill="FFFFFF"/>
          <w:lang w:eastAsia="lv-LV"/>
        </w:rPr>
      </w:pPr>
      <w:r w:rsidRPr="000B6BD9">
        <w:rPr>
          <w:rFonts w:eastAsia="Times New Roman"/>
          <w:shd w:val="clear" w:color="auto" w:fill="FFFFFF"/>
          <w:lang w:eastAsia="lv-LV"/>
        </w:rPr>
        <w:t>Nodokļa atvieglojuma mērķis ir nodrošināt, lai LIZ tiktu izmantota lauksaimnieciskajā ražošanā arī tādā gadījumā, ja mainās lauksaimniecībā izmantojamās zemes īpašnieks.</w:t>
      </w:r>
    </w:p>
    <w:p w14:paraId="65389A36" w14:textId="77777777" w:rsidR="00CE5FAD" w:rsidRPr="000B6BD9" w:rsidRDefault="007966A8" w:rsidP="00CE5FAD">
      <w:pPr>
        <w:spacing w:after="120"/>
        <w:ind w:firstLine="567"/>
        <w:jc w:val="both"/>
        <w:rPr>
          <w:rFonts w:eastAsia="Times New Roman" w:cs="Times New Roman"/>
          <w:shd w:val="clear" w:color="auto" w:fill="FFFFFF"/>
          <w:lang w:eastAsia="lv-LV"/>
        </w:rPr>
      </w:pPr>
      <w:r w:rsidRPr="000B6BD9">
        <w:rPr>
          <w:rFonts w:eastAsia="Times New Roman" w:cs="Times New Roman"/>
          <w:shd w:val="clear" w:color="auto" w:fill="FFFFFF"/>
          <w:lang w:eastAsia="lv-LV"/>
        </w:rPr>
        <w:t>Likuma 11.</w:t>
      </w:r>
      <w:r w:rsidRPr="000B6BD9">
        <w:rPr>
          <w:rFonts w:eastAsia="Times New Roman" w:cs="Times New Roman"/>
          <w:shd w:val="clear" w:color="auto" w:fill="FFFFFF"/>
          <w:vertAlign w:val="superscript"/>
          <w:lang w:eastAsia="lv-LV"/>
        </w:rPr>
        <w:t xml:space="preserve">7 </w:t>
      </w:r>
      <w:r w:rsidRPr="000B6BD9">
        <w:rPr>
          <w:rFonts w:eastAsia="Times New Roman" w:cs="Times New Roman"/>
          <w:shd w:val="clear" w:color="auto" w:fill="FFFFFF"/>
          <w:lang w:eastAsia="lv-LV"/>
        </w:rPr>
        <w:t xml:space="preserve">panta trešās daļas 3. punktā noteiktie kritēriji zemes pārdevējam pēc būtības nozīmē to, ka arī zemes pārdevējam ir jābūt lauksaimniecības produkcijas ražotājam vai personai, kas mantojuma vai dāvinājuma ceļā ir ieguvusi lauksaimniecībā izmantojamo zemi no lauksaimniecības produkcijas ražotāja. </w:t>
      </w:r>
    </w:p>
    <w:p w14:paraId="67DC0D25" w14:textId="5C53DE59" w:rsidR="00CE5FAD" w:rsidRPr="000B6BD9" w:rsidRDefault="007966A8" w:rsidP="00CE5FAD">
      <w:pPr>
        <w:spacing w:after="120"/>
        <w:ind w:firstLine="567"/>
        <w:jc w:val="both"/>
        <w:rPr>
          <w:rFonts w:eastAsia="Calibri"/>
          <w:shd w:val="clear" w:color="auto" w:fill="FFFFFF"/>
          <w:lang w:eastAsia="lv-LV"/>
        </w:rPr>
      </w:pPr>
      <w:r w:rsidRPr="000B6BD9">
        <w:rPr>
          <w:rFonts w:eastAsia="Times New Roman" w:cs="Times New Roman"/>
          <w:shd w:val="clear" w:color="auto" w:fill="FFFFFF"/>
          <w:lang w:eastAsia="lv-LV"/>
        </w:rPr>
        <w:t>Ar Saeimā 2013.</w:t>
      </w:r>
      <w:r w:rsidR="00DE7B79" w:rsidRPr="000B6BD9">
        <w:rPr>
          <w:rFonts w:eastAsia="Times New Roman" w:cs="Times New Roman"/>
          <w:shd w:val="clear" w:color="auto" w:fill="FFFFFF"/>
          <w:lang w:eastAsia="lv-LV"/>
        </w:rPr>
        <w:t> </w:t>
      </w:r>
      <w:r w:rsidRPr="000B6BD9">
        <w:rPr>
          <w:rFonts w:eastAsia="Times New Roman" w:cs="Times New Roman"/>
          <w:shd w:val="clear" w:color="auto" w:fill="FFFFFF"/>
          <w:lang w:eastAsia="lv-LV"/>
        </w:rPr>
        <w:t>gada 28.</w:t>
      </w:r>
      <w:r w:rsidR="00DE7B79" w:rsidRPr="000B6BD9">
        <w:rPr>
          <w:rFonts w:eastAsia="Times New Roman" w:cs="Times New Roman"/>
          <w:shd w:val="clear" w:color="auto" w:fill="FFFFFF"/>
          <w:lang w:eastAsia="lv-LV"/>
        </w:rPr>
        <w:t> </w:t>
      </w:r>
      <w:r w:rsidRPr="000B6BD9">
        <w:rPr>
          <w:rFonts w:eastAsia="Times New Roman" w:cs="Times New Roman"/>
          <w:shd w:val="clear" w:color="auto" w:fill="FFFFFF"/>
          <w:lang w:eastAsia="lv-LV"/>
        </w:rPr>
        <w:t>novembrī pieņemtajiem grozījumiem likuma pārejas noteikumi papildināti ar 108.punktu, kurā, lai nodrošinātu, ka lauksaimniecībā izmantojamā zeme, kas netiek izmantota lauksaimnieciskajā ražošanā un atrodas tādu zemes īpašnieku rokās, kuri ir iegādājušies to ar mērķi tālāk pārdot, tiktu mērķtiecīgi iesaistīta lauksaimnieciskās produkcijas ražošanā, nevis tiktu tālāk pārdota zemes uzpircējam – starpniekam</w:t>
      </w:r>
      <w:r w:rsidR="000E3528">
        <w:rPr>
          <w:rFonts w:eastAsia="Times New Roman" w:cs="Times New Roman"/>
          <w:shd w:val="clear" w:color="auto" w:fill="FFFFFF"/>
          <w:lang w:eastAsia="lv-LV"/>
        </w:rPr>
        <w:t>.</w:t>
      </w:r>
      <w:r w:rsidRPr="000B6BD9">
        <w:rPr>
          <w:rFonts w:eastAsia="Times New Roman" w:cs="Times New Roman"/>
          <w:shd w:val="clear" w:color="auto" w:fill="FFFFFF"/>
          <w:lang w:eastAsia="lv-LV"/>
        </w:rPr>
        <w:t xml:space="preserve"> </w:t>
      </w:r>
      <w:r w:rsidR="000E3528">
        <w:rPr>
          <w:rFonts w:eastAsia="Times New Roman" w:cs="Times New Roman"/>
          <w:shd w:val="clear" w:color="auto" w:fill="FFFFFF"/>
          <w:lang w:eastAsia="lv-LV"/>
        </w:rPr>
        <w:t>N</w:t>
      </w:r>
      <w:r w:rsidRPr="000B6BD9">
        <w:rPr>
          <w:rFonts w:eastAsia="Times New Roman" w:cs="Times New Roman"/>
          <w:shd w:val="clear" w:color="auto" w:fill="FFFFFF"/>
          <w:lang w:eastAsia="lv-LV"/>
        </w:rPr>
        <w:t>oteikts, ka likuma 11.</w:t>
      </w:r>
      <w:r w:rsidRPr="000B6BD9">
        <w:rPr>
          <w:rFonts w:eastAsia="Times New Roman" w:cs="Times New Roman"/>
          <w:shd w:val="clear" w:color="auto" w:fill="FFFFFF"/>
          <w:vertAlign w:val="superscript"/>
          <w:lang w:eastAsia="lv-LV"/>
        </w:rPr>
        <w:t>7 </w:t>
      </w:r>
      <w:r w:rsidRPr="000B6BD9">
        <w:rPr>
          <w:rFonts w:eastAsia="Times New Roman" w:cs="Times New Roman"/>
          <w:shd w:val="clear" w:color="auto" w:fill="FFFFFF"/>
          <w:lang w:eastAsia="lv-LV"/>
        </w:rPr>
        <w:t xml:space="preserve">panta trešās daļas 3. punktā noteiktos kritērijus nepiemēro attiecībā uz pārdevēju no 2014. gada 1. jūlija līdz 2016. gada 1. jūlijam. </w:t>
      </w:r>
    </w:p>
    <w:p w14:paraId="71959A0B" w14:textId="3929F22E" w:rsidR="007966A8" w:rsidRPr="000B6BD9" w:rsidRDefault="007966A8" w:rsidP="00CE5FAD">
      <w:pPr>
        <w:pStyle w:val="ListParagraph"/>
        <w:spacing w:after="120"/>
        <w:ind w:left="0" w:firstLine="567"/>
        <w:rPr>
          <w:shd w:val="clear" w:color="auto" w:fill="FFFFFF"/>
          <w:lang w:eastAsia="lv-LV"/>
        </w:rPr>
      </w:pPr>
      <w:r w:rsidRPr="000B6BD9">
        <w:rPr>
          <w:rFonts w:eastAsia="Times New Roman"/>
          <w:shd w:val="clear" w:color="auto" w:fill="FFFFFF"/>
          <w:lang w:eastAsia="lv-LV"/>
        </w:rPr>
        <w:t>Ar vēlākiem grozījumiem, kas izdarīti, </w:t>
      </w:r>
      <w:r w:rsidRPr="000B6BD9">
        <w:rPr>
          <w:rFonts w:eastAsia="Times New Roman"/>
          <w:lang w:eastAsia="lv-LV"/>
        </w:rPr>
        <w:t>28.07.2017.</w:t>
      </w:r>
      <w:r w:rsidR="00CE5FAD" w:rsidRPr="000B6BD9">
        <w:rPr>
          <w:rStyle w:val="FootnoteReference"/>
          <w:rFonts w:eastAsia="Times New Roman"/>
          <w:shd w:val="clear" w:color="auto" w:fill="FFFFFF"/>
          <w:lang w:eastAsia="lv-LV"/>
        </w:rPr>
        <w:footnoteReference w:id="4"/>
      </w:r>
      <w:r w:rsidRPr="000B6BD9">
        <w:rPr>
          <w:rFonts w:eastAsia="Times New Roman"/>
          <w:shd w:val="clear" w:color="auto" w:fill="FFFFFF"/>
          <w:lang w:eastAsia="lv-LV"/>
        </w:rPr>
        <w:t> un </w:t>
      </w:r>
      <w:r w:rsidRPr="000B6BD9">
        <w:rPr>
          <w:rFonts w:eastAsia="Times New Roman"/>
          <w:lang w:eastAsia="lv-LV"/>
        </w:rPr>
        <w:t>15.06.2023</w:t>
      </w:r>
      <w:r w:rsidRPr="000B6BD9">
        <w:rPr>
          <w:rFonts w:eastAsia="Times New Roman"/>
          <w:shd w:val="clear" w:color="auto" w:fill="FFFFFF"/>
          <w:lang w:eastAsia="lv-LV"/>
        </w:rPr>
        <w:t>.</w:t>
      </w:r>
      <w:r w:rsidR="00CE5FAD" w:rsidRPr="000B6BD9">
        <w:rPr>
          <w:rStyle w:val="FootnoteReference"/>
          <w:rFonts w:eastAsia="Times New Roman"/>
          <w:shd w:val="clear" w:color="auto" w:fill="FFFFFF"/>
          <w:lang w:eastAsia="lv-LV"/>
        </w:rPr>
        <w:footnoteReference w:id="5"/>
      </w:r>
      <w:r w:rsidR="000E3528">
        <w:rPr>
          <w:rFonts w:eastAsia="Times New Roman"/>
          <w:shd w:val="clear" w:color="auto" w:fill="FFFFFF"/>
          <w:lang w:eastAsia="lv-LV"/>
        </w:rPr>
        <w:t xml:space="preserve">, </w:t>
      </w:r>
      <w:r w:rsidRPr="000B6BD9">
        <w:rPr>
          <w:rFonts w:eastAsia="Times New Roman"/>
          <w:shd w:val="clear" w:color="auto" w:fill="FFFFFF"/>
          <w:lang w:eastAsia="lv-LV"/>
        </w:rPr>
        <w:t>pārejas noteikumu 108.</w:t>
      </w:r>
      <w:r w:rsidR="000E3528">
        <w:rPr>
          <w:rFonts w:eastAsia="Times New Roman"/>
          <w:shd w:val="clear" w:color="auto" w:fill="FFFFFF"/>
          <w:lang w:eastAsia="lv-LV"/>
        </w:rPr>
        <w:t> </w:t>
      </w:r>
      <w:r w:rsidRPr="000B6BD9">
        <w:rPr>
          <w:rFonts w:eastAsia="Times New Roman"/>
          <w:shd w:val="clear" w:color="auto" w:fill="FFFFFF"/>
          <w:lang w:eastAsia="lv-LV"/>
        </w:rPr>
        <w:t>punkta darbības termiņš vairākkārt ir ticis pagarināts un pašreiz tas ir noteikts 2024</w:t>
      </w:r>
      <w:r w:rsidR="000E3528">
        <w:rPr>
          <w:rFonts w:eastAsia="Times New Roman"/>
          <w:shd w:val="clear" w:color="auto" w:fill="FFFFFF"/>
          <w:lang w:eastAsia="lv-LV"/>
        </w:rPr>
        <w:t> </w:t>
      </w:r>
      <w:r w:rsidRPr="000B6BD9">
        <w:rPr>
          <w:rFonts w:eastAsia="Times New Roman"/>
          <w:shd w:val="clear" w:color="auto" w:fill="FFFFFF"/>
          <w:lang w:eastAsia="lv-LV"/>
        </w:rPr>
        <w:t>.gada 31.</w:t>
      </w:r>
      <w:r w:rsidR="000E3528">
        <w:rPr>
          <w:rFonts w:eastAsia="Times New Roman"/>
          <w:shd w:val="clear" w:color="auto" w:fill="FFFFFF"/>
          <w:lang w:eastAsia="lv-LV"/>
        </w:rPr>
        <w:t> </w:t>
      </w:r>
      <w:r w:rsidRPr="000B6BD9">
        <w:rPr>
          <w:rFonts w:eastAsia="Times New Roman"/>
          <w:shd w:val="clear" w:color="auto" w:fill="FFFFFF"/>
          <w:lang w:eastAsia="lv-LV"/>
        </w:rPr>
        <w:t xml:space="preserve">decembris. Līdz ar to šajā periodā tika paredzēts, ka atbrīvojums no nodokļa maksāšanas pienākas jebkuram nodokļa maksātājam, kurš LIZ pārdot lauksaimniecības produkcijas ražotājam. </w:t>
      </w:r>
    </w:p>
    <w:p w14:paraId="13438E16" w14:textId="6630ABE9" w:rsidR="007966A8" w:rsidRPr="000B6BD9" w:rsidRDefault="007966A8" w:rsidP="00CE5FAD">
      <w:pPr>
        <w:spacing w:after="120"/>
        <w:ind w:firstLine="567"/>
        <w:jc w:val="both"/>
        <w:rPr>
          <w:rFonts w:eastAsia="Times New Roman" w:cs="Times New Roman"/>
          <w:strike/>
          <w:shd w:val="clear" w:color="auto" w:fill="FFFFFF"/>
          <w:lang w:eastAsia="lv-LV"/>
        </w:rPr>
      </w:pPr>
      <w:r w:rsidRPr="000B6BD9">
        <w:rPr>
          <w:rFonts w:eastAsia="Times New Roman" w:cs="Times New Roman"/>
          <w:shd w:val="clear" w:color="auto" w:fill="FFFFFF"/>
          <w:lang w:eastAsia="lv-LV"/>
        </w:rPr>
        <w:t xml:space="preserve">Ņemot vērā minēto, </w:t>
      </w:r>
      <w:bookmarkStart w:id="26" w:name="_Hlk175751634"/>
      <w:r w:rsidR="00CE5FAD" w:rsidRPr="000B6BD9">
        <w:rPr>
          <w:rFonts w:eastAsia="Times New Roman" w:cs="Times New Roman"/>
          <w:shd w:val="clear" w:color="auto" w:fill="FFFFFF"/>
          <w:lang w:eastAsia="lv-LV"/>
        </w:rPr>
        <w:t>l</w:t>
      </w:r>
      <w:r w:rsidRPr="000B6BD9">
        <w:rPr>
          <w:rFonts w:eastAsia="Times New Roman" w:cs="Times New Roman"/>
          <w:shd w:val="clear" w:color="auto" w:fill="FFFFFF"/>
          <w:lang w:eastAsia="lv-LV"/>
        </w:rPr>
        <w:t>ikuma 11.</w:t>
      </w:r>
      <w:r w:rsidRPr="000B6BD9">
        <w:rPr>
          <w:rFonts w:eastAsia="Times New Roman" w:cs="Times New Roman"/>
          <w:shd w:val="clear" w:color="auto" w:fill="FFFFFF"/>
          <w:vertAlign w:val="superscript"/>
          <w:lang w:eastAsia="lv-LV"/>
        </w:rPr>
        <w:t>7</w:t>
      </w:r>
      <w:r w:rsidRPr="000B6BD9">
        <w:rPr>
          <w:rFonts w:eastAsia="Times New Roman" w:cs="Times New Roman"/>
          <w:shd w:val="clear" w:color="auto" w:fill="FFFFFF"/>
          <w:lang w:eastAsia="lv-LV"/>
        </w:rPr>
        <w:t xml:space="preserve"> panta trešās daļas 3.</w:t>
      </w:r>
      <w:r w:rsidR="00DE7B79" w:rsidRPr="000B6BD9">
        <w:t> </w:t>
      </w:r>
      <w:r w:rsidRPr="000B6BD9">
        <w:rPr>
          <w:rFonts w:eastAsia="Times New Roman" w:cs="Times New Roman"/>
          <w:shd w:val="clear" w:color="auto" w:fill="FFFFFF"/>
          <w:lang w:eastAsia="lv-LV"/>
        </w:rPr>
        <w:t xml:space="preserve">punktā noteiktie kritēriji </w:t>
      </w:r>
      <w:bookmarkEnd w:id="26"/>
      <w:r w:rsidRPr="000B6BD9">
        <w:rPr>
          <w:rFonts w:eastAsia="Times New Roman" w:cs="Times New Roman"/>
          <w:shd w:val="clear" w:color="auto" w:fill="FFFFFF"/>
          <w:lang w:eastAsia="lv-LV"/>
        </w:rPr>
        <w:t xml:space="preserve">LIZ pārdevējam ir ierobežojoši un pretrunā ar šajā pantā noteiktā IIN atbrīvojuma mērķi – nodrošināt LIZ izmantošanu lauksaimnieciskajā ražošanā arī tādā gadījumā, ja mainās LIZ īpašnieks. Pēc būtības nav svarīgi, kas ir LIZ pārdevējs, bet ir svarīgi, lai LIZ nonāktu pie tāda pircēja, kurš to plāno izmantot lauksaimnieciskajā ražošanā. Turklāt arī likumā noteiktie kritēriji LIZ pārdevējam ir novecojuši, turklāt, iespējams, ir pretrunā ar noteiktajām valsts atbalsta prasībām.  </w:t>
      </w:r>
    </w:p>
    <w:p w14:paraId="21AE9FA9" w14:textId="56BA37EF" w:rsidR="007966A8" w:rsidRDefault="007966A8" w:rsidP="001F60AA">
      <w:pPr>
        <w:spacing w:after="120"/>
        <w:ind w:firstLine="567"/>
        <w:jc w:val="both"/>
        <w:rPr>
          <w:rFonts w:eastAsia="Times New Roman" w:cs="Times New Roman"/>
          <w:shd w:val="clear" w:color="auto" w:fill="FFFFFF"/>
          <w:lang w:eastAsia="lv-LV"/>
        </w:rPr>
      </w:pPr>
      <w:r w:rsidRPr="000B6BD9">
        <w:rPr>
          <w:rFonts w:eastAsia="Times New Roman" w:cs="Times New Roman"/>
          <w:shd w:val="clear" w:color="auto" w:fill="FFFFFF"/>
          <w:lang w:eastAsia="lv-LV"/>
        </w:rPr>
        <w:t xml:space="preserve">Tādējādi iespējamais risinājums ir </w:t>
      </w:r>
      <w:bookmarkStart w:id="27" w:name="_Hlk175751668"/>
      <w:r w:rsidRPr="000B6BD9">
        <w:rPr>
          <w:rFonts w:eastAsia="Times New Roman" w:cs="Times New Roman"/>
          <w:b/>
          <w:bCs/>
          <w:shd w:val="clear" w:color="auto" w:fill="FFFFFF"/>
          <w:lang w:eastAsia="lv-LV"/>
        </w:rPr>
        <w:t xml:space="preserve">izslēgt no likuma regulējumu, kurā noteikti kritēriji LIZ pārdevējam, un atbrīvot ienākumu no LIZ atsavināšanas no aplikšanas ar </w:t>
      </w:r>
      <w:r w:rsidR="00CE5FAD" w:rsidRPr="000B6BD9">
        <w:rPr>
          <w:rFonts w:eastAsia="Times New Roman" w:cs="Times New Roman"/>
          <w:b/>
          <w:bCs/>
          <w:shd w:val="clear" w:color="auto" w:fill="FFFFFF"/>
          <w:lang w:eastAsia="lv-LV"/>
        </w:rPr>
        <w:t>IIN</w:t>
      </w:r>
      <w:r w:rsidRPr="000B6BD9">
        <w:rPr>
          <w:rFonts w:eastAsia="Times New Roman" w:cs="Times New Roman"/>
          <w:shd w:val="clear" w:color="auto" w:fill="FFFFFF"/>
          <w:lang w:eastAsia="lv-LV"/>
        </w:rPr>
        <w:t xml:space="preserve">, ja izpildās likumā </w:t>
      </w:r>
      <w:r w:rsidRPr="000B6BD9">
        <w:rPr>
          <w:rFonts w:eastAsia="Times New Roman" w:cs="Times New Roman"/>
          <w:i/>
          <w:iCs/>
          <w:shd w:val="clear" w:color="auto" w:fill="FFFFFF"/>
          <w:lang w:eastAsia="lv-LV"/>
        </w:rPr>
        <w:t xml:space="preserve">“Par iedzīvotāju ienākuma nodokli” </w:t>
      </w:r>
      <w:r w:rsidRPr="000B6BD9">
        <w:rPr>
          <w:rFonts w:eastAsia="Times New Roman" w:cs="Times New Roman"/>
          <w:shd w:val="clear" w:color="auto" w:fill="FFFFFF"/>
          <w:lang w:eastAsia="lv-LV"/>
        </w:rPr>
        <w:t>noteiktie kritēriji attiecībā tikai pret pircēju, nodrošinot, ka LIZ tiek izmantota lauksaimnieciskā ražošanā</w:t>
      </w:r>
      <w:bookmarkEnd w:id="27"/>
      <w:r w:rsidRPr="000B6BD9">
        <w:rPr>
          <w:rFonts w:eastAsia="Times New Roman" w:cs="Times New Roman"/>
          <w:shd w:val="clear" w:color="auto" w:fill="FFFFFF"/>
          <w:lang w:eastAsia="lv-LV"/>
        </w:rPr>
        <w:t>.</w:t>
      </w:r>
      <w:r w:rsidRPr="000069A2">
        <w:rPr>
          <w:rFonts w:eastAsia="Times New Roman" w:cs="Times New Roman"/>
          <w:shd w:val="clear" w:color="auto" w:fill="FFFFFF"/>
          <w:lang w:eastAsia="lv-LV"/>
        </w:rPr>
        <w:t xml:space="preserve"> </w:t>
      </w:r>
    </w:p>
    <w:p w14:paraId="759AF5A5" w14:textId="382C2148" w:rsidR="001F60AA" w:rsidRPr="000069A2" w:rsidRDefault="001F60AA" w:rsidP="001F60AA">
      <w:pPr>
        <w:spacing w:after="120"/>
        <w:ind w:firstLine="567"/>
        <w:jc w:val="both"/>
        <w:rPr>
          <w:rFonts w:eastAsia="Times New Roman" w:cs="Times New Roman"/>
          <w:shd w:val="clear" w:color="auto" w:fill="FFFFFF"/>
          <w:lang w:eastAsia="lv-LV"/>
        </w:rPr>
      </w:pPr>
      <w:r>
        <w:rPr>
          <w:rFonts w:eastAsia="Times New Roman" w:cs="Times New Roman"/>
          <w:shd w:val="clear" w:color="auto" w:fill="FFFFFF"/>
          <w:lang w:eastAsia="lv-LV"/>
        </w:rPr>
        <w:t xml:space="preserve">Priekšlikumam </w:t>
      </w:r>
      <w:r w:rsidR="00D065C7">
        <w:rPr>
          <w:rFonts w:eastAsia="Times New Roman" w:cs="Times New Roman"/>
          <w:b/>
          <w:bCs/>
          <w:shd w:val="clear" w:color="auto" w:fill="FFFFFF"/>
          <w:lang w:eastAsia="lv-LV"/>
        </w:rPr>
        <w:t>ir nebūtiska</w:t>
      </w:r>
      <w:r w:rsidRPr="001F60AA">
        <w:rPr>
          <w:rFonts w:eastAsia="Times New Roman" w:cs="Times New Roman"/>
          <w:b/>
          <w:bCs/>
          <w:shd w:val="clear" w:color="auto" w:fill="FFFFFF"/>
          <w:lang w:eastAsia="lv-LV"/>
        </w:rPr>
        <w:t xml:space="preserve"> fiskālā ietekme</w:t>
      </w:r>
      <w:r>
        <w:rPr>
          <w:rFonts w:eastAsia="Times New Roman" w:cs="Times New Roman"/>
          <w:shd w:val="clear" w:color="auto" w:fill="FFFFFF"/>
          <w:lang w:eastAsia="lv-LV"/>
        </w:rPr>
        <w:t xml:space="preserve"> uz valsts kopbudžeta ieņēmumiem</w:t>
      </w:r>
      <w:r w:rsidR="00D065C7">
        <w:rPr>
          <w:rFonts w:eastAsia="Times New Roman" w:cs="Times New Roman"/>
          <w:shd w:val="clear" w:color="auto" w:fill="FFFFFF"/>
          <w:lang w:eastAsia="lv-LV"/>
        </w:rPr>
        <w:t xml:space="preserve"> un tā nav precīzi aprēķināma</w:t>
      </w:r>
      <w:r>
        <w:rPr>
          <w:rFonts w:eastAsia="Times New Roman" w:cs="Times New Roman"/>
          <w:shd w:val="clear" w:color="auto" w:fill="FFFFFF"/>
          <w:lang w:eastAsia="lv-LV"/>
        </w:rPr>
        <w:t>.</w:t>
      </w:r>
    </w:p>
    <w:bookmarkEnd w:id="24"/>
    <w:p w14:paraId="10BD4312" w14:textId="77777777" w:rsidR="007966A8" w:rsidRDefault="007966A8" w:rsidP="001F60AA">
      <w:pPr>
        <w:tabs>
          <w:tab w:val="left" w:pos="567"/>
        </w:tabs>
        <w:spacing w:after="120"/>
        <w:ind w:left="567" w:hanging="567"/>
        <w:jc w:val="both"/>
      </w:pPr>
    </w:p>
    <w:p w14:paraId="63B4BFC9" w14:textId="623623EB" w:rsidR="00EA1993" w:rsidRDefault="00EA1993" w:rsidP="000C6E7C">
      <w:pPr>
        <w:pStyle w:val="Heading2"/>
        <w:tabs>
          <w:tab w:val="left" w:pos="567"/>
        </w:tabs>
        <w:ind w:left="567" w:hanging="567"/>
      </w:pPr>
      <w:bookmarkStart w:id="28" w:name="_Toc177627704"/>
      <w:r>
        <w:lastRenderedPageBreak/>
        <w:t>2.</w:t>
      </w:r>
      <w:r w:rsidR="001F60AA">
        <w:t>4</w:t>
      </w:r>
      <w:r>
        <w:t xml:space="preserve">. </w:t>
      </w:r>
      <w:r>
        <w:tab/>
      </w:r>
      <w:r w:rsidR="000C6E7C" w:rsidRPr="005C1FD5">
        <w:rPr>
          <w:rFonts w:eastAsia="Calibri"/>
        </w:rPr>
        <w:t>I</w:t>
      </w:r>
      <w:r w:rsidR="000C6E7C">
        <w:rPr>
          <w:rFonts w:eastAsia="Calibri"/>
        </w:rPr>
        <w:t>edzīvotāju ienākuma nodokļa</w:t>
      </w:r>
      <w:r w:rsidR="000C6E7C" w:rsidRPr="005C1FD5">
        <w:rPr>
          <w:rFonts w:eastAsia="Calibri"/>
        </w:rPr>
        <w:t xml:space="preserve"> </w:t>
      </w:r>
      <w:r w:rsidRPr="00EA1993">
        <w:t xml:space="preserve">atvieglojuma koplīgumiem paplašināšana </w:t>
      </w:r>
      <w:r w:rsidR="000C6E7C">
        <w:t>un limita paaugstināšana</w:t>
      </w:r>
      <w:bookmarkEnd w:id="28"/>
      <w:r w:rsidRPr="00EA1993">
        <w:t xml:space="preserve"> </w:t>
      </w:r>
    </w:p>
    <w:p w14:paraId="480AAB4F" w14:textId="2A86BAC8" w:rsidR="009A09D8" w:rsidRDefault="007966A8" w:rsidP="002F372D">
      <w:pPr>
        <w:spacing w:after="120"/>
        <w:ind w:firstLine="567"/>
        <w:jc w:val="both"/>
        <w:rPr>
          <w:rFonts w:cs="Times New Roman"/>
        </w:rPr>
      </w:pPr>
      <w:r w:rsidRPr="00CE5FAD">
        <w:rPr>
          <w:rFonts w:cs="Times New Roman"/>
        </w:rPr>
        <w:t>2022. gadā Latvijā ekonomiski aktīvi bija 951,3 tūkstoši</w:t>
      </w:r>
      <w:r w:rsidR="00EB43FF">
        <w:rPr>
          <w:rFonts w:cs="Times New Roman"/>
        </w:rPr>
        <w:t xml:space="preserve"> iedzīvotāji</w:t>
      </w:r>
      <w:r w:rsidRPr="00CE5FAD">
        <w:rPr>
          <w:rFonts w:cs="Times New Roman"/>
        </w:rPr>
        <w:t>, kas ir nedaudz vairāk nekā divas trešdaļas jeb 68,6% no visiem iedzīvotājiem 15–74 gadu vecumā. Darbspējas vecuma iedzīvotāju skaits arvien samazinās, stabilu nodarbinātību līdz šim nodrošinājis līdzdalības līmeņa pieaugums.</w:t>
      </w:r>
      <w:r w:rsidRPr="00CE5FAD">
        <w:rPr>
          <w:rStyle w:val="FootnoteReference"/>
          <w:rFonts w:cs="Times New Roman"/>
        </w:rPr>
        <w:footnoteReference w:id="6"/>
      </w:r>
      <w:r w:rsidRPr="00CE5FAD">
        <w:rPr>
          <w:rFonts w:cs="Times New Roman"/>
        </w:rPr>
        <w:t xml:space="preserve"> </w:t>
      </w:r>
    </w:p>
    <w:p w14:paraId="0B094103" w14:textId="77777777" w:rsidR="009A09D8" w:rsidRDefault="007966A8" w:rsidP="002F372D">
      <w:pPr>
        <w:spacing w:after="120"/>
        <w:ind w:firstLine="567"/>
        <w:jc w:val="both"/>
        <w:rPr>
          <w:rFonts w:cs="Times New Roman"/>
        </w:rPr>
      </w:pPr>
      <w:r w:rsidRPr="00CE5FAD">
        <w:rPr>
          <w:rFonts w:cs="Times New Roman"/>
        </w:rPr>
        <w:t xml:space="preserve">Tādējādi Latvijas ekonomikai ļoti būtiska ir ekonomiski aktīvo iedzīvotāju skaita palielināšana ar mērķētiem pasākumiem. Svarīgs faktors ekonomiskajai aktivitātei ir reģionālas mobilitātes iespējas. Tādējādi iespējams mehānisms, kā sniegt darba devējiem atbalstu darbaspēka nodokļu atvieglojumu formā, lai palielinātu darbaspēka pieejamību, veicinot darbaspēka mobilitāti. </w:t>
      </w:r>
    </w:p>
    <w:p w14:paraId="59F3F830" w14:textId="4148E9CE" w:rsidR="007966A8" w:rsidRDefault="007966A8" w:rsidP="000E3528">
      <w:pPr>
        <w:ind w:firstLine="567"/>
        <w:jc w:val="both"/>
        <w:rPr>
          <w:rFonts w:cs="Times New Roman"/>
        </w:rPr>
      </w:pPr>
      <w:bookmarkStart w:id="29" w:name="_Hlk175751908"/>
      <w:r w:rsidRPr="001F5C6D">
        <w:rPr>
          <w:rFonts w:cs="Times New Roman"/>
        </w:rPr>
        <w:t xml:space="preserve">Lai veicinātu darba ņēmēju mobilitāti, </w:t>
      </w:r>
      <w:r w:rsidR="007515A7" w:rsidRPr="001F5C6D">
        <w:rPr>
          <w:rFonts w:cs="Times New Roman"/>
        </w:rPr>
        <w:t>tiek piedāvāts</w:t>
      </w:r>
      <w:r w:rsidRPr="001F5C6D">
        <w:rPr>
          <w:rFonts w:cs="Times New Roman"/>
        </w:rPr>
        <w:t xml:space="preserve"> </w:t>
      </w:r>
      <w:r w:rsidRPr="001F5C6D">
        <w:rPr>
          <w:rFonts w:cs="Times New Roman"/>
          <w:b/>
          <w:bCs/>
        </w:rPr>
        <w:t>paplašināt</w:t>
      </w:r>
      <w:r w:rsidRPr="001F5C6D">
        <w:rPr>
          <w:rFonts w:cs="Times New Roman"/>
        </w:rPr>
        <w:t xml:space="preserve"> </w:t>
      </w:r>
      <w:r w:rsidRPr="001F5C6D">
        <w:rPr>
          <w:rFonts w:cs="Times New Roman"/>
          <w:b/>
          <w:bCs/>
        </w:rPr>
        <w:t>atvieglojumu</w:t>
      </w:r>
      <w:r w:rsidRPr="001F5C6D">
        <w:rPr>
          <w:rFonts w:cs="Times New Roman"/>
        </w:rPr>
        <w:t xml:space="preserve"> </w:t>
      </w:r>
      <w:r w:rsidRPr="001F5C6D">
        <w:rPr>
          <w:rFonts w:cs="Times New Roman"/>
          <w:b/>
          <w:bCs/>
        </w:rPr>
        <w:t>maksājumiem, ko darba devējs veic atbilstoši noslēgtajiem koplīgumiem</w:t>
      </w:r>
      <w:r w:rsidRPr="001F5C6D">
        <w:rPr>
          <w:rFonts w:cs="Times New Roman"/>
        </w:rPr>
        <w:t xml:space="preserve"> par ārstniecības un ēdināšanas izdevumiem, </w:t>
      </w:r>
      <w:r w:rsidRPr="001F5C6D">
        <w:rPr>
          <w:rFonts w:cs="Times New Roman"/>
          <w:b/>
          <w:bCs/>
        </w:rPr>
        <w:t>ar pārcelšanās, izmitināšanas un transporta izdevumiem</w:t>
      </w:r>
      <w:r w:rsidR="009A09D8" w:rsidRPr="001F5C6D">
        <w:rPr>
          <w:rFonts w:cs="Times New Roman"/>
        </w:rPr>
        <w:t>,</w:t>
      </w:r>
      <w:r w:rsidRPr="001F5C6D">
        <w:rPr>
          <w:rFonts w:cs="Times New Roman"/>
        </w:rPr>
        <w:t xml:space="preserve"> nosakot atbrīvojuma kopējo apmēru maksimāli</w:t>
      </w:r>
      <w:r w:rsidR="009A09D8" w:rsidRPr="001F5C6D">
        <w:rPr>
          <w:rFonts w:cs="Times New Roman"/>
        </w:rPr>
        <w:t>:</w:t>
      </w:r>
      <w:r w:rsidRPr="001F5C6D">
        <w:rPr>
          <w:rFonts w:cs="Times New Roman"/>
        </w:rPr>
        <w:t xml:space="preserve"> </w:t>
      </w:r>
      <w:r w:rsidR="0085236A" w:rsidRPr="001F5C6D">
        <w:rPr>
          <w:rFonts w:cs="Times New Roman"/>
        </w:rPr>
        <w:t xml:space="preserve">vidējais </w:t>
      </w:r>
      <w:r w:rsidRPr="001F5C6D">
        <w:rPr>
          <w:rFonts w:cs="Times New Roman"/>
        </w:rPr>
        <w:t xml:space="preserve">darbinieku skaits, kas reizināts ar </w:t>
      </w:r>
      <w:r w:rsidRPr="001F5C6D">
        <w:rPr>
          <w:rFonts w:cs="Times New Roman"/>
          <w:b/>
          <w:bCs/>
          <w:color w:val="FF0000"/>
        </w:rPr>
        <w:t>700</w:t>
      </w:r>
      <w:r w:rsidR="005C298F" w:rsidRPr="001F5C6D">
        <w:rPr>
          <w:rFonts w:cs="Times New Roman"/>
          <w:color w:val="FF0000"/>
        </w:rPr>
        <w:t> </w:t>
      </w:r>
      <w:r w:rsidRPr="001F5C6D">
        <w:rPr>
          <w:rFonts w:cs="Times New Roman"/>
          <w:i/>
          <w:iCs/>
        </w:rPr>
        <w:t>euro</w:t>
      </w:r>
      <w:r w:rsidRPr="001F5C6D">
        <w:rPr>
          <w:rFonts w:cs="Times New Roman"/>
        </w:rPr>
        <w:t xml:space="preserve"> taksācijas gadā no 2025. gada</w:t>
      </w:r>
      <w:r w:rsidR="009A09D8" w:rsidRPr="001F5C6D">
        <w:rPr>
          <w:rFonts w:cs="Times New Roman"/>
        </w:rPr>
        <w:t>. A</w:t>
      </w:r>
      <w:r w:rsidRPr="001F5C6D">
        <w:rPr>
          <w:rFonts w:cs="Times New Roman"/>
        </w:rPr>
        <w:t xml:space="preserve">tvieglojumu var izmantot tikai </w:t>
      </w:r>
      <w:r w:rsidR="00416D55" w:rsidRPr="001F5C6D">
        <w:rPr>
          <w:rFonts w:cs="Times New Roman"/>
        </w:rPr>
        <w:t xml:space="preserve">tad, ja darba devējs uzglabā attiecīgos izdevumus apliecinošos attaisnojuma dokumentus. </w:t>
      </w:r>
      <w:bookmarkEnd w:id="29"/>
      <w:r w:rsidR="00416D55" w:rsidRPr="001F5C6D">
        <w:rPr>
          <w:rFonts w:cs="Times New Roman"/>
        </w:rPr>
        <w:t xml:space="preserve"> </w:t>
      </w:r>
      <w:r w:rsidR="0085236A" w:rsidRPr="001F5C6D">
        <w:rPr>
          <w:rFonts w:cs="Times New Roman"/>
        </w:rPr>
        <w:t xml:space="preserve">Vienlaikus tiek saglabāti arī līdzšinējie nosacījumi atvieglojuma piemērošanai, t.sk. </w:t>
      </w:r>
      <w:r w:rsidR="00416D55" w:rsidRPr="001F5C6D">
        <w:rPr>
          <w:rFonts w:cs="Times New Roman"/>
        </w:rPr>
        <w:t>nosacījums, ka minētie darba devēja apmaksātie darba koplīgumā noteiktie darbinieku izdevumi nepārsniedz 5% no darba devēja kopējā bruto algu fonda.</w:t>
      </w:r>
    </w:p>
    <w:p w14:paraId="2835B538" w14:textId="77777777" w:rsidR="001F60AA" w:rsidRDefault="001F60AA" w:rsidP="000E3528">
      <w:pPr>
        <w:jc w:val="center"/>
        <w:rPr>
          <w:rFonts w:cs="Times New Roman"/>
          <w:sz w:val="20"/>
          <w:highlight w:val="yellow"/>
        </w:rPr>
      </w:pPr>
    </w:p>
    <w:p w14:paraId="1C31D3CF" w14:textId="44F392AC" w:rsidR="001F60AA" w:rsidRPr="002E0A09" w:rsidRDefault="00D03788" w:rsidP="001F60AA">
      <w:pPr>
        <w:spacing w:after="120"/>
        <w:jc w:val="center"/>
        <w:rPr>
          <w:rFonts w:cs="Times New Roman"/>
          <w:sz w:val="20"/>
        </w:rPr>
      </w:pPr>
      <w:r w:rsidRPr="00D03788">
        <w:rPr>
          <w:rFonts w:cs="Times New Roman"/>
          <w:sz w:val="20"/>
        </w:rPr>
        <w:t>1</w:t>
      </w:r>
      <w:r w:rsidR="00725CD9">
        <w:rPr>
          <w:rFonts w:cs="Times New Roman"/>
          <w:sz w:val="20"/>
        </w:rPr>
        <w:t>2</w:t>
      </w:r>
      <w:r w:rsidR="001F60AA" w:rsidRPr="00D03788">
        <w:rPr>
          <w:rFonts w:cs="Times New Roman"/>
          <w:sz w:val="20"/>
        </w:rPr>
        <w:t>.</w:t>
      </w:r>
      <w:r w:rsidR="001F60AA" w:rsidRPr="002E0A09">
        <w:rPr>
          <w:rFonts w:cs="Times New Roman"/>
          <w:sz w:val="20"/>
        </w:rPr>
        <w:t>tab</w:t>
      </w:r>
      <w:r w:rsidR="001F60AA" w:rsidRPr="002E0A09">
        <w:rPr>
          <w:rFonts w:cs="Times New Roman"/>
          <w:bCs/>
          <w:sz w:val="20"/>
        </w:rPr>
        <w:t>.</w:t>
      </w:r>
      <w:r w:rsidR="001F60AA" w:rsidRPr="002E0A09">
        <w:rPr>
          <w:rFonts w:cs="Times New Roman"/>
          <w:b/>
          <w:sz w:val="20"/>
        </w:rPr>
        <w:t xml:space="preserve"> Priekšlikuma indikatīva fiskālā ietekme</w:t>
      </w:r>
      <w:r w:rsidR="001F60AA" w:rsidRPr="002E0A09">
        <w:rPr>
          <w:rFonts w:cs="Times New Roman"/>
          <w:bCs/>
          <w:sz w:val="20"/>
        </w:rPr>
        <w:t>,</w:t>
      </w:r>
      <w:r w:rsidR="001F60AA" w:rsidRPr="002E0A09">
        <w:rPr>
          <w:rFonts w:cs="Times New Roman"/>
          <w:bCs/>
          <w:i/>
          <w:iCs/>
          <w:sz w:val="20"/>
        </w:rPr>
        <w:t> euro</w:t>
      </w:r>
    </w:p>
    <w:tbl>
      <w:tblPr>
        <w:tblStyle w:val="TableGrid"/>
        <w:tblW w:w="9067" w:type="dxa"/>
        <w:tblInd w:w="5" w:type="dxa"/>
        <w:tblLook w:val="04A0" w:firstRow="1" w:lastRow="0" w:firstColumn="1" w:lastColumn="0" w:noHBand="0" w:noVBand="1"/>
      </w:tblPr>
      <w:tblGrid>
        <w:gridCol w:w="3672"/>
        <w:gridCol w:w="1376"/>
        <w:gridCol w:w="1375"/>
        <w:gridCol w:w="1375"/>
        <w:gridCol w:w="1269"/>
      </w:tblGrid>
      <w:tr w:rsidR="001F60AA" w:rsidRPr="00D738ED" w14:paraId="4B1B7C6E" w14:textId="77777777" w:rsidTr="00005BE2">
        <w:tc>
          <w:tcPr>
            <w:tcW w:w="3672" w:type="dxa"/>
            <w:tcBorders>
              <w:top w:val="nil"/>
              <w:left w:val="nil"/>
              <w:bottom w:val="single" w:sz="8" w:space="0" w:color="auto"/>
              <w:right w:val="nil"/>
            </w:tcBorders>
            <w:shd w:val="clear" w:color="auto" w:fill="FFFFFF" w:themeFill="background1"/>
          </w:tcPr>
          <w:p w14:paraId="3E976512" w14:textId="77777777" w:rsidR="001F60AA" w:rsidRPr="00C11875" w:rsidRDefault="001F60AA" w:rsidP="00005BE2">
            <w:pPr>
              <w:pStyle w:val="ListParagraph"/>
              <w:ind w:left="0"/>
              <w:contextualSpacing w:val="0"/>
              <w:jc w:val="center"/>
              <w:rPr>
                <w:b/>
                <w:bCs/>
                <w:sz w:val="20"/>
                <w:szCs w:val="20"/>
              </w:rPr>
            </w:pPr>
          </w:p>
        </w:tc>
        <w:tc>
          <w:tcPr>
            <w:tcW w:w="1376" w:type="dxa"/>
            <w:tcBorders>
              <w:top w:val="nil"/>
              <w:left w:val="nil"/>
              <w:bottom w:val="single" w:sz="8" w:space="0" w:color="auto"/>
              <w:right w:val="nil"/>
            </w:tcBorders>
            <w:shd w:val="clear" w:color="auto" w:fill="FFFFFF" w:themeFill="background1"/>
            <w:vAlign w:val="bottom"/>
          </w:tcPr>
          <w:p w14:paraId="510D3835" w14:textId="77777777" w:rsidR="001F60AA" w:rsidRPr="00C11875" w:rsidRDefault="001F60AA" w:rsidP="00005BE2">
            <w:pPr>
              <w:pStyle w:val="ListParagraph"/>
              <w:ind w:left="0"/>
              <w:contextualSpacing w:val="0"/>
              <w:jc w:val="center"/>
              <w:rPr>
                <w:b/>
                <w:bCs/>
                <w:sz w:val="20"/>
                <w:szCs w:val="20"/>
              </w:rPr>
            </w:pPr>
            <w:r w:rsidRPr="00C11875">
              <w:rPr>
                <w:b/>
                <w:bCs/>
                <w:sz w:val="20"/>
                <w:szCs w:val="20"/>
              </w:rPr>
              <w:t>2025</w:t>
            </w:r>
          </w:p>
        </w:tc>
        <w:tc>
          <w:tcPr>
            <w:tcW w:w="1375" w:type="dxa"/>
            <w:tcBorders>
              <w:top w:val="nil"/>
              <w:left w:val="nil"/>
              <w:bottom w:val="single" w:sz="8" w:space="0" w:color="auto"/>
              <w:right w:val="nil"/>
            </w:tcBorders>
            <w:shd w:val="clear" w:color="auto" w:fill="FFFFFF" w:themeFill="background1"/>
            <w:vAlign w:val="bottom"/>
          </w:tcPr>
          <w:p w14:paraId="03322CD6" w14:textId="77777777" w:rsidR="001F60AA" w:rsidRPr="00C11875" w:rsidRDefault="001F60AA" w:rsidP="00005BE2">
            <w:pPr>
              <w:pStyle w:val="ListParagraph"/>
              <w:ind w:left="0"/>
              <w:contextualSpacing w:val="0"/>
              <w:jc w:val="center"/>
              <w:rPr>
                <w:b/>
                <w:bCs/>
                <w:sz w:val="20"/>
                <w:szCs w:val="20"/>
              </w:rPr>
            </w:pPr>
            <w:r w:rsidRPr="00C11875">
              <w:rPr>
                <w:b/>
                <w:bCs/>
                <w:sz w:val="20"/>
                <w:szCs w:val="20"/>
              </w:rPr>
              <w:t>2026</w:t>
            </w:r>
          </w:p>
        </w:tc>
        <w:tc>
          <w:tcPr>
            <w:tcW w:w="1375" w:type="dxa"/>
            <w:tcBorders>
              <w:top w:val="nil"/>
              <w:left w:val="nil"/>
              <w:bottom w:val="single" w:sz="8" w:space="0" w:color="auto"/>
              <w:right w:val="nil"/>
            </w:tcBorders>
            <w:shd w:val="clear" w:color="auto" w:fill="FFFFFF" w:themeFill="background1"/>
            <w:vAlign w:val="bottom"/>
          </w:tcPr>
          <w:p w14:paraId="36EED094" w14:textId="77777777" w:rsidR="001F60AA" w:rsidRPr="00C11875" w:rsidRDefault="001F60AA" w:rsidP="00005BE2">
            <w:pPr>
              <w:pStyle w:val="ListParagraph"/>
              <w:ind w:left="0"/>
              <w:contextualSpacing w:val="0"/>
              <w:jc w:val="center"/>
              <w:rPr>
                <w:b/>
                <w:bCs/>
                <w:sz w:val="20"/>
                <w:szCs w:val="20"/>
              </w:rPr>
            </w:pPr>
            <w:r w:rsidRPr="00C11875">
              <w:rPr>
                <w:b/>
                <w:bCs/>
                <w:sz w:val="20"/>
                <w:szCs w:val="20"/>
              </w:rPr>
              <w:t>2027</w:t>
            </w:r>
          </w:p>
        </w:tc>
        <w:tc>
          <w:tcPr>
            <w:tcW w:w="1269" w:type="dxa"/>
            <w:tcBorders>
              <w:top w:val="nil"/>
              <w:left w:val="nil"/>
              <w:bottom w:val="single" w:sz="8" w:space="0" w:color="auto"/>
              <w:right w:val="nil"/>
            </w:tcBorders>
            <w:shd w:val="clear" w:color="auto" w:fill="FFFFFF" w:themeFill="background1"/>
          </w:tcPr>
          <w:p w14:paraId="02C49883" w14:textId="77777777" w:rsidR="001F60AA" w:rsidRPr="00C11875" w:rsidRDefault="001F60AA" w:rsidP="00005BE2">
            <w:pPr>
              <w:pStyle w:val="ListParagraph"/>
              <w:ind w:left="0"/>
              <w:contextualSpacing w:val="0"/>
              <w:jc w:val="center"/>
              <w:rPr>
                <w:b/>
                <w:bCs/>
                <w:sz w:val="20"/>
                <w:szCs w:val="20"/>
              </w:rPr>
            </w:pPr>
            <w:r w:rsidRPr="00C11875">
              <w:rPr>
                <w:b/>
                <w:bCs/>
                <w:sz w:val="20"/>
                <w:szCs w:val="20"/>
              </w:rPr>
              <w:t>2028</w:t>
            </w:r>
          </w:p>
        </w:tc>
      </w:tr>
      <w:tr w:rsidR="00C575FB" w:rsidRPr="00AF797A" w14:paraId="7772E34D" w14:textId="77777777" w:rsidTr="00AF797A">
        <w:tc>
          <w:tcPr>
            <w:tcW w:w="3672" w:type="dxa"/>
            <w:tcBorders>
              <w:top w:val="single" w:sz="4" w:space="0" w:color="auto"/>
              <w:left w:val="nil"/>
              <w:bottom w:val="single" w:sz="4" w:space="0" w:color="auto"/>
            </w:tcBorders>
            <w:shd w:val="clear" w:color="auto" w:fill="FFFFFF" w:themeFill="background1"/>
            <w:vAlign w:val="center"/>
          </w:tcPr>
          <w:p w14:paraId="7881738F" w14:textId="521B9E50" w:rsidR="00C575FB" w:rsidRPr="00AF797A" w:rsidRDefault="00C575FB" w:rsidP="00C575FB">
            <w:pPr>
              <w:pStyle w:val="ListParagraph"/>
              <w:ind w:left="0"/>
              <w:contextualSpacing w:val="0"/>
              <w:jc w:val="left"/>
              <w:rPr>
                <w:sz w:val="20"/>
                <w:szCs w:val="20"/>
              </w:rPr>
            </w:pPr>
            <w:r w:rsidRPr="00AF797A">
              <w:rPr>
                <w:sz w:val="20"/>
                <w:szCs w:val="20"/>
              </w:rPr>
              <w:t>IIN ieņēmumi</w:t>
            </w:r>
          </w:p>
        </w:tc>
        <w:tc>
          <w:tcPr>
            <w:tcW w:w="1376" w:type="dxa"/>
            <w:tcBorders>
              <w:top w:val="single" w:sz="4" w:space="0" w:color="auto"/>
              <w:bottom w:val="single" w:sz="4" w:space="0" w:color="auto"/>
            </w:tcBorders>
            <w:shd w:val="clear" w:color="auto" w:fill="FFFFFF" w:themeFill="background1"/>
            <w:vAlign w:val="center"/>
          </w:tcPr>
          <w:p w14:paraId="193B1F80" w14:textId="6BAFFEA5" w:rsidR="00C575FB" w:rsidRPr="00AF797A" w:rsidRDefault="00C575FB" w:rsidP="00C575FB">
            <w:pPr>
              <w:pStyle w:val="ListParagraph"/>
              <w:ind w:left="0"/>
              <w:contextualSpacing w:val="0"/>
              <w:jc w:val="center"/>
              <w:rPr>
                <w:color w:val="C00000"/>
                <w:sz w:val="20"/>
                <w:szCs w:val="20"/>
              </w:rPr>
            </w:pPr>
            <w:r>
              <w:rPr>
                <w:color w:val="C00000"/>
                <w:sz w:val="20"/>
                <w:szCs w:val="20"/>
              </w:rPr>
              <w:t>-5 390 000</w:t>
            </w:r>
          </w:p>
        </w:tc>
        <w:tc>
          <w:tcPr>
            <w:tcW w:w="1375" w:type="dxa"/>
            <w:tcBorders>
              <w:top w:val="single" w:sz="4" w:space="0" w:color="auto"/>
              <w:bottom w:val="single" w:sz="4" w:space="0" w:color="auto"/>
            </w:tcBorders>
            <w:shd w:val="clear" w:color="auto" w:fill="FFFFFF" w:themeFill="background1"/>
            <w:vAlign w:val="center"/>
          </w:tcPr>
          <w:p w14:paraId="0C34305E" w14:textId="238668EF" w:rsidR="00C575FB" w:rsidRPr="00AF797A" w:rsidRDefault="00C575FB" w:rsidP="00C575FB">
            <w:pPr>
              <w:pStyle w:val="ListParagraph"/>
              <w:ind w:left="0"/>
              <w:contextualSpacing w:val="0"/>
              <w:jc w:val="center"/>
              <w:rPr>
                <w:color w:val="C00000"/>
                <w:sz w:val="20"/>
                <w:szCs w:val="20"/>
              </w:rPr>
            </w:pPr>
            <w:r>
              <w:rPr>
                <w:color w:val="C00000"/>
                <w:sz w:val="20"/>
                <w:szCs w:val="20"/>
              </w:rPr>
              <w:t>-5 390 000</w:t>
            </w:r>
          </w:p>
        </w:tc>
        <w:tc>
          <w:tcPr>
            <w:tcW w:w="1375" w:type="dxa"/>
            <w:tcBorders>
              <w:top w:val="single" w:sz="4" w:space="0" w:color="auto"/>
              <w:bottom w:val="single" w:sz="4" w:space="0" w:color="auto"/>
            </w:tcBorders>
            <w:shd w:val="clear" w:color="auto" w:fill="FFFFFF" w:themeFill="background1"/>
            <w:vAlign w:val="center"/>
          </w:tcPr>
          <w:p w14:paraId="493048D6" w14:textId="3F97BB27" w:rsidR="00C575FB" w:rsidRPr="00AF797A" w:rsidRDefault="00C575FB" w:rsidP="00C575FB">
            <w:pPr>
              <w:pStyle w:val="ListParagraph"/>
              <w:ind w:left="0"/>
              <w:contextualSpacing w:val="0"/>
              <w:jc w:val="center"/>
              <w:rPr>
                <w:color w:val="C00000"/>
                <w:sz w:val="20"/>
                <w:szCs w:val="20"/>
              </w:rPr>
            </w:pPr>
            <w:r>
              <w:rPr>
                <w:color w:val="C00000"/>
                <w:sz w:val="20"/>
                <w:szCs w:val="20"/>
              </w:rPr>
              <w:t>-5 390 000</w:t>
            </w:r>
          </w:p>
        </w:tc>
        <w:tc>
          <w:tcPr>
            <w:tcW w:w="1269" w:type="dxa"/>
            <w:tcBorders>
              <w:top w:val="single" w:sz="4" w:space="0" w:color="auto"/>
              <w:bottom w:val="single" w:sz="4" w:space="0" w:color="auto"/>
              <w:right w:val="nil"/>
            </w:tcBorders>
            <w:shd w:val="clear" w:color="auto" w:fill="FFFFFF" w:themeFill="background1"/>
            <w:vAlign w:val="center"/>
          </w:tcPr>
          <w:p w14:paraId="5C67068B" w14:textId="43E7F346" w:rsidR="00C575FB" w:rsidRPr="00AF797A" w:rsidRDefault="00C575FB" w:rsidP="00C575FB">
            <w:pPr>
              <w:pStyle w:val="ListParagraph"/>
              <w:ind w:left="0"/>
              <w:contextualSpacing w:val="0"/>
              <w:jc w:val="center"/>
              <w:rPr>
                <w:color w:val="C00000"/>
                <w:sz w:val="20"/>
                <w:szCs w:val="20"/>
              </w:rPr>
            </w:pPr>
            <w:r>
              <w:rPr>
                <w:color w:val="C00000"/>
                <w:sz w:val="20"/>
                <w:szCs w:val="20"/>
              </w:rPr>
              <w:t>-5 390 000</w:t>
            </w:r>
          </w:p>
        </w:tc>
      </w:tr>
      <w:tr w:rsidR="00C575FB" w:rsidRPr="00AF797A" w14:paraId="5E31425C" w14:textId="77777777" w:rsidTr="00005BE2">
        <w:tc>
          <w:tcPr>
            <w:tcW w:w="3672" w:type="dxa"/>
            <w:tcBorders>
              <w:left w:val="nil"/>
            </w:tcBorders>
            <w:shd w:val="clear" w:color="auto" w:fill="FFFFFF" w:themeFill="background1"/>
            <w:vAlign w:val="center"/>
          </w:tcPr>
          <w:p w14:paraId="0AC91E9D" w14:textId="6DD7FB4C" w:rsidR="00C575FB" w:rsidRPr="00AF797A" w:rsidRDefault="00C575FB" w:rsidP="00C575FB">
            <w:pPr>
              <w:rPr>
                <w:sz w:val="20"/>
                <w:szCs w:val="20"/>
              </w:rPr>
            </w:pPr>
            <w:r w:rsidRPr="00AF797A">
              <w:rPr>
                <w:sz w:val="20"/>
                <w:szCs w:val="20"/>
              </w:rPr>
              <w:t>VSAOI ieņēmumi</w:t>
            </w:r>
          </w:p>
        </w:tc>
        <w:tc>
          <w:tcPr>
            <w:tcW w:w="1376" w:type="dxa"/>
            <w:shd w:val="clear" w:color="auto" w:fill="FFFFFF" w:themeFill="background1"/>
            <w:vAlign w:val="center"/>
          </w:tcPr>
          <w:p w14:paraId="60A8321E" w14:textId="5F2BEB95" w:rsidR="00C575FB" w:rsidRPr="00AF797A" w:rsidRDefault="00C575FB" w:rsidP="00C575FB">
            <w:pPr>
              <w:pStyle w:val="ListParagraph"/>
              <w:ind w:left="0"/>
              <w:contextualSpacing w:val="0"/>
              <w:jc w:val="center"/>
              <w:rPr>
                <w:color w:val="C00000"/>
                <w:sz w:val="20"/>
                <w:szCs w:val="20"/>
              </w:rPr>
            </w:pPr>
            <w:r w:rsidRPr="00AF797A">
              <w:rPr>
                <w:color w:val="C00000"/>
                <w:sz w:val="20"/>
                <w:szCs w:val="20"/>
              </w:rPr>
              <w:t>-8</w:t>
            </w:r>
            <w:r>
              <w:rPr>
                <w:color w:val="C00000"/>
                <w:sz w:val="20"/>
                <w:szCs w:val="20"/>
              </w:rPr>
              <w:t> </w:t>
            </w:r>
            <w:r w:rsidRPr="00AF797A">
              <w:rPr>
                <w:color w:val="C00000"/>
                <w:sz w:val="20"/>
                <w:szCs w:val="20"/>
              </w:rPr>
              <w:t>600</w:t>
            </w:r>
            <w:r>
              <w:rPr>
                <w:color w:val="C00000"/>
                <w:sz w:val="20"/>
                <w:szCs w:val="20"/>
              </w:rPr>
              <w:t xml:space="preserve"> 000</w:t>
            </w:r>
          </w:p>
        </w:tc>
        <w:tc>
          <w:tcPr>
            <w:tcW w:w="1375" w:type="dxa"/>
            <w:shd w:val="clear" w:color="auto" w:fill="FFFFFF" w:themeFill="background1"/>
            <w:vAlign w:val="center"/>
          </w:tcPr>
          <w:p w14:paraId="2F9794DF" w14:textId="6ABC084F" w:rsidR="00C575FB" w:rsidRPr="00AF797A" w:rsidRDefault="00C575FB" w:rsidP="00C575FB">
            <w:pPr>
              <w:pStyle w:val="ListParagraph"/>
              <w:ind w:left="0"/>
              <w:contextualSpacing w:val="0"/>
              <w:jc w:val="center"/>
              <w:rPr>
                <w:i/>
                <w:iCs/>
                <w:color w:val="C00000"/>
                <w:sz w:val="20"/>
                <w:szCs w:val="20"/>
              </w:rPr>
            </w:pPr>
            <w:r w:rsidRPr="00AF797A">
              <w:rPr>
                <w:color w:val="C00000"/>
                <w:sz w:val="20"/>
                <w:szCs w:val="20"/>
              </w:rPr>
              <w:t>-8</w:t>
            </w:r>
            <w:r>
              <w:rPr>
                <w:color w:val="C00000"/>
                <w:sz w:val="20"/>
                <w:szCs w:val="20"/>
              </w:rPr>
              <w:t> </w:t>
            </w:r>
            <w:r w:rsidRPr="00AF797A">
              <w:rPr>
                <w:color w:val="C00000"/>
                <w:sz w:val="20"/>
                <w:szCs w:val="20"/>
              </w:rPr>
              <w:t>600</w:t>
            </w:r>
            <w:r>
              <w:rPr>
                <w:color w:val="C00000"/>
                <w:sz w:val="20"/>
                <w:szCs w:val="20"/>
              </w:rPr>
              <w:t xml:space="preserve"> 000</w:t>
            </w:r>
          </w:p>
        </w:tc>
        <w:tc>
          <w:tcPr>
            <w:tcW w:w="1375" w:type="dxa"/>
            <w:shd w:val="clear" w:color="auto" w:fill="FFFFFF" w:themeFill="background1"/>
            <w:vAlign w:val="center"/>
          </w:tcPr>
          <w:p w14:paraId="6536FF08" w14:textId="2F691BEB" w:rsidR="00C575FB" w:rsidRPr="00AF797A" w:rsidRDefault="00C575FB" w:rsidP="00C575FB">
            <w:pPr>
              <w:pStyle w:val="ListParagraph"/>
              <w:ind w:left="0"/>
              <w:contextualSpacing w:val="0"/>
              <w:jc w:val="center"/>
              <w:rPr>
                <w:i/>
                <w:iCs/>
                <w:color w:val="C00000"/>
                <w:sz w:val="20"/>
                <w:szCs w:val="20"/>
              </w:rPr>
            </w:pPr>
            <w:r w:rsidRPr="00AF797A">
              <w:rPr>
                <w:color w:val="C00000"/>
                <w:sz w:val="20"/>
                <w:szCs w:val="20"/>
              </w:rPr>
              <w:t>-8</w:t>
            </w:r>
            <w:r>
              <w:rPr>
                <w:color w:val="C00000"/>
                <w:sz w:val="20"/>
                <w:szCs w:val="20"/>
              </w:rPr>
              <w:t> </w:t>
            </w:r>
            <w:r w:rsidRPr="00AF797A">
              <w:rPr>
                <w:color w:val="C00000"/>
                <w:sz w:val="20"/>
                <w:szCs w:val="20"/>
              </w:rPr>
              <w:t>600</w:t>
            </w:r>
            <w:r>
              <w:rPr>
                <w:color w:val="C00000"/>
                <w:sz w:val="20"/>
                <w:szCs w:val="20"/>
              </w:rPr>
              <w:t xml:space="preserve"> 000</w:t>
            </w:r>
          </w:p>
        </w:tc>
        <w:tc>
          <w:tcPr>
            <w:tcW w:w="1269" w:type="dxa"/>
            <w:tcBorders>
              <w:right w:val="nil"/>
            </w:tcBorders>
            <w:shd w:val="clear" w:color="auto" w:fill="FFFFFF" w:themeFill="background1"/>
            <w:vAlign w:val="center"/>
          </w:tcPr>
          <w:p w14:paraId="09E2D5D0" w14:textId="4409855F" w:rsidR="00C575FB" w:rsidRPr="00AF797A" w:rsidRDefault="00C575FB" w:rsidP="00C575FB">
            <w:pPr>
              <w:pStyle w:val="ListParagraph"/>
              <w:ind w:left="0"/>
              <w:contextualSpacing w:val="0"/>
              <w:jc w:val="center"/>
              <w:rPr>
                <w:i/>
                <w:iCs/>
                <w:color w:val="C00000"/>
                <w:sz w:val="20"/>
                <w:szCs w:val="20"/>
              </w:rPr>
            </w:pPr>
            <w:r w:rsidRPr="00AF797A">
              <w:rPr>
                <w:color w:val="C00000"/>
                <w:sz w:val="20"/>
                <w:szCs w:val="20"/>
              </w:rPr>
              <w:t>-8</w:t>
            </w:r>
            <w:r>
              <w:rPr>
                <w:color w:val="C00000"/>
                <w:sz w:val="20"/>
                <w:szCs w:val="20"/>
              </w:rPr>
              <w:t> </w:t>
            </w:r>
            <w:r w:rsidRPr="00AF797A">
              <w:rPr>
                <w:color w:val="C00000"/>
                <w:sz w:val="20"/>
                <w:szCs w:val="20"/>
              </w:rPr>
              <w:t>600</w:t>
            </w:r>
            <w:r>
              <w:rPr>
                <w:color w:val="C00000"/>
                <w:sz w:val="20"/>
                <w:szCs w:val="20"/>
              </w:rPr>
              <w:t xml:space="preserve"> 000</w:t>
            </w:r>
          </w:p>
        </w:tc>
      </w:tr>
      <w:tr w:rsidR="00AF797A" w:rsidRPr="002B6702" w14:paraId="2DBEB677" w14:textId="77777777" w:rsidTr="00AF797A">
        <w:tc>
          <w:tcPr>
            <w:tcW w:w="3672" w:type="dxa"/>
            <w:tcBorders>
              <w:left w:val="nil"/>
            </w:tcBorders>
            <w:shd w:val="clear" w:color="auto" w:fill="E7E6E6" w:themeFill="background2"/>
            <w:vAlign w:val="center"/>
          </w:tcPr>
          <w:p w14:paraId="7B7071F0" w14:textId="0895400D" w:rsidR="00AF797A" w:rsidRPr="00AF797A" w:rsidRDefault="00AF797A" w:rsidP="00AF797A">
            <w:pPr>
              <w:rPr>
                <w:sz w:val="20"/>
                <w:szCs w:val="20"/>
              </w:rPr>
            </w:pPr>
            <w:r w:rsidRPr="00AF797A">
              <w:rPr>
                <w:b/>
                <w:bCs/>
                <w:sz w:val="20"/>
                <w:szCs w:val="20"/>
              </w:rPr>
              <w:t>KOPĀ</w:t>
            </w:r>
            <w:r w:rsidRPr="002B6702">
              <w:rPr>
                <w:i/>
                <w:iCs/>
                <w:sz w:val="20"/>
                <w:szCs w:val="20"/>
              </w:rPr>
              <w:t>, no tā:</w:t>
            </w:r>
          </w:p>
        </w:tc>
        <w:tc>
          <w:tcPr>
            <w:tcW w:w="1376" w:type="dxa"/>
            <w:shd w:val="clear" w:color="auto" w:fill="E7E6E6" w:themeFill="background2"/>
            <w:vAlign w:val="center"/>
          </w:tcPr>
          <w:p w14:paraId="23CFF196" w14:textId="2376CAF9" w:rsidR="00AF797A" w:rsidRPr="00FC5CE3" w:rsidRDefault="00AF797A" w:rsidP="00AF797A">
            <w:pPr>
              <w:pStyle w:val="ListParagraph"/>
              <w:ind w:left="0"/>
              <w:contextualSpacing w:val="0"/>
              <w:jc w:val="center"/>
              <w:rPr>
                <w:i/>
                <w:iCs/>
                <w:color w:val="C00000"/>
                <w:sz w:val="20"/>
                <w:szCs w:val="20"/>
              </w:rPr>
            </w:pPr>
            <w:r w:rsidRPr="00AF797A">
              <w:rPr>
                <w:b/>
                <w:bCs/>
                <w:color w:val="C00000"/>
                <w:sz w:val="20"/>
                <w:szCs w:val="20"/>
              </w:rPr>
              <w:t>-13</w:t>
            </w:r>
            <w:r w:rsidR="005C298F">
              <w:rPr>
                <w:b/>
                <w:bCs/>
                <w:color w:val="C00000"/>
                <w:sz w:val="20"/>
                <w:szCs w:val="20"/>
              </w:rPr>
              <w:t> </w:t>
            </w:r>
            <w:r w:rsidRPr="00AF797A">
              <w:rPr>
                <w:b/>
                <w:bCs/>
                <w:color w:val="C00000"/>
                <w:sz w:val="20"/>
                <w:szCs w:val="20"/>
              </w:rPr>
              <w:t>990</w:t>
            </w:r>
            <w:r w:rsidR="005C298F">
              <w:rPr>
                <w:b/>
                <w:bCs/>
                <w:color w:val="C00000"/>
                <w:sz w:val="20"/>
                <w:szCs w:val="20"/>
              </w:rPr>
              <w:t xml:space="preserve"> 000</w:t>
            </w:r>
          </w:p>
        </w:tc>
        <w:tc>
          <w:tcPr>
            <w:tcW w:w="1375" w:type="dxa"/>
            <w:shd w:val="clear" w:color="auto" w:fill="E7E6E6" w:themeFill="background2"/>
            <w:vAlign w:val="center"/>
          </w:tcPr>
          <w:p w14:paraId="7B73C275" w14:textId="72E8097C" w:rsidR="00AF797A" w:rsidRPr="00FC5CE3" w:rsidRDefault="00683760" w:rsidP="00AF797A">
            <w:pPr>
              <w:pStyle w:val="ListParagraph"/>
              <w:ind w:left="0"/>
              <w:contextualSpacing w:val="0"/>
              <w:jc w:val="center"/>
              <w:rPr>
                <w:i/>
                <w:iCs/>
                <w:color w:val="C00000"/>
                <w:sz w:val="20"/>
                <w:szCs w:val="20"/>
              </w:rPr>
            </w:pPr>
            <w:r w:rsidRPr="00AF797A">
              <w:rPr>
                <w:b/>
                <w:bCs/>
                <w:color w:val="C00000"/>
                <w:sz w:val="20"/>
                <w:szCs w:val="20"/>
              </w:rPr>
              <w:t>-13</w:t>
            </w:r>
            <w:r>
              <w:rPr>
                <w:b/>
                <w:bCs/>
                <w:color w:val="C00000"/>
                <w:sz w:val="20"/>
                <w:szCs w:val="20"/>
              </w:rPr>
              <w:t> </w:t>
            </w:r>
            <w:r w:rsidRPr="00AF797A">
              <w:rPr>
                <w:b/>
                <w:bCs/>
                <w:color w:val="C00000"/>
                <w:sz w:val="20"/>
                <w:szCs w:val="20"/>
              </w:rPr>
              <w:t>990</w:t>
            </w:r>
            <w:r>
              <w:rPr>
                <w:b/>
                <w:bCs/>
                <w:color w:val="C00000"/>
                <w:sz w:val="20"/>
                <w:szCs w:val="20"/>
              </w:rPr>
              <w:t xml:space="preserve"> 000</w:t>
            </w:r>
          </w:p>
        </w:tc>
        <w:tc>
          <w:tcPr>
            <w:tcW w:w="1375" w:type="dxa"/>
            <w:shd w:val="clear" w:color="auto" w:fill="E7E6E6" w:themeFill="background2"/>
            <w:vAlign w:val="center"/>
          </w:tcPr>
          <w:p w14:paraId="22F800D6" w14:textId="32C2CD76" w:rsidR="00AF797A" w:rsidRPr="00FC5CE3" w:rsidRDefault="00683760" w:rsidP="00AF797A">
            <w:pPr>
              <w:pStyle w:val="ListParagraph"/>
              <w:ind w:left="0"/>
              <w:contextualSpacing w:val="0"/>
              <w:jc w:val="center"/>
              <w:rPr>
                <w:i/>
                <w:iCs/>
                <w:color w:val="C00000"/>
                <w:sz w:val="20"/>
                <w:szCs w:val="20"/>
              </w:rPr>
            </w:pPr>
            <w:r w:rsidRPr="00AF797A">
              <w:rPr>
                <w:b/>
                <w:bCs/>
                <w:color w:val="C00000"/>
                <w:sz w:val="20"/>
                <w:szCs w:val="20"/>
              </w:rPr>
              <w:t>-13</w:t>
            </w:r>
            <w:r>
              <w:rPr>
                <w:b/>
                <w:bCs/>
                <w:color w:val="C00000"/>
                <w:sz w:val="20"/>
                <w:szCs w:val="20"/>
              </w:rPr>
              <w:t> </w:t>
            </w:r>
            <w:r w:rsidRPr="00AF797A">
              <w:rPr>
                <w:b/>
                <w:bCs/>
                <w:color w:val="C00000"/>
                <w:sz w:val="20"/>
                <w:szCs w:val="20"/>
              </w:rPr>
              <w:t>990</w:t>
            </w:r>
            <w:r>
              <w:rPr>
                <w:b/>
                <w:bCs/>
                <w:color w:val="C00000"/>
                <w:sz w:val="20"/>
                <w:szCs w:val="20"/>
              </w:rPr>
              <w:t xml:space="preserve"> 000</w:t>
            </w:r>
          </w:p>
        </w:tc>
        <w:tc>
          <w:tcPr>
            <w:tcW w:w="1269" w:type="dxa"/>
            <w:tcBorders>
              <w:right w:val="nil"/>
            </w:tcBorders>
            <w:shd w:val="clear" w:color="auto" w:fill="E7E6E6" w:themeFill="background2"/>
            <w:vAlign w:val="center"/>
          </w:tcPr>
          <w:p w14:paraId="1F44CED0" w14:textId="0FD3AAD8" w:rsidR="00AF797A" w:rsidRPr="00FC5CE3" w:rsidRDefault="00683760" w:rsidP="00AF797A">
            <w:pPr>
              <w:pStyle w:val="ListParagraph"/>
              <w:ind w:left="0"/>
              <w:contextualSpacing w:val="0"/>
              <w:jc w:val="center"/>
              <w:rPr>
                <w:i/>
                <w:iCs/>
                <w:color w:val="C00000"/>
                <w:sz w:val="20"/>
                <w:szCs w:val="20"/>
              </w:rPr>
            </w:pPr>
            <w:r w:rsidRPr="00AF797A">
              <w:rPr>
                <w:b/>
                <w:bCs/>
                <w:color w:val="C00000"/>
                <w:sz w:val="20"/>
                <w:szCs w:val="20"/>
              </w:rPr>
              <w:t>-13</w:t>
            </w:r>
            <w:r>
              <w:rPr>
                <w:b/>
                <w:bCs/>
                <w:color w:val="C00000"/>
                <w:sz w:val="20"/>
                <w:szCs w:val="20"/>
              </w:rPr>
              <w:t> </w:t>
            </w:r>
            <w:r w:rsidRPr="00AF797A">
              <w:rPr>
                <w:b/>
                <w:bCs/>
                <w:color w:val="C00000"/>
                <w:sz w:val="20"/>
                <w:szCs w:val="20"/>
              </w:rPr>
              <w:t>990</w:t>
            </w:r>
            <w:r>
              <w:rPr>
                <w:b/>
                <w:bCs/>
                <w:color w:val="C00000"/>
                <w:sz w:val="20"/>
                <w:szCs w:val="20"/>
              </w:rPr>
              <w:t xml:space="preserve"> 000</w:t>
            </w:r>
          </w:p>
        </w:tc>
      </w:tr>
      <w:tr w:rsidR="009F4159" w:rsidRPr="00AF797A" w14:paraId="66E91260" w14:textId="77777777" w:rsidTr="00005BE2">
        <w:tc>
          <w:tcPr>
            <w:tcW w:w="3672" w:type="dxa"/>
            <w:tcBorders>
              <w:left w:val="nil"/>
            </w:tcBorders>
            <w:shd w:val="clear" w:color="auto" w:fill="FFFFFF" w:themeFill="background1"/>
            <w:vAlign w:val="center"/>
          </w:tcPr>
          <w:p w14:paraId="0D86F4E4" w14:textId="77777777" w:rsidR="009F4159" w:rsidRPr="00AF797A" w:rsidRDefault="009F4159" w:rsidP="009F4159">
            <w:pPr>
              <w:pStyle w:val="ListParagraph"/>
              <w:numPr>
                <w:ilvl w:val="0"/>
                <w:numId w:val="9"/>
              </w:numPr>
              <w:tabs>
                <w:tab w:val="clear" w:pos="720"/>
                <w:tab w:val="num" w:pos="306"/>
              </w:tabs>
              <w:ind w:hanging="698"/>
              <w:contextualSpacing w:val="0"/>
              <w:jc w:val="left"/>
              <w:rPr>
                <w:i/>
                <w:iCs/>
                <w:sz w:val="20"/>
                <w:szCs w:val="20"/>
              </w:rPr>
            </w:pPr>
            <w:r w:rsidRPr="00AF797A">
              <w:rPr>
                <w:i/>
                <w:iCs/>
                <w:sz w:val="20"/>
                <w:szCs w:val="20"/>
              </w:rPr>
              <w:t>valsts pamatbudžetā</w:t>
            </w:r>
          </w:p>
        </w:tc>
        <w:tc>
          <w:tcPr>
            <w:tcW w:w="1376" w:type="dxa"/>
            <w:shd w:val="clear" w:color="auto" w:fill="FFFFFF" w:themeFill="background1"/>
            <w:vAlign w:val="center"/>
          </w:tcPr>
          <w:p w14:paraId="0D6D824F" w14:textId="3378C304" w:rsidR="009F4159" w:rsidRPr="00AF797A" w:rsidRDefault="009F4159" w:rsidP="009F4159">
            <w:pPr>
              <w:pStyle w:val="ListParagraph"/>
              <w:ind w:left="0"/>
              <w:contextualSpacing w:val="0"/>
              <w:jc w:val="center"/>
              <w:rPr>
                <w:i/>
                <w:iCs/>
                <w:color w:val="C00000"/>
                <w:sz w:val="20"/>
                <w:szCs w:val="20"/>
              </w:rPr>
            </w:pPr>
            <w:r w:rsidRPr="00AF797A">
              <w:rPr>
                <w:i/>
                <w:iCs/>
                <w:color w:val="C00000"/>
                <w:sz w:val="20"/>
                <w:szCs w:val="20"/>
              </w:rPr>
              <w:t>-1</w:t>
            </w:r>
            <w:r>
              <w:rPr>
                <w:i/>
                <w:iCs/>
                <w:color w:val="C00000"/>
                <w:sz w:val="20"/>
                <w:szCs w:val="20"/>
              </w:rPr>
              <w:t> </w:t>
            </w:r>
            <w:r w:rsidRPr="00AF797A">
              <w:rPr>
                <w:i/>
                <w:iCs/>
                <w:color w:val="C00000"/>
                <w:sz w:val="20"/>
                <w:szCs w:val="20"/>
              </w:rPr>
              <w:t>650</w:t>
            </w:r>
            <w:r>
              <w:rPr>
                <w:i/>
                <w:iCs/>
                <w:color w:val="C00000"/>
                <w:sz w:val="20"/>
                <w:szCs w:val="20"/>
              </w:rPr>
              <w:t xml:space="preserve"> 000</w:t>
            </w:r>
          </w:p>
        </w:tc>
        <w:tc>
          <w:tcPr>
            <w:tcW w:w="1375" w:type="dxa"/>
            <w:shd w:val="clear" w:color="auto" w:fill="FFFFFF" w:themeFill="background1"/>
            <w:vAlign w:val="center"/>
          </w:tcPr>
          <w:p w14:paraId="3D2CBC02" w14:textId="4028D1A5" w:rsidR="009F4159" w:rsidRPr="00AF797A" w:rsidRDefault="009F4159" w:rsidP="009F4159">
            <w:pPr>
              <w:pStyle w:val="ListParagraph"/>
              <w:ind w:left="0"/>
              <w:contextualSpacing w:val="0"/>
              <w:jc w:val="center"/>
              <w:rPr>
                <w:i/>
                <w:iCs/>
                <w:color w:val="C00000"/>
                <w:sz w:val="20"/>
                <w:szCs w:val="20"/>
              </w:rPr>
            </w:pPr>
            <w:r w:rsidRPr="00AF797A">
              <w:rPr>
                <w:i/>
                <w:iCs/>
                <w:color w:val="C00000"/>
                <w:sz w:val="20"/>
                <w:szCs w:val="20"/>
              </w:rPr>
              <w:t>-1</w:t>
            </w:r>
            <w:r>
              <w:rPr>
                <w:i/>
                <w:iCs/>
                <w:color w:val="C00000"/>
                <w:sz w:val="20"/>
                <w:szCs w:val="20"/>
              </w:rPr>
              <w:t> </w:t>
            </w:r>
            <w:r w:rsidRPr="00AF797A">
              <w:rPr>
                <w:i/>
                <w:iCs/>
                <w:color w:val="C00000"/>
                <w:sz w:val="20"/>
                <w:szCs w:val="20"/>
              </w:rPr>
              <w:t>650</w:t>
            </w:r>
            <w:r>
              <w:rPr>
                <w:i/>
                <w:iCs/>
                <w:color w:val="C00000"/>
                <w:sz w:val="20"/>
                <w:szCs w:val="20"/>
              </w:rPr>
              <w:t xml:space="preserve"> 000</w:t>
            </w:r>
          </w:p>
        </w:tc>
        <w:tc>
          <w:tcPr>
            <w:tcW w:w="1375" w:type="dxa"/>
            <w:shd w:val="clear" w:color="auto" w:fill="FFFFFF" w:themeFill="background1"/>
            <w:vAlign w:val="center"/>
          </w:tcPr>
          <w:p w14:paraId="7835721D" w14:textId="663B6904" w:rsidR="009F4159" w:rsidRPr="00AF797A" w:rsidRDefault="009F4159" w:rsidP="009F4159">
            <w:pPr>
              <w:pStyle w:val="ListParagraph"/>
              <w:ind w:left="0"/>
              <w:contextualSpacing w:val="0"/>
              <w:jc w:val="center"/>
              <w:rPr>
                <w:i/>
                <w:iCs/>
                <w:color w:val="C00000"/>
                <w:sz w:val="20"/>
                <w:szCs w:val="20"/>
              </w:rPr>
            </w:pPr>
            <w:r w:rsidRPr="00AF797A">
              <w:rPr>
                <w:i/>
                <w:iCs/>
                <w:color w:val="C00000"/>
                <w:sz w:val="20"/>
                <w:szCs w:val="20"/>
              </w:rPr>
              <w:t>-1</w:t>
            </w:r>
            <w:r>
              <w:rPr>
                <w:i/>
                <w:iCs/>
                <w:color w:val="C00000"/>
                <w:sz w:val="20"/>
                <w:szCs w:val="20"/>
              </w:rPr>
              <w:t> </w:t>
            </w:r>
            <w:r w:rsidRPr="00AF797A">
              <w:rPr>
                <w:i/>
                <w:iCs/>
                <w:color w:val="C00000"/>
                <w:sz w:val="20"/>
                <w:szCs w:val="20"/>
              </w:rPr>
              <w:t>650</w:t>
            </w:r>
            <w:r>
              <w:rPr>
                <w:i/>
                <w:iCs/>
                <w:color w:val="C00000"/>
                <w:sz w:val="20"/>
                <w:szCs w:val="20"/>
              </w:rPr>
              <w:t xml:space="preserve"> 000</w:t>
            </w:r>
          </w:p>
        </w:tc>
        <w:tc>
          <w:tcPr>
            <w:tcW w:w="1269" w:type="dxa"/>
            <w:tcBorders>
              <w:right w:val="nil"/>
            </w:tcBorders>
            <w:shd w:val="clear" w:color="auto" w:fill="FFFFFF" w:themeFill="background1"/>
            <w:vAlign w:val="center"/>
          </w:tcPr>
          <w:p w14:paraId="3567B720" w14:textId="792071F7" w:rsidR="009F4159" w:rsidRPr="00AF797A" w:rsidRDefault="009F4159" w:rsidP="009F4159">
            <w:pPr>
              <w:pStyle w:val="ListParagraph"/>
              <w:ind w:left="0"/>
              <w:contextualSpacing w:val="0"/>
              <w:jc w:val="center"/>
              <w:rPr>
                <w:i/>
                <w:iCs/>
                <w:color w:val="C00000"/>
                <w:sz w:val="20"/>
                <w:szCs w:val="20"/>
              </w:rPr>
            </w:pPr>
            <w:r w:rsidRPr="00AF797A">
              <w:rPr>
                <w:i/>
                <w:iCs/>
                <w:color w:val="C00000"/>
                <w:sz w:val="20"/>
                <w:szCs w:val="20"/>
              </w:rPr>
              <w:t>-1</w:t>
            </w:r>
            <w:r>
              <w:rPr>
                <w:i/>
                <w:iCs/>
                <w:color w:val="C00000"/>
                <w:sz w:val="20"/>
                <w:szCs w:val="20"/>
              </w:rPr>
              <w:t> </w:t>
            </w:r>
            <w:r w:rsidRPr="00AF797A">
              <w:rPr>
                <w:i/>
                <w:iCs/>
                <w:color w:val="C00000"/>
                <w:sz w:val="20"/>
                <w:szCs w:val="20"/>
              </w:rPr>
              <w:t>650</w:t>
            </w:r>
            <w:r>
              <w:rPr>
                <w:i/>
                <w:iCs/>
                <w:color w:val="C00000"/>
                <w:sz w:val="20"/>
                <w:szCs w:val="20"/>
              </w:rPr>
              <w:t xml:space="preserve"> 000</w:t>
            </w:r>
          </w:p>
        </w:tc>
      </w:tr>
      <w:tr w:rsidR="009F4159" w:rsidRPr="00AF797A" w14:paraId="718DC6D3" w14:textId="77777777" w:rsidTr="00AF797A">
        <w:tc>
          <w:tcPr>
            <w:tcW w:w="3672" w:type="dxa"/>
            <w:tcBorders>
              <w:left w:val="nil"/>
            </w:tcBorders>
            <w:shd w:val="clear" w:color="auto" w:fill="FFFFFF" w:themeFill="background1"/>
            <w:vAlign w:val="center"/>
          </w:tcPr>
          <w:p w14:paraId="1672DF38" w14:textId="77777777" w:rsidR="009F4159" w:rsidRPr="00AF797A" w:rsidRDefault="009F4159" w:rsidP="009F4159">
            <w:pPr>
              <w:pStyle w:val="ListParagraph"/>
              <w:numPr>
                <w:ilvl w:val="0"/>
                <w:numId w:val="9"/>
              </w:numPr>
              <w:tabs>
                <w:tab w:val="clear" w:pos="720"/>
                <w:tab w:val="num" w:pos="306"/>
              </w:tabs>
              <w:ind w:hanging="698"/>
              <w:contextualSpacing w:val="0"/>
              <w:jc w:val="left"/>
              <w:rPr>
                <w:i/>
                <w:iCs/>
                <w:sz w:val="20"/>
                <w:szCs w:val="20"/>
              </w:rPr>
            </w:pPr>
            <w:r w:rsidRPr="00AF797A">
              <w:rPr>
                <w:i/>
                <w:iCs/>
                <w:sz w:val="20"/>
                <w:szCs w:val="20"/>
              </w:rPr>
              <w:t>pašvaldību budžetos</w:t>
            </w:r>
          </w:p>
        </w:tc>
        <w:tc>
          <w:tcPr>
            <w:tcW w:w="1376" w:type="dxa"/>
            <w:shd w:val="clear" w:color="auto" w:fill="FFFFFF" w:themeFill="background1"/>
            <w:vAlign w:val="center"/>
          </w:tcPr>
          <w:p w14:paraId="4FEA21DD" w14:textId="38B698CB" w:rsidR="009F4159" w:rsidRPr="00AF797A" w:rsidRDefault="009F4159" w:rsidP="009F4159">
            <w:pPr>
              <w:pStyle w:val="ListParagraph"/>
              <w:ind w:left="0"/>
              <w:contextualSpacing w:val="0"/>
              <w:jc w:val="center"/>
              <w:rPr>
                <w:i/>
                <w:iCs/>
                <w:color w:val="C00000"/>
                <w:sz w:val="20"/>
                <w:szCs w:val="20"/>
              </w:rPr>
            </w:pPr>
            <w:r>
              <w:rPr>
                <w:i/>
                <w:iCs/>
                <w:color w:val="C00000"/>
                <w:sz w:val="20"/>
                <w:szCs w:val="20"/>
              </w:rPr>
              <w:t>-4 040 000</w:t>
            </w:r>
          </w:p>
        </w:tc>
        <w:tc>
          <w:tcPr>
            <w:tcW w:w="1375" w:type="dxa"/>
            <w:shd w:val="clear" w:color="auto" w:fill="FFFFFF" w:themeFill="background1"/>
            <w:vAlign w:val="center"/>
          </w:tcPr>
          <w:p w14:paraId="6421EFCD" w14:textId="7ADD02C4" w:rsidR="009F4159" w:rsidRPr="00AF797A" w:rsidRDefault="009F4159" w:rsidP="009F4159">
            <w:pPr>
              <w:pStyle w:val="ListParagraph"/>
              <w:ind w:left="0"/>
              <w:contextualSpacing w:val="0"/>
              <w:jc w:val="center"/>
              <w:rPr>
                <w:i/>
                <w:iCs/>
                <w:color w:val="C00000"/>
                <w:sz w:val="20"/>
                <w:szCs w:val="20"/>
              </w:rPr>
            </w:pPr>
            <w:r>
              <w:rPr>
                <w:i/>
                <w:iCs/>
                <w:color w:val="C00000"/>
                <w:sz w:val="20"/>
                <w:szCs w:val="20"/>
              </w:rPr>
              <w:t>-4 040 000</w:t>
            </w:r>
          </w:p>
        </w:tc>
        <w:tc>
          <w:tcPr>
            <w:tcW w:w="1375" w:type="dxa"/>
            <w:shd w:val="clear" w:color="auto" w:fill="FFFFFF" w:themeFill="background1"/>
            <w:vAlign w:val="center"/>
          </w:tcPr>
          <w:p w14:paraId="04F9877C" w14:textId="6BD1A662" w:rsidR="009F4159" w:rsidRPr="00AF797A" w:rsidRDefault="009F4159" w:rsidP="009F4159">
            <w:pPr>
              <w:pStyle w:val="ListParagraph"/>
              <w:ind w:left="0"/>
              <w:contextualSpacing w:val="0"/>
              <w:jc w:val="center"/>
              <w:rPr>
                <w:i/>
                <w:iCs/>
                <w:color w:val="C00000"/>
                <w:sz w:val="20"/>
                <w:szCs w:val="20"/>
              </w:rPr>
            </w:pPr>
            <w:r>
              <w:rPr>
                <w:i/>
                <w:iCs/>
                <w:color w:val="C00000"/>
                <w:sz w:val="20"/>
                <w:szCs w:val="20"/>
              </w:rPr>
              <w:t>-4 040 000</w:t>
            </w:r>
          </w:p>
        </w:tc>
        <w:tc>
          <w:tcPr>
            <w:tcW w:w="1269" w:type="dxa"/>
            <w:tcBorders>
              <w:right w:val="nil"/>
            </w:tcBorders>
            <w:shd w:val="clear" w:color="auto" w:fill="FFFFFF" w:themeFill="background1"/>
            <w:vAlign w:val="center"/>
          </w:tcPr>
          <w:p w14:paraId="73CF44C2" w14:textId="44D33CA9" w:rsidR="009F4159" w:rsidRPr="00AF797A" w:rsidRDefault="009F4159" w:rsidP="009F4159">
            <w:pPr>
              <w:pStyle w:val="ListParagraph"/>
              <w:ind w:left="0"/>
              <w:contextualSpacing w:val="0"/>
              <w:jc w:val="center"/>
              <w:rPr>
                <w:i/>
                <w:iCs/>
                <w:color w:val="C00000"/>
                <w:sz w:val="20"/>
                <w:szCs w:val="20"/>
              </w:rPr>
            </w:pPr>
            <w:r>
              <w:rPr>
                <w:i/>
                <w:iCs/>
                <w:color w:val="C00000"/>
                <w:sz w:val="20"/>
                <w:szCs w:val="20"/>
              </w:rPr>
              <w:t>-4 040 000</w:t>
            </w:r>
          </w:p>
        </w:tc>
      </w:tr>
      <w:tr w:rsidR="009F4159" w:rsidRPr="00AF797A" w14:paraId="1290EE27" w14:textId="77777777" w:rsidTr="00AF797A">
        <w:tc>
          <w:tcPr>
            <w:tcW w:w="3672" w:type="dxa"/>
            <w:tcBorders>
              <w:left w:val="nil"/>
            </w:tcBorders>
            <w:shd w:val="clear" w:color="auto" w:fill="FFFFFF" w:themeFill="background1"/>
            <w:vAlign w:val="center"/>
          </w:tcPr>
          <w:p w14:paraId="083140A2" w14:textId="75E43275" w:rsidR="009F4159" w:rsidRPr="00AF797A" w:rsidRDefault="009F4159" w:rsidP="009F4159">
            <w:pPr>
              <w:pStyle w:val="ListParagraph"/>
              <w:numPr>
                <w:ilvl w:val="0"/>
                <w:numId w:val="9"/>
              </w:numPr>
              <w:tabs>
                <w:tab w:val="clear" w:pos="720"/>
                <w:tab w:val="num" w:pos="306"/>
              </w:tabs>
              <w:ind w:hanging="698"/>
              <w:contextualSpacing w:val="0"/>
              <w:jc w:val="left"/>
              <w:rPr>
                <w:i/>
                <w:iCs/>
                <w:sz w:val="20"/>
                <w:szCs w:val="20"/>
              </w:rPr>
            </w:pPr>
            <w:r w:rsidRPr="00AF797A">
              <w:rPr>
                <w:i/>
                <w:iCs/>
                <w:sz w:val="20"/>
                <w:szCs w:val="20"/>
              </w:rPr>
              <w:t>speciālajā budžetā</w:t>
            </w:r>
          </w:p>
        </w:tc>
        <w:tc>
          <w:tcPr>
            <w:tcW w:w="1376" w:type="dxa"/>
            <w:shd w:val="clear" w:color="auto" w:fill="FFFFFF" w:themeFill="background1"/>
            <w:vAlign w:val="center"/>
          </w:tcPr>
          <w:p w14:paraId="64893408" w14:textId="76C1FE14" w:rsidR="009F4159" w:rsidRPr="00AF797A" w:rsidRDefault="009F4159" w:rsidP="009F4159">
            <w:pPr>
              <w:pStyle w:val="ListParagraph"/>
              <w:ind w:left="0"/>
              <w:contextualSpacing w:val="0"/>
              <w:jc w:val="center"/>
              <w:rPr>
                <w:i/>
                <w:iCs/>
                <w:color w:val="C00000"/>
                <w:sz w:val="20"/>
                <w:szCs w:val="20"/>
              </w:rPr>
            </w:pPr>
            <w:r>
              <w:rPr>
                <w:i/>
                <w:iCs/>
                <w:color w:val="C00000"/>
                <w:sz w:val="20"/>
                <w:szCs w:val="20"/>
              </w:rPr>
              <w:t>-8 300 000</w:t>
            </w:r>
          </w:p>
        </w:tc>
        <w:tc>
          <w:tcPr>
            <w:tcW w:w="1375" w:type="dxa"/>
            <w:shd w:val="clear" w:color="auto" w:fill="FFFFFF" w:themeFill="background1"/>
            <w:vAlign w:val="center"/>
          </w:tcPr>
          <w:p w14:paraId="7E9E050C" w14:textId="654AA921" w:rsidR="009F4159" w:rsidRPr="00AF797A" w:rsidRDefault="009F4159" w:rsidP="009F4159">
            <w:pPr>
              <w:pStyle w:val="ListParagraph"/>
              <w:ind w:left="0"/>
              <w:contextualSpacing w:val="0"/>
              <w:jc w:val="center"/>
              <w:rPr>
                <w:i/>
                <w:iCs/>
                <w:color w:val="C00000"/>
                <w:sz w:val="20"/>
                <w:szCs w:val="20"/>
              </w:rPr>
            </w:pPr>
            <w:r>
              <w:rPr>
                <w:i/>
                <w:iCs/>
                <w:color w:val="C00000"/>
                <w:sz w:val="20"/>
                <w:szCs w:val="20"/>
              </w:rPr>
              <w:t>-8 300 000</w:t>
            </w:r>
          </w:p>
        </w:tc>
        <w:tc>
          <w:tcPr>
            <w:tcW w:w="1375" w:type="dxa"/>
            <w:shd w:val="clear" w:color="auto" w:fill="FFFFFF" w:themeFill="background1"/>
            <w:vAlign w:val="center"/>
          </w:tcPr>
          <w:p w14:paraId="0F349E04" w14:textId="55D4223F" w:rsidR="009F4159" w:rsidRPr="00AF797A" w:rsidRDefault="009F4159" w:rsidP="009F4159">
            <w:pPr>
              <w:pStyle w:val="ListParagraph"/>
              <w:ind w:left="0"/>
              <w:contextualSpacing w:val="0"/>
              <w:jc w:val="center"/>
              <w:rPr>
                <w:i/>
                <w:iCs/>
                <w:color w:val="C00000"/>
                <w:sz w:val="20"/>
                <w:szCs w:val="20"/>
              </w:rPr>
            </w:pPr>
            <w:r>
              <w:rPr>
                <w:i/>
                <w:iCs/>
                <w:color w:val="C00000"/>
                <w:sz w:val="20"/>
                <w:szCs w:val="20"/>
              </w:rPr>
              <w:t>-8 300 000</w:t>
            </w:r>
          </w:p>
        </w:tc>
        <w:tc>
          <w:tcPr>
            <w:tcW w:w="1269" w:type="dxa"/>
            <w:tcBorders>
              <w:right w:val="nil"/>
            </w:tcBorders>
            <w:shd w:val="clear" w:color="auto" w:fill="FFFFFF" w:themeFill="background1"/>
            <w:vAlign w:val="center"/>
          </w:tcPr>
          <w:p w14:paraId="709EAE48" w14:textId="61332236" w:rsidR="009F4159" w:rsidRPr="00AF797A" w:rsidRDefault="009F4159" w:rsidP="009F4159">
            <w:pPr>
              <w:pStyle w:val="ListParagraph"/>
              <w:ind w:left="0"/>
              <w:contextualSpacing w:val="0"/>
              <w:jc w:val="center"/>
              <w:rPr>
                <w:i/>
                <w:iCs/>
                <w:color w:val="C00000"/>
                <w:sz w:val="20"/>
                <w:szCs w:val="20"/>
              </w:rPr>
            </w:pPr>
            <w:r>
              <w:rPr>
                <w:i/>
                <w:iCs/>
                <w:color w:val="C00000"/>
                <w:sz w:val="20"/>
                <w:szCs w:val="20"/>
              </w:rPr>
              <w:t>-8 300 000</w:t>
            </w:r>
          </w:p>
        </w:tc>
      </w:tr>
      <w:tr w:rsidR="009F4159" w:rsidRPr="00AF797A" w14:paraId="33A60391" w14:textId="77777777" w:rsidTr="00005BE2">
        <w:tc>
          <w:tcPr>
            <w:tcW w:w="3672" w:type="dxa"/>
            <w:tcBorders>
              <w:left w:val="nil"/>
              <w:bottom w:val="nil"/>
            </w:tcBorders>
            <w:shd w:val="clear" w:color="auto" w:fill="FFFFFF" w:themeFill="background1"/>
            <w:vAlign w:val="center"/>
          </w:tcPr>
          <w:p w14:paraId="77606BB2" w14:textId="4D4D0DAF" w:rsidR="009F4159" w:rsidRPr="00AF797A" w:rsidRDefault="009F4159" w:rsidP="009F4159">
            <w:pPr>
              <w:pStyle w:val="ListParagraph"/>
              <w:numPr>
                <w:ilvl w:val="0"/>
                <w:numId w:val="9"/>
              </w:numPr>
              <w:tabs>
                <w:tab w:val="clear" w:pos="720"/>
                <w:tab w:val="num" w:pos="306"/>
              </w:tabs>
              <w:ind w:left="316" w:hanging="316"/>
              <w:contextualSpacing w:val="0"/>
              <w:jc w:val="left"/>
              <w:rPr>
                <w:i/>
                <w:iCs/>
                <w:sz w:val="20"/>
                <w:szCs w:val="20"/>
              </w:rPr>
            </w:pPr>
            <w:r w:rsidRPr="00AF797A">
              <w:rPr>
                <w:i/>
                <w:iCs/>
                <w:sz w:val="20"/>
                <w:szCs w:val="20"/>
              </w:rPr>
              <w:t>valsts fondēto pensiju shēmā (informatīvi)</w:t>
            </w:r>
          </w:p>
        </w:tc>
        <w:tc>
          <w:tcPr>
            <w:tcW w:w="1376" w:type="dxa"/>
            <w:tcBorders>
              <w:bottom w:val="nil"/>
            </w:tcBorders>
            <w:shd w:val="clear" w:color="auto" w:fill="FFFFFF" w:themeFill="background1"/>
            <w:vAlign w:val="center"/>
          </w:tcPr>
          <w:p w14:paraId="491074CA" w14:textId="701C0A92" w:rsidR="009F4159" w:rsidRPr="00AF797A" w:rsidRDefault="009F4159" w:rsidP="009F4159">
            <w:pPr>
              <w:pStyle w:val="ListParagraph"/>
              <w:ind w:left="0"/>
              <w:contextualSpacing w:val="0"/>
              <w:jc w:val="center"/>
              <w:rPr>
                <w:i/>
                <w:iCs/>
                <w:color w:val="C00000"/>
                <w:sz w:val="20"/>
                <w:szCs w:val="20"/>
              </w:rPr>
            </w:pPr>
            <w:r w:rsidRPr="00AF797A">
              <w:rPr>
                <w:i/>
                <w:iCs/>
                <w:color w:val="C00000"/>
                <w:sz w:val="20"/>
                <w:szCs w:val="20"/>
              </w:rPr>
              <w:t>-1</w:t>
            </w:r>
            <w:r>
              <w:rPr>
                <w:i/>
                <w:iCs/>
                <w:color w:val="C00000"/>
                <w:sz w:val="20"/>
                <w:szCs w:val="20"/>
              </w:rPr>
              <w:t> </w:t>
            </w:r>
            <w:r w:rsidRPr="00AF797A">
              <w:rPr>
                <w:i/>
                <w:iCs/>
                <w:color w:val="C00000"/>
                <w:sz w:val="20"/>
                <w:szCs w:val="20"/>
              </w:rPr>
              <w:t>650</w:t>
            </w:r>
            <w:r>
              <w:rPr>
                <w:i/>
                <w:iCs/>
                <w:color w:val="C00000"/>
                <w:sz w:val="20"/>
                <w:szCs w:val="20"/>
              </w:rPr>
              <w:t xml:space="preserve"> 000</w:t>
            </w:r>
          </w:p>
        </w:tc>
        <w:tc>
          <w:tcPr>
            <w:tcW w:w="1375" w:type="dxa"/>
            <w:tcBorders>
              <w:bottom w:val="nil"/>
            </w:tcBorders>
            <w:shd w:val="clear" w:color="auto" w:fill="FFFFFF" w:themeFill="background1"/>
            <w:vAlign w:val="center"/>
          </w:tcPr>
          <w:p w14:paraId="175D3D3B" w14:textId="527C62F0" w:rsidR="009F4159" w:rsidRPr="00AF797A" w:rsidRDefault="009F4159" w:rsidP="009F4159">
            <w:pPr>
              <w:pStyle w:val="ListParagraph"/>
              <w:ind w:left="0"/>
              <w:contextualSpacing w:val="0"/>
              <w:jc w:val="center"/>
              <w:rPr>
                <w:i/>
                <w:iCs/>
                <w:color w:val="C00000"/>
                <w:sz w:val="20"/>
                <w:szCs w:val="20"/>
              </w:rPr>
            </w:pPr>
            <w:r w:rsidRPr="00AF797A">
              <w:rPr>
                <w:i/>
                <w:iCs/>
                <w:color w:val="C00000"/>
                <w:sz w:val="20"/>
                <w:szCs w:val="20"/>
              </w:rPr>
              <w:t>-1</w:t>
            </w:r>
            <w:r>
              <w:rPr>
                <w:i/>
                <w:iCs/>
                <w:color w:val="C00000"/>
                <w:sz w:val="20"/>
                <w:szCs w:val="20"/>
              </w:rPr>
              <w:t> </w:t>
            </w:r>
            <w:r w:rsidRPr="00AF797A">
              <w:rPr>
                <w:i/>
                <w:iCs/>
                <w:color w:val="C00000"/>
                <w:sz w:val="20"/>
                <w:szCs w:val="20"/>
              </w:rPr>
              <w:t>650</w:t>
            </w:r>
            <w:r>
              <w:rPr>
                <w:i/>
                <w:iCs/>
                <w:color w:val="C00000"/>
                <w:sz w:val="20"/>
                <w:szCs w:val="20"/>
              </w:rPr>
              <w:t xml:space="preserve"> 000</w:t>
            </w:r>
          </w:p>
        </w:tc>
        <w:tc>
          <w:tcPr>
            <w:tcW w:w="1375" w:type="dxa"/>
            <w:tcBorders>
              <w:bottom w:val="nil"/>
            </w:tcBorders>
            <w:shd w:val="clear" w:color="auto" w:fill="FFFFFF" w:themeFill="background1"/>
            <w:vAlign w:val="center"/>
          </w:tcPr>
          <w:p w14:paraId="6F02BDB9" w14:textId="1EE670C1" w:rsidR="009F4159" w:rsidRPr="00AF797A" w:rsidRDefault="009F4159" w:rsidP="009F4159">
            <w:pPr>
              <w:pStyle w:val="ListParagraph"/>
              <w:ind w:left="0"/>
              <w:contextualSpacing w:val="0"/>
              <w:jc w:val="center"/>
              <w:rPr>
                <w:i/>
                <w:iCs/>
                <w:color w:val="C00000"/>
                <w:sz w:val="20"/>
                <w:szCs w:val="20"/>
              </w:rPr>
            </w:pPr>
            <w:r w:rsidRPr="00AF797A">
              <w:rPr>
                <w:i/>
                <w:iCs/>
                <w:color w:val="C00000"/>
                <w:sz w:val="20"/>
                <w:szCs w:val="20"/>
              </w:rPr>
              <w:t>-1</w:t>
            </w:r>
            <w:r>
              <w:rPr>
                <w:i/>
                <w:iCs/>
                <w:color w:val="C00000"/>
                <w:sz w:val="20"/>
                <w:szCs w:val="20"/>
              </w:rPr>
              <w:t> </w:t>
            </w:r>
            <w:r w:rsidRPr="00AF797A">
              <w:rPr>
                <w:i/>
                <w:iCs/>
                <w:color w:val="C00000"/>
                <w:sz w:val="20"/>
                <w:szCs w:val="20"/>
              </w:rPr>
              <w:t>650</w:t>
            </w:r>
            <w:r>
              <w:rPr>
                <w:i/>
                <w:iCs/>
                <w:color w:val="C00000"/>
                <w:sz w:val="20"/>
                <w:szCs w:val="20"/>
              </w:rPr>
              <w:t xml:space="preserve"> 000</w:t>
            </w:r>
          </w:p>
        </w:tc>
        <w:tc>
          <w:tcPr>
            <w:tcW w:w="1269" w:type="dxa"/>
            <w:tcBorders>
              <w:bottom w:val="nil"/>
              <w:right w:val="nil"/>
            </w:tcBorders>
            <w:shd w:val="clear" w:color="auto" w:fill="FFFFFF" w:themeFill="background1"/>
            <w:vAlign w:val="center"/>
          </w:tcPr>
          <w:p w14:paraId="57355260" w14:textId="00BEEB24" w:rsidR="009F4159" w:rsidRPr="00AF797A" w:rsidRDefault="009F4159" w:rsidP="009F4159">
            <w:pPr>
              <w:pStyle w:val="ListParagraph"/>
              <w:ind w:left="0"/>
              <w:contextualSpacing w:val="0"/>
              <w:jc w:val="center"/>
              <w:rPr>
                <w:i/>
                <w:iCs/>
                <w:color w:val="C00000"/>
                <w:sz w:val="20"/>
                <w:szCs w:val="20"/>
              </w:rPr>
            </w:pPr>
            <w:r w:rsidRPr="00AF797A">
              <w:rPr>
                <w:i/>
                <w:iCs/>
                <w:color w:val="C00000"/>
                <w:sz w:val="20"/>
                <w:szCs w:val="20"/>
              </w:rPr>
              <w:t>-1</w:t>
            </w:r>
            <w:r>
              <w:rPr>
                <w:i/>
                <w:iCs/>
                <w:color w:val="C00000"/>
                <w:sz w:val="20"/>
                <w:szCs w:val="20"/>
              </w:rPr>
              <w:t> </w:t>
            </w:r>
            <w:r w:rsidRPr="00AF797A">
              <w:rPr>
                <w:i/>
                <w:iCs/>
                <w:color w:val="C00000"/>
                <w:sz w:val="20"/>
                <w:szCs w:val="20"/>
              </w:rPr>
              <w:t>650</w:t>
            </w:r>
            <w:r>
              <w:rPr>
                <w:i/>
                <w:iCs/>
                <w:color w:val="C00000"/>
                <w:sz w:val="20"/>
                <w:szCs w:val="20"/>
              </w:rPr>
              <w:t xml:space="preserve"> 000</w:t>
            </w:r>
          </w:p>
        </w:tc>
      </w:tr>
    </w:tbl>
    <w:p w14:paraId="5C40A8D4" w14:textId="3799C307" w:rsidR="00C26F78" w:rsidRPr="000203BA" w:rsidRDefault="00C26F78" w:rsidP="00E770B5">
      <w:pPr>
        <w:tabs>
          <w:tab w:val="left" w:pos="426"/>
        </w:tabs>
        <w:spacing w:before="120"/>
        <w:rPr>
          <w:rFonts w:cs="Times New Roman"/>
          <w:i/>
          <w:sz w:val="18"/>
        </w:rPr>
      </w:pPr>
      <w:r w:rsidRPr="000203BA">
        <w:rPr>
          <w:rFonts w:cs="Times New Roman"/>
          <w:b/>
          <w:bCs/>
          <w:i/>
          <w:sz w:val="18"/>
        </w:rPr>
        <w:t>Avots</w:t>
      </w:r>
      <w:r w:rsidRPr="000203BA">
        <w:rPr>
          <w:rFonts w:cs="Times New Roman"/>
          <w:i/>
          <w:sz w:val="18"/>
        </w:rPr>
        <w:t>: FM aprēķini.</w:t>
      </w:r>
    </w:p>
    <w:p w14:paraId="4899AB24" w14:textId="77777777" w:rsidR="00EA1993" w:rsidRDefault="00EA1993" w:rsidP="000E3528"/>
    <w:p w14:paraId="3ED8DEB0" w14:textId="290F6FF9" w:rsidR="00EA1993" w:rsidRPr="002F372D" w:rsidRDefault="00EA1993" w:rsidP="00EA1993">
      <w:pPr>
        <w:pStyle w:val="Heading2"/>
        <w:tabs>
          <w:tab w:val="left" w:pos="567"/>
        </w:tabs>
        <w:ind w:left="567" w:hanging="567"/>
      </w:pPr>
      <w:bookmarkStart w:id="30" w:name="_Toc177627705"/>
      <w:r>
        <w:t>2.</w:t>
      </w:r>
      <w:r w:rsidR="00DE6AA9">
        <w:t>5</w:t>
      </w:r>
      <w:r>
        <w:t xml:space="preserve">. </w:t>
      </w:r>
      <w:r>
        <w:tab/>
      </w:r>
      <w:r w:rsidRPr="00EA1993">
        <w:t xml:space="preserve">No </w:t>
      </w:r>
      <w:r w:rsidR="00C078BF">
        <w:rPr>
          <w:rFonts w:eastAsia="Calibri"/>
        </w:rPr>
        <w:t>i</w:t>
      </w:r>
      <w:r w:rsidR="000C6E7C">
        <w:rPr>
          <w:rFonts w:eastAsia="Calibri"/>
        </w:rPr>
        <w:t>edzīvotāju ienākuma nodokļa</w:t>
      </w:r>
      <w:r w:rsidR="000C6E7C" w:rsidRPr="005C1FD5">
        <w:rPr>
          <w:rFonts w:eastAsia="Calibri"/>
        </w:rPr>
        <w:t xml:space="preserve"> </w:t>
      </w:r>
      <w:r w:rsidRPr="00EA1993">
        <w:t>atbrīvojamās summas paaugstināšana darba devēja izmaksātajam bēru pabalstam un bērna piedzimšanas pabalstam</w:t>
      </w:r>
      <w:r w:rsidR="000C6E7C">
        <w:t>, kā arī</w:t>
      </w:r>
      <w:r w:rsidR="007966A8">
        <w:t xml:space="preserve"> </w:t>
      </w:r>
      <w:r w:rsidR="007966A8" w:rsidRPr="002F372D">
        <w:rPr>
          <w:bCs/>
        </w:rPr>
        <w:t>darba devēja dāvanām</w:t>
      </w:r>
      <w:bookmarkEnd w:id="30"/>
    </w:p>
    <w:p w14:paraId="36D60E44" w14:textId="7D2A8D0E" w:rsidR="002F372D" w:rsidRDefault="007966A8" w:rsidP="002F372D">
      <w:pPr>
        <w:spacing w:after="120"/>
        <w:ind w:firstLine="567"/>
        <w:jc w:val="both"/>
        <w:rPr>
          <w:rFonts w:cs="Times New Roman"/>
        </w:rPr>
      </w:pPr>
      <w:r w:rsidRPr="00C24C04">
        <w:rPr>
          <w:rFonts w:cs="Times New Roman"/>
        </w:rPr>
        <w:t xml:space="preserve">Pie IIN atbrīvojumiem, kas saistīti darbaspēka izmaksām, ir arī dažādas darba devēja izmaksātas summas darbiniekiem. Šobrīd </w:t>
      </w:r>
      <w:r w:rsidR="002F372D">
        <w:rPr>
          <w:rFonts w:cs="Times New Roman"/>
        </w:rPr>
        <w:t>IIN</w:t>
      </w:r>
      <w:r w:rsidRPr="00C24C04">
        <w:rPr>
          <w:rFonts w:cs="Times New Roman"/>
        </w:rPr>
        <w:t xml:space="preserve"> regulējumā ir noteikti atsevišķi darba devēja izmak</w:t>
      </w:r>
      <w:r w:rsidR="00793CC7">
        <w:rPr>
          <w:rFonts w:cs="Times New Roman"/>
        </w:rPr>
        <w:softHyphen/>
      </w:r>
      <w:r w:rsidRPr="00C24C04">
        <w:rPr>
          <w:rFonts w:cs="Times New Roman"/>
        </w:rPr>
        <w:t xml:space="preserve">sāti pabalsti darbiniekiem dzīves īpašos gadījumos, kas netiek ietverti ar </w:t>
      </w:r>
      <w:r w:rsidR="002F372D">
        <w:rPr>
          <w:rFonts w:cs="Times New Roman"/>
        </w:rPr>
        <w:t>IIN</w:t>
      </w:r>
      <w:r w:rsidRPr="00C24C04">
        <w:rPr>
          <w:rFonts w:cs="Times New Roman"/>
        </w:rPr>
        <w:t xml:space="preserve"> apliekamajā ienākumā. </w:t>
      </w:r>
    </w:p>
    <w:p w14:paraId="5D332EE2" w14:textId="031CA722" w:rsidR="002F372D" w:rsidRDefault="002F372D" w:rsidP="002F372D">
      <w:pPr>
        <w:spacing w:after="120"/>
        <w:ind w:firstLine="567"/>
        <w:jc w:val="both"/>
        <w:rPr>
          <w:rFonts w:cs="Times New Roman"/>
        </w:rPr>
      </w:pPr>
      <w:r>
        <w:rPr>
          <w:rFonts w:cs="Times New Roman"/>
        </w:rPr>
        <w:t xml:space="preserve">Piemēram, </w:t>
      </w:r>
      <w:r w:rsidR="007966A8" w:rsidRPr="00C24C04">
        <w:rPr>
          <w:rFonts w:cs="Times New Roman"/>
        </w:rPr>
        <w:t xml:space="preserve">ar </w:t>
      </w:r>
      <w:r>
        <w:rPr>
          <w:rFonts w:cs="Times New Roman"/>
        </w:rPr>
        <w:t>IIN</w:t>
      </w:r>
      <w:r w:rsidR="007966A8" w:rsidRPr="00C24C04">
        <w:rPr>
          <w:rFonts w:cs="Times New Roman"/>
        </w:rPr>
        <w:t xml:space="preserve"> neapliek tādus darba devēja izmaksātus ienākumus kā darbinieka vai viņa radinieku (tuvinieku) nāves gadījumā darba devēja piešķirto bēru pabalstu</w:t>
      </w:r>
      <w:r w:rsidR="00EB43FF">
        <w:rPr>
          <w:rFonts w:cs="Times New Roman"/>
        </w:rPr>
        <w:t xml:space="preserve">, kas nepārsniedz </w:t>
      </w:r>
      <w:r w:rsidR="007966A8" w:rsidRPr="002F372D">
        <w:rPr>
          <w:rFonts w:cs="Times New Roman"/>
          <w:b/>
          <w:bCs/>
        </w:rPr>
        <w:t>250</w:t>
      </w:r>
      <w:r w:rsidR="007966A8" w:rsidRPr="00C24C04">
        <w:rPr>
          <w:rFonts w:cs="Times New Roman"/>
        </w:rPr>
        <w:t xml:space="preserve"> </w:t>
      </w:r>
      <w:r w:rsidR="007966A8" w:rsidRPr="00C24C04">
        <w:rPr>
          <w:rFonts w:cs="Times New Roman"/>
          <w:i/>
          <w:iCs/>
        </w:rPr>
        <w:t>euro</w:t>
      </w:r>
      <w:r w:rsidR="007966A8" w:rsidRPr="00C24C04">
        <w:rPr>
          <w:rFonts w:cs="Times New Roman"/>
        </w:rPr>
        <w:t xml:space="preserve">, darba devēja darbiniekam piešķirto bērna piedzimšanas pabalstu, ja pabalsts izmaksāts 6 mēnešu laikā no bērna piedzimšanas dienas līdz </w:t>
      </w:r>
      <w:r w:rsidR="007966A8" w:rsidRPr="002F372D">
        <w:rPr>
          <w:rFonts w:cs="Times New Roman"/>
          <w:b/>
          <w:bCs/>
        </w:rPr>
        <w:t>250</w:t>
      </w:r>
      <w:r w:rsidR="007966A8" w:rsidRPr="00C24C04">
        <w:rPr>
          <w:rFonts w:cs="Times New Roman"/>
        </w:rPr>
        <w:t xml:space="preserve"> </w:t>
      </w:r>
      <w:r w:rsidR="007966A8" w:rsidRPr="00C24C04">
        <w:rPr>
          <w:rFonts w:cs="Times New Roman"/>
          <w:i/>
          <w:iCs/>
        </w:rPr>
        <w:t>euro</w:t>
      </w:r>
      <w:r w:rsidR="007966A8" w:rsidRPr="00C24C04">
        <w:rPr>
          <w:rFonts w:cs="Times New Roman"/>
        </w:rPr>
        <w:t xml:space="preserve"> par katru vienās dzemdībās dzimušu bērnu, kā arī darba devēja dāvanas, kuru apmērs taksācijas gada laikā nepārsniedz </w:t>
      </w:r>
      <w:r w:rsidR="007966A8" w:rsidRPr="002F372D">
        <w:rPr>
          <w:rFonts w:cs="Times New Roman"/>
          <w:b/>
          <w:bCs/>
        </w:rPr>
        <w:t>15</w:t>
      </w:r>
      <w:r w:rsidR="007966A8" w:rsidRPr="00C24C04">
        <w:rPr>
          <w:rFonts w:cs="Times New Roman"/>
        </w:rPr>
        <w:t xml:space="preserve"> </w:t>
      </w:r>
      <w:r w:rsidR="007966A8" w:rsidRPr="00C24C04">
        <w:rPr>
          <w:rFonts w:cs="Times New Roman"/>
          <w:i/>
          <w:iCs/>
        </w:rPr>
        <w:t>euro</w:t>
      </w:r>
      <w:r w:rsidR="007966A8" w:rsidRPr="00C24C04">
        <w:rPr>
          <w:rFonts w:cs="Times New Roman"/>
        </w:rPr>
        <w:t xml:space="preserve">. </w:t>
      </w:r>
    </w:p>
    <w:p w14:paraId="68FEAF85" w14:textId="72E2507B" w:rsidR="007966A8" w:rsidRDefault="007966A8" w:rsidP="00E770B5">
      <w:pPr>
        <w:ind w:firstLine="567"/>
        <w:jc w:val="both"/>
        <w:rPr>
          <w:rFonts w:cs="Times New Roman"/>
        </w:rPr>
      </w:pPr>
      <w:r w:rsidRPr="00C24C04">
        <w:rPr>
          <w:rFonts w:cs="Times New Roman"/>
        </w:rPr>
        <w:lastRenderedPageBreak/>
        <w:t xml:space="preserve">Tomēr, ņemot vērā dažādu preču un pakalpojumu cenu būtisku pieaugumu, </w:t>
      </w:r>
      <w:r w:rsidRPr="007515A7">
        <w:rPr>
          <w:rFonts w:cs="Times New Roman"/>
          <w:b/>
          <w:bCs/>
        </w:rPr>
        <w:t xml:space="preserve">būtu </w:t>
      </w:r>
      <w:r w:rsidR="00AF172F">
        <w:rPr>
          <w:rFonts w:cs="Times New Roman"/>
          <w:b/>
          <w:bCs/>
        </w:rPr>
        <w:t>plānots</w:t>
      </w:r>
      <w:r w:rsidRPr="007515A7">
        <w:rPr>
          <w:rFonts w:cs="Times New Roman"/>
          <w:b/>
          <w:bCs/>
        </w:rPr>
        <w:t xml:space="preserve"> palielināt šo atvieglojumu apmēru</w:t>
      </w:r>
      <w:r w:rsidRPr="00C24C04">
        <w:rPr>
          <w:rFonts w:cs="Times New Roman"/>
        </w:rPr>
        <w:t xml:space="preserve">. Iespējamais risinājums </w:t>
      </w:r>
      <w:bookmarkStart w:id="31" w:name="_Hlk175751997"/>
      <w:r w:rsidRPr="00C24C04">
        <w:rPr>
          <w:rFonts w:cs="Times New Roman"/>
        </w:rPr>
        <w:t xml:space="preserve">ir ar 2025. gadu palielināt minēto atvieglojumu apmēru, nosakot, ka no </w:t>
      </w:r>
      <w:r w:rsidR="002F372D">
        <w:rPr>
          <w:rFonts w:cs="Times New Roman"/>
        </w:rPr>
        <w:t>IIN</w:t>
      </w:r>
      <w:r w:rsidRPr="00C24C04">
        <w:rPr>
          <w:rFonts w:cs="Times New Roman"/>
        </w:rPr>
        <w:t xml:space="preserve"> atbrīvojamā summ</w:t>
      </w:r>
      <w:r w:rsidR="005142D0" w:rsidRPr="000E3528">
        <w:rPr>
          <w:rFonts w:cs="Times New Roman"/>
        </w:rPr>
        <w:t>a</w:t>
      </w:r>
      <w:r w:rsidRPr="00C24C04">
        <w:rPr>
          <w:rFonts w:cs="Times New Roman"/>
        </w:rPr>
        <w:t xml:space="preserve"> </w:t>
      </w:r>
      <w:r w:rsidR="00EB43FF">
        <w:rPr>
          <w:rFonts w:cs="Times New Roman"/>
        </w:rPr>
        <w:t xml:space="preserve">darba devēja piešķirtajam </w:t>
      </w:r>
      <w:r w:rsidRPr="00C24C04">
        <w:rPr>
          <w:rFonts w:cs="Times New Roman"/>
        </w:rPr>
        <w:t xml:space="preserve">bērna piedzimšanas pabalstam un bēru pabalstam ir </w:t>
      </w:r>
      <w:r w:rsidRPr="002F372D">
        <w:rPr>
          <w:rFonts w:cs="Times New Roman"/>
          <w:b/>
          <w:bCs/>
          <w:color w:val="FF0000"/>
        </w:rPr>
        <w:t>500</w:t>
      </w:r>
      <w:r w:rsidRPr="002F372D">
        <w:rPr>
          <w:rFonts w:cs="Times New Roman"/>
          <w:color w:val="FF0000"/>
        </w:rPr>
        <w:t xml:space="preserve"> </w:t>
      </w:r>
      <w:r w:rsidRPr="00C24C04">
        <w:rPr>
          <w:rFonts w:cs="Times New Roman"/>
          <w:i/>
          <w:iCs/>
        </w:rPr>
        <w:t>euro</w:t>
      </w:r>
      <w:r w:rsidRPr="00C24C04">
        <w:rPr>
          <w:rFonts w:cs="Times New Roman"/>
        </w:rPr>
        <w:t xml:space="preserve">, savukārt darba devēja dāvanu apmērs - </w:t>
      </w:r>
      <w:r w:rsidRPr="002F372D">
        <w:rPr>
          <w:rFonts w:cs="Times New Roman"/>
          <w:b/>
          <w:bCs/>
          <w:color w:val="FF0000"/>
        </w:rPr>
        <w:t>100</w:t>
      </w:r>
      <w:r w:rsidRPr="002F372D">
        <w:rPr>
          <w:rFonts w:cs="Times New Roman"/>
          <w:color w:val="FF0000"/>
        </w:rPr>
        <w:t xml:space="preserve"> </w:t>
      </w:r>
      <w:r w:rsidRPr="00C24C04">
        <w:rPr>
          <w:rFonts w:cs="Times New Roman"/>
          <w:i/>
          <w:iCs/>
        </w:rPr>
        <w:t>euro</w:t>
      </w:r>
      <w:r w:rsidRPr="00C24C04">
        <w:rPr>
          <w:rFonts w:cs="Times New Roman"/>
        </w:rPr>
        <w:t xml:space="preserve"> taksācijas gadā. </w:t>
      </w:r>
    </w:p>
    <w:p w14:paraId="2A139EF0" w14:textId="77777777" w:rsidR="00DE6AA9" w:rsidRDefault="00DE6AA9" w:rsidP="00E770B5">
      <w:pPr>
        <w:jc w:val="center"/>
        <w:rPr>
          <w:rFonts w:cs="Times New Roman"/>
          <w:sz w:val="20"/>
          <w:highlight w:val="yellow"/>
        </w:rPr>
      </w:pPr>
    </w:p>
    <w:p w14:paraId="4097FF6D" w14:textId="16F4AED2" w:rsidR="00DE6AA9" w:rsidRPr="002E0A09" w:rsidRDefault="00D03788" w:rsidP="00DE6AA9">
      <w:pPr>
        <w:spacing w:after="120"/>
        <w:jc w:val="center"/>
        <w:rPr>
          <w:rFonts w:cs="Times New Roman"/>
          <w:sz w:val="20"/>
        </w:rPr>
      </w:pPr>
      <w:r w:rsidRPr="00D03788">
        <w:rPr>
          <w:rFonts w:cs="Times New Roman"/>
          <w:sz w:val="20"/>
        </w:rPr>
        <w:t>1</w:t>
      </w:r>
      <w:r w:rsidR="00725CD9">
        <w:rPr>
          <w:rFonts w:cs="Times New Roman"/>
          <w:sz w:val="20"/>
        </w:rPr>
        <w:t>3</w:t>
      </w:r>
      <w:r w:rsidR="00DE6AA9" w:rsidRPr="00D03788">
        <w:rPr>
          <w:rFonts w:cs="Times New Roman"/>
          <w:sz w:val="20"/>
        </w:rPr>
        <w:t>.</w:t>
      </w:r>
      <w:r w:rsidR="00DE6AA9" w:rsidRPr="002E0A09">
        <w:rPr>
          <w:rFonts w:cs="Times New Roman"/>
          <w:sz w:val="20"/>
        </w:rPr>
        <w:t>tab</w:t>
      </w:r>
      <w:r w:rsidR="00DE6AA9" w:rsidRPr="002E0A09">
        <w:rPr>
          <w:rFonts w:cs="Times New Roman"/>
          <w:bCs/>
          <w:sz w:val="20"/>
        </w:rPr>
        <w:t>.</w:t>
      </w:r>
      <w:r w:rsidR="00DE6AA9" w:rsidRPr="002E0A09">
        <w:rPr>
          <w:rFonts w:cs="Times New Roman"/>
          <w:b/>
          <w:sz w:val="20"/>
        </w:rPr>
        <w:t xml:space="preserve"> Priekšlikuma indikatīva fiskālā ietekme</w:t>
      </w:r>
      <w:r w:rsidR="00DE6AA9" w:rsidRPr="002E0A09">
        <w:rPr>
          <w:rFonts w:cs="Times New Roman"/>
          <w:bCs/>
          <w:sz w:val="20"/>
        </w:rPr>
        <w:t>,</w:t>
      </w:r>
      <w:r w:rsidR="00DE6AA9" w:rsidRPr="002E0A09">
        <w:rPr>
          <w:rFonts w:cs="Times New Roman"/>
          <w:bCs/>
          <w:i/>
          <w:iCs/>
          <w:sz w:val="20"/>
        </w:rPr>
        <w:t> euro</w:t>
      </w:r>
    </w:p>
    <w:tbl>
      <w:tblPr>
        <w:tblStyle w:val="TableGrid"/>
        <w:tblW w:w="9067" w:type="dxa"/>
        <w:tblInd w:w="5" w:type="dxa"/>
        <w:tblLook w:val="04A0" w:firstRow="1" w:lastRow="0" w:firstColumn="1" w:lastColumn="0" w:noHBand="0" w:noVBand="1"/>
      </w:tblPr>
      <w:tblGrid>
        <w:gridCol w:w="4248"/>
        <w:gridCol w:w="1276"/>
        <w:gridCol w:w="1134"/>
        <w:gridCol w:w="1275"/>
        <w:gridCol w:w="1134"/>
      </w:tblGrid>
      <w:tr w:rsidR="00DE6AA9" w:rsidRPr="00D738ED" w14:paraId="560DC7E4" w14:textId="77777777" w:rsidTr="00221DAF">
        <w:tc>
          <w:tcPr>
            <w:tcW w:w="4248" w:type="dxa"/>
            <w:tcBorders>
              <w:top w:val="nil"/>
              <w:left w:val="nil"/>
              <w:bottom w:val="single" w:sz="8" w:space="0" w:color="auto"/>
              <w:right w:val="nil"/>
            </w:tcBorders>
            <w:shd w:val="clear" w:color="auto" w:fill="FFFFFF" w:themeFill="background1"/>
          </w:tcPr>
          <w:p w14:paraId="222ED164" w14:textId="77777777" w:rsidR="00DE6AA9" w:rsidRPr="00C11875" w:rsidRDefault="00DE6AA9" w:rsidP="00005BE2">
            <w:pPr>
              <w:pStyle w:val="ListParagraph"/>
              <w:ind w:left="0"/>
              <w:contextualSpacing w:val="0"/>
              <w:jc w:val="center"/>
              <w:rPr>
                <w:b/>
                <w:bCs/>
                <w:sz w:val="20"/>
                <w:szCs w:val="20"/>
              </w:rPr>
            </w:pPr>
          </w:p>
        </w:tc>
        <w:tc>
          <w:tcPr>
            <w:tcW w:w="1276" w:type="dxa"/>
            <w:tcBorders>
              <w:top w:val="nil"/>
              <w:left w:val="nil"/>
              <w:bottom w:val="single" w:sz="8" w:space="0" w:color="auto"/>
              <w:right w:val="nil"/>
            </w:tcBorders>
            <w:shd w:val="clear" w:color="auto" w:fill="FFFFFF" w:themeFill="background1"/>
            <w:vAlign w:val="bottom"/>
          </w:tcPr>
          <w:p w14:paraId="7923A62B" w14:textId="77777777" w:rsidR="00DE6AA9" w:rsidRPr="00C11875" w:rsidRDefault="00DE6AA9" w:rsidP="00005BE2">
            <w:pPr>
              <w:pStyle w:val="ListParagraph"/>
              <w:ind w:left="0"/>
              <w:contextualSpacing w:val="0"/>
              <w:jc w:val="center"/>
              <w:rPr>
                <w:b/>
                <w:bCs/>
                <w:sz w:val="20"/>
                <w:szCs w:val="20"/>
              </w:rPr>
            </w:pPr>
            <w:r w:rsidRPr="00C11875">
              <w:rPr>
                <w:b/>
                <w:bCs/>
                <w:sz w:val="20"/>
                <w:szCs w:val="20"/>
              </w:rPr>
              <w:t>2025</w:t>
            </w:r>
          </w:p>
        </w:tc>
        <w:tc>
          <w:tcPr>
            <w:tcW w:w="1134" w:type="dxa"/>
            <w:tcBorders>
              <w:top w:val="nil"/>
              <w:left w:val="nil"/>
              <w:bottom w:val="single" w:sz="8" w:space="0" w:color="auto"/>
              <w:right w:val="nil"/>
            </w:tcBorders>
            <w:shd w:val="clear" w:color="auto" w:fill="FFFFFF" w:themeFill="background1"/>
            <w:vAlign w:val="bottom"/>
          </w:tcPr>
          <w:p w14:paraId="67AAAC57" w14:textId="77777777" w:rsidR="00DE6AA9" w:rsidRPr="00C11875" w:rsidRDefault="00DE6AA9" w:rsidP="00005BE2">
            <w:pPr>
              <w:pStyle w:val="ListParagraph"/>
              <w:ind w:left="0"/>
              <w:contextualSpacing w:val="0"/>
              <w:jc w:val="center"/>
              <w:rPr>
                <w:b/>
                <w:bCs/>
                <w:sz w:val="20"/>
                <w:szCs w:val="20"/>
              </w:rPr>
            </w:pPr>
            <w:r w:rsidRPr="00C11875">
              <w:rPr>
                <w:b/>
                <w:bCs/>
                <w:sz w:val="20"/>
                <w:szCs w:val="20"/>
              </w:rPr>
              <w:t>2026</w:t>
            </w:r>
          </w:p>
        </w:tc>
        <w:tc>
          <w:tcPr>
            <w:tcW w:w="1275" w:type="dxa"/>
            <w:tcBorders>
              <w:top w:val="nil"/>
              <w:left w:val="nil"/>
              <w:bottom w:val="single" w:sz="8" w:space="0" w:color="auto"/>
              <w:right w:val="nil"/>
            </w:tcBorders>
            <w:shd w:val="clear" w:color="auto" w:fill="FFFFFF" w:themeFill="background1"/>
            <w:vAlign w:val="bottom"/>
          </w:tcPr>
          <w:p w14:paraId="19A27507" w14:textId="77777777" w:rsidR="00DE6AA9" w:rsidRPr="00C11875" w:rsidRDefault="00DE6AA9" w:rsidP="00005BE2">
            <w:pPr>
              <w:pStyle w:val="ListParagraph"/>
              <w:ind w:left="0"/>
              <w:contextualSpacing w:val="0"/>
              <w:jc w:val="center"/>
              <w:rPr>
                <w:b/>
                <w:bCs/>
                <w:sz w:val="20"/>
                <w:szCs w:val="20"/>
              </w:rPr>
            </w:pPr>
            <w:r w:rsidRPr="00C11875">
              <w:rPr>
                <w:b/>
                <w:bCs/>
                <w:sz w:val="20"/>
                <w:szCs w:val="20"/>
              </w:rPr>
              <w:t>2027</w:t>
            </w:r>
          </w:p>
        </w:tc>
        <w:tc>
          <w:tcPr>
            <w:tcW w:w="1134" w:type="dxa"/>
            <w:tcBorders>
              <w:top w:val="nil"/>
              <w:left w:val="nil"/>
              <w:bottom w:val="single" w:sz="8" w:space="0" w:color="auto"/>
              <w:right w:val="nil"/>
            </w:tcBorders>
            <w:shd w:val="clear" w:color="auto" w:fill="FFFFFF" w:themeFill="background1"/>
          </w:tcPr>
          <w:p w14:paraId="087044D8" w14:textId="77777777" w:rsidR="00DE6AA9" w:rsidRPr="00C11875" w:rsidRDefault="00DE6AA9" w:rsidP="00005BE2">
            <w:pPr>
              <w:pStyle w:val="ListParagraph"/>
              <w:ind w:left="0"/>
              <w:contextualSpacing w:val="0"/>
              <w:jc w:val="center"/>
              <w:rPr>
                <w:b/>
                <w:bCs/>
                <w:sz w:val="20"/>
                <w:szCs w:val="20"/>
              </w:rPr>
            </w:pPr>
            <w:r w:rsidRPr="00C11875">
              <w:rPr>
                <w:b/>
                <w:bCs/>
                <w:sz w:val="20"/>
                <w:szCs w:val="20"/>
              </w:rPr>
              <w:t>2028</w:t>
            </w:r>
          </w:p>
        </w:tc>
      </w:tr>
      <w:tr w:rsidR="00221DAF" w:rsidRPr="00AF797A" w14:paraId="72D580E4" w14:textId="77777777" w:rsidTr="00221DAF">
        <w:tc>
          <w:tcPr>
            <w:tcW w:w="4248" w:type="dxa"/>
            <w:tcBorders>
              <w:top w:val="single" w:sz="4" w:space="0" w:color="auto"/>
              <w:left w:val="nil"/>
              <w:bottom w:val="single" w:sz="4" w:space="0" w:color="auto"/>
            </w:tcBorders>
            <w:shd w:val="clear" w:color="auto" w:fill="FFFFFF" w:themeFill="background1"/>
            <w:vAlign w:val="center"/>
          </w:tcPr>
          <w:p w14:paraId="69BA6339" w14:textId="77777777" w:rsidR="00221DAF" w:rsidRPr="00AF797A" w:rsidRDefault="00221DAF" w:rsidP="00221DAF">
            <w:pPr>
              <w:pStyle w:val="ListParagraph"/>
              <w:ind w:left="0"/>
              <w:contextualSpacing w:val="0"/>
              <w:jc w:val="left"/>
              <w:rPr>
                <w:sz w:val="20"/>
                <w:szCs w:val="20"/>
              </w:rPr>
            </w:pPr>
            <w:r w:rsidRPr="00AF797A">
              <w:rPr>
                <w:sz w:val="20"/>
                <w:szCs w:val="20"/>
              </w:rPr>
              <w:t>IIN ieņēmumi</w:t>
            </w:r>
          </w:p>
        </w:tc>
        <w:tc>
          <w:tcPr>
            <w:tcW w:w="1276" w:type="dxa"/>
            <w:tcBorders>
              <w:top w:val="single" w:sz="4" w:space="0" w:color="auto"/>
              <w:bottom w:val="single" w:sz="4" w:space="0" w:color="auto"/>
            </w:tcBorders>
            <w:shd w:val="clear" w:color="auto" w:fill="FFFFFF" w:themeFill="background1"/>
            <w:vAlign w:val="center"/>
          </w:tcPr>
          <w:p w14:paraId="2E7D630A" w14:textId="088DC845" w:rsidR="00221DAF" w:rsidRPr="00AF797A" w:rsidRDefault="00221DAF" w:rsidP="00221DAF">
            <w:pPr>
              <w:pStyle w:val="ListParagraph"/>
              <w:ind w:left="0"/>
              <w:contextualSpacing w:val="0"/>
              <w:jc w:val="center"/>
              <w:rPr>
                <w:color w:val="C00000"/>
                <w:sz w:val="20"/>
                <w:szCs w:val="20"/>
              </w:rPr>
            </w:pPr>
            <w:r>
              <w:rPr>
                <w:color w:val="C00000"/>
                <w:sz w:val="20"/>
                <w:szCs w:val="20"/>
              </w:rPr>
              <w:t>-750 000</w:t>
            </w:r>
          </w:p>
        </w:tc>
        <w:tc>
          <w:tcPr>
            <w:tcW w:w="1134" w:type="dxa"/>
            <w:tcBorders>
              <w:top w:val="single" w:sz="4" w:space="0" w:color="auto"/>
              <w:bottom w:val="single" w:sz="4" w:space="0" w:color="auto"/>
            </w:tcBorders>
            <w:shd w:val="clear" w:color="auto" w:fill="FFFFFF" w:themeFill="background1"/>
            <w:vAlign w:val="center"/>
          </w:tcPr>
          <w:p w14:paraId="1B4D4E9A" w14:textId="182D62B2" w:rsidR="00221DAF" w:rsidRPr="00AF797A" w:rsidRDefault="00221DAF" w:rsidP="00221DAF">
            <w:pPr>
              <w:pStyle w:val="ListParagraph"/>
              <w:ind w:left="0"/>
              <w:contextualSpacing w:val="0"/>
              <w:jc w:val="center"/>
              <w:rPr>
                <w:color w:val="C00000"/>
                <w:sz w:val="20"/>
                <w:szCs w:val="20"/>
              </w:rPr>
            </w:pPr>
            <w:r>
              <w:rPr>
                <w:color w:val="C00000"/>
                <w:sz w:val="20"/>
                <w:szCs w:val="20"/>
              </w:rPr>
              <w:t>-750 000</w:t>
            </w:r>
          </w:p>
        </w:tc>
        <w:tc>
          <w:tcPr>
            <w:tcW w:w="1275" w:type="dxa"/>
            <w:tcBorders>
              <w:top w:val="single" w:sz="4" w:space="0" w:color="auto"/>
              <w:bottom w:val="single" w:sz="4" w:space="0" w:color="auto"/>
            </w:tcBorders>
            <w:shd w:val="clear" w:color="auto" w:fill="FFFFFF" w:themeFill="background1"/>
            <w:vAlign w:val="center"/>
          </w:tcPr>
          <w:p w14:paraId="7FCD26DC" w14:textId="57DAD644" w:rsidR="00221DAF" w:rsidRPr="00AF797A" w:rsidRDefault="00221DAF" w:rsidP="00221DAF">
            <w:pPr>
              <w:pStyle w:val="ListParagraph"/>
              <w:ind w:left="0"/>
              <w:contextualSpacing w:val="0"/>
              <w:jc w:val="center"/>
              <w:rPr>
                <w:color w:val="C00000"/>
                <w:sz w:val="20"/>
                <w:szCs w:val="20"/>
              </w:rPr>
            </w:pPr>
            <w:r>
              <w:rPr>
                <w:color w:val="C00000"/>
                <w:sz w:val="20"/>
                <w:szCs w:val="20"/>
              </w:rPr>
              <w:t>-750 000</w:t>
            </w:r>
          </w:p>
        </w:tc>
        <w:tc>
          <w:tcPr>
            <w:tcW w:w="1134" w:type="dxa"/>
            <w:tcBorders>
              <w:top w:val="single" w:sz="4" w:space="0" w:color="auto"/>
              <w:bottom w:val="single" w:sz="4" w:space="0" w:color="auto"/>
              <w:right w:val="nil"/>
            </w:tcBorders>
            <w:shd w:val="clear" w:color="auto" w:fill="FFFFFF" w:themeFill="background1"/>
            <w:vAlign w:val="center"/>
          </w:tcPr>
          <w:p w14:paraId="7C58B99C" w14:textId="189896DA" w:rsidR="00221DAF" w:rsidRPr="00AF797A" w:rsidRDefault="00221DAF" w:rsidP="00221DAF">
            <w:pPr>
              <w:pStyle w:val="ListParagraph"/>
              <w:ind w:left="0"/>
              <w:contextualSpacing w:val="0"/>
              <w:jc w:val="center"/>
              <w:rPr>
                <w:color w:val="C00000"/>
                <w:sz w:val="20"/>
                <w:szCs w:val="20"/>
              </w:rPr>
            </w:pPr>
            <w:r>
              <w:rPr>
                <w:color w:val="C00000"/>
                <w:sz w:val="20"/>
                <w:szCs w:val="20"/>
              </w:rPr>
              <w:t>-750 000</w:t>
            </w:r>
          </w:p>
        </w:tc>
      </w:tr>
      <w:tr w:rsidR="00221DAF" w:rsidRPr="00AF797A" w14:paraId="7A299A25" w14:textId="77777777" w:rsidTr="00221DAF">
        <w:tc>
          <w:tcPr>
            <w:tcW w:w="4248" w:type="dxa"/>
            <w:tcBorders>
              <w:left w:val="nil"/>
            </w:tcBorders>
            <w:shd w:val="clear" w:color="auto" w:fill="FFFFFF" w:themeFill="background1"/>
            <w:vAlign w:val="center"/>
          </w:tcPr>
          <w:p w14:paraId="03BEA856" w14:textId="77777777" w:rsidR="00221DAF" w:rsidRPr="00AF797A" w:rsidRDefault="00221DAF" w:rsidP="00221DAF">
            <w:pPr>
              <w:rPr>
                <w:sz w:val="20"/>
                <w:szCs w:val="20"/>
              </w:rPr>
            </w:pPr>
            <w:r w:rsidRPr="00AF797A">
              <w:rPr>
                <w:sz w:val="20"/>
                <w:szCs w:val="20"/>
              </w:rPr>
              <w:t>VSAOI ieņēmumi</w:t>
            </w:r>
          </w:p>
        </w:tc>
        <w:tc>
          <w:tcPr>
            <w:tcW w:w="1276" w:type="dxa"/>
            <w:shd w:val="clear" w:color="auto" w:fill="FFFFFF" w:themeFill="background1"/>
            <w:vAlign w:val="center"/>
          </w:tcPr>
          <w:p w14:paraId="444CA84F" w14:textId="2D74A37C" w:rsidR="00221DAF" w:rsidRPr="00AF797A" w:rsidRDefault="00221DAF" w:rsidP="00221DAF">
            <w:pPr>
              <w:pStyle w:val="ListParagraph"/>
              <w:ind w:left="0"/>
              <w:contextualSpacing w:val="0"/>
              <w:jc w:val="center"/>
              <w:rPr>
                <w:color w:val="C00000"/>
                <w:sz w:val="20"/>
                <w:szCs w:val="20"/>
              </w:rPr>
            </w:pPr>
            <w:r w:rsidRPr="00221DAF">
              <w:rPr>
                <w:color w:val="C00000"/>
                <w:sz w:val="20"/>
                <w:szCs w:val="20"/>
              </w:rPr>
              <w:t>-1 195 000</w:t>
            </w:r>
          </w:p>
        </w:tc>
        <w:tc>
          <w:tcPr>
            <w:tcW w:w="1134" w:type="dxa"/>
            <w:shd w:val="clear" w:color="auto" w:fill="FFFFFF" w:themeFill="background1"/>
            <w:vAlign w:val="center"/>
          </w:tcPr>
          <w:p w14:paraId="4BE1B9F6" w14:textId="6A79B5CF" w:rsidR="00221DAF" w:rsidRPr="00AF797A" w:rsidRDefault="00221DAF" w:rsidP="00221DAF">
            <w:pPr>
              <w:pStyle w:val="ListParagraph"/>
              <w:ind w:left="0"/>
              <w:contextualSpacing w:val="0"/>
              <w:jc w:val="center"/>
              <w:rPr>
                <w:i/>
                <w:iCs/>
                <w:color w:val="C00000"/>
                <w:sz w:val="20"/>
                <w:szCs w:val="20"/>
              </w:rPr>
            </w:pPr>
            <w:r w:rsidRPr="00221DAF">
              <w:rPr>
                <w:color w:val="C00000"/>
                <w:sz w:val="20"/>
                <w:szCs w:val="20"/>
              </w:rPr>
              <w:t>-1 195 000</w:t>
            </w:r>
          </w:p>
        </w:tc>
        <w:tc>
          <w:tcPr>
            <w:tcW w:w="1275" w:type="dxa"/>
            <w:shd w:val="clear" w:color="auto" w:fill="FFFFFF" w:themeFill="background1"/>
            <w:vAlign w:val="center"/>
          </w:tcPr>
          <w:p w14:paraId="2DA7F559" w14:textId="15DA2AFF" w:rsidR="00221DAF" w:rsidRPr="00AF797A" w:rsidRDefault="00221DAF" w:rsidP="00221DAF">
            <w:pPr>
              <w:pStyle w:val="ListParagraph"/>
              <w:ind w:left="0"/>
              <w:contextualSpacing w:val="0"/>
              <w:jc w:val="center"/>
              <w:rPr>
                <w:i/>
                <w:iCs/>
                <w:color w:val="C00000"/>
                <w:sz w:val="20"/>
                <w:szCs w:val="20"/>
              </w:rPr>
            </w:pPr>
            <w:r w:rsidRPr="00221DAF">
              <w:rPr>
                <w:color w:val="C00000"/>
                <w:sz w:val="20"/>
                <w:szCs w:val="20"/>
              </w:rPr>
              <w:t>-1 195 000</w:t>
            </w:r>
          </w:p>
        </w:tc>
        <w:tc>
          <w:tcPr>
            <w:tcW w:w="1134" w:type="dxa"/>
            <w:tcBorders>
              <w:right w:val="nil"/>
            </w:tcBorders>
            <w:shd w:val="clear" w:color="auto" w:fill="FFFFFF" w:themeFill="background1"/>
            <w:vAlign w:val="center"/>
          </w:tcPr>
          <w:p w14:paraId="1F7C2F26" w14:textId="17FBFA55" w:rsidR="00221DAF" w:rsidRPr="00AF797A" w:rsidRDefault="00221DAF" w:rsidP="00221DAF">
            <w:pPr>
              <w:pStyle w:val="ListParagraph"/>
              <w:ind w:left="0"/>
              <w:contextualSpacing w:val="0"/>
              <w:jc w:val="center"/>
              <w:rPr>
                <w:i/>
                <w:iCs/>
                <w:color w:val="C00000"/>
                <w:sz w:val="20"/>
                <w:szCs w:val="20"/>
              </w:rPr>
            </w:pPr>
            <w:r w:rsidRPr="00221DAF">
              <w:rPr>
                <w:color w:val="C00000"/>
                <w:sz w:val="20"/>
                <w:szCs w:val="20"/>
              </w:rPr>
              <w:t>-1 195 000</w:t>
            </w:r>
          </w:p>
        </w:tc>
      </w:tr>
      <w:tr w:rsidR="00221DAF" w:rsidRPr="002B6702" w14:paraId="06EA1BB4" w14:textId="77777777" w:rsidTr="00221DAF">
        <w:tc>
          <w:tcPr>
            <w:tcW w:w="4248" w:type="dxa"/>
            <w:tcBorders>
              <w:left w:val="nil"/>
            </w:tcBorders>
            <w:shd w:val="clear" w:color="auto" w:fill="E7E6E6" w:themeFill="background2"/>
            <w:vAlign w:val="center"/>
          </w:tcPr>
          <w:p w14:paraId="290B7960" w14:textId="77777777" w:rsidR="00221DAF" w:rsidRPr="00AF797A" w:rsidRDefault="00221DAF" w:rsidP="00221DAF">
            <w:pPr>
              <w:rPr>
                <w:sz w:val="20"/>
                <w:szCs w:val="20"/>
              </w:rPr>
            </w:pPr>
            <w:r w:rsidRPr="00AF797A">
              <w:rPr>
                <w:b/>
                <w:bCs/>
                <w:sz w:val="20"/>
                <w:szCs w:val="20"/>
              </w:rPr>
              <w:t>KOPĀ</w:t>
            </w:r>
            <w:r w:rsidRPr="002B6702">
              <w:rPr>
                <w:i/>
                <w:iCs/>
                <w:sz w:val="20"/>
                <w:szCs w:val="20"/>
              </w:rPr>
              <w:t>, no tā:</w:t>
            </w:r>
          </w:p>
        </w:tc>
        <w:tc>
          <w:tcPr>
            <w:tcW w:w="1276" w:type="dxa"/>
            <w:shd w:val="clear" w:color="auto" w:fill="E7E6E6" w:themeFill="background2"/>
            <w:vAlign w:val="center"/>
          </w:tcPr>
          <w:p w14:paraId="383C1C23" w14:textId="7E361FF3" w:rsidR="00221DAF" w:rsidRPr="00FC5CE3" w:rsidRDefault="00221DAF" w:rsidP="00221DAF">
            <w:pPr>
              <w:pStyle w:val="ListParagraph"/>
              <w:ind w:left="0"/>
              <w:contextualSpacing w:val="0"/>
              <w:jc w:val="center"/>
              <w:rPr>
                <w:i/>
                <w:iCs/>
                <w:color w:val="C00000"/>
                <w:sz w:val="20"/>
                <w:szCs w:val="20"/>
              </w:rPr>
            </w:pPr>
            <w:r w:rsidRPr="00AF797A">
              <w:rPr>
                <w:b/>
                <w:bCs/>
                <w:color w:val="C00000"/>
                <w:sz w:val="20"/>
                <w:szCs w:val="20"/>
              </w:rPr>
              <w:t>-1</w:t>
            </w:r>
            <w:r>
              <w:rPr>
                <w:b/>
                <w:bCs/>
                <w:color w:val="C00000"/>
                <w:sz w:val="20"/>
                <w:szCs w:val="20"/>
              </w:rPr>
              <w:t> 945 000</w:t>
            </w:r>
          </w:p>
        </w:tc>
        <w:tc>
          <w:tcPr>
            <w:tcW w:w="1134" w:type="dxa"/>
            <w:shd w:val="clear" w:color="auto" w:fill="E7E6E6" w:themeFill="background2"/>
            <w:vAlign w:val="center"/>
          </w:tcPr>
          <w:p w14:paraId="75103065" w14:textId="011999D4" w:rsidR="00221DAF" w:rsidRPr="00FC5CE3" w:rsidRDefault="00221DAF" w:rsidP="00221DAF">
            <w:pPr>
              <w:pStyle w:val="ListParagraph"/>
              <w:ind w:left="0"/>
              <w:contextualSpacing w:val="0"/>
              <w:jc w:val="center"/>
              <w:rPr>
                <w:i/>
                <w:iCs/>
                <w:color w:val="C00000"/>
                <w:sz w:val="20"/>
                <w:szCs w:val="20"/>
              </w:rPr>
            </w:pPr>
            <w:r w:rsidRPr="00AF797A">
              <w:rPr>
                <w:b/>
                <w:bCs/>
                <w:color w:val="C00000"/>
                <w:sz w:val="20"/>
                <w:szCs w:val="20"/>
              </w:rPr>
              <w:t>-1</w:t>
            </w:r>
            <w:r>
              <w:rPr>
                <w:b/>
                <w:bCs/>
                <w:color w:val="C00000"/>
                <w:sz w:val="20"/>
                <w:szCs w:val="20"/>
              </w:rPr>
              <w:t> 945 000</w:t>
            </w:r>
          </w:p>
        </w:tc>
        <w:tc>
          <w:tcPr>
            <w:tcW w:w="1275" w:type="dxa"/>
            <w:shd w:val="clear" w:color="auto" w:fill="E7E6E6" w:themeFill="background2"/>
            <w:vAlign w:val="center"/>
          </w:tcPr>
          <w:p w14:paraId="091D900D" w14:textId="194600F9" w:rsidR="00221DAF" w:rsidRPr="00FC5CE3" w:rsidRDefault="00221DAF" w:rsidP="00221DAF">
            <w:pPr>
              <w:pStyle w:val="ListParagraph"/>
              <w:ind w:left="0"/>
              <w:contextualSpacing w:val="0"/>
              <w:jc w:val="center"/>
              <w:rPr>
                <w:i/>
                <w:iCs/>
                <w:color w:val="C00000"/>
                <w:sz w:val="20"/>
                <w:szCs w:val="20"/>
              </w:rPr>
            </w:pPr>
            <w:r w:rsidRPr="00AF797A">
              <w:rPr>
                <w:b/>
                <w:bCs/>
                <w:color w:val="C00000"/>
                <w:sz w:val="20"/>
                <w:szCs w:val="20"/>
              </w:rPr>
              <w:t>-1</w:t>
            </w:r>
            <w:r>
              <w:rPr>
                <w:b/>
                <w:bCs/>
                <w:color w:val="C00000"/>
                <w:sz w:val="20"/>
                <w:szCs w:val="20"/>
              </w:rPr>
              <w:t> 945 000</w:t>
            </w:r>
          </w:p>
        </w:tc>
        <w:tc>
          <w:tcPr>
            <w:tcW w:w="1134" w:type="dxa"/>
            <w:tcBorders>
              <w:right w:val="nil"/>
            </w:tcBorders>
            <w:shd w:val="clear" w:color="auto" w:fill="E7E6E6" w:themeFill="background2"/>
            <w:vAlign w:val="center"/>
          </w:tcPr>
          <w:p w14:paraId="4E2BF1DA" w14:textId="1B5EBA5F" w:rsidR="00221DAF" w:rsidRPr="00FC5CE3" w:rsidRDefault="00221DAF" w:rsidP="00221DAF">
            <w:pPr>
              <w:pStyle w:val="ListParagraph"/>
              <w:ind w:left="0"/>
              <w:contextualSpacing w:val="0"/>
              <w:jc w:val="center"/>
              <w:rPr>
                <w:i/>
                <w:iCs/>
                <w:color w:val="C00000"/>
                <w:sz w:val="20"/>
                <w:szCs w:val="20"/>
              </w:rPr>
            </w:pPr>
            <w:r w:rsidRPr="00AF797A">
              <w:rPr>
                <w:b/>
                <w:bCs/>
                <w:color w:val="C00000"/>
                <w:sz w:val="20"/>
                <w:szCs w:val="20"/>
              </w:rPr>
              <w:t>-1</w:t>
            </w:r>
            <w:r>
              <w:rPr>
                <w:b/>
                <w:bCs/>
                <w:color w:val="C00000"/>
                <w:sz w:val="20"/>
                <w:szCs w:val="20"/>
              </w:rPr>
              <w:t> 945 000</w:t>
            </w:r>
          </w:p>
        </w:tc>
      </w:tr>
      <w:tr w:rsidR="00221DAF" w:rsidRPr="00AF797A" w14:paraId="1777EF0D" w14:textId="77777777" w:rsidTr="00221DAF">
        <w:tc>
          <w:tcPr>
            <w:tcW w:w="4248" w:type="dxa"/>
            <w:tcBorders>
              <w:left w:val="nil"/>
            </w:tcBorders>
            <w:shd w:val="clear" w:color="auto" w:fill="FFFFFF" w:themeFill="background1"/>
            <w:vAlign w:val="center"/>
          </w:tcPr>
          <w:p w14:paraId="5E358442" w14:textId="77777777" w:rsidR="00221DAF" w:rsidRPr="00AF797A" w:rsidRDefault="00221DAF" w:rsidP="00221DAF">
            <w:pPr>
              <w:pStyle w:val="ListParagraph"/>
              <w:numPr>
                <w:ilvl w:val="0"/>
                <w:numId w:val="9"/>
              </w:numPr>
              <w:tabs>
                <w:tab w:val="clear" w:pos="720"/>
                <w:tab w:val="num" w:pos="306"/>
              </w:tabs>
              <w:ind w:hanging="698"/>
              <w:contextualSpacing w:val="0"/>
              <w:jc w:val="left"/>
              <w:rPr>
                <w:i/>
                <w:iCs/>
                <w:sz w:val="20"/>
                <w:szCs w:val="20"/>
              </w:rPr>
            </w:pPr>
            <w:r w:rsidRPr="00AF797A">
              <w:rPr>
                <w:i/>
                <w:iCs/>
                <w:sz w:val="20"/>
                <w:szCs w:val="20"/>
              </w:rPr>
              <w:t>valsts pamatbudžetā</w:t>
            </w:r>
          </w:p>
        </w:tc>
        <w:tc>
          <w:tcPr>
            <w:tcW w:w="1276" w:type="dxa"/>
            <w:shd w:val="clear" w:color="auto" w:fill="FFFFFF" w:themeFill="background1"/>
            <w:vAlign w:val="center"/>
          </w:tcPr>
          <w:p w14:paraId="461FB6D6" w14:textId="3010612E" w:rsidR="00221DAF" w:rsidRPr="00AF797A" w:rsidRDefault="00221DAF" w:rsidP="00221DAF">
            <w:pPr>
              <w:pStyle w:val="ListParagraph"/>
              <w:ind w:left="0"/>
              <w:contextualSpacing w:val="0"/>
              <w:jc w:val="center"/>
              <w:rPr>
                <w:i/>
                <w:iCs/>
                <w:color w:val="C00000"/>
                <w:sz w:val="20"/>
                <w:szCs w:val="20"/>
              </w:rPr>
            </w:pPr>
            <w:r w:rsidRPr="00AF797A">
              <w:rPr>
                <w:i/>
                <w:iCs/>
                <w:color w:val="C00000"/>
                <w:sz w:val="20"/>
                <w:szCs w:val="20"/>
              </w:rPr>
              <w:t>-1</w:t>
            </w:r>
            <w:r>
              <w:rPr>
                <w:i/>
                <w:iCs/>
                <w:color w:val="C00000"/>
                <w:sz w:val="20"/>
                <w:szCs w:val="20"/>
              </w:rPr>
              <w:t>88 000</w:t>
            </w:r>
          </w:p>
        </w:tc>
        <w:tc>
          <w:tcPr>
            <w:tcW w:w="1134" w:type="dxa"/>
            <w:shd w:val="clear" w:color="auto" w:fill="FFFFFF" w:themeFill="background1"/>
            <w:vAlign w:val="center"/>
          </w:tcPr>
          <w:p w14:paraId="49B607EF" w14:textId="7D9892C8" w:rsidR="00221DAF" w:rsidRPr="00AF797A" w:rsidRDefault="00221DAF" w:rsidP="00221DAF">
            <w:pPr>
              <w:pStyle w:val="ListParagraph"/>
              <w:ind w:left="0"/>
              <w:contextualSpacing w:val="0"/>
              <w:jc w:val="center"/>
              <w:rPr>
                <w:i/>
                <w:iCs/>
                <w:color w:val="C00000"/>
                <w:sz w:val="20"/>
                <w:szCs w:val="20"/>
              </w:rPr>
            </w:pPr>
            <w:r w:rsidRPr="00AF797A">
              <w:rPr>
                <w:i/>
                <w:iCs/>
                <w:color w:val="C00000"/>
                <w:sz w:val="20"/>
                <w:szCs w:val="20"/>
              </w:rPr>
              <w:t>-1</w:t>
            </w:r>
            <w:r>
              <w:rPr>
                <w:i/>
                <w:iCs/>
                <w:color w:val="C00000"/>
                <w:sz w:val="20"/>
                <w:szCs w:val="20"/>
              </w:rPr>
              <w:t>88 000</w:t>
            </w:r>
          </w:p>
        </w:tc>
        <w:tc>
          <w:tcPr>
            <w:tcW w:w="1275" w:type="dxa"/>
            <w:shd w:val="clear" w:color="auto" w:fill="FFFFFF" w:themeFill="background1"/>
            <w:vAlign w:val="center"/>
          </w:tcPr>
          <w:p w14:paraId="675B2DA5" w14:textId="6F08B664" w:rsidR="00221DAF" w:rsidRPr="00AF797A" w:rsidRDefault="00221DAF" w:rsidP="00221DAF">
            <w:pPr>
              <w:pStyle w:val="ListParagraph"/>
              <w:ind w:left="0"/>
              <w:contextualSpacing w:val="0"/>
              <w:jc w:val="center"/>
              <w:rPr>
                <w:i/>
                <w:iCs/>
                <w:color w:val="C00000"/>
                <w:sz w:val="20"/>
                <w:szCs w:val="20"/>
              </w:rPr>
            </w:pPr>
            <w:r w:rsidRPr="00AF797A">
              <w:rPr>
                <w:i/>
                <w:iCs/>
                <w:color w:val="C00000"/>
                <w:sz w:val="20"/>
                <w:szCs w:val="20"/>
              </w:rPr>
              <w:t>-1</w:t>
            </w:r>
            <w:r>
              <w:rPr>
                <w:i/>
                <w:iCs/>
                <w:color w:val="C00000"/>
                <w:sz w:val="20"/>
                <w:szCs w:val="20"/>
              </w:rPr>
              <w:t>88 000</w:t>
            </w:r>
          </w:p>
        </w:tc>
        <w:tc>
          <w:tcPr>
            <w:tcW w:w="1134" w:type="dxa"/>
            <w:tcBorders>
              <w:right w:val="nil"/>
            </w:tcBorders>
            <w:shd w:val="clear" w:color="auto" w:fill="FFFFFF" w:themeFill="background1"/>
            <w:vAlign w:val="center"/>
          </w:tcPr>
          <w:p w14:paraId="2FF2FA45" w14:textId="29ED6D21" w:rsidR="00221DAF" w:rsidRPr="00AF797A" w:rsidRDefault="00221DAF" w:rsidP="00221DAF">
            <w:pPr>
              <w:pStyle w:val="ListParagraph"/>
              <w:ind w:left="0"/>
              <w:contextualSpacing w:val="0"/>
              <w:jc w:val="center"/>
              <w:rPr>
                <w:i/>
                <w:iCs/>
                <w:color w:val="C00000"/>
                <w:sz w:val="20"/>
                <w:szCs w:val="20"/>
              </w:rPr>
            </w:pPr>
            <w:r w:rsidRPr="00AF797A">
              <w:rPr>
                <w:i/>
                <w:iCs/>
                <w:color w:val="C00000"/>
                <w:sz w:val="20"/>
                <w:szCs w:val="20"/>
              </w:rPr>
              <w:t>-1</w:t>
            </w:r>
            <w:r>
              <w:rPr>
                <w:i/>
                <w:iCs/>
                <w:color w:val="C00000"/>
                <w:sz w:val="20"/>
                <w:szCs w:val="20"/>
              </w:rPr>
              <w:t>88 000</w:t>
            </w:r>
          </w:p>
        </w:tc>
      </w:tr>
      <w:tr w:rsidR="00221DAF" w:rsidRPr="00AF797A" w14:paraId="72F4E7F8" w14:textId="77777777" w:rsidTr="00221DAF">
        <w:tc>
          <w:tcPr>
            <w:tcW w:w="4248" w:type="dxa"/>
            <w:tcBorders>
              <w:left w:val="nil"/>
            </w:tcBorders>
            <w:shd w:val="clear" w:color="auto" w:fill="FFFFFF" w:themeFill="background1"/>
            <w:vAlign w:val="center"/>
          </w:tcPr>
          <w:p w14:paraId="6F1A9239" w14:textId="77777777" w:rsidR="00221DAF" w:rsidRPr="00AF797A" w:rsidRDefault="00221DAF" w:rsidP="00221DAF">
            <w:pPr>
              <w:pStyle w:val="ListParagraph"/>
              <w:numPr>
                <w:ilvl w:val="0"/>
                <w:numId w:val="9"/>
              </w:numPr>
              <w:tabs>
                <w:tab w:val="clear" w:pos="720"/>
                <w:tab w:val="num" w:pos="306"/>
              </w:tabs>
              <w:ind w:hanging="698"/>
              <w:contextualSpacing w:val="0"/>
              <w:jc w:val="left"/>
              <w:rPr>
                <w:i/>
                <w:iCs/>
                <w:sz w:val="20"/>
                <w:szCs w:val="20"/>
              </w:rPr>
            </w:pPr>
            <w:r w:rsidRPr="00AF797A">
              <w:rPr>
                <w:i/>
                <w:iCs/>
                <w:sz w:val="20"/>
                <w:szCs w:val="20"/>
              </w:rPr>
              <w:t>pašvaldību budžetos</w:t>
            </w:r>
          </w:p>
        </w:tc>
        <w:tc>
          <w:tcPr>
            <w:tcW w:w="1276" w:type="dxa"/>
            <w:shd w:val="clear" w:color="auto" w:fill="FFFFFF" w:themeFill="background1"/>
            <w:vAlign w:val="center"/>
          </w:tcPr>
          <w:p w14:paraId="69688001" w14:textId="0A85C5F2" w:rsidR="00221DAF" w:rsidRPr="00AF797A" w:rsidRDefault="00221DAF" w:rsidP="00221DAF">
            <w:pPr>
              <w:pStyle w:val="ListParagraph"/>
              <w:ind w:left="0"/>
              <w:contextualSpacing w:val="0"/>
              <w:jc w:val="center"/>
              <w:rPr>
                <w:i/>
                <w:iCs/>
                <w:color w:val="C00000"/>
                <w:sz w:val="20"/>
                <w:szCs w:val="20"/>
              </w:rPr>
            </w:pPr>
            <w:r>
              <w:rPr>
                <w:i/>
                <w:iCs/>
                <w:color w:val="C00000"/>
                <w:sz w:val="20"/>
                <w:szCs w:val="20"/>
              </w:rPr>
              <w:t>-562 000</w:t>
            </w:r>
          </w:p>
        </w:tc>
        <w:tc>
          <w:tcPr>
            <w:tcW w:w="1134" w:type="dxa"/>
            <w:shd w:val="clear" w:color="auto" w:fill="FFFFFF" w:themeFill="background1"/>
            <w:vAlign w:val="center"/>
          </w:tcPr>
          <w:p w14:paraId="69038465" w14:textId="0699616B" w:rsidR="00221DAF" w:rsidRPr="00AF797A" w:rsidRDefault="00221DAF" w:rsidP="00221DAF">
            <w:pPr>
              <w:pStyle w:val="ListParagraph"/>
              <w:ind w:left="0"/>
              <w:contextualSpacing w:val="0"/>
              <w:jc w:val="center"/>
              <w:rPr>
                <w:i/>
                <w:iCs/>
                <w:color w:val="C00000"/>
                <w:sz w:val="20"/>
                <w:szCs w:val="20"/>
              </w:rPr>
            </w:pPr>
            <w:r>
              <w:rPr>
                <w:i/>
                <w:iCs/>
                <w:color w:val="C00000"/>
                <w:sz w:val="20"/>
                <w:szCs w:val="20"/>
              </w:rPr>
              <w:t>-562 000</w:t>
            </w:r>
          </w:p>
        </w:tc>
        <w:tc>
          <w:tcPr>
            <w:tcW w:w="1275" w:type="dxa"/>
            <w:shd w:val="clear" w:color="auto" w:fill="FFFFFF" w:themeFill="background1"/>
            <w:vAlign w:val="center"/>
          </w:tcPr>
          <w:p w14:paraId="46FB1552" w14:textId="7E848C35" w:rsidR="00221DAF" w:rsidRPr="00AF797A" w:rsidRDefault="00221DAF" w:rsidP="00221DAF">
            <w:pPr>
              <w:pStyle w:val="ListParagraph"/>
              <w:ind w:left="0"/>
              <w:contextualSpacing w:val="0"/>
              <w:jc w:val="center"/>
              <w:rPr>
                <w:i/>
                <w:iCs/>
                <w:color w:val="C00000"/>
                <w:sz w:val="20"/>
                <w:szCs w:val="20"/>
              </w:rPr>
            </w:pPr>
            <w:r>
              <w:rPr>
                <w:i/>
                <w:iCs/>
                <w:color w:val="C00000"/>
                <w:sz w:val="20"/>
                <w:szCs w:val="20"/>
              </w:rPr>
              <w:t>-562 000</w:t>
            </w:r>
          </w:p>
        </w:tc>
        <w:tc>
          <w:tcPr>
            <w:tcW w:w="1134" w:type="dxa"/>
            <w:tcBorders>
              <w:right w:val="nil"/>
            </w:tcBorders>
            <w:shd w:val="clear" w:color="auto" w:fill="FFFFFF" w:themeFill="background1"/>
            <w:vAlign w:val="center"/>
          </w:tcPr>
          <w:p w14:paraId="296DC395" w14:textId="1C0DB1AC" w:rsidR="00221DAF" w:rsidRPr="00AF797A" w:rsidRDefault="00221DAF" w:rsidP="00221DAF">
            <w:pPr>
              <w:pStyle w:val="ListParagraph"/>
              <w:ind w:left="0"/>
              <w:contextualSpacing w:val="0"/>
              <w:jc w:val="center"/>
              <w:rPr>
                <w:i/>
                <w:iCs/>
                <w:color w:val="C00000"/>
                <w:sz w:val="20"/>
                <w:szCs w:val="20"/>
              </w:rPr>
            </w:pPr>
            <w:r>
              <w:rPr>
                <w:i/>
                <w:iCs/>
                <w:color w:val="C00000"/>
                <w:sz w:val="20"/>
                <w:szCs w:val="20"/>
              </w:rPr>
              <w:t>-562 000</w:t>
            </w:r>
          </w:p>
        </w:tc>
      </w:tr>
      <w:tr w:rsidR="00221DAF" w:rsidRPr="00AF797A" w14:paraId="24E4600F" w14:textId="77777777" w:rsidTr="00221DAF">
        <w:tc>
          <w:tcPr>
            <w:tcW w:w="4248" w:type="dxa"/>
            <w:tcBorders>
              <w:left w:val="nil"/>
            </w:tcBorders>
            <w:shd w:val="clear" w:color="auto" w:fill="FFFFFF" w:themeFill="background1"/>
            <w:vAlign w:val="center"/>
          </w:tcPr>
          <w:p w14:paraId="387401D1" w14:textId="77777777" w:rsidR="00221DAF" w:rsidRPr="00AF797A" w:rsidRDefault="00221DAF" w:rsidP="00221DAF">
            <w:pPr>
              <w:pStyle w:val="ListParagraph"/>
              <w:numPr>
                <w:ilvl w:val="0"/>
                <w:numId w:val="9"/>
              </w:numPr>
              <w:tabs>
                <w:tab w:val="clear" w:pos="720"/>
                <w:tab w:val="num" w:pos="306"/>
              </w:tabs>
              <w:ind w:hanging="698"/>
              <w:contextualSpacing w:val="0"/>
              <w:jc w:val="left"/>
              <w:rPr>
                <w:i/>
                <w:iCs/>
                <w:sz w:val="20"/>
                <w:szCs w:val="20"/>
              </w:rPr>
            </w:pPr>
            <w:r w:rsidRPr="00AF797A">
              <w:rPr>
                <w:i/>
                <w:iCs/>
                <w:sz w:val="20"/>
                <w:szCs w:val="20"/>
              </w:rPr>
              <w:t>speciālajā budžetā</w:t>
            </w:r>
          </w:p>
        </w:tc>
        <w:tc>
          <w:tcPr>
            <w:tcW w:w="1276" w:type="dxa"/>
            <w:shd w:val="clear" w:color="auto" w:fill="FFFFFF" w:themeFill="background1"/>
            <w:vAlign w:val="center"/>
          </w:tcPr>
          <w:p w14:paraId="557677FB" w14:textId="0E1AC381" w:rsidR="00221DAF" w:rsidRPr="00AF797A" w:rsidRDefault="00221DAF" w:rsidP="00221DAF">
            <w:pPr>
              <w:pStyle w:val="ListParagraph"/>
              <w:ind w:left="0"/>
              <w:contextualSpacing w:val="0"/>
              <w:jc w:val="center"/>
              <w:rPr>
                <w:i/>
                <w:iCs/>
                <w:color w:val="C00000"/>
                <w:sz w:val="20"/>
                <w:szCs w:val="20"/>
              </w:rPr>
            </w:pPr>
            <w:r>
              <w:rPr>
                <w:i/>
                <w:iCs/>
                <w:color w:val="C00000"/>
                <w:sz w:val="20"/>
                <w:szCs w:val="20"/>
              </w:rPr>
              <w:t>-1 195 000</w:t>
            </w:r>
          </w:p>
        </w:tc>
        <w:tc>
          <w:tcPr>
            <w:tcW w:w="1134" w:type="dxa"/>
            <w:shd w:val="clear" w:color="auto" w:fill="FFFFFF" w:themeFill="background1"/>
            <w:vAlign w:val="center"/>
          </w:tcPr>
          <w:p w14:paraId="3CE5B5D8" w14:textId="01C78528" w:rsidR="00221DAF" w:rsidRPr="00AF797A" w:rsidRDefault="00221DAF" w:rsidP="00221DAF">
            <w:pPr>
              <w:pStyle w:val="ListParagraph"/>
              <w:ind w:left="0"/>
              <w:contextualSpacing w:val="0"/>
              <w:jc w:val="center"/>
              <w:rPr>
                <w:i/>
                <w:iCs/>
                <w:color w:val="C00000"/>
                <w:sz w:val="20"/>
                <w:szCs w:val="20"/>
              </w:rPr>
            </w:pPr>
            <w:r>
              <w:rPr>
                <w:i/>
                <w:iCs/>
                <w:color w:val="C00000"/>
                <w:sz w:val="20"/>
                <w:szCs w:val="20"/>
              </w:rPr>
              <w:t>-1 195 000</w:t>
            </w:r>
          </w:p>
        </w:tc>
        <w:tc>
          <w:tcPr>
            <w:tcW w:w="1275" w:type="dxa"/>
            <w:shd w:val="clear" w:color="auto" w:fill="FFFFFF" w:themeFill="background1"/>
            <w:vAlign w:val="center"/>
          </w:tcPr>
          <w:p w14:paraId="537DFB41" w14:textId="30B1CCEA" w:rsidR="00221DAF" w:rsidRPr="00AF797A" w:rsidRDefault="00221DAF" w:rsidP="00221DAF">
            <w:pPr>
              <w:pStyle w:val="ListParagraph"/>
              <w:ind w:left="0"/>
              <w:contextualSpacing w:val="0"/>
              <w:jc w:val="center"/>
              <w:rPr>
                <w:i/>
                <w:iCs/>
                <w:color w:val="C00000"/>
                <w:sz w:val="20"/>
                <w:szCs w:val="20"/>
              </w:rPr>
            </w:pPr>
            <w:r>
              <w:rPr>
                <w:i/>
                <w:iCs/>
                <w:color w:val="C00000"/>
                <w:sz w:val="20"/>
                <w:szCs w:val="20"/>
              </w:rPr>
              <w:t>-1 195 000</w:t>
            </w:r>
          </w:p>
        </w:tc>
        <w:tc>
          <w:tcPr>
            <w:tcW w:w="1134" w:type="dxa"/>
            <w:tcBorders>
              <w:right w:val="nil"/>
            </w:tcBorders>
            <w:shd w:val="clear" w:color="auto" w:fill="FFFFFF" w:themeFill="background1"/>
            <w:vAlign w:val="center"/>
          </w:tcPr>
          <w:p w14:paraId="231CDA03" w14:textId="6417E8CA" w:rsidR="00221DAF" w:rsidRPr="00AF797A" w:rsidRDefault="00221DAF" w:rsidP="00221DAF">
            <w:pPr>
              <w:pStyle w:val="ListParagraph"/>
              <w:ind w:left="0"/>
              <w:contextualSpacing w:val="0"/>
              <w:jc w:val="center"/>
              <w:rPr>
                <w:i/>
                <w:iCs/>
                <w:color w:val="C00000"/>
                <w:sz w:val="20"/>
                <w:szCs w:val="20"/>
              </w:rPr>
            </w:pPr>
            <w:r>
              <w:rPr>
                <w:i/>
                <w:iCs/>
                <w:color w:val="C00000"/>
                <w:sz w:val="20"/>
                <w:szCs w:val="20"/>
              </w:rPr>
              <w:t>-1 195 000</w:t>
            </w:r>
          </w:p>
        </w:tc>
      </w:tr>
      <w:tr w:rsidR="00221DAF" w:rsidRPr="00AF797A" w14:paraId="71858DD9" w14:textId="77777777" w:rsidTr="00221DAF">
        <w:tc>
          <w:tcPr>
            <w:tcW w:w="4248" w:type="dxa"/>
            <w:tcBorders>
              <w:left w:val="nil"/>
              <w:bottom w:val="nil"/>
            </w:tcBorders>
            <w:shd w:val="clear" w:color="auto" w:fill="FFFFFF" w:themeFill="background1"/>
            <w:vAlign w:val="center"/>
          </w:tcPr>
          <w:p w14:paraId="6845F76A" w14:textId="6178DE21" w:rsidR="00221DAF" w:rsidRPr="00AF797A" w:rsidRDefault="00221DAF" w:rsidP="00221DAF">
            <w:pPr>
              <w:pStyle w:val="ListParagraph"/>
              <w:numPr>
                <w:ilvl w:val="0"/>
                <w:numId w:val="9"/>
              </w:numPr>
              <w:tabs>
                <w:tab w:val="clear" w:pos="720"/>
                <w:tab w:val="num" w:pos="306"/>
              </w:tabs>
              <w:ind w:left="316" w:hanging="294"/>
              <w:contextualSpacing w:val="0"/>
              <w:jc w:val="left"/>
              <w:rPr>
                <w:i/>
                <w:iCs/>
                <w:sz w:val="20"/>
                <w:szCs w:val="20"/>
              </w:rPr>
            </w:pPr>
            <w:r w:rsidRPr="00AF797A">
              <w:rPr>
                <w:i/>
                <w:iCs/>
                <w:sz w:val="20"/>
                <w:szCs w:val="20"/>
              </w:rPr>
              <w:t>valsts fondēto pensiju shēmā</w:t>
            </w:r>
            <w:r>
              <w:rPr>
                <w:i/>
                <w:iCs/>
                <w:sz w:val="20"/>
                <w:szCs w:val="20"/>
              </w:rPr>
              <w:t xml:space="preserve"> </w:t>
            </w:r>
            <w:r w:rsidRPr="00AF797A">
              <w:rPr>
                <w:i/>
                <w:iCs/>
                <w:sz w:val="20"/>
                <w:szCs w:val="20"/>
              </w:rPr>
              <w:t>(informatīvi)</w:t>
            </w:r>
          </w:p>
        </w:tc>
        <w:tc>
          <w:tcPr>
            <w:tcW w:w="1276" w:type="dxa"/>
            <w:tcBorders>
              <w:bottom w:val="nil"/>
            </w:tcBorders>
            <w:shd w:val="clear" w:color="auto" w:fill="FFFFFF" w:themeFill="background1"/>
            <w:vAlign w:val="center"/>
          </w:tcPr>
          <w:p w14:paraId="5F3180C9" w14:textId="71A07CA1" w:rsidR="00221DAF" w:rsidRPr="00AF797A" w:rsidRDefault="00221DAF" w:rsidP="00221DAF">
            <w:pPr>
              <w:pStyle w:val="ListParagraph"/>
              <w:ind w:left="0"/>
              <w:contextualSpacing w:val="0"/>
              <w:jc w:val="center"/>
              <w:rPr>
                <w:i/>
                <w:iCs/>
                <w:color w:val="C00000"/>
                <w:sz w:val="20"/>
                <w:szCs w:val="20"/>
              </w:rPr>
            </w:pPr>
            <w:r>
              <w:rPr>
                <w:i/>
                <w:iCs/>
                <w:color w:val="C00000"/>
                <w:sz w:val="20"/>
                <w:szCs w:val="20"/>
              </w:rPr>
              <w:t>-231 000</w:t>
            </w:r>
          </w:p>
        </w:tc>
        <w:tc>
          <w:tcPr>
            <w:tcW w:w="1134" w:type="dxa"/>
            <w:tcBorders>
              <w:bottom w:val="nil"/>
            </w:tcBorders>
            <w:shd w:val="clear" w:color="auto" w:fill="FFFFFF" w:themeFill="background1"/>
            <w:vAlign w:val="center"/>
          </w:tcPr>
          <w:p w14:paraId="092692B6" w14:textId="23B4E592" w:rsidR="00221DAF" w:rsidRPr="00AF797A" w:rsidRDefault="00221DAF" w:rsidP="00221DAF">
            <w:pPr>
              <w:pStyle w:val="ListParagraph"/>
              <w:ind w:left="0"/>
              <w:contextualSpacing w:val="0"/>
              <w:jc w:val="center"/>
              <w:rPr>
                <w:i/>
                <w:iCs/>
                <w:color w:val="C00000"/>
                <w:sz w:val="20"/>
                <w:szCs w:val="20"/>
              </w:rPr>
            </w:pPr>
            <w:r>
              <w:rPr>
                <w:i/>
                <w:iCs/>
                <w:color w:val="C00000"/>
                <w:sz w:val="20"/>
                <w:szCs w:val="20"/>
              </w:rPr>
              <w:t>-231 000</w:t>
            </w:r>
          </w:p>
        </w:tc>
        <w:tc>
          <w:tcPr>
            <w:tcW w:w="1275" w:type="dxa"/>
            <w:tcBorders>
              <w:bottom w:val="nil"/>
            </w:tcBorders>
            <w:shd w:val="clear" w:color="auto" w:fill="FFFFFF" w:themeFill="background1"/>
            <w:vAlign w:val="center"/>
          </w:tcPr>
          <w:p w14:paraId="27D714FA" w14:textId="47E04E89" w:rsidR="00221DAF" w:rsidRPr="00AF797A" w:rsidRDefault="00221DAF" w:rsidP="00221DAF">
            <w:pPr>
              <w:pStyle w:val="ListParagraph"/>
              <w:ind w:left="0"/>
              <w:contextualSpacing w:val="0"/>
              <w:jc w:val="center"/>
              <w:rPr>
                <w:i/>
                <w:iCs/>
                <w:color w:val="C00000"/>
                <w:sz w:val="20"/>
                <w:szCs w:val="20"/>
              </w:rPr>
            </w:pPr>
            <w:r>
              <w:rPr>
                <w:i/>
                <w:iCs/>
                <w:color w:val="C00000"/>
                <w:sz w:val="20"/>
                <w:szCs w:val="20"/>
              </w:rPr>
              <w:t>-231 000</w:t>
            </w:r>
          </w:p>
        </w:tc>
        <w:tc>
          <w:tcPr>
            <w:tcW w:w="1134" w:type="dxa"/>
            <w:tcBorders>
              <w:bottom w:val="nil"/>
              <w:right w:val="nil"/>
            </w:tcBorders>
            <w:shd w:val="clear" w:color="auto" w:fill="FFFFFF" w:themeFill="background1"/>
            <w:vAlign w:val="center"/>
          </w:tcPr>
          <w:p w14:paraId="014C91E4" w14:textId="38CAE053" w:rsidR="00221DAF" w:rsidRPr="00AF797A" w:rsidRDefault="00221DAF" w:rsidP="00221DAF">
            <w:pPr>
              <w:pStyle w:val="ListParagraph"/>
              <w:ind w:left="0"/>
              <w:contextualSpacing w:val="0"/>
              <w:jc w:val="center"/>
              <w:rPr>
                <w:i/>
                <w:iCs/>
                <w:color w:val="C00000"/>
                <w:sz w:val="20"/>
                <w:szCs w:val="20"/>
              </w:rPr>
            </w:pPr>
            <w:r>
              <w:rPr>
                <w:i/>
                <w:iCs/>
                <w:color w:val="C00000"/>
                <w:sz w:val="20"/>
                <w:szCs w:val="20"/>
              </w:rPr>
              <w:t>-231 000</w:t>
            </w:r>
          </w:p>
        </w:tc>
      </w:tr>
    </w:tbl>
    <w:bookmarkEnd w:id="31"/>
    <w:p w14:paraId="2978C4B7" w14:textId="191F621F" w:rsidR="00C26F78" w:rsidRPr="000203BA" w:rsidRDefault="00C26F78" w:rsidP="00E770B5">
      <w:pPr>
        <w:tabs>
          <w:tab w:val="left" w:pos="426"/>
        </w:tabs>
        <w:spacing w:before="120"/>
        <w:rPr>
          <w:rFonts w:cs="Times New Roman"/>
          <w:i/>
          <w:sz w:val="18"/>
        </w:rPr>
      </w:pPr>
      <w:r w:rsidRPr="000203BA">
        <w:rPr>
          <w:rFonts w:cs="Times New Roman"/>
          <w:b/>
          <w:bCs/>
          <w:i/>
          <w:sz w:val="18"/>
        </w:rPr>
        <w:t>Avots</w:t>
      </w:r>
      <w:r w:rsidRPr="000203BA">
        <w:rPr>
          <w:rFonts w:cs="Times New Roman"/>
          <w:i/>
          <w:sz w:val="18"/>
        </w:rPr>
        <w:t>: FM aprēķini.</w:t>
      </w:r>
    </w:p>
    <w:p w14:paraId="7A5DF28B" w14:textId="77777777" w:rsidR="00EA1993" w:rsidRPr="008F3CBD" w:rsidRDefault="00EA1993" w:rsidP="000E3528">
      <w:pPr>
        <w:rPr>
          <w:sz w:val="10"/>
          <w:szCs w:val="10"/>
          <w:highlight w:val="yellow"/>
        </w:rPr>
      </w:pPr>
    </w:p>
    <w:p w14:paraId="1EBC75A1" w14:textId="6A0AC9B0" w:rsidR="00EA1993" w:rsidRPr="00EA1993" w:rsidRDefault="00EA1993" w:rsidP="00EA1993">
      <w:pPr>
        <w:pStyle w:val="Heading2"/>
        <w:tabs>
          <w:tab w:val="left" w:pos="567"/>
        </w:tabs>
        <w:ind w:left="567" w:hanging="567"/>
      </w:pPr>
      <w:bookmarkStart w:id="32" w:name="_Toc177627706"/>
      <w:r>
        <w:t>2.</w:t>
      </w:r>
      <w:r w:rsidR="00C26F78">
        <w:t>6</w:t>
      </w:r>
      <w:r>
        <w:t xml:space="preserve">. </w:t>
      </w:r>
      <w:r>
        <w:tab/>
      </w:r>
      <w:r w:rsidR="000C6E7C" w:rsidRPr="005C1FD5">
        <w:rPr>
          <w:rFonts w:eastAsia="Calibri"/>
        </w:rPr>
        <w:t>I</w:t>
      </w:r>
      <w:r w:rsidR="000C6E7C">
        <w:rPr>
          <w:rFonts w:eastAsia="Calibri"/>
        </w:rPr>
        <w:t>edzīvotāju ienākuma nodokļa</w:t>
      </w:r>
      <w:r w:rsidR="000C6E7C" w:rsidRPr="005C1FD5">
        <w:rPr>
          <w:rFonts w:eastAsia="Calibri"/>
        </w:rPr>
        <w:t xml:space="preserve"> </w:t>
      </w:r>
      <w:r w:rsidRPr="00EA1993">
        <w:t xml:space="preserve">atbrīvojuma </w:t>
      </w:r>
      <w:r w:rsidRPr="00EA1993">
        <w:rPr>
          <w:bCs/>
        </w:rPr>
        <w:t>konkursos un sacensībās saņemtajām mantis</w:t>
      </w:r>
      <w:r w:rsidR="00AB58DE">
        <w:rPr>
          <w:bCs/>
        </w:rPr>
        <w:softHyphen/>
      </w:r>
      <w:r w:rsidRPr="00EA1993">
        <w:rPr>
          <w:bCs/>
        </w:rPr>
        <w:t>kajām un naudas balvām (prēmijām) vienādošana</w:t>
      </w:r>
      <w:r w:rsidRPr="00EA1993">
        <w:t>, nosakot vienotu limita apmēru visām konkursos un sacensībās saņemtajām mantiskajām un naudas balvām</w:t>
      </w:r>
      <w:bookmarkEnd w:id="32"/>
      <w:r w:rsidRPr="00EA1993">
        <w:t xml:space="preserve">    </w:t>
      </w:r>
    </w:p>
    <w:p w14:paraId="67CF19CC" w14:textId="77777777" w:rsidR="007966A8" w:rsidRPr="002F372D" w:rsidRDefault="007966A8" w:rsidP="002F372D">
      <w:pPr>
        <w:spacing w:after="120"/>
        <w:ind w:firstLine="567"/>
        <w:jc w:val="both"/>
        <w:rPr>
          <w:rFonts w:cs="Times New Roman"/>
        </w:rPr>
      </w:pPr>
      <w:r w:rsidRPr="002F372D">
        <w:rPr>
          <w:rFonts w:cs="Times New Roman"/>
        </w:rPr>
        <w:t xml:space="preserve">No IIN atbrīvotas ir arī konkursos un sacensībās saņemtās mantiskās un naudas balvas (prēmijas). Pašreiz apliekamajā ienākumā netiek ietvertas un ar IIN netiek apliktas naudas balvas, kuru kopējā vērtība taksācijas gadā nepārsniedz </w:t>
      </w:r>
      <w:r w:rsidRPr="002F372D">
        <w:rPr>
          <w:rFonts w:cs="Times New Roman"/>
          <w:b/>
          <w:bCs/>
        </w:rPr>
        <w:t>143</w:t>
      </w:r>
      <w:r w:rsidRPr="002F372D">
        <w:rPr>
          <w:rFonts w:cs="Times New Roman"/>
        </w:rPr>
        <w:t xml:space="preserve"> </w:t>
      </w:r>
      <w:r w:rsidRPr="002F372D">
        <w:rPr>
          <w:rFonts w:cs="Times New Roman"/>
          <w:i/>
          <w:iCs/>
        </w:rPr>
        <w:t>euro</w:t>
      </w:r>
      <w:r w:rsidRPr="002F372D">
        <w:rPr>
          <w:rFonts w:cs="Times New Roman"/>
        </w:rPr>
        <w:t xml:space="preserve">, un publiskos starptautiskos konkursos un starptautiskās sacensībās gūtās balvas un prēmijas, kuru kopējā vērtība gadā nepārsniedz </w:t>
      </w:r>
      <w:r w:rsidRPr="002F372D">
        <w:rPr>
          <w:rFonts w:cs="Times New Roman"/>
          <w:b/>
          <w:bCs/>
        </w:rPr>
        <w:t>1 423</w:t>
      </w:r>
      <w:r w:rsidRPr="002F372D">
        <w:rPr>
          <w:rFonts w:cs="Times New Roman"/>
        </w:rPr>
        <w:t xml:space="preserve"> </w:t>
      </w:r>
      <w:r w:rsidRPr="002F372D">
        <w:rPr>
          <w:rFonts w:cs="Times New Roman"/>
          <w:i/>
          <w:iCs/>
        </w:rPr>
        <w:t>euro</w:t>
      </w:r>
      <w:r w:rsidRPr="002F372D">
        <w:rPr>
          <w:rFonts w:cs="Times New Roman"/>
        </w:rPr>
        <w:t>, kā arī Baltijas Asamblejas balvu laureātiem izmaksātā naudas prēmija, Ministru kabineta balva un Ministru kabineta naudas balvas par izciliem sasniegumiem sportā.</w:t>
      </w:r>
    </w:p>
    <w:p w14:paraId="62DE31D7" w14:textId="05D9C5FD" w:rsidR="002950BF" w:rsidRPr="002950BF" w:rsidRDefault="00D03788" w:rsidP="00EB43FF">
      <w:pPr>
        <w:spacing w:before="60" w:after="60"/>
        <w:jc w:val="center"/>
        <w:rPr>
          <w:rFonts w:cs="Times New Roman"/>
          <w:b/>
          <w:bCs/>
          <w:sz w:val="20"/>
          <w:szCs w:val="20"/>
        </w:rPr>
      </w:pPr>
      <w:r>
        <w:rPr>
          <w:rFonts w:cs="Times New Roman"/>
          <w:sz w:val="20"/>
          <w:szCs w:val="20"/>
        </w:rPr>
        <w:t>1</w:t>
      </w:r>
      <w:r w:rsidR="00725CD9">
        <w:rPr>
          <w:rFonts w:cs="Times New Roman"/>
          <w:sz w:val="20"/>
          <w:szCs w:val="20"/>
        </w:rPr>
        <w:t>4</w:t>
      </w:r>
      <w:r w:rsidR="002950BF" w:rsidRPr="002950BF">
        <w:rPr>
          <w:rFonts w:cs="Times New Roman"/>
          <w:sz w:val="20"/>
          <w:szCs w:val="20"/>
        </w:rPr>
        <w:t>.tab.</w:t>
      </w:r>
      <w:r w:rsidR="002950BF">
        <w:rPr>
          <w:rFonts w:cs="Times New Roman"/>
          <w:b/>
          <w:bCs/>
          <w:sz w:val="20"/>
          <w:szCs w:val="20"/>
        </w:rPr>
        <w:t xml:space="preserve"> </w:t>
      </w:r>
      <w:r w:rsidR="002950BF" w:rsidRPr="002950BF">
        <w:rPr>
          <w:rFonts w:cs="Times New Roman"/>
          <w:b/>
          <w:bCs/>
          <w:sz w:val="20"/>
          <w:szCs w:val="20"/>
        </w:rPr>
        <w:t>Personu skaits, kuras saņēmušas naudas balvas, kopējais summas apmērs</w:t>
      </w:r>
      <w:r w:rsidR="00EB43FF">
        <w:rPr>
          <w:rFonts w:cs="Times New Roman"/>
          <w:b/>
          <w:bCs/>
          <w:sz w:val="20"/>
          <w:szCs w:val="20"/>
        </w:rPr>
        <w:t xml:space="preserve"> un</w:t>
      </w:r>
      <w:r w:rsidR="002950BF" w:rsidRPr="002950BF">
        <w:rPr>
          <w:rFonts w:cs="Times New Roman"/>
          <w:b/>
          <w:bCs/>
          <w:sz w:val="20"/>
          <w:szCs w:val="20"/>
        </w:rPr>
        <w:t xml:space="preserve"> ienākuma apmērs uz vienu personu</w:t>
      </w:r>
      <w:r w:rsidR="007E6E08" w:rsidRPr="002950BF">
        <w:rPr>
          <w:rFonts w:cs="Times New Roman"/>
          <w:b/>
          <w:bCs/>
          <w:sz w:val="20"/>
          <w:szCs w:val="20"/>
          <w:vertAlign w:val="superscript"/>
        </w:rPr>
        <w:t xml:space="preserve"> </w:t>
      </w:r>
      <w:r w:rsidR="002950BF" w:rsidRPr="002950BF">
        <w:rPr>
          <w:rFonts w:cs="Times New Roman"/>
          <w:b/>
          <w:bCs/>
          <w:sz w:val="20"/>
          <w:szCs w:val="20"/>
          <w:vertAlign w:val="superscript"/>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560"/>
        <w:gridCol w:w="1559"/>
        <w:gridCol w:w="1276"/>
        <w:gridCol w:w="1275"/>
      </w:tblGrid>
      <w:tr w:rsidR="002950BF" w:rsidRPr="0026005F" w14:paraId="542F272F" w14:textId="77777777" w:rsidTr="007E6E08">
        <w:trPr>
          <w:trHeight w:val="133"/>
        </w:trPr>
        <w:tc>
          <w:tcPr>
            <w:tcW w:w="3402" w:type="dxa"/>
            <w:tcBorders>
              <w:right w:val="single" w:sz="4" w:space="0" w:color="FFFFFF" w:themeColor="background1"/>
            </w:tcBorders>
            <w:shd w:val="clear" w:color="auto" w:fill="002060"/>
            <w:noWrap/>
            <w:vAlign w:val="bottom"/>
            <w:hideMark/>
          </w:tcPr>
          <w:p w14:paraId="012AF4AE" w14:textId="77777777" w:rsidR="002950BF" w:rsidRPr="002950BF" w:rsidRDefault="002950BF" w:rsidP="0089206E">
            <w:pPr>
              <w:jc w:val="center"/>
              <w:rPr>
                <w:rFonts w:eastAsia="Times New Roman" w:cs="Times New Roman"/>
                <w:b/>
                <w:bCs/>
                <w:sz w:val="20"/>
                <w:szCs w:val="20"/>
                <w:lang w:eastAsia="lv-LV"/>
              </w:rPr>
            </w:pPr>
          </w:p>
        </w:tc>
        <w:tc>
          <w:tcPr>
            <w:tcW w:w="1560" w:type="dxa"/>
            <w:tcBorders>
              <w:left w:val="single" w:sz="4" w:space="0" w:color="FFFFFF" w:themeColor="background1"/>
              <w:right w:val="single" w:sz="4" w:space="0" w:color="FFFFFF" w:themeColor="background1"/>
            </w:tcBorders>
            <w:shd w:val="clear" w:color="auto" w:fill="002060"/>
            <w:noWrap/>
            <w:vAlign w:val="center"/>
            <w:hideMark/>
          </w:tcPr>
          <w:p w14:paraId="67F95614" w14:textId="77777777" w:rsidR="002950BF" w:rsidRPr="002950BF" w:rsidRDefault="002950BF" w:rsidP="0089206E">
            <w:pPr>
              <w:jc w:val="center"/>
              <w:rPr>
                <w:rFonts w:eastAsia="Times New Roman" w:cs="Times New Roman"/>
                <w:b/>
                <w:bCs/>
                <w:sz w:val="20"/>
                <w:szCs w:val="20"/>
                <w:lang w:eastAsia="lv-LV"/>
              </w:rPr>
            </w:pPr>
            <w:r w:rsidRPr="002950BF">
              <w:rPr>
                <w:rFonts w:eastAsia="Times New Roman" w:cs="Times New Roman"/>
                <w:b/>
                <w:bCs/>
                <w:sz w:val="20"/>
                <w:szCs w:val="20"/>
                <w:lang w:eastAsia="lv-LV"/>
              </w:rPr>
              <w:t>2019</w:t>
            </w:r>
          </w:p>
        </w:tc>
        <w:tc>
          <w:tcPr>
            <w:tcW w:w="1559" w:type="dxa"/>
            <w:tcBorders>
              <w:left w:val="single" w:sz="4" w:space="0" w:color="FFFFFF" w:themeColor="background1"/>
              <w:right w:val="single" w:sz="4" w:space="0" w:color="FFFFFF" w:themeColor="background1"/>
            </w:tcBorders>
            <w:shd w:val="clear" w:color="auto" w:fill="002060"/>
            <w:noWrap/>
            <w:vAlign w:val="center"/>
            <w:hideMark/>
          </w:tcPr>
          <w:p w14:paraId="6368372C" w14:textId="77777777" w:rsidR="002950BF" w:rsidRPr="002950BF" w:rsidRDefault="002950BF" w:rsidP="0089206E">
            <w:pPr>
              <w:jc w:val="center"/>
              <w:rPr>
                <w:rFonts w:eastAsia="Times New Roman" w:cs="Times New Roman"/>
                <w:b/>
                <w:bCs/>
                <w:sz w:val="20"/>
                <w:szCs w:val="20"/>
                <w:lang w:eastAsia="lv-LV"/>
              </w:rPr>
            </w:pPr>
            <w:r w:rsidRPr="002950BF">
              <w:rPr>
                <w:rFonts w:eastAsia="Times New Roman" w:cs="Times New Roman"/>
                <w:b/>
                <w:bCs/>
                <w:sz w:val="20"/>
                <w:szCs w:val="20"/>
                <w:lang w:eastAsia="lv-LV"/>
              </w:rPr>
              <w:t>2020</w:t>
            </w:r>
          </w:p>
        </w:tc>
        <w:tc>
          <w:tcPr>
            <w:tcW w:w="1276" w:type="dxa"/>
            <w:tcBorders>
              <w:left w:val="single" w:sz="4" w:space="0" w:color="FFFFFF" w:themeColor="background1"/>
              <w:right w:val="single" w:sz="4" w:space="0" w:color="FFFFFF" w:themeColor="background1"/>
            </w:tcBorders>
            <w:shd w:val="clear" w:color="auto" w:fill="002060"/>
            <w:vAlign w:val="center"/>
          </w:tcPr>
          <w:p w14:paraId="30198C98" w14:textId="77777777" w:rsidR="002950BF" w:rsidRPr="002950BF" w:rsidRDefault="002950BF" w:rsidP="0089206E">
            <w:pPr>
              <w:jc w:val="center"/>
              <w:rPr>
                <w:rFonts w:eastAsia="Times New Roman" w:cs="Times New Roman"/>
                <w:b/>
                <w:bCs/>
                <w:sz w:val="20"/>
                <w:szCs w:val="20"/>
                <w:lang w:eastAsia="lv-LV"/>
              </w:rPr>
            </w:pPr>
            <w:r w:rsidRPr="002950BF">
              <w:rPr>
                <w:rFonts w:eastAsia="Times New Roman" w:cs="Times New Roman"/>
                <w:b/>
                <w:bCs/>
                <w:sz w:val="20"/>
                <w:szCs w:val="20"/>
                <w:lang w:eastAsia="lv-LV"/>
              </w:rPr>
              <w:t>2021</w:t>
            </w:r>
          </w:p>
        </w:tc>
        <w:tc>
          <w:tcPr>
            <w:tcW w:w="1275" w:type="dxa"/>
            <w:tcBorders>
              <w:left w:val="single" w:sz="4" w:space="0" w:color="FFFFFF" w:themeColor="background1"/>
            </w:tcBorders>
            <w:shd w:val="clear" w:color="auto" w:fill="002060"/>
            <w:vAlign w:val="center"/>
          </w:tcPr>
          <w:p w14:paraId="5F33757D" w14:textId="77777777" w:rsidR="002950BF" w:rsidRPr="002950BF" w:rsidRDefault="002950BF" w:rsidP="0089206E">
            <w:pPr>
              <w:jc w:val="center"/>
              <w:rPr>
                <w:rFonts w:eastAsia="Times New Roman" w:cs="Times New Roman"/>
                <w:b/>
                <w:bCs/>
                <w:sz w:val="20"/>
                <w:szCs w:val="20"/>
                <w:lang w:eastAsia="lv-LV"/>
              </w:rPr>
            </w:pPr>
            <w:r w:rsidRPr="002950BF">
              <w:rPr>
                <w:rFonts w:eastAsia="Times New Roman" w:cs="Times New Roman"/>
                <w:b/>
                <w:bCs/>
                <w:sz w:val="20"/>
                <w:szCs w:val="20"/>
                <w:lang w:eastAsia="lv-LV"/>
              </w:rPr>
              <w:t>2022</w:t>
            </w:r>
          </w:p>
        </w:tc>
      </w:tr>
      <w:tr w:rsidR="002950BF" w:rsidRPr="0026005F" w14:paraId="5E11D767" w14:textId="77777777" w:rsidTr="002950BF">
        <w:trPr>
          <w:trHeight w:val="220"/>
        </w:trPr>
        <w:tc>
          <w:tcPr>
            <w:tcW w:w="3402" w:type="dxa"/>
            <w:shd w:val="clear" w:color="auto" w:fill="auto"/>
            <w:vAlign w:val="center"/>
            <w:hideMark/>
          </w:tcPr>
          <w:p w14:paraId="2FFF09B2" w14:textId="77777777" w:rsidR="002950BF" w:rsidRPr="002950BF" w:rsidRDefault="002950BF" w:rsidP="0089206E">
            <w:pPr>
              <w:rPr>
                <w:rFonts w:eastAsia="Times New Roman" w:cs="Times New Roman"/>
                <w:b/>
                <w:bCs/>
                <w:sz w:val="20"/>
                <w:szCs w:val="20"/>
                <w:lang w:eastAsia="lv-LV"/>
              </w:rPr>
            </w:pPr>
            <w:r w:rsidRPr="002950BF">
              <w:rPr>
                <w:rFonts w:eastAsia="Times New Roman" w:cs="Times New Roman"/>
                <w:b/>
                <w:bCs/>
                <w:sz w:val="20"/>
                <w:szCs w:val="20"/>
                <w:lang w:eastAsia="lv-LV"/>
              </w:rPr>
              <w:t>Fizisko personu skaits</w:t>
            </w:r>
          </w:p>
        </w:tc>
        <w:tc>
          <w:tcPr>
            <w:tcW w:w="1560" w:type="dxa"/>
            <w:shd w:val="clear" w:color="auto" w:fill="auto"/>
            <w:noWrap/>
            <w:vAlign w:val="center"/>
          </w:tcPr>
          <w:p w14:paraId="6623C069" w14:textId="77777777" w:rsidR="002950BF" w:rsidRPr="002950BF" w:rsidRDefault="002950BF" w:rsidP="0089206E">
            <w:pPr>
              <w:jc w:val="center"/>
              <w:rPr>
                <w:rFonts w:eastAsia="Times New Roman" w:cs="Times New Roman"/>
                <w:b/>
                <w:bCs/>
                <w:sz w:val="20"/>
                <w:szCs w:val="20"/>
                <w:lang w:eastAsia="lv-LV"/>
              </w:rPr>
            </w:pPr>
            <w:r w:rsidRPr="002950BF">
              <w:rPr>
                <w:rFonts w:eastAsia="Times New Roman" w:cs="Times New Roman"/>
                <w:b/>
                <w:bCs/>
                <w:sz w:val="20"/>
                <w:szCs w:val="20"/>
                <w:lang w:eastAsia="lv-LV"/>
              </w:rPr>
              <w:t>5 200</w:t>
            </w:r>
          </w:p>
        </w:tc>
        <w:tc>
          <w:tcPr>
            <w:tcW w:w="1559" w:type="dxa"/>
            <w:shd w:val="clear" w:color="auto" w:fill="auto"/>
            <w:noWrap/>
            <w:vAlign w:val="center"/>
          </w:tcPr>
          <w:p w14:paraId="049978AE" w14:textId="77777777" w:rsidR="002950BF" w:rsidRPr="002950BF" w:rsidRDefault="002950BF" w:rsidP="0089206E">
            <w:pPr>
              <w:jc w:val="center"/>
              <w:rPr>
                <w:rFonts w:eastAsia="Times New Roman" w:cs="Times New Roman"/>
                <w:b/>
                <w:bCs/>
                <w:sz w:val="20"/>
                <w:szCs w:val="20"/>
                <w:lang w:eastAsia="lv-LV"/>
              </w:rPr>
            </w:pPr>
            <w:r w:rsidRPr="002950BF">
              <w:rPr>
                <w:rFonts w:eastAsia="Times New Roman" w:cs="Times New Roman"/>
                <w:b/>
                <w:bCs/>
                <w:sz w:val="20"/>
                <w:szCs w:val="20"/>
                <w:lang w:eastAsia="lv-LV"/>
              </w:rPr>
              <w:t>4 234</w:t>
            </w:r>
          </w:p>
        </w:tc>
        <w:tc>
          <w:tcPr>
            <w:tcW w:w="1276" w:type="dxa"/>
            <w:shd w:val="clear" w:color="auto" w:fill="auto"/>
            <w:vAlign w:val="center"/>
          </w:tcPr>
          <w:p w14:paraId="0EB75A58" w14:textId="77777777" w:rsidR="002950BF" w:rsidRPr="002950BF" w:rsidRDefault="002950BF" w:rsidP="0089206E">
            <w:pPr>
              <w:jc w:val="center"/>
              <w:rPr>
                <w:rFonts w:eastAsia="Times New Roman" w:cs="Times New Roman"/>
                <w:b/>
                <w:bCs/>
                <w:sz w:val="20"/>
                <w:szCs w:val="20"/>
                <w:lang w:eastAsia="lv-LV"/>
              </w:rPr>
            </w:pPr>
            <w:r w:rsidRPr="002950BF">
              <w:rPr>
                <w:rFonts w:eastAsia="Times New Roman" w:cs="Times New Roman"/>
                <w:b/>
                <w:bCs/>
                <w:sz w:val="20"/>
                <w:szCs w:val="20"/>
                <w:lang w:eastAsia="lv-LV"/>
              </w:rPr>
              <w:t>4 054</w:t>
            </w:r>
          </w:p>
        </w:tc>
        <w:tc>
          <w:tcPr>
            <w:tcW w:w="1275" w:type="dxa"/>
            <w:shd w:val="clear" w:color="auto" w:fill="auto"/>
            <w:vAlign w:val="center"/>
          </w:tcPr>
          <w:p w14:paraId="2B119F1D" w14:textId="77777777" w:rsidR="002950BF" w:rsidRPr="002950BF" w:rsidRDefault="002950BF" w:rsidP="0089206E">
            <w:pPr>
              <w:jc w:val="center"/>
              <w:rPr>
                <w:rFonts w:eastAsia="Times New Roman" w:cs="Times New Roman"/>
                <w:b/>
                <w:bCs/>
                <w:sz w:val="20"/>
                <w:szCs w:val="20"/>
                <w:lang w:eastAsia="lv-LV"/>
              </w:rPr>
            </w:pPr>
            <w:r w:rsidRPr="002950BF">
              <w:rPr>
                <w:rFonts w:eastAsia="Times New Roman" w:cs="Times New Roman"/>
                <w:b/>
                <w:bCs/>
                <w:sz w:val="20"/>
                <w:szCs w:val="20"/>
                <w:lang w:eastAsia="lv-LV"/>
              </w:rPr>
              <w:t>5 739</w:t>
            </w:r>
          </w:p>
        </w:tc>
      </w:tr>
      <w:tr w:rsidR="002950BF" w:rsidRPr="0026005F" w14:paraId="20B2110B" w14:textId="77777777" w:rsidTr="002950BF">
        <w:trPr>
          <w:trHeight w:val="220"/>
        </w:trPr>
        <w:tc>
          <w:tcPr>
            <w:tcW w:w="3402" w:type="dxa"/>
            <w:shd w:val="clear" w:color="auto" w:fill="auto"/>
            <w:vAlign w:val="center"/>
          </w:tcPr>
          <w:p w14:paraId="6D816946" w14:textId="77777777" w:rsidR="002950BF" w:rsidRPr="002950BF" w:rsidRDefault="002950BF" w:rsidP="0089206E">
            <w:pPr>
              <w:rPr>
                <w:rFonts w:eastAsia="Times New Roman" w:cs="Times New Roman"/>
                <w:sz w:val="20"/>
                <w:szCs w:val="20"/>
                <w:lang w:eastAsia="lv-LV"/>
              </w:rPr>
            </w:pPr>
            <w:r w:rsidRPr="002950BF">
              <w:rPr>
                <w:rFonts w:eastAsia="Times New Roman" w:cs="Times New Roman"/>
                <w:sz w:val="20"/>
                <w:szCs w:val="20"/>
                <w:lang w:eastAsia="lv-LV"/>
              </w:rPr>
              <w:t xml:space="preserve">Summas apmērs, </w:t>
            </w:r>
            <w:r w:rsidRPr="002950BF">
              <w:rPr>
                <w:rFonts w:eastAsia="Times New Roman" w:cs="Times New Roman"/>
                <w:i/>
                <w:iCs/>
                <w:sz w:val="20"/>
                <w:szCs w:val="20"/>
                <w:lang w:eastAsia="lv-LV"/>
              </w:rPr>
              <w:t>tūkst. euro</w:t>
            </w:r>
            <w:r w:rsidRPr="002950BF">
              <w:rPr>
                <w:rFonts w:eastAsia="Times New Roman" w:cs="Times New Roman"/>
                <w:sz w:val="20"/>
                <w:szCs w:val="20"/>
                <w:vertAlign w:val="superscript"/>
                <w:lang w:eastAsia="lv-LV"/>
              </w:rPr>
              <w:t>**</w:t>
            </w:r>
          </w:p>
        </w:tc>
        <w:tc>
          <w:tcPr>
            <w:tcW w:w="1560" w:type="dxa"/>
            <w:shd w:val="clear" w:color="auto" w:fill="auto"/>
            <w:noWrap/>
          </w:tcPr>
          <w:p w14:paraId="18B0A0FC" w14:textId="77777777" w:rsidR="002950BF" w:rsidRPr="002950BF" w:rsidRDefault="002950BF" w:rsidP="0089206E">
            <w:pPr>
              <w:jc w:val="center"/>
              <w:rPr>
                <w:rFonts w:eastAsia="Times New Roman" w:cs="Times New Roman"/>
                <w:sz w:val="20"/>
                <w:szCs w:val="20"/>
                <w:lang w:eastAsia="lv-LV"/>
              </w:rPr>
            </w:pPr>
            <w:r w:rsidRPr="002950BF">
              <w:rPr>
                <w:rFonts w:eastAsia="Times New Roman" w:cs="Times New Roman"/>
                <w:sz w:val="20"/>
                <w:szCs w:val="20"/>
                <w:lang w:eastAsia="lv-LV"/>
              </w:rPr>
              <w:t>821,4</w:t>
            </w:r>
          </w:p>
        </w:tc>
        <w:tc>
          <w:tcPr>
            <w:tcW w:w="1559" w:type="dxa"/>
            <w:shd w:val="clear" w:color="auto" w:fill="auto"/>
            <w:noWrap/>
          </w:tcPr>
          <w:p w14:paraId="4B1CB571" w14:textId="77777777" w:rsidR="002950BF" w:rsidRPr="002950BF" w:rsidRDefault="002950BF" w:rsidP="0089206E">
            <w:pPr>
              <w:jc w:val="center"/>
              <w:rPr>
                <w:rFonts w:cs="Times New Roman"/>
                <w:color w:val="000000"/>
                <w:sz w:val="20"/>
                <w:szCs w:val="20"/>
              </w:rPr>
            </w:pPr>
            <w:r w:rsidRPr="002950BF">
              <w:rPr>
                <w:rFonts w:cs="Times New Roman"/>
                <w:color w:val="000000"/>
                <w:sz w:val="20"/>
                <w:szCs w:val="20"/>
              </w:rPr>
              <w:t>549,9</w:t>
            </w:r>
          </w:p>
        </w:tc>
        <w:tc>
          <w:tcPr>
            <w:tcW w:w="1276" w:type="dxa"/>
            <w:shd w:val="clear" w:color="auto" w:fill="auto"/>
          </w:tcPr>
          <w:p w14:paraId="27699E59" w14:textId="77777777" w:rsidR="002950BF" w:rsidRPr="002950BF" w:rsidRDefault="002950BF" w:rsidP="0089206E">
            <w:pPr>
              <w:jc w:val="center"/>
              <w:rPr>
                <w:rFonts w:cs="Times New Roman"/>
                <w:color w:val="000000"/>
                <w:sz w:val="20"/>
                <w:szCs w:val="20"/>
              </w:rPr>
            </w:pPr>
            <w:r w:rsidRPr="002950BF">
              <w:rPr>
                <w:rFonts w:cs="Times New Roman"/>
                <w:color w:val="000000"/>
                <w:sz w:val="20"/>
                <w:szCs w:val="20"/>
              </w:rPr>
              <w:t>618,6</w:t>
            </w:r>
          </w:p>
        </w:tc>
        <w:tc>
          <w:tcPr>
            <w:tcW w:w="1275" w:type="dxa"/>
            <w:shd w:val="clear" w:color="auto" w:fill="auto"/>
          </w:tcPr>
          <w:p w14:paraId="19EC7E32" w14:textId="77777777" w:rsidR="002950BF" w:rsidRPr="002950BF" w:rsidRDefault="002950BF" w:rsidP="0089206E">
            <w:pPr>
              <w:jc w:val="center"/>
              <w:rPr>
                <w:rFonts w:cs="Times New Roman"/>
                <w:color w:val="000000"/>
                <w:sz w:val="20"/>
                <w:szCs w:val="20"/>
              </w:rPr>
            </w:pPr>
            <w:r w:rsidRPr="002950BF">
              <w:rPr>
                <w:rFonts w:cs="Times New Roman"/>
                <w:color w:val="000000"/>
                <w:sz w:val="20"/>
                <w:szCs w:val="20"/>
              </w:rPr>
              <w:t>911,4</w:t>
            </w:r>
          </w:p>
        </w:tc>
      </w:tr>
      <w:tr w:rsidR="002950BF" w:rsidRPr="0026005F" w14:paraId="4B17EB9F" w14:textId="77777777" w:rsidTr="002950BF">
        <w:trPr>
          <w:trHeight w:val="220"/>
        </w:trPr>
        <w:tc>
          <w:tcPr>
            <w:tcW w:w="3402" w:type="dxa"/>
            <w:shd w:val="clear" w:color="auto" w:fill="auto"/>
            <w:vAlign w:val="center"/>
          </w:tcPr>
          <w:p w14:paraId="6A449468" w14:textId="77777777" w:rsidR="002950BF" w:rsidRPr="002950BF" w:rsidRDefault="002950BF" w:rsidP="0089206E">
            <w:pPr>
              <w:rPr>
                <w:rFonts w:eastAsia="Times New Roman" w:cs="Times New Roman"/>
                <w:sz w:val="20"/>
                <w:szCs w:val="20"/>
                <w:lang w:eastAsia="lv-LV"/>
              </w:rPr>
            </w:pPr>
            <w:r w:rsidRPr="002950BF">
              <w:rPr>
                <w:rFonts w:eastAsia="Times New Roman" w:cs="Times New Roman"/>
                <w:sz w:val="20"/>
                <w:szCs w:val="20"/>
                <w:lang w:eastAsia="lv-LV"/>
              </w:rPr>
              <w:t xml:space="preserve">Ienākuma apmērs uz 1 personu, </w:t>
            </w:r>
            <w:r w:rsidRPr="002950BF">
              <w:rPr>
                <w:rFonts w:eastAsia="Times New Roman" w:cs="Times New Roman"/>
                <w:i/>
                <w:iCs/>
                <w:sz w:val="20"/>
                <w:szCs w:val="20"/>
                <w:lang w:eastAsia="lv-LV"/>
              </w:rPr>
              <w:t>euro</w:t>
            </w:r>
          </w:p>
        </w:tc>
        <w:tc>
          <w:tcPr>
            <w:tcW w:w="1560" w:type="dxa"/>
            <w:shd w:val="clear" w:color="auto" w:fill="auto"/>
            <w:noWrap/>
            <w:vAlign w:val="center"/>
          </w:tcPr>
          <w:p w14:paraId="63FE4993" w14:textId="77777777" w:rsidR="002950BF" w:rsidRPr="002950BF" w:rsidRDefault="002950BF" w:rsidP="0089206E">
            <w:pPr>
              <w:jc w:val="center"/>
              <w:rPr>
                <w:rFonts w:eastAsia="Times New Roman" w:cs="Times New Roman"/>
                <w:sz w:val="20"/>
                <w:szCs w:val="20"/>
                <w:lang w:eastAsia="lv-LV"/>
              </w:rPr>
            </w:pPr>
            <w:r w:rsidRPr="002950BF">
              <w:rPr>
                <w:rFonts w:eastAsia="Times New Roman" w:cs="Times New Roman"/>
                <w:sz w:val="20"/>
                <w:szCs w:val="20"/>
                <w:lang w:eastAsia="lv-LV"/>
              </w:rPr>
              <w:t>158,0</w:t>
            </w:r>
          </w:p>
        </w:tc>
        <w:tc>
          <w:tcPr>
            <w:tcW w:w="1559" w:type="dxa"/>
            <w:shd w:val="clear" w:color="auto" w:fill="auto"/>
            <w:noWrap/>
            <w:vAlign w:val="center"/>
          </w:tcPr>
          <w:p w14:paraId="2D59668B" w14:textId="77777777" w:rsidR="002950BF" w:rsidRPr="002950BF" w:rsidRDefault="002950BF" w:rsidP="0089206E">
            <w:pPr>
              <w:jc w:val="center"/>
              <w:rPr>
                <w:rFonts w:eastAsia="Times New Roman" w:cs="Times New Roman"/>
                <w:sz w:val="20"/>
                <w:szCs w:val="20"/>
                <w:lang w:eastAsia="lv-LV"/>
              </w:rPr>
            </w:pPr>
            <w:r w:rsidRPr="002950BF">
              <w:rPr>
                <w:rFonts w:eastAsia="Times New Roman" w:cs="Times New Roman"/>
                <w:sz w:val="20"/>
                <w:szCs w:val="20"/>
                <w:lang w:eastAsia="lv-LV"/>
              </w:rPr>
              <w:t>129,9</w:t>
            </w:r>
          </w:p>
        </w:tc>
        <w:tc>
          <w:tcPr>
            <w:tcW w:w="1276" w:type="dxa"/>
            <w:shd w:val="clear" w:color="auto" w:fill="auto"/>
            <w:vAlign w:val="center"/>
          </w:tcPr>
          <w:p w14:paraId="59BFA9AD" w14:textId="77777777" w:rsidR="002950BF" w:rsidRPr="002950BF" w:rsidRDefault="002950BF" w:rsidP="0089206E">
            <w:pPr>
              <w:jc w:val="center"/>
              <w:rPr>
                <w:rFonts w:eastAsia="Times New Roman" w:cs="Times New Roman"/>
                <w:sz w:val="20"/>
                <w:szCs w:val="20"/>
                <w:lang w:eastAsia="lv-LV"/>
              </w:rPr>
            </w:pPr>
            <w:r w:rsidRPr="002950BF">
              <w:rPr>
                <w:rFonts w:eastAsia="Times New Roman" w:cs="Times New Roman"/>
                <w:sz w:val="20"/>
                <w:szCs w:val="20"/>
                <w:lang w:eastAsia="lv-LV"/>
              </w:rPr>
              <w:t>152,6</w:t>
            </w:r>
          </w:p>
        </w:tc>
        <w:tc>
          <w:tcPr>
            <w:tcW w:w="1275" w:type="dxa"/>
            <w:shd w:val="clear" w:color="auto" w:fill="auto"/>
            <w:vAlign w:val="center"/>
          </w:tcPr>
          <w:p w14:paraId="28DD411E" w14:textId="77777777" w:rsidR="002950BF" w:rsidRPr="002950BF" w:rsidRDefault="002950BF" w:rsidP="0089206E">
            <w:pPr>
              <w:jc w:val="center"/>
              <w:rPr>
                <w:rFonts w:eastAsia="Times New Roman" w:cs="Times New Roman"/>
                <w:sz w:val="20"/>
                <w:szCs w:val="20"/>
                <w:lang w:eastAsia="lv-LV"/>
              </w:rPr>
            </w:pPr>
            <w:r w:rsidRPr="002950BF">
              <w:rPr>
                <w:rFonts w:eastAsia="Times New Roman" w:cs="Times New Roman"/>
                <w:sz w:val="20"/>
                <w:szCs w:val="20"/>
                <w:lang w:eastAsia="lv-LV"/>
              </w:rPr>
              <w:t>158,8</w:t>
            </w:r>
          </w:p>
        </w:tc>
      </w:tr>
    </w:tbl>
    <w:p w14:paraId="6FB716CA" w14:textId="77777777" w:rsidR="002950BF" w:rsidRPr="002950BF" w:rsidRDefault="002950BF" w:rsidP="002950BF">
      <w:pPr>
        <w:pStyle w:val="ListParagraph"/>
        <w:spacing w:after="40"/>
        <w:ind w:left="0"/>
        <w:rPr>
          <w:i/>
          <w:iCs/>
          <w:sz w:val="16"/>
          <w:szCs w:val="16"/>
        </w:rPr>
      </w:pPr>
      <w:r w:rsidRPr="002950BF">
        <w:rPr>
          <w:i/>
          <w:iCs/>
          <w:sz w:val="16"/>
          <w:szCs w:val="16"/>
          <w:vertAlign w:val="superscript"/>
        </w:rPr>
        <w:t>*</w:t>
      </w:r>
      <w:r w:rsidRPr="002950BF">
        <w:rPr>
          <w:i/>
          <w:iCs/>
          <w:sz w:val="16"/>
          <w:szCs w:val="16"/>
        </w:rPr>
        <w:t xml:space="preserve"> VID dati no paziņojumiem par fiziskām personām izmaksātām summām.</w:t>
      </w:r>
    </w:p>
    <w:p w14:paraId="5DF23007" w14:textId="77777777" w:rsidR="002950BF" w:rsidRPr="002950BF" w:rsidRDefault="002950BF" w:rsidP="002950BF">
      <w:pPr>
        <w:pStyle w:val="ListParagraph"/>
        <w:spacing w:after="40"/>
        <w:ind w:left="0"/>
        <w:rPr>
          <w:i/>
          <w:iCs/>
          <w:sz w:val="16"/>
          <w:szCs w:val="16"/>
        </w:rPr>
      </w:pPr>
      <w:r w:rsidRPr="002950BF">
        <w:rPr>
          <w:i/>
          <w:iCs/>
          <w:sz w:val="16"/>
          <w:szCs w:val="16"/>
          <w:vertAlign w:val="superscript"/>
        </w:rPr>
        <w:t>**</w:t>
      </w:r>
      <w:r w:rsidRPr="002950BF">
        <w:rPr>
          <w:i/>
          <w:iCs/>
          <w:sz w:val="16"/>
          <w:szCs w:val="16"/>
        </w:rPr>
        <w:t xml:space="preserve"> Neieskaitot Baltijas Asamblejas balvu laureātiem izmaksātās naudas prēmijas un Ministru kabineta balvas, par cik šīs naudas prēmijas un balvas nav atsevišķi izdalāmas no citiem ar nodokli neapliekamiem ienākumiem.</w:t>
      </w:r>
    </w:p>
    <w:p w14:paraId="2F296512" w14:textId="577A1A73" w:rsidR="002950BF" w:rsidRPr="0026005F" w:rsidRDefault="007E6E08" w:rsidP="000E3528">
      <w:pPr>
        <w:pStyle w:val="ListParagraph"/>
        <w:spacing w:before="120"/>
        <w:ind w:left="0"/>
        <w:contextualSpacing w:val="0"/>
        <w:rPr>
          <w:i/>
          <w:iCs/>
          <w:sz w:val="18"/>
          <w:szCs w:val="18"/>
        </w:rPr>
      </w:pPr>
      <w:r>
        <w:rPr>
          <w:b/>
          <w:bCs/>
          <w:i/>
          <w:iCs/>
          <w:sz w:val="18"/>
          <w:szCs w:val="18"/>
        </w:rPr>
        <w:t>A</w:t>
      </w:r>
      <w:r w:rsidR="002950BF" w:rsidRPr="002950BF">
        <w:rPr>
          <w:b/>
          <w:bCs/>
          <w:i/>
          <w:iCs/>
          <w:sz w:val="18"/>
          <w:szCs w:val="18"/>
        </w:rPr>
        <w:t>vots</w:t>
      </w:r>
      <w:r w:rsidR="002950BF" w:rsidRPr="0026005F">
        <w:rPr>
          <w:i/>
          <w:iCs/>
          <w:sz w:val="18"/>
          <w:szCs w:val="18"/>
        </w:rPr>
        <w:t>: VID informācija par 2019.g. 2022. gada oktobrī un par 2020./2022.g. 2023. gada novembrī.</w:t>
      </w:r>
    </w:p>
    <w:p w14:paraId="3AB1F9A4" w14:textId="77777777" w:rsidR="007966A8" w:rsidRPr="002F372D" w:rsidRDefault="007966A8" w:rsidP="000E3528">
      <w:pPr>
        <w:ind w:firstLine="567"/>
        <w:jc w:val="both"/>
        <w:rPr>
          <w:rFonts w:cs="Times New Roman"/>
        </w:rPr>
      </w:pPr>
    </w:p>
    <w:p w14:paraId="7F0D40B7" w14:textId="402FCDF2" w:rsidR="007966A8" w:rsidRPr="002F372D" w:rsidRDefault="007966A8" w:rsidP="002F372D">
      <w:pPr>
        <w:spacing w:after="120"/>
        <w:ind w:firstLine="567"/>
        <w:jc w:val="both"/>
        <w:rPr>
          <w:rFonts w:cs="Times New Roman"/>
        </w:rPr>
      </w:pPr>
      <w:r w:rsidRPr="002F372D">
        <w:rPr>
          <w:rFonts w:cs="Times New Roman"/>
        </w:rPr>
        <w:t xml:space="preserve">Normatīvajos aktos nav viennozīmīgi skaidri definēts, kas ir uzskatāms par starptautisku konkursu vai sacensībām, tādējādi problemātiski ir nošķirt vietēja rakstura konkursus un sacensības no publiskiem starptautiskiem konkursiem un sacensībām, kas rada minētās likuma normas interpretācijas iespējas. Turklāt, ņemot vērā to, ka ar </w:t>
      </w:r>
      <w:r w:rsidR="002950BF">
        <w:rPr>
          <w:rFonts w:cs="Times New Roman"/>
        </w:rPr>
        <w:t>IIN</w:t>
      </w:r>
      <w:r w:rsidRPr="002F372D">
        <w:rPr>
          <w:rFonts w:cs="Times New Roman"/>
        </w:rPr>
        <w:t xml:space="preserve"> neapliekamā ienākuma apmērs ir atkarīgs no konkursa un sacensību veida, tiek radīts risks minētās normas kļūdainai piemērošanai, kā arī izmantošanai nodokļu optimizācijas nolūkā. </w:t>
      </w:r>
      <w:r w:rsidR="00EB43FF">
        <w:rPr>
          <w:rFonts w:cs="Times New Roman"/>
        </w:rPr>
        <w:t>Arī k</w:t>
      </w:r>
      <w:r w:rsidRPr="002F372D">
        <w:rPr>
          <w:rFonts w:cs="Times New Roman"/>
        </w:rPr>
        <w:t>onkursos un sacensībās saņemto balvu apmērs ilgstoši nav pārskatīts, lai gan salīdzinoši dažādu preču un pakalpojumu cenas ir būtiski pieaugušas</w:t>
      </w:r>
    </w:p>
    <w:p w14:paraId="2FF06647" w14:textId="6529FD1C" w:rsidR="00EA1993" w:rsidRDefault="007966A8" w:rsidP="00C26F78">
      <w:pPr>
        <w:spacing w:after="120"/>
        <w:ind w:firstLine="567"/>
        <w:jc w:val="both"/>
        <w:rPr>
          <w:rFonts w:cs="Times New Roman"/>
        </w:rPr>
      </w:pPr>
      <w:r w:rsidRPr="002F372D">
        <w:rPr>
          <w:rFonts w:cs="Times New Roman"/>
        </w:rPr>
        <w:t xml:space="preserve">Iespējamais risinājums ir </w:t>
      </w:r>
      <w:bookmarkStart w:id="33" w:name="_Hlk175752128"/>
      <w:r w:rsidRPr="002F372D">
        <w:rPr>
          <w:rFonts w:cs="Times New Roman"/>
        </w:rPr>
        <w:t xml:space="preserve">ar </w:t>
      </w:r>
      <w:r w:rsidR="002950BF" w:rsidRPr="007515A7">
        <w:rPr>
          <w:rFonts w:cs="Times New Roman"/>
          <w:b/>
          <w:bCs/>
        </w:rPr>
        <w:t>IIN</w:t>
      </w:r>
      <w:r w:rsidRPr="007515A7">
        <w:rPr>
          <w:rFonts w:cs="Times New Roman"/>
          <w:b/>
          <w:bCs/>
        </w:rPr>
        <w:t xml:space="preserve"> neapliekamo balvu daļu</w:t>
      </w:r>
      <w:r w:rsidRPr="002F372D">
        <w:rPr>
          <w:rFonts w:cs="Times New Roman"/>
        </w:rPr>
        <w:t xml:space="preserve"> </w:t>
      </w:r>
      <w:r w:rsidRPr="002950BF">
        <w:rPr>
          <w:rFonts w:cs="Times New Roman"/>
          <w:b/>
          <w:bCs/>
        </w:rPr>
        <w:t>vienādošana</w:t>
      </w:r>
      <w:r w:rsidRPr="007515A7">
        <w:rPr>
          <w:rFonts w:cs="Times New Roman"/>
          <w:b/>
          <w:bCs/>
        </w:rPr>
        <w:t>, nosakot vienotu limita apmēru visām konkursos un sacensībās saņemtajām mantiskajām un naudas balvām</w:t>
      </w:r>
      <w:r w:rsidRPr="002F372D">
        <w:rPr>
          <w:rFonts w:cs="Times New Roman"/>
        </w:rPr>
        <w:t xml:space="preserve"> </w:t>
      </w:r>
      <w:r w:rsidRPr="002950BF">
        <w:rPr>
          <w:rFonts w:cs="Times New Roman"/>
          <w:b/>
          <w:bCs/>
          <w:color w:val="FF0000"/>
        </w:rPr>
        <w:t>1 500</w:t>
      </w:r>
      <w:r w:rsidRPr="002950BF">
        <w:rPr>
          <w:rFonts w:cs="Times New Roman"/>
          <w:color w:val="FF0000"/>
        </w:rPr>
        <w:t xml:space="preserve"> </w:t>
      </w:r>
      <w:r w:rsidRPr="002F372D">
        <w:rPr>
          <w:rFonts w:cs="Times New Roman"/>
          <w:i/>
          <w:iCs/>
        </w:rPr>
        <w:t>euro</w:t>
      </w:r>
      <w:r w:rsidRPr="002F372D">
        <w:rPr>
          <w:rFonts w:cs="Times New Roman"/>
        </w:rPr>
        <w:t>, neatkarīgi no tā, vai balva ir saņemta par dalību starptautiskos</w:t>
      </w:r>
      <w:r w:rsidR="00EB43FF">
        <w:rPr>
          <w:rFonts w:cs="Times New Roman"/>
        </w:rPr>
        <w:t xml:space="preserve"> vai vietējos</w:t>
      </w:r>
      <w:r w:rsidRPr="002F372D">
        <w:rPr>
          <w:rFonts w:cs="Times New Roman"/>
        </w:rPr>
        <w:t xml:space="preserve"> konkurs</w:t>
      </w:r>
      <w:r w:rsidR="00EB43FF">
        <w:rPr>
          <w:rFonts w:cs="Times New Roman"/>
        </w:rPr>
        <w:t>os</w:t>
      </w:r>
      <w:r w:rsidRPr="002F372D">
        <w:rPr>
          <w:rFonts w:cs="Times New Roman"/>
        </w:rPr>
        <w:t>/sacensīb</w:t>
      </w:r>
      <w:r w:rsidR="00EB43FF">
        <w:rPr>
          <w:rFonts w:cs="Times New Roman"/>
        </w:rPr>
        <w:t>ā</w:t>
      </w:r>
      <w:r w:rsidRPr="002F372D">
        <w:rPr>
          <w:rFonts w:cs="Times New Roman"/>
        </w:rPr>
        <w:t>s</w:t>
      </w:r>
      <w:r w:rsidR="00F22696" w:rsidRPr="000E3528">
        <w:rPr>
          <w:rFonts w:cs="Times New Roman"/>
        </w:rPr>
        <w:t>.</w:t>
      </w:r>
      <w:bookmarkEnd w:id="33"/>
      <w:r w:rsidRPr="002F372D">
        <w:rPr>
          <w:rFonts w:cs="Times New Roman"/>
        </w:rPr>
        <w:t xml:space="preserve"> Vienlaikus tiktu saglabāts atbrī</w:t>
      </w:r>
      <w:r w:rsidR="00AB58DE">
        <w:rPr>
          <w:rFonts w:cs="Times New Roman"/>
        </w:rPr>
        <w:softHyphen/>
      </w:r>
      <w:r w:rsidRPr="002F372D">
        <w:rPr>
          <w:rFonts w:cs="Times New Roman"/>
        </w:rPr>
        <w:t>vojums Baltijas Asamblejas balvu laureātiem izmaksāta</w:t>
      </w:r>
      <w:r w:rsidR="001E01EB">
        <w:rPr>
          <w:rFonts w:cs="Times New Roman"/>
        </w:rPr>
        <w:t>ja</w:t>
      </w:r>
      <w:r w:rsidRPr="002F372D">
        <w:rPr>
          <w:rFonts w:cs="Times New Roman"/>
        </w:rPr>
        <w:t>i naudas prēmijai, Ministru kabineta balvai un Ministru kabineta naudas balvām par izciliem sasniegumiem sportā. Tādējādi tiktu novērsta problēma, kas saistīta ar konkursa kvalificēšanu (starptautisks konkurss vai vietēja rakstura)</w:t>
      </w:r>
      <w:r w:rsidR="00125E82">
        <w:rPr>
          <w:rFonts w:cs="Times New Roman"/>
        </w:rPr>
        <w:t>.</w:t>
      </w:r>
    </w:p>
    <w:p w14:paraId="44F8D74E" w14:textId="59D4ECC1" w:rsidR="00C26F78" w:rsidRDefault="00C26F78" w:rsidP="008F3CBD">
      <w:pPr>
        <w:ind w:firstLine="567"/>
        <w:jc w:val="both"/>
        <w:rPr>
          <w:rFonts w:eastAsia="Times New Roman" w:cs="Times New Roman"/>
          <w:shd w:val="clear" w:color="auto" w:fill="FFFFFF"/>
          <w:lang w:eastAsia="lv-LV"/>
        </w:rPr>
      </w:pPr>
      <w:r>
        <w:rPr>
          <w:rFonts w:eastAsia="Times New Roman" w:cs="Times New Roman"/>
          <w:shd w:val="clear" w:color="auto" w:fill="FFFFFF"/>
          <w:lang w:eastAsia="lv-LV"/>
        </w:rPr>
        <w:lastRenderedPageBreak/>
        <w:t xml:space="preserve">Priekšlikumam ir </w:t>
      </w:r>
      <w:r w:rsidRPr="001F60AA">
        <w:rPr>
          <w:rFonts w:eastAsia="Times New Roman" w:cs="Times New Roman"/>
          <w:b/>
          <w:bCs/>
          <w:shd w:val="clear" w:color="auto" w:fill="FFFFFF"/>
          <w:lang w:eastAsia="lv-LV"/>
        </w:rPr>
        <w:t>n</w:t>
      </w:r>
      <w:r>
        <w:rPr>
          <w:rFonts w:eastAsia="Times New Roman" w:cs="Times New Roman"/>
          <w:b/>
          <w:bCs/>
          <w:shd w:val="clear" w:color="auto" w:fill="FFFFFF"/>
          <w:lang w:eastAsia="lv-LV"/>
        </w:rPr>
        <w:t xml:space="preserve">ebūtiska </w:t>
      </w:r>
      <w:r w:rsidRPr="001F60AA">
        <w:rPr>
          <w:rFonts w:eastAsia="Times New Roman" w:cs="Times New Roman"/>
          <w:b/>
          <w:bCs/>
          <w:shd w:val="clear" w:color="auto" w:fill="FFFFFF"/>
          <w:lang w:eastAsia="lv-LV"/>
        </w:rPr>
        <w:t>fiskālā ietekme</w:t>
      </w:r>
      <w:r>
        <w:rPr>
          <w:rFonts w:eastAsia="Times New Roman" w:cs="Times New Roman"/>
          <w:shd w:val="clear" w:color="auto" w:fill="FFFFFF"/>
          <w:lang w:eastAsia="lv-LV"/>
        </w:rPr>
        <w:t xml:space="preserve"> uz valsts kopbudžeta ieņēmumiem.</w:t>
      </w:r>
    </w:p>
    <w:p w14:paraId="450E80C9" w14:textId="77777777" w:rsidR="008F3CBD" w:rsidRDefault="008F3CBD" w:rsidP="008F3CBD">
      <w:pPr>
        <w:ind w:firstLine="567"/>
        <w:jc w:val="both"/>
        <w:rPr>
          <w:rFonts w:eastAsia="Times New Roman" w:cs="Times New Roman"/>
          <w:shd w:val="clear" w:color="auto" w:fill="FFFFFF"/>
          <w:lang w:eastAsia="lv-LV"/>
        </w:rPr>
      </w:pPr>
    </w:p>
    <w:p w14:paraId="23DE7155" w14:textId="00B3854C" w:rsidR="003E267C" w:rsidRPr="000E3528" w:rsidRDefault="003E267C" w:rsidP="00A6605F">
      <w:pPr>
        <w:pStyle w:val="Heading2"/>
        <w:tabs>
          <w:tab w:val="left" w:pos="567"/>
        </w:tabs>
        <w:ind w:left="567" w:hanging="567"/>
        <w:rPr>
          <w:rFonts w:cs="Times New Roman"/>
          <w:b w:val="0"/>
          <w:bCs/>
        </w:rPr>
      </w:pPr>
      <w:bookmarkStart w:id="34" w:name="_Toc177627707"/>
      <w:r w:rsidRPr="000E3528">
        <w:t>2.</w:t>
      </w:r>
      <w:r w:rsidR="00C26F78" w:rsidRPr="000E3528">
        <w:t>7</w:t>
      </w:r>
      <w:r w:rsidRPr="000E3528">
        <w:t xml:space="preserve">. </w:t>
      </w:r>
      <w:r w:rsidRPr="000E3528">
        <w:tab/>
      </w:r>
      <w:r w:rsidRPr="000E3528">
        <w:rPr>
          <w:rFonts w:cs="Times New Roman"/>
          <w:bCs/>
        </w:rPr>
        <w:t>Mikrouzņēmumu nodokļa vienkāršošana</w:t>
      </w:r>
      <w:bookmarkEnd w:id="34"/>
    </w:p>
    <w:p w14:paraId="27AE95C8" w14:textId="40A2D3CE" w:rsidR="003E267C" w:rsidRPr="000E3528" w:rsidRDefault="003E267C" w:rsidP="000E3528">
      <w:pPr>
        <w:ind w:firstLine="567"/>
        <w:jc w:val="both"/>
        <w:rPr>
          <w:rFonts w:cs="Times New Roman"/>
        </w:rPr>
      </w:pPr>
      <w:r w:rsidRPr="000E3528">
        <w:rPr>
          <w:rFonts w:cs="Times New Roman"/>
        </w:rPr>
        <w:t xml:space="preserve">Pašlaik saskaņā ar </w:t>
      </w:r>
      <w:bookmarkStart w:id="35" w:name="_Hlk175752691"/>
      <w:r w:rsidRPr="000E3528">
        <w:rPr>
          <w:rFonts w:cs="Times New Roman"/>
          <w:i/>
          <w:iCs/>
        </w:rPr>
        <w:t>Mikrouzņēmumu nodokļa likumā</w:t>
      </w:r>
      <w:r w:rsidRPr="000E3528">
        <w:rPr>
          <w:rFonts w:cs="Times New Roman"/>
        </w:rPr>
        <w:t xml:space="preserve"> </w:t>
      </w:r>
      <w:bookmarkEnd w:id="35"/>
      <w:r w:rsidRPr="000E3528">
        <w:rPr>
          <w:rFonts w:cs="Times New Roman"/>
        </w:rPr>
        <w:t xml:space="preserve">noteikto regulējumu mikrouzņēmums zaudē mikrouzņēmumu nodokļa </w:t>
      </w:r>
      <w:r w:rsidR="004A6D92" w:rsidRPr="000E3528">
        <w:rPr>
          <w:rFonts w:cs="Times New Roman"/>
          <w:i/>
          <w:iCs/>
        </w:rPr>
        <w:t>(turp</w:t>
      </w:r>
      <w:r w:rsidR="00C638E1" w:rsidRPr="000E3528">
        <w:rPr>
          <w:rFonts w:cs="Times New Roman"/>
          <w:i/>
          <w:iCs/>
        </w:rPr>
        <w:t>m</w:t>
      </w:r>
      <w:r w:rsidR="004A6D92" w:rsidRPr="000E3528">
        <w:rPr>
          <w:rFonts w:cs="Times New Roman"/>
          <w:i/>
          <w:iCs/>
        </w:rPr>
        <w:t>āk - MUN)</w:t>
      </w:r>
      <w:r w:rsidR="004A6D92" w:rsidRPr="000E3528">
        <w:rPr>
          <w:rFonts w:cs="Times New Roman"/>
        </w:rPr>
        <w:t xml:space="preserve"> </w:t>
      </w:r>
      <w:r w:rsidRPr="000E3528">
        <w:rPr>
          <w:rFonts w:cs="Times New Roman"/>
        </w:rPr>
        <w:t xml:space="preserve">maksātāja statusu ar nākamo taksācijas periodu, ja: </w:t>
      </w:r>
    </w:p>
    <w:p w14:paraId="6FB4F391" w14:textId="71D18BFB" w:rsidR="003E267C" w:rsidRPr="000E3528" w:rsidRDefault="00C638E1" w:rsidP="000E3528">
      <w:pPr>
        <w:pStyle w:val="ListParagraph"/>
        <w:numPr>
          <w:ilvl w:val="0"/>
          <w:numId w:val="14"/>
        </w:numPr>
        <w:ind w:left="993" w:hanging="426"/>
      </w:pPr>
      <w:r w:rsidRPr="000E3528">
        <w:t>MUN</w:t>
      </w:r>
      <w:r w:rsidR="003E267C" w:rsidRPr="000E3528">
        <w:t xml:space="preserve"> maksātājam taksācijas periodā nav apgrozījuma (šo nosacījumu nepiemēro, ja </w:t>
      </w:r>
      <w:r w:rsidRPr="000E3528">
        <w:t>MUN</w:t>
      </w:r>
      <w:r w:rsidR="003E267C" w:rsidRPr="000E3528">
        <w:t xml:space="preserve"> maksātājs ir reģistrēts pēc taksācijas perioda pirmā ceturkšņa); </w:t>
      </w:r>
    </w:p>
    <w:p w14:paraId="5A30135F" w14:textId="77777777" w:rsidR="000E3528" w:rsidRDefault="003E267C" w:rsidP="000E3528">
      <w:pPr>
        <w:pStyle w:val="ListParagraph"/>
        <w:numPr>
          <w:ilvl w:val="0"/>
          <w:numId w:val="14"/>
        </w:numPr>
        <w:ind w:left="993" w:hanging="426"/>
      </w:pPr>
      <w:r w:rsidRPr="000E3528">
        <w:t xml:space="preserve">mikrouzņēmums ir reģistrēts kā </w:t>
      </w:r>
      <w:r w:rsidR="00C638E1" w:rsidRPr="000E3528">
        <w:t>MUN</w:t>
      </w:r>
      <w:r w:rsidRPr="000E3528">
        <w:t xml:space="preserve"> maksātājs, sākot ar pirmstaksācijas perioda otro ceturksni, un tam nav apgrozījuma pirmstaksācijas periodā un taksācijas periodā.</w:t>
      </w:r>
    </w:p>
    <w:p w14:paraId="0BF100AF" w14:textId="6F88479C" w:rsidR="003E267C" w:rsidRPr="000E3528" w:rsidRDefault="003E267C" w:rsidP="000E3528">
      <w:pPr>
        <w:pStyle w:val="ListParagraph"/>
        <w:ind w:left="993"/>
      </w:pPr>
      <w:r w:rsidRPr="000E3528">
        <w:t xml:space="preserve"> </w:t>
      </w:r>
    </w:p>
    <w:p w14:paraId="37B3E88E" w14:textId="43EAB930" w:rsidR="003E267C" w:rsidRPr="000E3528" w:rsidRDefault="003E267C" w:rsidP="000E3528">
      <w:pPr>
        <w:spacing w:after="120"/>
        <w:ind w:firstLine="720"/>
        <w:jc w:val="both"/>
        <w:rPr>
          <w:rFonts w:cs="Times New Roman"/>
        </w:rPr>
      </w:pPr>
      <w:r w:rsidRPr="000E3528">
        <w:rPr>
          <w:rFonts w:cs="Times New Roman"/>
        </w:rPr>
        <w:t xml:space="preserve">Vienlaikus </w:t>
      </w:r>
      <w:r w:rsidR="00C638E1" w:rsidRPr="000E3528">
        <w:rPr>
          <w:rFonts w:cs="Times New Roman"/>
        </w:rPr>
        <w:t>MUN</w:t>
      </w:r>
      <w:r w:rsidRPr="000E3528">
        <w:rPr>
          <w:rFonts w:cs="Times New Roman"/>
        </w:rPr>
        <w:t xml:space="preserve"> maksātājs, kurš ir pārtraucis saimniecisko darbību un </w:t>
      </w:r>
      <w:r w:rsidR="00C638E1" w:rsidRPr="000E3528">
        <w:rPr>
          <w:rFonts w:cs="Times New Roman"/>
        </w:rPr>
        <w:t>MUN</w:t>
      </w:r>
      <w:r w:rsidRPr="000E3528">
        <w:rPr>
          <w:rFonts w:cs="Times New Roman"/>
        </w:rPr>
        <w:t xml:space="preserve"> maksāšanu taksācijas periodā, nevar atkārtoti izvēlēties maksāt </w:t>
      </w:r>
      <w:r w:rsidR="00C638E1" w:rsidRPr="000E3528">
        <w:rPr>
          <w:rFonts w:cs="Times New Roman"/>
        </w:rPr>
        <w:t>MUN</w:t>
      </w:r>
      <w:r w:rsidRPr="000E3528">
        <w:rPr>
          <w:rFonts w:cs="Times New Roman"/>
        </w:rPr>
        <w:t xml:space="preserve"> tajā pašā taksācijas periodā un pēctaksācijas periodā. Minētais rada šķēršļus, lai persona atkārtoti reģistrētos par </w:t>
      </w:r>
      <w:r w:rsidR="00C638E1" w:rsidRPr="000E3528">
        <w:rPr>
          <w:rFonts w:cs="Times New Roman"/>
        </w:rPr>
        <w:t>MUN</w:t>
      </w:r>
      <w:r w:rsidRPr="000E3528">
        <w:rPr>
          <w:rFonts w:cs="Times New Roman"/>
        </w:rPr>
        <w:t xml:space="preserve"> maksātāju.</w:t>
      </w:r>
    </w:p>
    <w:p w14:paraId="0BED6528" w14:textId="051C9091" w:rsidR="003E267C" w:rsidRPr="000E3528" w:rsidRDefault="003E267C" w:rsidP="000E3528">
      <w:pPr>
        <w:spacing w:after="120"/>
        <w:ind w:firstLine="720"/>
        <w:jc w:val="both"/>
        <w:rPr>
          <w:rFonts w:cs="Times New Roman"/>
        </w:rPr>
      </w:pPr>
      <w:r w:rsidRPr="000E3528">
        <w:rPr>
          <w:rFonts w:cs="Times New Roman"/>
        </w:rPr>
        <w:t xml:space="preserve">Lai </w:t>
      </w:r>
      <w:r w:rsidR="00C638E1" w:rsidRPr="000E3528">
        <w:rPr>
          <w:rFonts w:cs="Times New Roman"/>
        </w:rPr>
        <w:t>MUN</w:t>
      </w:r>
      <w:r w:rsidRPr="000E3528">
        <w:rPr>
          <w:rFonts w:cs="Times New Roman"/>
        </w:rPr>
        <w:t xml:space="preserve"> režīmu padarītu draudzīgāku nodokļu maksātājiem, kuri </w:t>
      </w:r>
      <w:r w:rsidR="005142D0" w:rsidRPr="000E3528">
        <w:rPr>
          <w:rFonts w:cs="Times New Roman"/>
        </w:rPr>
        <w:t>veic saimniecisko darbību neregulāri</w:t>
      </w:r>
      <w:r w:rsidRPr="000E3528">
        <w:rPr>
          <w:rFonts w:cs="Times New Roman"/>
        </w:rPr>
        <w:t xml:space="preserve"> (t.sk. arī autoratlīdzību saņēmējiem), iespējamais risinājums ir </w:t>
      </w:r>
      <w:bookmarkStart w:id="36" w:name="_Hlk175752749"/>
      <w:r w:rsidRPr="000E3528">
        <w:rPr>
          <w:rFonts w:cs="Times New Roman"/>
        </w:rPr>
        <w:t xml:space="preserve">precizēt </w:t>
      </w:r>
      <w:r w:rsidRPr="000E3528">
        <w:rPr>
          <w:rFonts w:cs="Times New Roman"/>
          <w:i/>
          <w:iCs/>
        </w:rPr>
        <w:t>Mikrouzņēmumu nodokļa likumā</w:t>
      </w:r>
      <w:r w:rsidRPr="000E3528">
        <w:rPr>
          <w:rFonts w:cs="Times New Roman"/>
        </w:rPr>
        <w:t xml:space="preserve"> noteikto regulējumu, kas paredz mikrouzņēmumu </w:t>
      </w:r>
      <w:r w:rsidR="00227DF9" w:rsidRPr="000E3528">
        <w:rPr>
          <w:rFonts w:cs="Times New Roman"/>
        </w:rPr>
        <w:t xml:space="preserve">nodokļa maksātāja </w:t>
      </w:r>
      <w:r w:rsidRPr="000E3528">
        <w:rPr>
          <w:rFonts w:cs="Times New Roman"/>
        </w:rPr>
        <w:t xml:space="preserve">statusa zaudēšanu, ja </w:t>
      </w:r>
      <w:r w:rsidR="00C638E1" w:rsidRPr="000E3528">
        <w:rPr>
          <w:rFonts w:cs="Times New Roman"/>
        </w:rPr>
        <w:t>MUN</w:t>
      </w:r>
      <w:r w:rsidRPr="000E3528">
        <w:rPr>
          <w:rFonts w:cs="Times New Roman"/>
        </w:rPr>
        <w:t xml:space="preserve"> maksātājam nav apgrozījuma</w:t>
      </w:r>
      <w:r w:rsidR="0060287C" w:rsidRPr="000E3528">
        <w:rPr>
          <w:rFonts w:cs="Times New Roman"/>
        </w:rPr>
        <w:t xml:space="preserve"> un</w:t>
      </w:r>
      <w:r w:rsidRPr="000E3528">
        <w:rPr>
          <w:rFonts w:cs="Times New Roman"/>
        </w:rPr>
        <w:t xml:space="preserve"> atce</w:t>
      </w:r>
      <w:r w:rsidR="0060287C" w:rsidRPr="000E3528">
        <w:rPr>
          <w:rFonts w:cs="Times New Roman"/>
        </w:rPr>
        <w:t>lt</w:t>
      </w:r>
      <w:r w:rsidRPr="000E3528">
        <w:rPr>
          <w:rFonts w:cs="Times New Roman"/>
        </w:rPr>
        <w:t xml:space="preserve"> ierobežojumu </w:t>
      </w:r>
      <w:r w:rsidR="00C638E1" w:rsidRPr="000E3528">
        <w:rPr>
          <w:rFonts w:cs="Times New Roman"/>
        </w:rPr>
        <w:t>MUN</w:t>
      </w:r>
      <w:r w:rsidRPr="000E3528">
        <w:rPr>
          <w:rFonts w:cs="Times New Roman"/>
        </w:rPr>
        <w:t xml:space="preserve"> maksātājam (kas ir pārtraucis saimniecisko darbību un </w:t>
      </w:r>
      <w:r w:rsidR="00C638E1" w:rsidRPr="000E3528">
        <w:rPr>
          <w:rFonts w:cs="Times New Roman"/>
        </w:rPr>
        <w:t>MUN</w:t>
      </w:r>
      <w:r w:rsidRPr="000E3528">
        <w:rPr>
          <w:rFonts w:cs="Times New Roman"/>
        </w:rPr>
        <w:t xml:space="preserve"> maksāšanu taksācijas periodā un nav izvēlējies veikt saimniecisko darbību citā nodokļu režīmā) atkārtoti reģistrēties par </w:t>
      </w:r>
      <w:r w:rsidR="00C638E1" w:rsidRPr="000E3528">
        <w:rPr>
          <w:rFonts w:cs="Times New Roman"/>
        </w:rPr>
        <w:t>MUN</w:t>
      </w:r>
      <w:r w:rsidRPr="000E3528">
        <w:rPr>
          <w:rFonts w:cs="Times New Roman"/>
        </w:rPr>
        <w:t xml:space="preserve"> maksātāju, ja starplaikos saimnieciskā darbība netiek veikta. </w:t>
      </w:r>
    </w:p>
    <w:p w14:paraId="7F43AF47" w14:textId="3D6C4AAD" w:rsidR="00C26F78" w:rsidRPr="000069A2" w:rsidRDefault="00C26F78" w:rsidP="00AD0B9C">
      <w:pPr>
        <w:ind w:firstLine="567"/>
        <w:jc w:val="both"/>
        <w:rPr>
          <w:rFonts w:eastAsia="Times New Roman" w:cs="Times New Roman"/>
          <w:shd w:val="clear" w:color="auto" w:fill="FFFFFF"/>
          <w:lang w:eastAsia="lv-LV"/>
        </w:rPr>
      </w:pPr>
      <w:r w:rsidRPr="000E3528">
        <w:rPr>
          <w:rFonts w:eastAsia="Times New Roman" w:cs="Times New Roman"/>
          <w:shd w:val="clear" w:color="auto" w:fill="FFFFFF"/>
          <w:lang w:eastAsia="lv-LV"/>
        </w:rPr>
        <w:t xml:space="preserve">Priekšlikumam </w:t>
      </w:r>
      <w:r w:rsidR="001F5C6D">
        <w:rPr>
          <w:rFonts w:eastAsia="Times New Roman" w:cs="Times New Roman"/>
          <w:b/>
          <w:bCs/>
          <w:shd w:val="clear" w:color="auto" w:fill="FFFFFF"/>
          <w:lang w:eastAsia="lv-LV"/>
        </w:rPr>
        <w:t>ir nebūtiska</w:t>
      </w:r>
      <w:r w:rsidRPr="000E3528">
        <w:rPr>
          <w:rFonts w:eastAsia="Times New Roman" w:cs="Times New Roman"/>
          <w:b/>
          <w:bCs/>
          <w:shd w:val="clear" w:color="auto" w:fill="FFFFFF"/>
          <w:lang w:eastAsia="lv-LV"/>
        </w:rPr>
        <w:t xml:space="preserve"> fiskālā ietekme</w:t>
      </w:r>
      <w:r w:rsidRPr="000E3528">
        <w:rPr>
          <w:rFonts w:eastAsia="Times New Roman" w:cs="Times New Roman"/>
          <w:shd w:val="clear" w:color="auto" w:fill="FFFFFF"/>
          <w:lang w:eastAsia="lv-LV"/>
        </w:rPr>
        <w:t xml:space="preserve"> uz valsts kopbudžeta ieņēmumiem.</w:t>
      </w:r>
    </w:p>
    <w:p w14:paraId="52552DB5" w14:textId="77777777" w:rsidR="00C26F78" w:rsidRDefault="00C26F78" w:rsidP="00AD0B9C">
      <w:pPr>
        <w:ind w:firstLine="720"/>
        <w:jc w:val="both"/>
        <w:rPr>
          <w:rFonts w:cs="Times New Roman"/>
        </w:rPr>
      </w:pPr>
    </w:p>
    <w:p w14:paraId="0445BE48" w14:textId="6DCBD4B2" w:rsidR="00CB1CDF" w:rsidRDefault="00C26F78" w:rsidP="00C26F78">
      <w:pPr>
        <w:pStyle w:val="Heading2"/>
        <w:tabs>
          <w:tab w:val="left" w:pos="567"/>
        </w:tabs>
        <w:ind w:left="567" w:hanging="567"/>
        <w:rPr>
          <w:sz w:val="40"/>
          <w:szCs w:val="32"/>
        </w:rPr>
      </w:pPr>
      <w:bookmarkStart w:id="37" w:name="_Toc177627708"/>
      <w:bookmarkEnd w:id="36"/>
      <w:r>
        <w:t xml:space="preserve">2.8. </w:t>
      </w:r>
      <w:r>
        <w:tab/>
      </w:r>
      <w:bookmarkStart w:id="38" w:name="_Hlk177054238"/>
      <w:r w:rsidR="00CF5E9C">
        <w:t>V</w:t>
      </w:r>
      <w:r w:rsidRPr="00C26F78">
        <w:t>ecāku pabalst</w:t>
      </w:r>
      <w:r w:rsidR="00E770B5">
        <w:t>a</w:t>
      </w:r>
      <w:r w:rsidRPr="00C26F78">
        <w:t xml:space="preserve"> noteik</w:t>
      </w:r>
      <w:r>
        <w:t>šana</w:t>
      </w:r>
      <w:r w:rsidRPr="00C26F78">
        <w:t xml:space="preserve"> </w:t>
      </w:r>
      <w:r w:rsidR="00CC188A">
        <w:t>2025.g. 75</w:t>
      </w:r>
      <w:r w:rsidRPr="00C26F78">
        <w:t xml:space="preserve">% </w:t>
      </w:r>
      <w:r>
        <w:t>apmērā</w:t>
      </w:r>
      <w:r w:rsidRPr="00C26F78">
        <w:t xml:space="preserve"> no piešķirtā vecāku pabalsta</w:t>
      </w:r>
      <w:r w:rsidR="00CF5E9C">
        <w:t xml:space="preserve"> strādājošiem pabalsta saņēmējiem</w:t>
      </w:r>
      <w:bookmarkEnd w:id="37"/>
      <w:r w:rsidRPr="00C26F78">
        <w:t xml:space="preserve"> </w:t>
      </w:r>
      <w:bookmarkEnd w:id="38"/>
    </w:p>
    <w:p w14:paraId="1D380D71" w14:textId="4013794C" w:rsidR="00CF5E9C" w:rsidRDefault="00CF5E9C" w:rsidP="00CF5E9C">
      <w:pPr>
        <w:ind w:firstLine="567"/>
        <w:jc w:val="both"/>
      </w:pPr>
      <w:r>
        <w:t xml:space="preserve">Paredzēts noteikt, ka vecāku pabalsta saņēmējam, kurš bērna kopšanas laikā ir nodarbināts un neatrodas bērna kopšanas atvaļinājumā vai bērna kopšanas laikā gūst ienākumus kā pašnodarbinātais, </w:t>
      </w:r>
      <w:r w:rsidR="009567B9" w:rsidRPr="009567B9">
        <w:rPr>
          <w:b/>
          <w:bCs/>
        </w:rPr>
        <w:t>2025. gadā</w:t>
      </w:r>
      <w:r w:rsidR="009567B9">
        <w:t xml:space="preserve"> </w:t>
      </w:r>
      <w:r>
        <w:t>vecāku pabalstu izmaksā</w:t>
      </w:r>
      <w:r w:rsidR="009567B9">
        <w:t>tu</w:t>
      </w:r>
      <w:r>
        <w:t xml:space="preserve"> </w:t>
      </w:r>
      <w:r w:rsidR="009567B9">
        <w:rPr>
          <w:b/>
          <w:bCs/>
          <w:color w:val="FF0000"/>
        </w:rPr>
        <w:t>75</w:t>
      </w:r>
      <w:r w:rsidRPr="00C26F78">
        <w:rPr>
          <w:b/>
          <w:bCs/>
          <w:color w:val="FF0000"/>
        </w:rPr>
        <w:t>%</w:t>
      </w:r>
      <w:r w:rsidRPr="00C26F78">
        <w:t xml:space="preserve"> (šobrīd </w:t>
      </w:r>
      <w:r w:rsidRPr="00C26F78">
        <w:rPr>
          <w:b/>
          <w:bCs/>
        </w:rPr>
        <w:t>50%</w:t>
      </w:r>
      <w:r w:rsidRPr="00C26F78">
        <w:t>)</w:t>
      </w:r>
      <w:r w:rsidR="009567B9">
        <w:t xml:space="preserve"> </w:t>
      </w:r>
      <w:r>
        <w:t xml:space="preserve">apmērā </w:t>
      </w:r>
      <w:r w:rsidRPr="00C26F78">
        <w:t>no piešķirtā vecāku pabalsta apmēra</w:t>
      </w:r>
      <w:r w:rsidR="009567B9">
        <w:t xml:space="preserve">, </w:t>
      </w:r>
      <w:r w:rsidR="009567B9">
        <w:t>bet pārējos gados apmēr</w:t>
      </w:r>
      <w:r w:rsidR="009567B9">
        <w:t xml:space="preserve">s tiks noteiks </w:t>
      </w:r>
      <w:r w:rsidR="009567B9">
        <w:t>pēc Labklājības ministrijas veiktā izvērtējuma</w:t>
      </w:r>
      <w:r w:rsidR="009567B9">
        <w:t xml:space="preserve"> </w:t>
      </w:r>
      <w:r w:rsidR="009567B9" w:rsidRPr="009567B9">
        <w:t>par nepieciešamību saglabāt</w:t>
      </w:r>
      <w:r w:rsidR="009567B9">
        <w:t xml:space="preserve"> 75% apmēru.</w:t>
      </w:r>
    </w:p>
    <w:p w14:paraId="0F131EE9" w14:textId="17060C62" w:rsidR="00C70DC9" w:rsidRDefault="00C70DC9" w:rsidP="00C70DC9"/>
    <w:p w14:paraId="37C98944" w14:textId="5BBA60CC" w:rsidR="00C26F78" w:rsidRPr="002E0A09" w:rsidRDefault="00D03788" w:rsidP="00C26F78">
      <w:pPr>
        <w:spacing w:after="120"/>
        <w:jc w:val="center"/>
        <w:rPr>
          <w:rFonts w:cs="Times New Roman"/>
          <w:sz w:val="20"/>
        </w:rPr>
      </w:pPr>
      <w:r w:rsidRPr="00D03788">
        <w:rPr>
          <w:rFonts w:cs="Times New Roman"/>
          <w:sz w:val="20"/>
        </w:rPr>
        <w:t>1</w:t>
      </w:r>
      <w:r w:rsidR="00725CD9">
        <w:rPr>
          <w:rFonts w:cs="Times New Roman"/>
          <w:sz w:val="20"/>
        </w:rPr>
        <w:t>5</w:t>
      </w:r>
      <w:r w:rsidR="00C26F78" w:rsidRPr="00D03788">
        <w:rPr>
          <w:rFonts w:cs="Times New Roman"/>
          <w:sz w:val="20"/>
        </w:rPr>
        <w:t>.</w:t>
      </w:r>
      <w:r w:rsidR="00C26F78" w:rsidRPr="002E0A09">
        <w:rPr>
          <w:rFonts w:cs="Times New Roman"/>
          <w:sz w:val="20"/>
        </w:rPr>
        <w:t>tab</w:t>
      </w:r>
      <w:r w:rsidR="00C26F78" w:rsidRPr="002E0A09">
        <w:rPr>
          <w:rFonts w:cs="Times New Roman"/>
          <w:bCs/>
          <w:sz w:val="20"/>
        </w:rPr>
        <w:t>.</w:t>
      </w:r>
      <w:r w:rsidR="00C26F78" w:rsidRPr="002E0A09">
        <w:rPr>
          <w:rFonts w:cs="Times New Roman"/>
          <w:b/>
          <w:sz w:val="20"/>
        </w:rPr>
        <w:t xml:space="preserve"> Priekšlikuma indikatīva fiskālā ietekme</w:t>
      </w:r>
      <w:r w:rsidR="00CF5E9C" w:rsidRPr="00CF5E9C">
        <w:rPr>
          <w:rFonts w:cs="Times New Roman"/>
          <w:b/>
          <w:sz w:val="20"/>
          <w:vertAlign w:val="superscript"/>
        </w:rPr>
        <w:t>*</w:t>
      </w:r>
      <w:r w:rsidR="00C26F78" w:rsidRPr="002E0A09">
        <w:rPr>
          <w:rFonts w:cs="Times New Roman"/>
          <w:bCs/>
          <w:sz w:val="20"/>
        </w:rPr>
        <w:t>,</w:t>
      </w:r>
      <w:r w:rsidR="00C26F78" w:rsidRPr="002E0A09">
        <w:rPr>
          <w:rFonts w:cs="Times New Roman"/>
          <w:bCs/>
          <w:i/>
          <w:iCs/>
          <w:sz w:val="20"/>
        </w:rPr>
        <w:t> euro</w:t>
      </w:r>
    </w:p>
    <w:tbl>
      <w:tblPr>
        <w:tblStyle w:val="TableGrid"/>
        <w:tblW w:w="9067" w:type="dxa"/>
        <w:tblInd w:w="5" w:type="dxa"/>
        <w:tblLook w:val="04A0" w:firstRow="1" w:lastRow="0" w:firstColumn="1" w:lastColumn="0" w:noHBand="0" w:noVBand="1"/>
      </w:tblPr>
      <w:tblGrid>
        <w:gridCol w:w="3672"/>
        <w:gridCol w:w="1376"/>
        <w:gridCol w:w="1375"/>
        <w:gridCol w:w="1375"/>
        <w:gridCol w:w="1269"/>
      </w:tblGrid>
      <w:tr w:rsidR="00C26F78" w:rsidRPr="00D738ED" w14:paraId="514C908E" w14:textId="77777777" w:rsidTr="00005BE2">
        <w:tc>
          <w:tcPr>
            <w:tcW w:w="3672" w:type="dxa"/>
            <w:tcBorders>
              <w:top w:val="nil"/>
              <w:left w:val="nil"/>
              <w:bottom w:val="single" w:sz="8" w:space="0" w:color="auto"/>
              <w:right w:val="nil"/>
            </w:tcBorders>
            <w:shd w:val="clear" w:color="auto" w:fill="FFFFFF" w:themeFill="background1"/>
          </w:tcPr>
          <w:p w14:paraId="49A3B46B" w14:textId="77777777" w:rsidR="00C26F78" w:rsidRPr="00C11875" w:rsidRDefault="00C26F78" w:rsidP="00005BE2">
            <w:pPr>
              <w:pStyle w:val="ListParagraph"/>
              <w:ind w:left="0"/>
              <w:contextualSpacing w:val="0"/>
              <w:jc w:val="center"/>
              <w:rPr>
                <w:b/>
                <w:bCs/>
                <w:sz w:val="20"/>
                <w:szCs w:val="20"/>
              </w:rPr>
            </w:pPr>
          </w:p>
        </w:tc>
        <w:tc>
          <w:tcPr>
            <w:tcW w:w="1376" w:type="dxa"/>
            <w:tcBorders>
              <w:top w:val="nil"/>
              <w:left w:val="nil"/>
              <w:bottom w:val="single" w:sz="8" w:space="0" w:color="auto"/>
              <w:right w:val="nil"/>
            </w:tcBorders>
            <w:shd w:val="clear" w:color="auto" w:fill="FFFFFF" w:themeFill="background1"/>
            <w:vAlign w:val="bottom"/>
          </w:tcPr>
          <w:p w14:paraId="284D47FC" w14:textId="77777777" w:rsidR="00C26F78" w:rsidRPr="00C11875" w:rsidRDefault="00C26F78" w:rsidP="00005BE2">
            <w:pPr>
              <w:pStyle w:val="ListParagraph"/>
              <w:ind w:left="0"/>
              <w:contextualSpacing w:val="0"/>
              <w:jc w:val="center"/>
              <w:rPr>
                <w:b/>
                <w:bCs/>
                <w:sz w:val="20"/>
                <w:szCs w:val="20"/>
              </w:rPr>
            </w:pPr>
            <w:r w:rsidRPr="00C11875">
              <w:rPr>
                <w:b/>
                <w:bCs/>
                <w:sz w:val="20"/>
                <w:szCs w:val="20"/>
              </w:rPr>
              <w:t>2025</w:t>
            </w:r>
          </w:p>
        </w:tc>
        <w:tc>
          <w:tcPr>
            <w:tcW w:w="1375" w:type="dxa"/>
            <w:tcBorders>
              <w:top w:val="nil"/>
              <w:left w:val="nil"/>
              <w:bottom w:val="single" w:sz="8" w:space="0" w:color="auto"/>
              <w:right w:val="nil"/>
            </w:tcBorders>
            <w:shd w:val="clear" w:color="auto" w:fill="FFFFFF" w:themeFill="background1"/>
            <w:vAlign w:val="bottom"/>
          </w:tcPr>
          <w:p w14:paraId="37CF6397" w14:textId="77777777" w:rsidR="00C26F78" w:rsidRPr="00C11875" w:rsidRDefault="00C26F78" w:rsidP="00005BE2">
            <w:pPr>
              <w:pStyle w:val="ListParagraph"/>
              <w:ind w:left="0"/>
              <w:contextualSpacing w:val="0"/>
              <w:jc w:val="center"/>
              <w:rPr>
                <w:b/>
                <w:bCs/>
                <w:sz w:val="20"/>
                <w:szCs w:val="20"/>
              </w:rPr>
            </w:pPr>
            <w:r w:rsidRPr="00C11875">
              <w:rPr>
                <w:b/>
                <w:bCs/>
                <w:sz w:val="20"/>
                <w:szCs w:val="20"/>
              </w:rPr>
              <w:t>2026</w:t>
            </w:r>
          </w:p>
        </w:tc>
        <w:tc>
          <w:tcPr>
            <w:tcW w:w="1375" w:type="dxa"/>
            <w:tcBorders>
              <w:top w:val="nil"/>
              <w:left w:val="nil"/>
              <w:bottom w:val="single" w:sz="8" w:space="0" w:color="auto"/>
              <w:right w:val="nil"/>
            </w:tcBorders>
            <w:shd w:val="clear" w:color="auto" w:fill="FFFFFF" w:themeFill="background1"/>
            <w:vAlign w:val="bottom"/>
          </w:tcPr>
          <w:p w14:paraId="2A2C77EA" w14:textId="77777777" w:rsidR="00C26F78" w:rsidRPr="00C11875" w:rsidRDefault="00C26F78" w:rsidP="00005BE2">
            <w:pPr>
              <w:pStyle w:val="ListParagraph"/>
              <w:ind w:left="0"/>
              <w:contextualSpacing w:val="0"/>
              <w:jc w:val="center"/>
              <w:rPr>
                <w:b/>
                <w:bCs/>
                <w:sz w:val="20"/>
                <w:szCs w:val="20"/>
              </w:rPr>
            </w:pPr>
            <w:r w:rsidRPr="00C11875">
              <w:rPr>
                <w:b/>
                <w:bCs/>
                <w:sz w:val="20"/>
                <w:szCs w:val="20"/>
              </w:rPr>
              <w:t>2027</w:t>
            </w:r>
          </w:p>
        </w:tc>
        <w:tc>
          <w:tcPr>
            <w:tcW w:w="1269" w:type="dxa"/>
            <w:tcBorders>
              <w:top w:val="nil"/>
              <w:left w:val="nil"/>
              <w:bottom w:val="single" w:sz="8" w:space="0" w:color="auto"/>
              <w:right w:val="nil"/>
            </w:tcBorders>
            <w:shd w:val="clear" w:color="auto" w:fill="FFFFFF" w:themeFill="background1"/>
          </w:tcPr>
          <w:p w14:paraId="0701209B" w14:textId="77777777" w:rsidR="00C26F78" w:rsidRPr="00C11875" w:rsidRDefault="00C26F78" w:rsidP="00005BE2">
            <w:pPr>
              <w:pStyle w:val="ListParagraph"/>
              <w:ind w:left="0"/>
              <w:contextualSpacing w:val="0"/>
              <w:jc w:val="center"/>
              <w:rPr>
                <w:b/>
                <w:bCs/>
                <w:sz w:val="20"/>
                <w:szCs w:val="20"/>
              </w:rPr>
            </w:pPr>
            <w:r w:rsidRPr="00C11875">
              <w:rPr>
                <w:b/>
                <w:bCs/>
                <w:sz w:val="20"/>
                <w:szCs w:val="20"/>
              </w:rPr>
              <w:t>2028</w:t>
            </w:r>
          </w:p>
        </w:tc>
      </w:tr>
      <w:tr w:rsidR="00513AC2" w:rsidRPr="00AF797A" w14:paraId="25BE79BC" w14:textId="77777777" w:rsidTr="00C26F78">
        <w:tc>
          <w:tcPr>
            <w:tcW w:w="3672" w:type="dxa"/>
            <w:tcBorders>
              <w:left w:val="nil"/>
              <w:bottom w:val="single" w:sz="4" w:space="0" w:color="auto"/>
            </w:tcBorders>
            <w:shd w:val="clear" w:color="auto" w:fill="E7E6E6" w:themeFill="background2"/>
            <w:vAlign w:val="center"/>
          </w:tcPr>
          <w:p w14:paraId="7A9F2CF6" w14:textId="2721CD98" w:rsidR="00513AC2" w:rsidRPr="00AF797A" w:rsidRDefault="00513AC2" w:rsidP="00513AC2">
            <w:pPr>
              <w:rPr>
                <w:sz w:val="20"/>
                <w:szCs w:val="20"/>
              </w:rPr>
            </w:pPr>
            <w:r w:rsidRPr="00C26F78">
              <w:rPr>
                <w:b/>
                <w:bCs/>
                <w:sz w:val="20"/>
                <w:szCs w:val="20"/>
              </w:rPr>
              <w:t>VSAOI ieņēmumi</w:t>
            </w:r>
            <w:r w:rsidRPr="002B6702">
              <w:rPr>
                <w:i/>
                <w:iCs/>
                <w:sz w:val="20"/>
                <w:szCs w:val="20"/>
              </w:rPr>
              <w:t>, no tā:</w:t>
            </w:r>
          </w:p>
        </w:tc>
        <w:tc>
          <w:tcPr>
            <w:tcW w:w="1376" w:type="dxa"/>
            <w:tcBorders>
              <w:bottom w:val="single" w:sz="4" w:space="0" w:color="auto"/>
            </w:tcBorders>
            <w:shd w:val="clear" w:color="auto" w:fill="E7E6E6" w:themeFill="background2"/>
            <w:vAlign w:val="center"/>
          </w:tcPr>
          <w:p w14:paraId="478CC603" w14:textId="70EFB445" w:rsidR="00513AC2" w:rsidRPr="00513AC2" w:rsidRDefault="008B390B" w:rsidP="00513AC2">
            <w:pPr>
              <w:pStyle w:val="ListParagraph"/>
              <w:ind w:left="0"/>
              <w:contextualSpacing w:val="0"/>
              <w:jc w:val="center"/>
              <w:rPr>
                <w:b/>
                <w:bCs/>
                <w:color w:val="C00000"/>
                <w:sz w:val="20"/>
                <w:szCs w:val="18"/>
              </w:rPr>
            </w:pPr>
            <w:r>
              <w:rPr>
                <w:b/>
                <w:bCs/>
                <w:color w:val="C00000"/>
                <w:sz w:val="20"/>
                <w:szCs w:val="18"/>
              </w:rPr>
              <w:t>7 682 000</w:t>
            </w:r>
          </w:p>
        </w:tc>
        <w:tc>
          <w:tcPr>
            <w:tcW w:w="1375" w:type="dxa"/>
            <w:tcBorders>
              <w:bottom w:val="single" w:sz="4" w:space="0" w:color="auto"/>
            </w:tcBorders>
            <w:shd w:val="clear" w:color="auto" w:fill="E7E6E6" w:themeFill="background2"/>
            <w:vAlign w:val="center"/>
          </w:tcPr>
          <w:p w14:paraId="7E95499C" w14:textId="419704D9" w:rsidR="00513AC2" w:rsidRPr="008B390B" w:rsidRDefault="008B390B" w:rsidP="00513AC2">
            <w:pPr>
              <w:pStyle w:val="ListParagraph"/>
              <w:ind w:left="0"/>
              <w:contextualSpacing w:val="0"/>
              <w:jc w:val="center"/>
              <w:rPr>
                <w:b/>
                <w:bCs/>
                <w:i/>
                <w:iCs/>
                <w:sz w:val="20"/>
                <w:szCs w:val="18"/>
              </w:rPr>
            </w:pPr>
            <w:r w:rsidRPr="008B390B">
              <w:rPr>
                <w:b/>
                <w:bCs/>
                <w:i/>
                <w:iCs/>
                <w:sz w:val="20"/>
                <w:szCs w:val="18"/>
              </w:rPr>
              <w:t>-</w:t>
            </w:r>
          </w:p>
        </w:tc>
        <w:tc>
          <w:tcPr>
            <w:tcW w:w="1375" w:type="dxa"/>
            <w:tcBorders>
              <w:bottom w:val="single" w:sz="4" w:space="0" w:color="auto"/>
            </w:tcBorders>
            <w:shd w:val="clear" w:color="auto" w:fill="E7E6E6" w:themeFill="background2"/>
            <w:vAlign w:val="center"/>
          </w:tcPr>
          <w:p w14:paraId="4035F4C9" w14:textId="59A1BF7D" w:rsidR="00513AC2" w:rsidRPr="008B390B" w:rsidRDefault="008B390B" w:rsidP="00513AC2">
            <w:pPr>
              <w:pStyle w:val="ListParagraph"/>
              <w:ind w:left="0"/>
              <w:contextualSpacing w:val="0"/>
              <w:jc w:val="center"/>
              <w:rPr>
                <w:b/>
                <w:bCs/>
                <w:i/>
                <w:iCs/>
                <w:sz w:val="20"/>
                <w:szCs w:val="18"/>
              </w:rPr>
            </w:pPr>
            <w:r w:rsidRPr="008B390B">
              <w:rPr>
                <w:b/>
                <w:bCs/>
                <w:i/>
                <w:iCs/>
                <w:sz w:val="20"/>
                <w:szCs w:val="18"/>
              </w:rPr>
              <w:t>-</w:t>
            </w:r>
          </w:p>
        </w:tc>
        <w:tc>
          <w:tcPr>
            <w:tcW w:w="1269" w:type="dxa"/>
            <w:tcBorders>
              <w:bottom w:val="single" w:sz="4" w:space="0" w:color="auto"/>
              <w:right w:val="nil"/>
            </w:tcBorders>
            <w:shd w:val="clear" w:color="auto" w:fill="E7E6E6" w:themeFill="background2"/>
            <w:vAlign w:val="center"/>
          </w:tcPr>
          <w:p w14:paraId="70FC9A75" w14:textId="2D3C0344" w:rsidR="00513AC2" w:rsidRPr="008B390B" w:rsidRDefault="008B390B" w:rsidP="00513AC2">
            <w:pPr>
              <w:pStyle w:val="ListParagraph"/>
              <w:ind w:left="0"/>
              <w:contextualSpacing w:val="0"/>
              <w:jc w:val="center"/>
              <w:rPr>
                <w:b/>
                <w:bCs/>
                <w:i/>
                <w:iCs/>
                <w:sz w:val="20"/>
                <w:szCs w:val="18"/>
              </w:rPr>
            </w:pPr>
            <w:r w:rsidRPr="008B390B">
              <w:rPr>
                <w:b/>
                <w:bCs/>
                <w:i/>
                <w:iCs/>
                <w:sz w:val="20"/>
                <w:szCs w:val="18"/>
              </w:rPr>
              <w:t>-</w:t>
            </w:r>
          </w:p>
        </w:tc>
      </w:tr>
      <w:tr w:rsidR="00513AC2" w:rsidRPr="00AF797A" w14:paraId="1A750446" w14:textId="77777777" w:rsidTr="00C26F78">
        <w:tc>
          <w:tcPr>
            <w:tcW w:w="3672" w:type="dxa"/>
            <w:tcBorders>
              <w:left w:val="nil"/>
              <w:bottom w:val="nil"/>
            </w:tcBorders>
            <w:shd w:val="clear" w:color="auto" w:fill="FFFFFF" w:themeFill="background1"/>
            <w:vAlign w:val="center"/>
          </w:tcPr>
          <w:p w14:paraId="1F67188A" w14:textId="77777777" w:rsidR="00513AC2" w:rsidRPr="00AF797A" w:rsidRDefault="00513AC2" w:rsidP="00513AC2">
            <w:pPr>
              <w:pStyle w:val="ListParagraph"/>
              <w:numPr>
                <w:ilvl w:val="0"/>
                <w:numId w:val="9"/>
              </w:numPr>
              <w:tabs>
                <w:tab w:val="clear" w:pos="720"/>
                <w:tab w:val="num" w:pos="306"/>
              </w:tabs>
              <w:ind w:hanging="698"/>
              <w:contextualSpacing w:val="0"/>
              <w:jc w:val="left"/>
              <w:rPr>
                <w:i/>
                <w:iCs/>
                <w:sz w:val="20"/>
                <w:szCs w:val="20"/>
              </w:rPr>
            </w:pPr>
            <w:r w:rsidRPr="00AF797A">
              <w:rPr>
                <w:i/>
                <w:iCs/>
                <w:sz w:val="20"/>
                <w:szCs w:val="20"/>
              </w:rPr>
              <w:t>speciālajā budžetā</w:t>
            </w:r>
          </w:p>
        </w:tc>
        <w:tc>
          <w:tcPr>
            <w:tcW w:w="1376" w:type="dxa"/>
            <w:tcBorders>
              <w:bottom w:val="nil"/>
            </w:tcBorders>
            <w:shd w:val="clear" w:color="auto" w:fill="FFFFFF" w:themeFill="background1"/>
            <w:vAlign w:val="center"/>
          </w:tcPr>
          <w:p w14:paraId="51252E5D" w14:textId="675B96D6" w:rsidR="00513AC2" w:rsidRPr="00513AC2" w:rsidRDefault="008B390B" w:rsidP="00513AC2">
            <w:pPr>
              <w:pStyle w:val="ListParagraph"/>
              <w:ind w:left="0"/>
              <w:contextualSpacing w:val="0"/>
              <w:jc w:val="center"/>
              <w:rPr>
                <w:i/>
                <w:iCs/>
                <w:color w:val="C00000"/>
                <w:sz w:val="20"/>
                <w:szCs w:val="20"/>
              </w:rPr>
            </w:pPr>
            <w:r>
              <w:rPr>
                <w:i/>
                <w:iCs/>
                <w:color w:val="C00000"/>
                <w:sz w:val="20"/>
                <w:szCs w:val="20"/>
              </w:rPr>
              <w:t>7 682 000</w:t>
            </w:r>
          </w:p>
        </w:tc>
        <w:tc>
          <w:tcPr>
            <w:tcW w:w="1375" w:type="dxa"/>
            <w:tcBorders>
              <w:bottom w:val="nil"/>
            </w:tcBorders>
            <w:shd w:val="clear" w:color="auto" w:fill="FFFFFF" w:themeFill="background1"/>
            <w:vAlign w:val="center"/>
          </w:tcPr>
          <w:p w14:paraId="1A708386" w14:textId="13DD22A9" w:rsidR="00513AC2" w:rsidRPr="008B390B" w:rsidRDefault="008B390B" w:rsidP="00513AC2">
            <w:pPr>
              <w:pStyle w:val="ListParagraph"/>
              <w:ind w:left="0"/>
              <w:contextualSpacing w:val="0"/>
              <w:jc w:val="center"/>
              <w:rPr>
                <w:i/>
                <w:iCs/>
                <w:sz w:val="20"/>
                <w:szCs w:val="20"/>
              </w:rPr>
            </w:pPr>
            <w:r w:rsidRPr="008B390B">
              <w:rPr>
                <w:i/>
                <w:iCs/>
                <w:sz w:val="20"/>
                <w:szCs w:val="20"/>
              </w:rPr>
              <w:t>-</w:t>
            </w:r>
          </w:p>
        </w:tc>
        <w:tc>
          <w:tcPr>
            <w:tcW w:w="1375" w:type="dxa"/>
            <w:tcBorders>
              <w:bottom w:val="nil"/>
            </w:tcBorders>
            <w:shd w:val="clear" w:color="auto" w:fill="FFFFFF" w:themeFill="background1"/>
            <w:vAlign w:val="center"/>
          </w:tcPr>
          <w:p w14:paraId="69726812" w14:textId="6A60850D" w:rsidR="00513AC2" w:rsidRPr="008B390B" w:rsidRDefault="008B390B" w:rsidP="00513AC2">
            <w:pPr>
              <w:pStyle w:val="ListParagraph"/>
              <w:ind w:left="0"/>
              <w:contextualSpacing w:val="0"/>
              <w:jc w:val="center"/>
              <w:rPr>
                <w:i/>
                <w:iCs/>
                <w:sz w:val="20"/>
                <w:szCs w:val="20"/>
              </w:rPr>
            </w:pPr>
            <w:r w:rsidRPr="008B390B">
              <w:rPr>
                <w:i/>
                <w:iCs/>
                <w:sz w:val="20"/>
                <w:szCs w:val="20"/>
              </w:rPr>
              <w:t>-</w:t>
            </w:r>
          </w:p>
        </w:tc>
        <w:tc>
          <w:tcPr>
            <w:tcW w:w="1269" w:type="dxa"/>
            <w:tcBorders>
              <w:bottom w:val="nil"/>
              <w:right w:val="nil"/>
            </w:tcBorders>
            <w:shd w:val="clear" w:color="auto" w:fill="FFFFFF" w:themeFill="background1"/>
            <w:vAlign w:val="center"/>
          </w:tcPr>
          <w:p w14:paraId="650F63D0" w14:textId="72560DE8" w:rsidR="00513AC2" w:rsidRPr="008B390B" w:rsidRDefault="008B390B" w:rsidP="00513AC2">
            <w:pPr>
              <w:pStyle w:val="ListParagraph"/>
              <w:ind w:left="0"/>
              <w:contextualSpacing w:val="0"/>
              <w:jc w:val="center"/>
              <w:rPr>
                <w:i/>
                <w:iCs/>
                <w:sz w:val="20"/>
                <w:szCs w:val="20"/>
              </w:rPr>
            </w:pPr>
            <w:r w:rsidRPr="008B390B">
              <w:rPr>
                <w:i/>
                <w:iCs/>
                <w:sz w:val="20"/>
                <w:szCs w:val="20"/>
              </w:rPr>
              <w:t>-</w:t>
            </w:r>
          </w:p>
        </w:tc>
      </w:tr>
    </w:tbl>
    <w:p w14:paraId="1920752C" w14:textId="78067E2F" w:rsidR="00CF5E9C" w:rsidRPr="00CF5E9C" w:rsidRDefault="00CF5E9C" w:rsidP="00CF5E9C">
      <w:pPr>
        <w:tabs>
          <w:tab w:val="left" w:pos="426"/>
        </w:tabs>
        <w:spacing w:before="120" w:after="120"/>
        <w:jc w:val="both"/>
        <w:rPr>
          <w:rFonts w:cs="Times New Roman"/>
          <w:bCs/>
          <w:i/>
          <w:sz w:val="16"/>
          <w:szCs w:val="16"/>
        </w:rPr>
      </w:pPr>
      <w:r w:rsidRPr="00A468EA">
        <w:rPr>
          <w:rFonts w:cs="Times New Roman"/>
          <w:bCs/>
          <w:i/>
          <w:sz w:val="16"/>
          <w:szCs w:val="16"/>
          <w:vertAlign w:val="superscript"/>
        </w:rPr>
        <w:t>*</w:t>
      </w:r>
      <w:r w:rsidRPr="00A468EA">
        <w:rPr>
          <w:rFonts w:cs="Times New Roman"/>
          <w:bCs/>
          <w:i/>
          <w:sz w:val="16"/>
          <w:szCs w:val="16"/>
        </w:rPr>
        <w:t xml:space="preserve"> Pastāv risks, ka prognozētā negatīvā fiskālā ietekme speciālajā budžetā var būt vēl lielāka, jo mērķa grupas uzvedība, kā arī to ietekmējošie sociāli ekonomiskie faktori nav precīzi paredzami. Iespējams vecāku pabalsta saņēmēju – tēvu, kuru algas krietni augstākas, skaita palielinājums, ģimenēm meklējot finansiāli izdevīgāko pabalsta saņemšanas modeli.</w:t>
      </w:r>
    </w:p>
    <w:p w14:paraId="2FD25F50" w14:textId="708FA07D" w:rsidR="00C26F78" w:rsidRDefault="00C26F78" w:rsidP="009E2256">
      <w:pPr>
        <w:tabs>
          <w:tab w:val="left" w:pos="426"/>
        </w:tabs>
        <w:rPr>
          <w:rFonts w:cs="Times New Roman"/>
          <w:i/>
          <w:sz w:val="18"/>
        </w:rPr>
      </w:pPr>
      <w:r w:rsidRPr="000203BA">
        <w:rPr>
          <w:rFonts w:cs="Times New Roman"/>
          <w:b/>
          <w:bCs/>
          <w:i/>
          <w:sz w:val="18"/>
        </w:rPr>
        <w:t>Avots</w:t>
      </w:r>
      <w:r w:rsidRPr="000203BA">
        <w:rPr>
          <w:rFonts w:cs="Times New Roman"/>
          <w:i/>
          <w:sz w:val="18"/>
        </w:rPr>
        <w:t xml:space="preserve">: </w:t>
      </w:r>
      <w:r>
        <w:rPr>
          <w:rFonts w:cs="Times New Roman"/>
          <w:i/>
          <w:sz w:val="18"/>
        </w:rPr>
        <w:t>L</w:t>
      </w:r>
      <w:r w:rsidRPr="000203BA">
        <w:rPr>
          <w:rFonts w:cs="Times New Roman"/>
          <w:i/>
          <w:sz w:val="18"/>
        </w:rPr>
        <w:t>M aprēķini</w:t>
      </w:r>
      <w:r w:rsidR="00513AC2">
        <w:rPr>
          <w:rFonts w:cs="Times New Roman"/>
          <w:i/>
          <w:sz w:val="18"/>
        </w:rPr>
        <w:t>.</w:t>
      </w:r>
    </w:p>
    <w:p w14:paraId="5F040383" w14:textId="77777777" w:rsidR="009E2256" w:rsidRDefault="009E2256" w:rsidP="009E2256">
      <w:pPr>
        <w:tabs>
          <w:tab w:val="left" w:pos="426"/>
        </w:tabs>
        <w:ind w:firstLine="567"/>
        <w:rPr>
          <w:b/>
        </w:rPr>
      </w:pPr>
    </w:p>
    <w:p w14:paraId="5C149F6D" w14:textId="78C3F149" w:rsidR="009E2256" w:rsidRPr="009E2256" w:rsidRDefault="00367B26" w:rsidP="00637939">
      <w:pPr>
        <w:tabs>
          <w:tab w:val="left" w:pos="426"/>
        </w:tabs>
        <w:ind w:firstLine="567"/>
        <w:jc w:val="both"/>
        <w:rPr>
          <w:bCs/>
          <w:szCs w:val="24"/>
        </w:rPr>
      </w:pPr>
      <w:r>
        <w:rPr>
          <w:bCs/>
          <w:szCs w:val="24"/>
        </w:rPr>
        <w:t xml:space="preserve">Papildus </w:t>
      </w:r>
      <w:r w:rsidR="009E2256" w:rsidRPr="009E2256">
        <w:rPr>
          <w:bCs/>
          <w:szCs w:val="24"/>
        </w:rPr>
        <w:t xml:space="preserve">VSAA izmaiņu realizācijai nepieciešamās IT izmaksas </w:t>
      </w:r>
      <w:r w:rsidR="001E01EB">
        <w:rPr>
          <w:bCs/>
          <w:szCs w:val="24"/>
        </w:rPr>
        <w:t>veido</w:t>
      </w:r>
      <w:r w:rsidR="009E2256" w:rsidRPr="009E2256">
        <w:rPr>
          <w:bCs/>
          <w:szCs w:val="24"/>
        </w:rPr>
        <w:t xml:space="preserve"> aptuveni </w:t>
      </w:r>
      <w:r w:rsidR="009E2256" w:rsidRPr="00D41527">
        <w:rPr>
          <w:rFonts w:eastAsia="Times New Roman" w:cs="Times New Roman"/>
          <w:b/>
          <w:color w:val="C00000"/>
          <w:szCs w:val="24"/>
        </w:rPr>
        <w:t>12</w:t>
      </w:r>
      <w:r w:rsidR="00456496">
        <w:rPr>
          <w:rFonts w:eastAsia="Times New Roman" w:cs="Times New Roman"/>
          <w:b/>
          <w:color w:val="C00000"/>
          <w:szCs w:val="24"/>
        </w:rPr>
        <w:t> </w:t>
      </w:r>
      <w:r w:rsidR="009E2256" w:rsidRPr="00D41527">
        <w:rPr>
          <w:rFonts w:eastAsia="Times New Roman" w:cs="Times New Roman"/>
          <w:b/>
          <w:color w:val="C00000"/>
          <w:szCs w:val="24"/>
        </w:rPr>
        <w:t>245</w:t>
      </w:r>
      <w:r w:rsidR="00456496">
        <w:rPr>
          <w:rFonts w:eastAsia="Times New Roman" w:cs="Times New Roman"/>
          <w:bCs/>
          <w:color w:val="C00000"/>
          <w:szCs w:val="24"/>
        </w:rPr>
        <w:t> </w:t>
      </w:r>
      <w:r w:rsidR="009E2256" w:rsidRPr="00637939">
        <w:rPr>
          <w:rFonts w:eastAsia="Times New Roman" w:cs="Times New Roman"/>
          <w:bCs/>
          <w:i/>
          <w:iCs/>
          <w:szCs w:val="24"/>
        </w:rPr>
        <w:t>euro</w:t>
      </w:r>
      <w:r w:rsidR="009E2256" w:rsidRPr="009E2256">
        <w:rPr>
          <w:rFonts w:eastAsia="Times New Roman" w:cs="Times New Roman"/>
          <w:bCs/>
          <w:szCs w:val="24"/>
        </w:rPr>
        <w:t xml:space="preserve"> (556,60 </w:t>
      </w:r>
      <w:r w:rsidR="009E2256" w:rsidRPr="00637939">
        <w:rPr>
          <w:rFonts w:eastAsia="Times New Roman" w:cs="Times New Roman"/>
          <w:bCs/>
          <w:i/>
          <w:iCs/>
          <w:szCs w:val="24"/>
        </w:rPr>
        <w:t>euro</w:t>
      </w:r>
      <w:r w:rsidR="009E2256" w:rsidRPr="009E2256">
        <w:rPr>
          <w:rFonts w:eastAsia="Times New Roman" w:cs="Times New Roman"/>
          <w:bCs/>
          <w:szCs w:val="24"/>
        </w:rPr>
        <w:t xml:space="preserve"> x 22 c/d). </w:t>
      </w:r>
    </w:p>
    <w:p w14:paraId="07AA6DF7" w14:textId="77777777" w:rsidR="003F034F" w:rsidRDefault="003F034F" w:rsidP="009D6055">
      <w:pPr>
        <w:ind w:firstLine="567"/>
        <w:jc w:val="both"/>
      </w:pPr>
    </w:p>
    <w:p w14:paraId="7576D85C" w14:textId="606B18FC" w:rsidR="00E770B5" w:rsidRDefault="00E770B5" w:rsidP="00E770B5">
      <w:pPr>
        <w:pStyle w:val="Heading2"/>
        <w:tabs>
          <w:tab w:val="left" w:pos="567"/>
        </w:tabs>
        <w:ind w:left="567" w:hanging="567"/>
        <w:rPr>
          <w:sz w:val="40"/>
          <w:szCs w:val="32"/>
        </w:rPr>
      </w:pPr>
      <w:bookmarkStart w:id="39" w:name="_Toc177627709"/>
      <w:r>
        <w:t xml:space="preserve">2.9. </w:t>
      </w:r>
      <w:r>
        <w:tab/>
      </w:r>
      <w:bookmarkStart w:id="40" w:name="_Hlk176794252"/>
      <w:r w:rsidRPr="00E770B5">
        <w:t>IIN attaisnoto izdevumu</w:t>
      </w:r>
      <w:r w:rsidR="00F034EA">
        <w:t xml:space="preserve"> atmaksājamā apmēra pieaugums</w:t>
      </w:r>
      <w:bookmarkEnd w:id="39"/>
    </w:p>
    <w:bookmarkEnd w:id="40"/>
    <w:p w14:paraId="074A1819" w14:textId="3A07B71C" w:rsidR="00F034EA" w:rsidRDefault="00F034EA" w:rsidP="00AD0B9C">
      <w:pPr>
        <w:ind w:firstLine="567"/>
        <w:jc w:val="both"/>
      </w:pPr>
      <w:r>
        <w:t>Atbilstoši darbaspēka nodokļu sloga mazināšanas scenārijam, kas aprakstīts 1.1.2. sadaļā, p</w:t>
      </w:r>
      <w:r w:rsidRPr="00F034EA">
        <w:t xml:space="preserve">ārejot </w:t>
      </w:r>
      <w:r>
        <w:t xml:space="preserve">no šobrīd esošās IIN pamatlikmes </w:t>
      </w:r>
      <w:r w:rsidRPr="00AD0B9C">
        <w:rPr>
          <w:b/>
          <w:bCs/>
        </w:rPr>
        <w:t>20%</w:t>
      </w:r>
      <w:r>
        <w:t xml:space="preserve"> uz </w:t>
      </w:r>
      <w:r w:rsidRPr="00F034EA">
        <w:rPr>
          <w:b/>
          <w:bCs/>
          <w:color w:val="FF0000"/>
        </w:rPr>
        <w:t>25,5%</w:t>
      </w:r>
      <w:r>
        <w:t xml:space="preserve">, </w:t>
      </w:r>
      <w:r w:rsidRPr="00F034EA">
        <w:t>pieaugs attaisnoto izdevumu atmaks</w:t>
      </w:r>
      <w:r>
        <w:t>ājamie apjomi. P</w:t>
      </w:r>
      <w:r w:rsidRPr="00DE20E4">
        <w:t>ieaugs</w:t>
      </w:r>
      <w:r>
        <w:t xml:space="preserve"> summārais ieguvums no IIN attaisnoto izdevumu atgūšanas – tā piemēram, šobrīd</w:t>
      </w:r>
      <w:r w:rsidR="003F034F">
        <w:t>,</w:t>
      </w:r>
      <w:r>
        <w:t xml:space="preserve"> iesniedzot attaisnotos izdevumus </w:t>
      </w:r>
      <w:r w:rsidRPr="00F034EA">
        <w:t>par izglītīb</w:t>
      </w:r>
      <w:r>
        <w:t xml:space="preserve">u, </w:t>
      </w:r>
      <w:r w:rsidRPr="00F034EA">
        <w:t xml:space="preserve">ārstniecības </w:t>
      </w:r>
      <w:r>
        <w:t>pakalpojumiem</w:t>
      </w:r>
      <w:r w:rsidRPr="00F034EA">
        <w:t xml:space="preserve"> </w:t>
      </w:r>
      <w:r>
        <w:lastRenderedPageBreak/>
        <w:t xml:space="preserve">un </w:t>
      </w:r>
      <w:r w:rsidRPr="00F034EA">
        <w:t>ziedojumiem</w:t>
      </w:r>
      <w:r w:rsidR="003F034F">
        <w:t>,</w:t>
      </w:r>
      <w:r>
        <w:t xml:space="preserve"> </w:t>
      </w:r>
      <w:r w:rsidR="00AD0B9C">
        <w:t xml:space="preserve">vienai personai </w:t>
      </w:r>
      <w:r>
        <w:t xml:space="preserve">no budžeta </w:t>
      </w:r>
      <w:r w:rsidR="001F3FD9">
        <w:t xml:space="preserve">tiek atmaksāti </w:t>
      </w:r>
      <w:r w:rsidR="00AD0B9C">
        <w:t xml:space="preserve">maksimāli </w:t>
      </w:r>
      <w:r w:rsidRPr="003F034F">
        <w:rPr>
          <w:b/>
          <w:bCs/>
        </w:rPr>
        <w:t>120</w:t>
      </w:r>
      <w:r>
        <w:t xml:space="preserve"> </w:t>
      </w:r>
      <w:r w:rsidRPr="00DE20E4">
        <w:rPr>
          <w:i/>
          <w:iCs/>
        </w:rPr>
        <w:t>euro</w:t>
      </w:r>
      <w:r>
        <w:t xml:space="preserve"> </w:t>
      </w:r>
      <w:r w:rsidR="00AD0B9C">
        <w:t xml:space="preserve">gadā </w:t>
      </w:r>
      <w:r>
        <w:t>(600 </w:t>
      </w:r>
      <w:r w:rsidRPr="00DE20E4">
        <w:rPr>
          <w:i/>
          <w:iCs/>
        </w:rPr>
        <w:t>euro</w:t>
      </w:r>
      <w:r>
        <w:t xml:space="preserve"> </w:t>
      </w:r>
      <w:r w:rsidR="00AD0B9C">
        <w:t xml:space="preserve">gadā </w:t>
      </w:r>
      <w:r>
        <w:t xml:space="preserve">x 20%), tad ar jauno </w:t>
      </w:r>
      <w:r w:rsidR="001E01EB">
        <w:t xml:space="preserve">IIN </w:t>
      </w:r>
      <w:r>
        <w:t xml:space="preserve">pamatlikmi tie būs </w:t>
      </w:r>
      <w:r w:rsidR="00AD0B9C">
        <w:t xml:space="preserve">maksimāli </w:t>
      </w:r>
      <w:r w:rsidRPr="003F034F">
        <w:rPr>
          <w:b/>
          <w:bCs/>
          <w:color w:val="FF0000"/>
        </w:rPr>
        <w:t>153</w:t>
      </w:r>
      <w:r w:rsidRPr="003F034F">
        <w:rPr>
          <w:color w:val="FF0000"/>
        </w:rPr>
        <w:t xml:space="preserve"> </w:t>
      </w:r>
      <w:r w:rsidRPr="00DE20E4">
        <w:rPr>
          <w:i/>
          <w:iCs/>
        </w:rPr>
        <w:t>euro</w:t>
      </w:r>
      <w:r>
        <w:rPr>
          <w:i/>
          <w:iCs/>
        </w:rPr>
        <w:t xml:space="preserve"> </w:t>
      </w:r>
      <w:r w:rsidR="00AD0B9C">
        <w:t xml:space="preserve">gadā </w:t>
      </w:r>
      <w:r>
        <w:t>(600 </w:t>
      </w:r>
      <w:r w:rsidRPr="00DE20E4">
        <w:rPr>
          <w:i/>
          <w:iCs/>
        </w:rPr>
        <w:t>euro</w:t>
      </w:r>
      <w:r>
        <w:t xml:space="preserve"> </w:t>
      </w:r>
      <w:r w:rsidR="00AD0B9C">
        <w:t xml:space="preserve">gadā </w:t>
      </w:r>
      <w:r>
        <w:t>x 25,5%).</w:t>
      </w:r>
    </w:p>
    <w:p w14:paraId="71B8FA50" w14:textId="77777777" w:rsidR="00637939" w:rsidRPr="00D41527" w:rsidRDefault="00637939" w:rsidP="00E770B5">
      <w:pPr>
        <w:spacing w:after="120"/>
        <w:jc w:val="center"/>
        <w:rPr>
          <w:rFonts w:cs="Times New Roman"/>
          <w:sz w:val="8"/>
          <w:szCs w:val="8"/>
        </w:rPr>
      </w:pPr>
    </w:p>
    <w:p w14:paraId="32ECAABA" w14:textId="2A3F58C1" w:rsidR="00E770B5" w:rsidRPr="002E0A09" w:rsidRDefault="00D03788" w:rsidP="00E770B5">
      <w:pPr>
        <w:spacing w:after="120"/>
        <w:jc w:val="center"/>
        <w:rPr>
          <w:rFonts w:cs="Times New Roman"/>
          <w:sz w:val="20"/>
        </w:rPr>
      </w:pPr>
      <w:r w:rsidRPr="00D03788">
        <w:rPr>
          <w:rFonts w:cs="Times New Roman"/>
          <w:sz w:val="20"/>
        </w:rPr>
        <w:t>1</w:t>
      </w:r>
      <w:r w:rsidR="00725CD9">
        <w:rPr>
          <w:rFonts w:cs="Times New Roman"/>
          <w:sz w:val="20"/>
        </w:rPr>
        <w:t>6</w:t>
      </w:r>
      <w:r w:rsidR="00E770B5" w:rsidRPr="00D03788">
        <w:rPr>
          <w:rFonts w:cs="Times New Roman"/>
          <w:sz w:val="20"/>
        </w:rPr>
        <w:t>.</w:t>
      </w:r>
      <w:r w:rsidR="00E770B5" w:rsidRPr="002E0A09">
        <w:rPr>
          <w:rFonts w:cs="Times New Roman"/>
          <w:sz w:val="20"/>
        </w:rPr>
        <w:t>tab</w:t>
      </w:r>
      <w:r w:rsidR="00E770B5" w:rsidRPr="002E0A09">
        <w:rPr>
          <w:rFonts w:cs="Times New Roman"/>
          <w:bCs/>
          <w:sz w:val="20"/>
        </w:rPr>
        <w:t>.</w:t>
      </w:r>
      <w:r w:rsidR="00E770B5" w:rsidRPr="002E0A09">
        <w:rPr>
          <w:rFonts w:cs="Times New Roman"/>
          <w:b/>
          <w:sz w:val="20"/>
        </w:rPr>
        <w:t xml:space="preserve"> Priekšlikuma indikatīva fiskālā ietekme</w:t>
      </w:r>
      <w:r w:rsidR="00E770B5" w:rsidRPr="002E0A09">
        <w:rPr>
          <w:rFonts w:cs="Times New Roman"/>
          <w:bCs/>
          <w:sz w:val="20"/>
        </w:rPr>
        <w:t>,</w:t>
      </w:r>
      <w:r w:rsidR="00E770B5" w:rsidRPr="002E0A09">
        <w:rPr>
          <w:rFonts w:cs="Times New Roman"/>
          <w:bCs/>
          <w:i/>
          <w:iCs/>
          <w:sz w:val="20"/>
        </w:rPr>
        <w:t> euro</w:t>
      </w:r>
    </w:p>
    <w:tbl>
      <w:tblPr>
        <w:tblStyle w:val="TableGrid"/>
        <w:tblW w:w="9067" w:type="dxa"/>
        <w:tblInd w:w="5" w:type="dxa"/>
        <w:tblLook w:val="04A0" w:firstRow="1" w:lastRow="0" w:firstColumn="1" w:lastColumn="0" w:noHBand="0" w:noVBand="1"/>
      </w:tblPr>
      <w:tblGrid>
        <w:gridCol w:w="3672"/>
        <w:gridCol w:w="1376"/>
        <w:gridCol w:w="1375"/>
        <w:gridCol w:w="1375"/>
        <w:gridCol w:w="1269"/>
      </w:tblGrid>
      <w:tr w:rsidR="00E770B5" w:rsidRPr="00D738ED" w14:paraId="2B2B8932" w14:textId="77777777" w:rsidTr="00005BE2">
        <w:tc>
          <w:tcPr>
            <w:tcW w:w="3672" w:type="dxa"/>
            <w:tcBorders>
              <w:top w:val="nil"/>
              <w:left w:val="nil"/>
              <w:bottom w:val="single" w:sz="8" w:space="0" w:color="auto"/>
              <w:right w:val="nil"/>
            </w:tcBorders>
            <w:shd w:val="clear" w:color="auto" w:fill="FFFFFF" w:themeFill="background1"/>
          </w:tcPr>
          <w:p w14:paraId="3C5E6767" w14:textId="77777777" w:rsidR="00E770B5" w:rsidRPr="00C11875" w:rsidRDefault="00E770B5" w:rsidP="00005BE2">
            <w:pPr>
              <w:pStyle w:val="ListParagraph"/>
              <w:ind w:left="0"/>
              <w:contextualSpacing w:val="0"/>
              <w:jc w:val="center"/>
              <w:rPr>
                <w:b/>
                <w:bCs/>
                <w:sz w:val="20"/>
                <w:szCs w:val="20"/>
              </w:rPr>
            </w:pPr>
          </w:p>
        </w:tc>
        <w:tc>
          <w:tcPr>
            <w:tcW w:w="1376" w:type="dxa"/>
            <w:tcBorders>
              <w:top w:val="nil"/>
              <w:left w:val="nil"/>
              <w:bottom w:val="single" w:sz="8" w:space="0" w:color="auto"/>
              <w:right w:val="nil"/>
            </w:tcBorders>
            <w:shd w:val="clear" w:color="auto" w:fill="FFFFFF" w:themeFill="background1"/>
            <w:vAlign w:val="bottom"/>
          </w:tcPr>
          <w:p w14:paraId="0CB1BF5A" w14:textId="77777777" w:rsidR="00E770B5" w:rsidRPr="00C11875" w:rsidRDefault="00E770B5" w:rsidP="00005BE2">
            <w:pPr>
              <w:pStyle w:val="ListParagraph"/>
              <w:ind w:left="0"/>
              <w:contextualSpacing w:val="0"/>
              <w:jc w:val="center"/>
              <w:rPr>
                <w:b/>
                <w:bCs/>
                <w:sz w:val="20"/>
                <w:szCs w:val="20"/>
              </w:rPr>
            </w:pPr>
            <w:r w:rsidRPr="00C11875">
              <w:rPr>
                <w:b/>
                <w:bCs/>
                <w:sz w:val="20"/>
                <w:szCs w:val="20"/>
              </w:rPr>
              <w:t>2025</w:t>
            </w:r>
          </w:p>
        </w:tc>
        <w:tc>
          <w:tcPr>
            <w:tcW w:w="1375" w:type="dxa"/>
            <w:tcBorders>
              <w:top w:val="nil"/>
              <w:left w:val="nil"/>
              <w:bottom w:val="single" w:sz="8" w:space="0" w:color="auto"/>
              <w:right w:val="nil"/>
            </w:tcBorders>
            <w:shd w:val="clear" w:color="auto" w:fill="FFFFFF" w:themeFill="background1"/>
            <w:vAlign w:val="bottom"/>
          </w:tcPr>
          <w:p w14:paraId="1A068683" w14:textId="77777777" w:rsidR="00E770B5" w:rsidRPr="00C11875" w:rsidRDefault="00E770B5" w:rsidP="00005BE2">
            <w:pPr>
              <w:pStyle w:val="ListParagraph"/>
              <w:ind w:left="0"/>
              <w:contextualSpacing w:val="0"/>
              <w:jc w:val="center"/>
              <w:rPr>
                <w:b/>
                <w:bCs/>
                <w:sz w:val="20"/>
                <w:szCs w:val="20"/>
              </w:rPr>
            </w:pPr>
            <w:r w:rsidRPr="00C11875">
              <w:rPr>
                <w:b/>
                <w:bCs/>
                <w:sz w:val="20"/>
                <w:szCs w:val="20"/>
              </w:rPr>
              <w:t>2026</w:t>
            </w:r>
          </w:p>
        </w:tc>
        <w:tc>
          <w:tcPr>
            <w:tcW w:w="1375" w:type="dxa"/>
            <w:tcBorders>
              <w:top w:val="nil"/>
              <w:left w:val="nil"/>
              <w:bottom w:val="single" w:sz="8" w:space="0" w:color="auto"/>
              <w:right w:val="nil"/>
            </w:tcBorders>
            <w:shd w:val="clear" w:color="auto" w:fill="FFFFFF" w:themeFill="background1"/>
            <w:vAlign w:val="bottom"/>
          </w:tcPr>
          <w:p w14:paraId="07630684" w14:textId="77777777" w:rsidR="00E770B5" w:rsidRPr="00C11875" w:rsidRDefault="00E770B5" w:rsidP="00005BE2">
            <w:pPr>
              <w:pStyle w:val="ListParagraph"/>
              <w:ind w:left="0"/>
              <w:contextualSpacing w:val="0"/>
              <w:jc w:val="center"/>
              <w:rPr>
                <w:b/>
                <w:bCs/>
                <w:sz w:val="20"/>
                <w:szCs w:val="20"/>
              </w:rPr>
            </w:pPr>
            <w:r w:rsidRPr="00C11875">
              <w:rPr>
                <w:b/>
                <w:bCs/>
                <w:sz w:val="20"/>
                <w:szCs w:val="20"/>
              </w:rPr>
              <w:t>2027</w:t>
            </w:r>
          </w:p>
        </w:tc>
        <w:tc>
          <w:tcPr>
            <w:tcW w:w="1269" w:type="dxa"/>
            <w:tcBorders>
              <w:top w:val="nil"/>
              <w:left w:val="nil"/>
              <w:bottom w:val="single" w:sz="8" w:space="0" w:color="auto"/>
              <w:right w:val="nil"/>
            </w:tcBorders>
            <w:shd w:val="clear" w:color="auto" w:fill="FFFFFF" w:themeFill="background1"/>
          </w:tcPr>
          <w:p w14:paraId="7CFDAEE5" w14:textId="77777777" w:rsidR="00E770B5" w:rsidRPr="00C11875" w:rsidRDefault="00E770B5" w:rsidP="00005BE2">
            <w:pPr>
              <w:pStyle w:val="ListParagraph"/>
              <w:ind w:left="0"/>
              <w:contextualSpacing w:val="0"/>
              <w:jc w:val="center"/>
              <w:rPr>
                <w:b/>
                <w:bCs/>
                <w:sz w:val="20"/>
                <w:szCs w:val="20"/>
              </w:rPr>
            </w:pPr>
            <w:r w:rsidRPr="00C11875">
              <w:rPr>
                <w:b/>
                <w:bCs/>
                <w:sz w:val="20"/>
                <w:szCs w:val="20"/>
              </w:rPr>
              <w:t>2028</w:t>
            </w:r>
          </w:p>
        </w:tc>
      </w:tr>
      <w:tr w:rsidR="00E770B5" w:rsidRPr="00AF797A" w14:paraId="66E697B8" w14:textId="77777777" w:rsidTr="00005BE2">
        <w:tc>
          <w:tcPr>
            <w:tcW w:w="3672" w:type="dxa"/>
            <w:tcBorders>
              <w:left w:val="nil"/>
              <w:bottom w:val="single" w:sz="4" w:space="0" w:color="auto"/>
            </w:tcBorders>
            <w:shd w:val="clear" w:color="auto" w:fill="E7E6E6" w:themeFill="background2"/>
            <w:vAlign w:val="center"/>
          </w:tcPr>
          <w:p w14:paraId="403AFC56" w14:textId="3A037D51" w:rsidR="00E770B5" w:rsidRPr="00AF797A" w:rsidRDefault="00E770B5" w:rsidP="00E770B5">
            <w:pPr>
              <w:rPr>
                <w:sz w:val="20"/>
                <w:szCs w:val="20"/>
              </w:rPr>
            </w:pPr>
            <w:r>
              <w:rPr>
                <w:b/>
                <w:bCs/>
                <w:sz w:val="20"/>
                <w:szCs w:val="20"/>
              </w:rPr>
              <w:t>IIN</w:t>
            </w:r>
            <w:r w:rsidRPr="00C26F78">
              <w:rPr>
                <w:b/>
                <w:bCs/>
                <w:sz w:val="20"/>
                <w:szCs w:val="20"/>
              </w:rPr>
              <w:t xml:space="preserve"> ieņēmumi</w:t>
            </w:r>
            <w:r w:rsidRPr="002B6702">
              <w:rPr>
                <w:i/>
                <w:iCs/>
                <w:sz w:val="20"/>
                <w:szCs w:val="20"/>
              </w:rPr>
              <w:t>, no tā:</w:t>
            </w:r>
          </w:p>
        </w:tc>
        <w:tc>
          <w:tcPr>
            <w:tcW w:w="1376" w:type="dxa"/>
            <w:tcBorders>
              <w:bottom w:val="single" w:sz="4" w:space="0" w:color="auto"/>
            </w:tcBorders>
            <w:shd w:val="clear" w:color="auto" w:fill="E7E6E6" w:themeFill="background2"/>
            <w:vAlign w:val="center"/>
          </w:tcPr>
          <w:p w14:paraId="31EF396C" w14:textId="0EC0650F" w:rsidR="00E770B5" w:rsidRPr="00F034EA" w:rsidRDefault="00F034EA" w:rsidP="00E770B5">
            <w:pPr>
              <w:pStyle w:val="ListParagraph"/>
              <w:ind w:left="0"/>
              <w:contextualSpacing w:val="0"/>
              <w:jc w:val="center"/>
              <w:rPr>
                <w:sz w:val="20"/>
                <w:szCs w:val="20"/>
              </w:rPr>
            </w:pPr>
            <w:r w:rsidRPr="00F034EA">
              <w:rPr>
                <w:sz w:val="20"/>
                <w:szCs w:val="20"/>
              </w:rPr>
              <w:t>-</w:t>
            </w:r>
          </w:p>
        </w:tc>
        <w:tc>
          <w:tcPr>
            <w:tcW w:w="1375" w:type="dxa"/>
            <w:tcBorders>
              <w:bottom w:val="single" w:sz="4" w:space="0" w:color="auto"/>
            </w:tcBorders>
            <w:shd w:val="clear" w:color="auto" w:fill="E7E6E6" w:themeFill="background2"/>
            <w:vAlign w:val="center"/>
          </w:tcPr>
          <w:p w14:paraId="417AB755" w14:textId="71893801" w:rsidR="00E770B5" w:rsidRPr="00E770B5" w:rsidRDefault="00E770B5" w:rsidP="00E770B5">
            <w:pPr>
              <w:pStyle w:val="ListParagraph"/>
              <w:ind w:left="0"/>
              <w:contextualSpacing w:val="0"/>
              <w:jc w:val="center"/>
              <w:rPr>
                <w:b/>
                <w:bCs/>
                <w:i/>
                <w:iCs/>
                <w:color w:val="C00000"/>
                <w:sz w:val="20"/>
                <w:szCs w:val="20"/>
              </w:rPr>
            </w:pPr>
            <w:r w:rsidRPr="00E770B5">
              <w:rPr>
                <w:b/>
                <w:bCs/>
                <w:color w:val="C00000"/>
                <w:sz w:val="20"/>
                <w:szCs w:val="20"/>
              </w:rPr>
              <w:t>-</w:t>
            </w:r>
            <w:r>
              <w:rPr>
                <w:b/>
                <w:bCs/>
                <w:color w:val="C00000"/>
                <w:sz w:val="20"/>
                <w:szCs w:val="20"/>
              </w:rPr>
              <w:t>8</w:t>
            </w:r>
            <w:r w:rsidR="00221DAF">
              <w:rPr>
                <w:b/>
                <w:bCs/>
                <w:color w:val="C00000"/>
                <w:sz w:val="20"/>
                <w:szCs w:val="20"/>
              </w:rPr>
              <w:t> </w:t>
            </w:r>
            <w:r>
              <w:rPr>
                <w:b/>
                <w:bCs/>
                <w:color w:val="C00000"/>
                <w:sz w:val="20"/>
                <w:szCs w:val="20"/>
              </w:rPr>
              <w:t>290</w:t>
            </w:r>
            <w:r w:rsidR="00221DAF">
              <w:rPr>
                <w:b/>
                <w:bCs/>
                <w:color w:val="C00000"/>
                <w:sz w:val="20"/>
                <w:szCs w:val="20"/>
              </w:rPr>
              <w:t xml:space="preserve"> 000</w:t>
            </w:r>
          </w:p>
        </w:tc>
        <w:tc>
          <w:tcPr>
            <w:tcW w:w="1375" w:type="dxa"/>
            <w:tcBorders>
              <w:bottom w:val="single" w:sz="4" w:space="0" w:color="auto"/>
            </w:tcBorders>
            <w:shd w:val="clear" w:color="auto" w:fill="E7E6E6" w:themeFill="background2"/>
            <w:vAlign w:val="center"/>
          </w:tcPr>
          <w:p w14:paraId="1BD7FC37" w14:textId="5F2209AD" w:rsidR="00E770B5" w:rsidRPr="00E770B5" w:rsidRDefault="00E770B5" w:rsidP="00E770B5">
            <w:pPr>
              <w:pStyle w:val="ListParagraph"/>
              <w:ind w:left="0"/>
              <w:contextualSpacing w:val="0"/>
              <w:jc w:val="center"/>
              <w:rPr>
                <w:b/>
                <w:bCs/>
                <w:i/>
                <w:iCs/>
                <w:color w:val="C00000"/>
                <w:sz w:val="20"/>
                <w:szCs w:val="20"/>
              </w:rPr>
            </w:pPr>
            <w:r w:rsidRPr="00E770B5">
              <w:rPr>
                <w:b/>
                <w:bCs/>
                <w:color w:val="C00000"/>
                <w:sz w:val="20"/>
                <w:szCs w:val="20"/>
              </w:rPr>
              <w:t>-</w:t>
            </w:r>
            <w:r>
              <w:rPr>
                <w:b/>
                <w:bCs/>
                <w:color w:val="C00000"/>
                <w:sz w:val="20"/>
                <w:szCs w:val="20"/>
              </w:rPr>
              <w:t>8</w:t>
            </w:r>
            <w:r w:rsidR="00221DAF">
              <w:rPr>
                <w:b/>
                <w:bCs/>
                <w:color w:val="C00000"/>
                <w:sz w:val="20"/>
                <w:szCs w:val="20"/>
              </w:rPr>
              <w:t> </w:t>
            </w:r>
            <w:r>
              <w:rPr>
                <w:b/>
                <w:bCs/>
                <w:color w:val="C00000"/>
                <w:sz w:val="20"/>
                <w:szCs w:val="20"/>
              </w:rPr>
              <w:t>370</w:t>
            </w:r>
            <w:r w:rsidR="00221DAF">
              <w:rPr>
                <w:b/>
                <w:bCs/>
                <w:color w:val="C00000"/>
                <w:sz w:val="20"/>
                <w:szCs w:val="20"/>
              </w:rPr>
              <w:t xml:space="preserve"> 000</w:t>
            </w:r>
          </w:p>
        </w:tc>
        <w:tc>
          <w:tcPr>
            <w:tcW w:w="1269" w:type="dxa"/>
            <w:tcBorders>
              <w:bottom w:val="single" w:sz="4" w:space="0" w:color="auto"/>
              <w:right w:val="nil"/>
            </w:tcBorders>
            <w:shd w:val="clear" w:color="auto" w:fill="E7E6E6" w:themeFill="background2"/>
            <w:vAlign w:val="center"/>
          </w:tcPr>
          <w:p w14:paraId="47F396A2" w14:textId="32B7268B" w:rsidR="00E770B5" w:rsidRPr="00E770B5" w:rsidRDefault="00E770B5" w:rsidP="00E770B5">
            <w:pPr>
              <w:pStyle w:val="ListParagraph"/>
              <w:ind w:left="0"/>
              <w:contextualSpacing w:val="0"/>
              <w:jc w:val="center"/>
              <w:rPr>
                <w:b/>
                <w:bCs/>
                <w:i/>
                <w:iCs/>
                <w:color w:val="C00000"/>
                <w:sz w:val="20"/>
                <w:szCs w:val="20"/>
              </w:rPr>
            </w:pPr>
            <w:r w:rsidRPr="00E770B5">
              <w:rPr>
                <w:b/>
                <w:bCs/>
                <w:color w:val="C00000"/>
                <w:sz w:val="20"/>
                <w:szCs w:val="20"/>
              </w:rPr>
              <w:t>-</w:t>
            </w:r>
            <w:r>
              <w:rPr>
                <w:b/>
                <w:bCs/>
                <w:color w:val="C00000"/>
                <w:sz w:val="20"/>
                <w:szCs w:val="20"/>
              </w:rPr>
              <w:t>8</w:t>
            </w:r>
            <w:r w:rsidR="00221DAF">
              <w:rPr>
                <w:b/>
                <w:bCs/>
                <w:color w:val="C00000"/>
                <w:sz w:val="20"/>
                <w:szCs w:val="20"/>
              </w:rPr>
              <w:t> </w:t>
            </w:r>
            <w:r>
              <w:rPr>
                <w:b/>
                <w:bCs/>
                <w:color w:val="C00000"/>
                <w:sz w:val="20"/>
                <w:szCs w:val="20"/>
              </w:rPr>
              <w:t>452</w:t>
            </w:r>
            <w:r w:rsidR="00221DAF">
              <w:rPr>
                <w:b/>
                <w:bCs/>
                <w:color w:val="C00000"/>
                <w:sz w:val="20"/>
                <w:szCs w:val="20"/>
              </w:rPr>
              <w:t xml:space="preserve"> 000</w:t>
            </w:r>
          </w:p>
        </w:tc>
      </w:tr>
      <w:tr w:rsidR="00E770B5" w:rsidRPr="00AF797A" w14:paraId="60B3892A" w14:textId="77777777" w:rsidTr="00E770B5">
        <w:tc>
          <w:tcPr>
            <w:tcW w:w="3672" w:type="dxa"/>
            <w:tcBorders>
              <w:left w:val="nil"/>
            </w:tcBorders>
            <w:shd w:val="clear" w:color="auto" w:fill="FFFFFF" w:themeFill="background1"/>
            <w:vAlign w:val="center"/>
          </w:tcPr>
          <w:p w14:paraId="37576A00" w14:textId="6F59C638" w:rsidR="00E770B5" w:rsidRPr="00AF797A" w:rsidRDefault="00E770B5" w:rsidP="00E770B5">
            <w:pPr>
              <w:pStyle w:val="ListParagraph"/>
              <w:numPr>
                <w:ilvl w:val="0"/>
                <w:numId w:val="9"/>
              </w:numPr>
              <w:tabs>
                <w:tab w:val="clear" w:pos="720"/>
                <w:tab w:val="num" w:pos="306"/>
              </w:tabs>
              <w:ind w:hanging="698"/>
              <w:contextualSpacing w:val="0"/>
              <w:jc w:val="left"/>
              <w:rPr>
                <w:i/>
                <w:iCs/>
                <w:sz w:val="20"/>
                <w:szCs w:val="20"/>
              </w:rPr>
            </w:pPr>
            <w:r w:rsidRPr="00AF797A">
              <w:rPr>
                <w:i/>
                <w:iCs/>
                <w:sz w:val="20"/>
                <w:szCs w:val="20"/>
              </w:rPr>
              <w:t>valsts pamatbudžetā</w:t>
            </w:r>
          </w:p>
        </w:tc>
        <w:tc>
          <w:tcPr>
            <w:tcW w:w="1376" w:type="dxa"/>
            <w:shd w:val="clear" w:color="auto" w:fill="FFFFFF" w:themeFill="background1"/>
            <w:vAlign w:val="center"/>
          </w:tcPr>
          <w:p w14:paraId="2F8A5B04" w14:textId="56F0C7B3" w:rsidR="00E770B5" w:rsidRPr="00F034EA" w:rsidRDefault="00F034EA" w:rsidP="00E770B5">
            <w:pPr>
              <w:pStyle w:val="ListParagraph"/>
              <w:ind w:left="0"/>
              <w:contextualSpacing w:val="0"/>
              <w:jc w:val="center"/>
              <w:rPr>
                <w:i/>
                <w:iCs/>
                <w:sz w:val="20"/>
                <w:szCs w:val="20"/>
              </w:rPr>
            </w:pPr>
            <w:r w:rsidRPr="00F034EA">
              <w:rPr>
                <w:i/>
                <w:iCs/>
                <w:sz w:val="20"/>
                <w:szCs w:val="20"/>
              </w:rPr>
              <w:t>-</w:t>
            </w:r>
          </w:p>
        </w:tc>
        <w:tc>
          <w:tcPr>
            <w:tcW w:w="1375" w:type="dxa"/>
            <w:shd w:val="clear" w:color="auto" w:fill="FFFFFF" w:themeFill="background1"/>
            <w:vAlign w:val="center"/>
          </w:tcPr>
          <w:p w14:paraId="69D27A33" w14:textId="65BBE5AA" w:rsidR="00E770B5" w:rsidRPr="00AF797A" w:rsidRDefault="00E770B5" w:rsidP="00E770B5">
            <w:pPr>
              <w:pStyle w:val="ListParagraph"/>
              <w:ind w:left="0"/>
              <w:contextualSpacing w:val="0"/>
              <w:jc w:val="center"/>
              <w:rPr>
                <w:i/>
                <w:iCs/>
                <w:color w:val="C00000"/>
                <w:sz w:val="20"/>
                <w:szCs w:val="20"/>
              </w:rPr>
            </w:pPr>
            <w:r>
              <w:rPr>
                <w:i/>
                <w:iCs/>
                <w:color w:val="C00000"/>
                <w:sz w:val="20"/>
                <w:szCs w:val="20"/>
              </w:rPr>
              <w:t>-2</w:t>
            </w:r>
            <w:r w:rsidR="00221DAF">
              <w:rPr>
                <w:i/>
                <w:iCs/>
                <w:color w:val="C00000"/>
                <w:sz w:val="20"/>
                <w:szCs w:val="20"/>
              </w:rPr>
              <w:t> </w:t>
            </w:r>
            <w:r>
              <w:rPr>
                <w:i/>
                <w:iCs/>
                <w:color w:val="C00000"/>
                <w:sz w:val="20"/>
                <w:szCs w:val="20"/>
              </w:rPr>
              <w:t>07</w:t>
            </w:r>
            <w:r w:rsidR="00221DAF">
              <w:rPr>
                <w:i/>
                <w:iCs/>
                <w:color w:val="C00000"/>
                <w:sz w:val="20"/>
                <w:szCs w:val="20"/>
              </w:rPr>
              <w:t>2 500</w:t>
            </w:r>
          </w:p>
        </w:tc>
        <w:tc>
          <w:tcPr>
            <w:tcW w:w="1375" w:type="dxa"/>
            <w:shd w:val="clear" w:color="auto" w:fill="FFFFFF" w:themeFill="background1"/>
            <w:vAlign w:val="center"/>
          </w:tcPr>
          <w:p w14:paraId="4AA6D6E3" w14:textId="6FCA9B6B" w:rsidR="00E770B5" w:rsidRPr="00AF797A" w:rsidRDefault="00E770B5" w:rsidP="00E770B5">
            <w:pPr>
              <w:pStyle w:val="ListParagraph"/>
              <w:ind w:left="0"/>
              <w:contextualSpacing w:val="0"/>
              <w:jc w:val="center"/>
              <w:rPr>
                <w:i/>
                <w:iCs/>
                <w:color w:val="C00000"/>
                <w:sz w:val="20"/>
                <w:szCs w:val="20"/>
              </w:rPr>
            </w:pPr>
            <w:r>
              <w:rPr>
                <w:i/>
                <w:iCs/>
                <w:color w:val="C00000"/>
                <w:sz w:val="20"/>
                <w:szCs w:val="20"/>
              </w:rPr>
              <w:t>-2</w:t>
            </w:r>
            <w:r w:rsidR="00221DAF">
              <w:rPr>
                <w:i/>
                <w:iCs/>
                <w:color w:val="C00000"/>
                <w:sz w:val="20"/>
                <w:szCs w:val="20"/>
              </w:rPr>
              <w:t> </w:t>
            </w:r>
            <w:r>
              <w:rPr>
                <w:i/>
                <w:iCs/>
                <w:color w:val="C00000"/>
                <w:sz w:val="20"/>
                <w:szCs w:val="20"/>
              </w:rPr>
              <w:t>09</w:t>
            </w:r>
            <w:r w:rsidR="00221DAF">
              <w:rPr>
                <w:i/>
                <w:iCs/>
                <w:color w:val="C00000"/>
                <w:sz w:val="20"/>
                <w:szCs w:val="20"/>
              </w:rPr>
              <w:t>2 500</w:t>
            </w:r>
          </w:p>
        </w:tc>
        <w:tc>
          <w:tcPr>
            <w:tcW w:w="1269" w:type="dxa"/>
            <w:tcBorders>
              <w:right w:val="nil"/>
            </w:tcBorders>
            <w:shd w:val="clear" w:color="auto" w:fill="FFFFFF" w:themeFill="background1"/>
            <w:vAlign w:val="center"/>
          </w:tcPr>
          <w:p w14:paraId="7D8E8C91" w14:textId="57E609B6" w:rsidR="00E770B5" w:rsidRPr="00AF797A" w:rsidRDefault="00E770B5" w:rsidP="00E770B5">
            <w:pPr>
              <w:pStyle w:val="ListParagraph"/>
              <w:ind w:left="0"/>
              <w:contextualSpacing w:val="0"/>
              <w:jc w:val="center"/>
              <w:rPr>
                <w:i/>
                <w:iCs/>
                <w:color w:val="C00000"/>
                <w:sz w:val="20"/>
                <w:szCs w:val="20"/>
              </w:rPr>
            </w:pPr>
            <w:r>
              <w:rPr>
                <w:i/>
                <w:iCs/>
                <w:color w:val="C00000"/>
                <w:sz w:val="20"/>
                <w:szCs w:val="20"/>
              </w:rPr>
              <w:t>-2</w:t>
            </w:r>
            <w:r w:rsidR="00221DAF">
              <w:rPr>
                <w:i/>
                <w:iCs/>
                <w:color w:val="C00000"/>
                <w:sz w:val="20"/>
                <w:szCs w:val="20"/>
              </w:rPr>
              <w:t> </w:t>
            </w:r>
            <w:r>
              <w:rPr>
                <w:i/>
                <w:iCs/>
                <w:color w:val="C00000"/>
                <w:sz w:val="20"/>
                <w:szCs w:val="20"/>
              </w:rPr>
              <w:t>113</w:t>
            </w:r>
            <w:r w:rsidR="00221DAF">
              <w:rPr>
                <w:i/>
                <w:iCs/>
                <w:color w:val="C00000"/>
                <w:sz w:val="20"/>
                <w:szCs w:val="20"/>
              </w:rPr>
              <w:t xml:space="preserve"> 000</w:t>
            </w:r>
          </w:p>
        </w:tc>
      </w:tr>
      <w:tr w:rsidR="00E770B5" w:rsidRPr="00AF797A" w14:paraId="05B694CA" w14:textId="77777777" w:rsidTr="00005BE2">
        <w:tc>
          <w:tcPr>
            <w:tcW w:w="3672" w:type="dxa"/>
            <w:tcBorders>
              <w:left w:val="nil"/>
              <w:bottom w:val="nil"/>
            </w:tcBorders>
            <w:shd w:val="clear" w:color="auto" w:fill="FFFFFF" w:themeFill="background1"/>
            <w:vAlign w:val="center"/>
          </w:tcPr>
          <w:p w14:paraId="783A2953" w14:textId="62164475" w:rsidR="00E770B5" w:rsidRPr="00AF797A" w:rsidRDefault="00E770B5" w:rsidP="00E770B5">
            <w:pPr>
              <w:pStyle w:val="ListParagraph"/>
              <w:numPr>
                <w:ilvl w:val="0"/>
                <w:numId w:val="9"/>
              </w:numPr>
              <w:tabs>
                <w:tab w:val="clear" w:pos="720"/>
                <w:tab w:val="num" w:pos="306"/>
              </w:tabs>
              <w:ind w:hanging="698"/>
              <w:contextualSpacing w:val="0"/>
              <w:jc w:val="left"/>
              <w:rPr>
                <w:i/>
                <w:iCs/>
                <w:sz w:val="20"/>
                <w:szCs w:val="20"/>
              </w:rPr>
            </w:pPr>
            <w:r w:rsidRPr="00AF797A">
              <w:rPr>
                <w:i/>
                <w:iCs/>
                <w:sz w:val="20"/>
                <w:szCs w:val="20"/>
              </w:rPr>
              <w:t>pašvaldību budžetos</w:t>
            </w:r>
          </w:p>
        </w:tc>
        <w:tc>
          <w:tcPr>
            <w:tcW w:w="1376" w:type="dxa"/>
            <w:tcBorders>
              <w:bottom w:val="nil"/>
            </w:tcBorders>
            <w:shd w:val="clear" w:color="auto" w:fill="FFFFFF" w:themeFill="background1"/>
            <w:vAlign w:val="center"/>
          </w:tcPr>
          <w:p w14:paraId="6A503F53" w14:textId="6E29F611" w:rsidR="00E770B5" w:rsidRPr="00F034EA" w:rsidRDefault="00F034EA" w:rsidP="00E770B5">
            <w:pPr>
              <w:pStyle w:val="ListParagraph"/>
              <w:ind w:left="0"/>
              <w:contextualSpacing w:val="0"/>
              <w:jc w:val="center"/>
              <w:rPr>
                <w:i/>
                <w:iCs/>
                <w:sz w:val="20"/>
                <w:szCs w:val="20"/>
              </w:rPr>
            </w:pPr>
            <w:r w:rsidRPr="00F034EA">
              <w:rPr>
                <w:i/>
                <w:iCs/>
                <w:sz w:val="20"/>
                <w:szCs w:val="20"/>
              </w:rPr>
              <w:t>-</w:t>
            </w:r>
          </w:p>
        </w:tc>
        <w:tc>
          <w:tcPr>
            <w:tcW w:w="1375" w:type="dxa"/>
            <w:tcBorders>
              <w:bottom w:val="nil"/>
            </w:tcBorders>
            <w:shd w:val="clear" w:color="auto" w:fill="FFFFFF" w:themeFill="background1"/>
            <w:vAlign w:val="center"/>
          </w:tcPr>
          <w:p w14:paraId="239A3BD4" w14:textId="3321F1CD" w:rsidR="00E770B5" w:rsidRDefault="00E770B5" w:rsidP="00E770B5">
            <w:pPr>
              <w:pStyle w:val="ListParagraph"/>
              <w:ind w:left="0"/>
              <w:contextualSpacing w:val="0"/>
              <w:jc w:val="center"/>
              <w:rPr>
                <w:i/>
                <w:iCs/>
                <w:color w:val="C00000"/>
                <w:sz w:val="20"/>
                <w:szCs w:val="20"/>
              </w:rPr>
            </w:pPr>
            <w:r>
              <w:rPr>
                <w:i/>
                <w:iCs/>
                <w:color w:val="C00000"/>
                <w:sz w:val="20"/>
                <w:szCs w:val="20"/>
              </w:rPr>
              <w:t>-6</w:t>
            </w:r>
            <w:r w:rsidR="00221DAF">
              <w:rPr>
                <w:i/>
                <w:iCs/>
                <w:color w:val="C00000"/>
                <w:sz w:val="20"/>
                <w:szCs w:val="20"/>
              </w:rPr>
              <w:t> </w:t>
            </w:r>
            <w:r w:rsidR="002C47B1">
              <w:rPr>
                <w:i/>
                <w:iCs/>
                <w:color w:val="C00000"/>
                <w:sz w:val="20"/>
                <w:szCs w:val="20"/>
              </w:rPr>
              <w:t>21</w:t>
            </w:r>
            <w:r w:rsidR="00221DAF">
              <w:rPr>
                <w:i/>
                <w:iCs/>
                <w:color w:val="C00000"/>
                <w:sz w:val="20"/>
                <w:szCs w:val="20"/>
              </w:rPr>
              <w:t>7 500</w:t>
            </w:r>
          </w:p>
        </w:tc>
        <w:tc>
          <w:tcPr>
            <w:tcW w:w="1375" w:type="dxa"/>
            <w:tcBorders>
              <w:bottom w:val="nil"/>
            </w:tcBorders>
            <w:shd w:val="clear" w:color="auto" w:fill="FFFFFF" w:themeFill="background1"/>
            <w:vAlign w:val="center"/>
          </w:tcPr>
          <w:p w14:paraId="6EF60456" w14:textId="0570A42C" w:rsidR="00E770B5" w:rsidRDefault="00E770B5" w:rsidP="00E770B5">
            <w:pPr>
              <w:pStyle w:val="ListParagraph"/>
              <w:ind w:left="0"/>
              <w:contextualSpacing w:val="0"/>
              <w:jc w:val="center"/>
              <w:rPr>
                <w:i/>
                <w:iCs/>
                <w:color w:val="C00000"/>
                <w:sz w:val="20"/>
                <w:szCs w:val="20"/>
              </w:rPr>
            </w:pPr>
            <w:r>
              <w:rPr>
                <w:i/>
                <w:iCs/>
                <w:color w:val="C00000"/>
                <w:sz w:val="20"/>
                <w:szCs w:val="20"/>
              </w:rPr>
              <w:t>-6</w:t>
            </w:r>
            <w:r w:rsidR="00221DAF">
              <w:rPr>
                <w:i/>
                <w:iCs/>
                <w:color w:val="C00000"/>
                <w:sz w:val="20"/>
                <w:szCs w:val="20"/>
              </w:rPr>
              <w:t> </w:t>
            </w:r>
            <w:r w:rsidR="002C47B1">
              <w:rPr>
                <w:i/>
                <w:iCs/>
                <w:color w:val="C00000"/>
                <w:sz w:val="20"/>
                <w:szCs w:val="20"/>
              </w:rPr>
              <w:t>27</w:t>
            </w:r>
            <w:r w:rsidR="00221DAF">
              <w:rPr>
                <w:i/>
                <w:iCs/>
                <w:color w:val="C00000"/>
                <w:sz w:val="20"/>
                <w:szCs w:val="20"/>
              </w:rPr>
              <w:t>8 500</w:t>
            </w:r>
          </w:p>
        </w:tc>
        <w:tc>
          <w:tcPr>
            <w:tcW w:w="1269" w:type="dxa"/>
            <w:tcBorders>
              <w:bottom w:val="nil"/>
              <w:right w:val="nil"/>
            </w:tcBorders>
            <w:shd w:val="clear" w:color="auto" w:fill="FFFFFF" w:themeFill="background1"/>
            <w:vAlign w:val="center"/>
          </w:tcPr>
          <w:p w14:paraId="6F114CA7" w14:textId="2CD46A05" w:rsidR="00E770B5" w:rsidRDefault="00E770B5" w:rsidP="00E770B5">
            <w:pPr>
              <w:pStyle w:val="ListParagraph"/>
              <w:ind w:left="0"/>
              <w:contextualSpacing w:val="0"/>
              <w:jc w:val="center"/>
              <w:rPr>
                <w:i/>
                <w:iCs/>
                <w:color w:val="C00000"/>
                <w:sz w:val="20"/>
                <w:szCs w:val="20"/>
              </w:rPr>
            </w:pPr>
            <w:r>
              <w:rPr>
                <w:i/>
                <w:iCs/>
                <w:color w:val="C00000"/>
                <w:sz w:val="20"/>
                <w:szCs w:val="20"/>
              </w:rPr>
              <w:t>-6</w:t>
            </w:r>
            <w:r w:rsidR="00221DAF">
              <w:rPr>
                <w:i/>
                <w:iCs/>
                <w:color w:val="C00000"/>
                <w:sz w:val="20"/>
                <w:szCs w:val="20"/>
              </w:rPr>
              <w:t> </w:t>
            </w:r>
            <w:r>
              <w:rPr>
                <w:i/>
                <w:iCs/>
                <w:color w:val="C00000"/>
                <w:sz w:val="20"/>
                <w:szCs w:val="20"/>
              </w:rPr>
              <w:t>339</w:t>
            </w:r>
            <w:r w:rsidR="00221DAF">
              <w:rPr>
                <w:i/>
                <w:iCs/>
                <w:color w:val="C00000"/>
                <w:sz w:val="20"/>
                <w:szCs w:val="20"/>
              </w:rPr>
              <w:t xml:space="preserve"> 000</w:t>
            </w:r>
          </w:p>
        </w:tc>
      </w:tr>
    </w:tbl>
    <w:p w14:paraId="7BC36E8A" w14:textId="05B4F685" w:rsidR="00E770B5" w:rsidRDefault="00E770B5" w:rsidP="00E770B5">
      <w:pPr>
        <w:tabs>
          <w:tab w:val="left" w:pos="426"/>
        </w:tabs>
        <w:spacing w:before="120" w:after="120"/>
        <w:rPr>
          <w:rFonts w:cs="Times New Roman"/>
          <w:i/>
          <w:sz w:val="18"/>
        </w:rPr>
      </w:pPr>
      <w:r w:rsidRPr="000203BA">
        <w:rPr>
          <w:rFonts w:cs="Times New Roman"/>
          <w:b/>
          <w:bCs/>
          <w:i/>
          <w:sz w:val="18"/>
        </w:rPr>
        <w:t>Avots</w:t>
      </w:r>
      <w:r w:rsidRPr="000203BA">
        <w:rPr>
          <w:rFonts w:cs="Times New Roman"/>
          <w:i/>
          <w:sz w:val="18"/>
        </w:rPr>
        <w:t xml:space="preserve">: </w:t>
      </w:r>
      <w:r>
        <w:rPr>
          <w:rFonts w:cs="Times New Roman"/>
          <w:i/>
          <w:sz w:val="18"/>
        </w:rPr>
        <w:t>F</w:t>
      </w:r>
      <w:r w:rsidRPr="000203BA">
        <w:rPr>
          <w:rFonts w:cs="Times New Roman"/>
          <w:i/>
          <w:sz w:val="18"/>
        </w:rPr>
        <w:t>M aprēķini</w:t>
      </w:r>
    </w:p>
    <w:p w14:paraId="3E36CA15" w14:textId="77777777" w:rsidR="00B05F4D" w:rsidRDefault="00B05F4D" w:rsidP="00C26F78">
      <w:pPr>
        <w:tabs>
          <w:tab w:val="left" w:pos="426"/>
        </w:tabs>
        <w:spacing w:after="120"/>
      </w:pPr>
    </w:p>
    <w:p w14:paraId="5D8A6C42" w14:textId="77777777" w:rsidR="00B05F4D" w:rsidRPr="00637939" w:rsidRDefault="00B05F4D" w:rsidP="000E3528">
      <w:pPr>
        <w:pStyle w:val="Heading2"/>
      </w:pPr>
      <w:bookmarkStart w:id="41" w:name="_Hlk176961209"/>
      <w:bookmarkStart w:id="42" w:name="_Toc177627710"/>
      <w:r w:rsidRPr="00637939">
        <w:t xml:space="preserve">2.10. </w:t>
      </w:r>
      <w:r w:rsidRPr="00637939">
        <w:tab/>
        <w:t>Īpašā IIN režīma autoratlīdzībām darbības pagarināšana</w:t>
      </w:r>
      <w:bookmarkEnd w:id="42"/>
      <w:r w:rsidRPr="00637939">
        <w:t xml:space="preserve"> </w:t>
      </w:r>
    </w:p>
    <w:p w14:paraId="6ADF9CC2" w14:textId="61E1BC3A" w:rsidR="00AD0B9C" w:rsidRPr="00637939" w:rsidRDefault="00B05F4D" w:rsidP="00AD0B9C">
      <w:pPr>
        <w:ind w:firstLine="567"/>
        <w:jc w:val="both"/>
      </w:pPr>
      <w:r w:rsidRPr="00637939">
        <w:t xml:space="preserve">Pašlaik likums </w:t>
      </w:r>
      <w:r w:rsidRPr="00637939">
        <w:rPr>
          <w:i/>
          <w:iCs/>
        </w:rPr>
        <w:t>“Par iedzīvotāju ienākuma nodokli”</w:t>
      </w:r>
      <w:r w:rsidRPr="00637939">
        <w:t xml:space="preserve"> paredz, ka IIN maksātājs, kas gūst ienākumus no samaksas par intelektuālo īpašumu (izņemot ienākumus, kurus izmaksā kolektīvā pārvaldījuma organizācija) vai no literatūras, zinātnes vai mākslas darbu, atklājumu, izgudrojumu un rūpniecisko paraugu autoru un izpildītāju darbu radīšanas, izdošanas, izpildīšanas vai citādas izmantošanas </w:t>
      </w:r>
      <w:r w:rsidRPr="00637939">
        <w:rPr>
          <w:i/>
          <w:iCs/>
        </w:rPr>
        <w:t>(turpmāk – autoratlīdzības)</w:t>
      </w:r>
      <w:r w:rsidRPr="00637939">
        <w:t>, līdz 2024. gada 31.</w:t>
      </w:r>
      <w:r w:rsidR="00713ED7" w:rsidRPr="00637939">
        <w:t> </w:t>
      </w:r>
      <w:r w:rsidRPr="00637939">
        <w:t xml:space="preserve">decembrim ir tiesīgs piemērot īpašo IIN režīmu autoratlīdzībām. IIN maksātājs šajā gadījumā var nereģistrēties kā saimnieciskās darbības veicējs, bet autoratlīdzību izmaksātājs no minētā ienākuma ietur IIN izmaksas vietā un iemaksā to vienotajā nodokļu kontā, piemērojot IIN likmi </w:t>
      </w:r>
      <w:r w:rsidRPr="00637939">
        <w:rPr>
          <w:b/>
          <w:bCs/>
        </w:rPr>
        <w:t>25%</w:t>
      </w:r>
      <w:r w:rsidRPr="00637939">
        <w:t xml:space="preserve"> apmērā. Vienotajā nodokļu kontā iemaksāto nodokli attiecina un ieskaita šādā sadalījumā: </w:t>
      </w:r>
      <w:r w:rsidRPr="00637939">
        <w:rPr>
          <w:b/>
          <w:bCs/>
        </w:rPr>
        <w:t>80%</w:t>
      </w:r>
      <w:r w:rsidRPr="00637939">
        <w:t xml:space="preserve"> attiecina uz VSAOI un ieskaita VSAOI sadales kontā, bet </w:t>
      </w:r>
      <w:r w:rsidRPr="00637939">
        <w:rPr>
          <w:b/>
          <w:bCs/>
        </w:rPr>
        <w:t>20%</w:t>
      </w:r>
      <w:r w:rsidRPr="00637939">
        <w:t xml:space="preserve"> attiecina uz IIN. </w:t>
      </w:r>
    </w:p>
    <w:p w14:paraId="55E27718" w14:textId="0CF6FBFF" w:rsidR="00C26F78" w:rsidRDefault="00B05F4D" w:rsidP="00AD0B9C">
      <w:pPr>
        <w:spacing w:after="120"/>
        <w:ind w:firstLine="567"/>
        <w:jc w:val="both"/>
      </w:pPr>
      <w:r w:rsidRPr="00637939">
        <w:t xml:space="preserve">Plānots, ka īpašā IIN režīma autoratlīdzībām darbība tiek pagarināta un tas tiek piemērots </w:t>
      </w:r>
      <w:r w:rsidR="008643DF" w:rsidRPr="00637939">
        <w:rPr>
          <w:b/>
          <w:bCs/>
        </w:rPr>
        <w:t>līdz</w:t>
      </w:r>
      <w:r w:rsidRPr="00637939">
        <w:rPr>
          <w:b/>
          <w:bCs/>
        </w:rPr>
        <w:t xml:space="preserve"> 202</w:t>
      </w:r>
      <w:r w:rsidR="008643DF" w:rsidRPr="00637939">
        <w:rPr>
          <w:b/>
          <w:bCs/>
        </w:rPr>
        <w:t>7</w:t>
      </w:r>
      <w:r w:rsidRPr="00637939">
        <w:rPr>
          <w:b/>
          <w:bCs/>
        </w:rPr>
        <w:t>. taksācijas gad</w:t>
      </w:r>
      <w:r w:rsidR="008643DF" w:rsidRPr="00637939">
        <w:rPr>
          <w:b/>
          <w:bCs/>
        </w:rPr>
        <w:t>a beigām</w:t>
      </w:r>
      <w:r w:rsidRPr="00637939">
        <w:t>.</w:t>
      </w:r>
      <w:bookmarkEnd w:id="41"/>
    </w:p>
    <w:p w14:paraId="164EF5F2" w14:textId="666D5FF3" w:rsidR="00AD0B9C" w:rsidRPr="000069A2" w:rsidRDefault="00AD0B9C" w:rsidP="00AD0B9C">
      <w:pPr>
        <w:spacing w:after="120"/>
        <w:ind w:firstLine="567"/>
        <w:jc w:val="both"/>
        <w:rPr>
          <w:rFonts w:eastAsia="Times New Roman" w:cs="Times New Roman"/>
          <w:shd w:val="clear" w:color="auto" w:fill="FFFFFF"/>
          <w:lang w:eastAsia="lv-LV"/>
        </w:rPr>
      </w:pPr>
      <w:r w:rsidRPr="000E3528">
        <w:rPr>
          <w:rFonts w:eastAsia="Times New Roman" w:cs="Times New Roman"/>
          <w:shd w:val="clear" w:color="auto" w:fill="FFFFFF"/>
          <w:lang w:eastAsia="lv-LV"/>
        </w:rPr>
        <w:t xml:space="preserve">Priekšlikumam </w:t>
      </w:r>
      <w:r w:rsidR="008643DF">
        <w:rPr>
          <w:rFonts w:eastAsia="Times New Roman" w:cs="Times New Roman"/>
          <w:shd w:val="clear" w:color="auto" w:fill="FFFFFF"/>
          <w:lang w:eastAsia="lv-LV"/>
        </w:rPr>
        <w:t xml:space="preserve">ir </w:t>
      </w:r>
      <w:r w:rsidR="008643DF">
        <w:rPr>
          <w:rFonts w:eastAsia="Times New Roman" w:cs="Times New Roman"/>
          <w:b/>
          <w:bCs/>
          <w:shd w:val="clear" w:color="auto" w:fill="FFFFFF"/>
          <w:lang w:eastAsia="lv-LV"/>
        </w:rPr>
        <w:t>nebūtiska</w:t>
      </w:r>
      <w:r w:rsidRPr="000E3528">
        <w:rPr>
          <w:rFonts w:eastAsia="Times New Roman" w:cs="Times New Roman"/>
          <w:b/>
          <w:bCs/>
          <w:shd w:val="clear" w:color="auto" w:fill="FFFFFF"/>
          <w:lang w:eastAsia="lv-LV"/>
        </w:rPr>
        <w:t xml:space="preserve"> fiskālā ietekme</w:t>
      </w:r>
      <w:r w:rsidRPr="000E3528">
        <w:rPr>
          <w:rFonts w:eastAsia="Times New Roman" w:cs="Times New Roman"/>
          <w:shd w:val="clear" w:color="auto" w:fill="FFFFFF"/>
          <w:lang w:eastAsia="lv-LV"/>
        </w:rPr>
        <w:t xml:space="preserve"> uz valsts kopbudžeta ieņēmumiem.</w:t>
      </w:r>
    </w:p>
    <w:p w14:paraId="7EB58F7F" w14:textId="77777777" w:rsidR="00AD0B9C" w:rsidRPr="00C26F78" w:rsidRDefault="00AD0B9C" w:rsidP="00AD0B9C">
      <w:pPr>
        <w:ind w:firstLine="567"/>
        <w:jc w:val="both"/>
        <w:rPr>
          <w:rFonts w:cs="Times New Roman"/>
          <w:i/>
          <w:sz w:val="18"/>
        </w:rPr>
      </w:pPr>
    </w:p>
    <w:p w14:paraId="686E2CA3" w14:textId="77777777" w:rsidR="00AD0B9C" w:rsidRDefault="00AD0B9C">
      <w:pPr>
        <w:rPr>
          <w:rFonts w:eastAsiaTheme="majorEastAsia" w:cstheme="majorBidi"/>
          <w:b/>
          <w:sz w:val="40"/>
          <w:szCs w:val="32"/>
        </w:rPr>
      </w:pPr>
      <w:r>
        <w:br w:type="page"/>
      </w:r>
    </w:p>
    <w:p w14:paraId="01005AA8" w14:textId="78D6EDD0" w:rsidR="001649ED" w:rsidRPr="001649ED" w:rsidRDefault="001649ED" w:rsidP="00FF31ED">
      <w:pPr>
        <w:pStyle w:val="Heading1"/>
        <w:numPr>
          <w:ilvl w:val="0"/>
          <w:numId w:val="11"/>
        </w:numPr>
      </w:pPr>
      <w:bookmarkStart w:id="43" w:name="_Toc177627711"/>
      <w:r w:rsidRPr="001649ED">
        <w:lastRenderedPageBreak/>
        <w:t>Kompensējošie pasākumi</w:t>
      </w:r>
      <w:bookmarkEnd w:id="43"/>
    </w:p>
    <w:p w14:paraId="09C95D3C" w14:textId="27E1417D" w:rsidR="00F51111" w:rsidRDefault="00F51111" w:rsidP="00FF31ED">
      <w:pPr>
        <w:pStyle w:val="Heading2"/>
        <w:numPr>
          <w:ilvl w:val="1"/>
          <w:numId w:val="12"/>
        </w:numPr>
        <w:spacing w:after="0"/>
        <w:ind w:left="567" w:hanging="567"/>
      </w:pPr>
      <w:bookmarkStart w:id="44" w:name="_Toc177627712"/>
      <w:bookmarkEnd w:id="8"/>
      <w:r w:rsidRPr="00F51111">
        <w:t>A</w:t>
      </w:r>
      <w:r w:rsidR="000C6E7C">
        <w:t xml:space="preserve">kcīzes nodokļa </w:t>
      </w:r>
      <w:r w:rsidR="00850F47">
        <w:t xml:space="preserve">likmju </w:t>
      </w:r>
      <w:r w:rsidR="00850F47" w:rsidRPr="00F51111">
        <w:t xml:space="preserve">paaugstināšana </w:t>
      </w:r>
      <w:r w:rsidRPr="00F51111">
        <w:t xml:space="preserve">degvielai, ietverot </w:t>
      </w:r>
      <w:r w:rsidR="000C6E7C">
        <w:t>akcīzes nodoklī</w:t>
      </w:r>
      <w:r w:rsidRPr="00F51111">
        <w:t xml:space="preserve"> CO</w:t>
      </w:r>
      <w:r w:rsidRPr="00F51111">
        <w:rPr>
          <w:vertAlign w:val="subscript"/>
        </w:rPr>
        <w:t>2</w:t>
      </w:r>
      <w:r w:rsidRPr="00F51111">
        <w:t xml:space="preserve"> komponenti</w:t>
      </w:r>
      <w:bookmarkEnd w:id="44"/>
      <w:r w:rsidRPr="00F51111">
        <w:t xml:space="preserve"> </w:t>
      </w:r>
    </w:p>
    <w:p w14:paraId="321340DC" w14:textId="70C68BF8" w:rsidR="001649ED" w:rsidRPr="0045215A" w:rsidRDefault="001649ED" w:rsidP="00501035">
      <w:pPr>
        <w:pStyle w:val="ListParagraph"/>
        <w:spacing w:before="120"/>
        <w:ind w:left="0" w:firstLine="567"/>
        <w:contextualSpacing w:val="0"/>
      </w:pPr>
      <w:r w:rsidRPr="0045215A">
        <w:t xml:space="preserve">ES Emisijas kvotu tirdzniecības sistēmā </w:t>
      </w:r>
      <w:r w:rsidRPr="00F51111">
        <w:rPr>
          <w:i/>
          <w:iCs/>
        </w:rPr>
        <w:t>(turpmāk –ETS)</w:t>
      </w:r>
      <w:r w:rsidRPr="0045215A">
        <w:t xml:space="preserve"> tika izveidota ar Eiropas Parlamenta un Padomes 2003. gada 13. oktobra Direktīvu 2003/87/EK, ar kuru nosaka siltumnīcefekta gāzu emisijas kvotu tirdzniecības sistēmas izveidi Kopienā un groza Padomes Direktīvu 96/61/EK. ES ETS darbību ES un Latvijā uzsāka 2005.gada 1.janvārī. Atbilstoši Direktīvas 2003/87/EK nosacījumiem</w:t>
      </w:r>
      <w:r w:rsidR="001E01EB">
        <w:t xml:space="preserve"> </w:t>
      </w:r>
      <w:r w:rsidRPr="0045215A">
        <w:t>sistēma iedalīta vairākos periodos – 2005. - 2007. gada periods, 2008.</w:t>
      </w:r>
      <w:r w:rsidR="001E01EB">
        <w:t xml:space="preserve"> </w:t>
      </w:r>
      <w:r w:rsidRPr="0045215A">
        <w:t>-</w:t>
      </w:r>
      <w:r w:rsidR="001E01EB">
        <w:t xml:space="preserve"> </w:t>
      </w:r>
      <w:r w:rsidRPr="0045215A">
        <w:t>2012. gada periods, 2013.</w:t>
      </w:r>
      <w:r w:rsidR="001E01EB">
        <w:t xml:space="preserve"> </w:t>
      </w:r>
      <w:r w:rsidRPr="0045215A">
        <w:t>-</w:t>
      </w:r>
      <w:r w:rsidR="001E01EB">
        <w:t xml:space="preserve"> </w:t>
      </w:r>
      <w:r w:rsidRPr="0045215A">
        <w:t>2020. gada periods, 2021.</w:t>
      </w:r>
      <w:r w:rsidR="001E01EB">
        <w:t xml:space="preserve"> </w:t>
      </w:r>
      <w:r w:rsidR="00C638E1">
        <w:t>-</w:t>
      </w:r>
      <w:r w:rsidR="001E01EB">
        <w:t xml:space="preserve"> </w:t>
      </w:r>
      <w:r w:rsidRPr="0045215A">
        <w:t>2030. gada periods utt.</w:t>
      </w:r>
    </w:p>
    <w:p w14:paraId="2C023950" w14:textId="3E85E734" w:rsidR="00F51111" w:rsidRDefault="001649ED" w:rsidP="00501035">
      <w:pPr>
        <w:pStyle w:val="ListParagraph"/>
        <w:spacing w:before="120"/>
        <w:ind w:left="0" w:firstLine="567"/>
        <w:contextualSpacing w:val="0"/>
      </w:pPr>
      <w:r w:rsidRPr="0045215A">
        <w:t xml:space="preserve">Sākotnēji ETS dalībnieki bija </w:t>
      </w:r>
      <w:r w:rsidR="00EF2F29">
        <w:t xml:space="preserve">uzņēmumi ar </w:t>
      </w:r>
      <w:r w:rsidRPr="0045215A">
        <w:t>rūpniecisk</w:t>
      </w:r>
      <w:r w:rsidR="00EF2F29">
        <w:t>aj</w:t>
      </w:r>
      <w:r w:rsidRPr="0045215A">
        <w:t>ā</w:t>
      </w:r>
      <w:r w:rsidR="00EF2F29">
        <w:t>m</w:t>
      </w:r>
      <w:r w:rsidRPr="0045215A">
        <w:t xml:space="preserve"> iekārt</w:t>
      </w:r>
      <w:r w:rsidR="00EF2F29">
        <w:t>ām</w:t>
      </w:r>
      <w:r w:rsidRPr="0045215A">
        <w:t xml:space="preserve"> energoietilpīgajās tautsaimniecības nozarēs, tai skaitā elektroenerģijas un siltumenerģijas, cementa, keramikas, tērauda, stikla u.c. ražošanas iekārtas. </w:t>
      </w:r>
    </w:p>
    <w:p w14:paraId="5BCCEE97" w14:textId="77777777" w:rsidR="00F51111" w:rsidRDefault="001649ED" w:rsidP="00501035">
      <w:pPr>
        <w:pStyle w:val="ListParagraph"/>
        <w:spacing w:before="120"/>
        <w:ind w:left="0" w:firstLine="567"/>
        <w:contextualSpacing w:val="0"/>
      </w:pPr>
      <w:r w:rsidRPr="0045215A">
        <w:t xml:space="preserve">No 2012. gada ES ETS sistēmā ir iekļauti gaisa kuģu operatori saskaņā ar Direktīvu 2008/101/EK, aptverot emisijas no visiem iekšzemes un starptautiskajiem gaisa kuģiem, kas ielido vai izlido no kādas ES lidostas. </w:t>
      </w:r>
    </w:p>
    <w:p w14:paraId="30EA4B12" w14:textId="77777777" w:rsidR="00F51111" w:rsidRDefault="001649ED" w:rsidP="00501035">
      <w:pPr>
        <w:pStyle w:val="ListParagraph"/>
        <w:spacing w:before="120"/>
        <w:ind w:left="0" w:firstLine="567"/>
        <w:contextualSpacing w:val="0"/>
      </w:pPr>
      <w:r w:rsidRPr="0045215A">
        <w:t>No 2013. gada ES ETS tika iekļautas papildus nozares, piemēram, primārā un sekundārā alumīnija ražošana, minerālvates izolācijas materiālu ražošana, ģipša žāvēšana vai apdedzināšana, ģipškartona sausā apmetuma plātņu un citu ģipša izstrādājumu ražošana, amonjaka un slāpekļskābes ražošana.</w:t>
      </w:r>
    </w:p>
    <w:p w14:paraId="1F15762C" w14:textId="77777777" w:rsidR="00F51111" w:rsidRDefault="001649ED" w:rsidP="00501035">
      <w:pPr>
        <w:pStyle w:val="ListParagraph"/>
        <w:spacing w:before="120"/>
        <w:ind w:left="0" w:firstLine="567"/>
        <w:contextualSpacing w:val="0"/>
      </w:pPr>
      <w:r w:rsidRPr="0045215A">
        <w:t xml:space="preserve">Latvijas Emisijas kvotu tirdzniecības sistēmas dalībnieki ir operatori, kuri saskaņā ar likuma </w:t>
      </w:r>
      <w:r w:rsidRPr="00C638E1">
        <w:rPr>
          <w:i/>
          <w:iCs/>
        </w:rPr>
        <w:t>“Par piesārņojumu”</w:t>
      </w:r>
      <w:r w:rsidRPr="0045215A">
        <w:t xml:space="preserve"> prasībām atbilstoši MK noteikumiem Nr. 769</w:t>
      </w:r>
      <w:r w:rsidRPr="0045215A">
        <w:rPr>
          <w:vertAlign w:val="superscript"/>
        </w:rPr>
        <w:footnoteReference w:id="7"/>
      </w:r>
      <w:r w:rsidRPr="0045215A">
        <w:t xml:space="preserve"> ir saņēmuši siltumnīcefekta gāzu</w:t>
      </w:r>
      <w:r w:rsidRPr="0045215A">
        <w:rPr>
          <w:vertAlign w:val="superscript"/>
        </w:rPr>
        <w:footnoteReference w:id="8"/>
      </w:r>
      <w:r w:rsidRPr="0045215A">
        <w:t xml:space="preserve"> </w:t>
      </w:r>
      <w:r w:rsidRPr="00F51111">
        <w:rPr>
          <w:i/>
          <w:iCs/>
        </w:rPr>
        <w:t>(turpmāk – SEG)</w:t>
      </w:r>
      <w:r w:rsidRPr="0045215A">
        <w:t xml:space="preserve"> atļaujas</w:t>
      </w:r>
      <w:r w:rsidRPr="0045215A">
        <w:rPr>
          <w:rStyle w:val="FootnoteReference"/>
          <w:rFonts w:eastAsia="Aptos"/>
          <w:szCs w:val="20"/>
        </w:rPr>
        <w:footnoteReference w:id="9"/>
      </w:r>
      <w:r w:rsidRPr="0045215A">
        <w:t xml:space="preserve"> un kuri veic kādu no likuma </w:t>
      </w:r>
      <w:r w:rsidRPr="00C638E1">
        <w:rPr>
          <w:i/>
          <w:iCs/>
        </w:rPr>
        <w:t xml:space="preserve">“Par piesārņojumu” </w:t>
      </w:r>
      <w:r w:rsidRPr="0045215A">
        <w:t>2. pielikuma I daļā minētajām darbībām.</w:t>
      </w:r>
    </w:p>
    <w:p w14:paraId="6090479F" w14:textId="585E4D14" w:rsidR="00F51111" w:rsidRDefault="001649ED" w:rsidP="00501035">
      <w:pPr>
        <w:pStyle w:val="ListParagraph"/>
        <w:spacing w:before="120"/>
        <w:ind w:left="0" w:firstLine="567"/>
        <w:contextualSpacing w:val="0"/>
      </w:pPr>
      <w:r w:rsidRPr="0045215A">
        <w:t>Šobrīd Latvijā emisiju kvotu tirdzniecības sistēmas dalībniekiem ir izdotas 50 SEG atļaujas.</w:t>
      </w:r>
    </w:p>
    <w:p w14:paraId="05BB8348" w14:textId="0CCC2A80" w:rsidR="00F51111" w:rsidRDefault="001649ED" w:rsidP="00501035">
      <w:pPr>
        <w:pStyle w:val="ListParagraph"/>
        <w:spacing w:before="120"/>
        <w:ind w:left="0" w:firstLine="567"/>
        <w:contextualSpacing w:val="0"/>
      </w:pPr>
      <w:r w:rsidRPr="0045215A">
        <w:t>Saskaņā ar Direktīvu (ES) 2023/959</w:t>
      </w:r>
      <w:r w:rsidRPr="0045215A">
        <w:rPr>
          <w:vertAlign w:val="superscript"/>
        </w:rPr>
        <w:footnoteReference w:id="10"/>
      </w:r>
      <w:r w:rsidRPr="0045215A">
        <w:t xml:space="preserve"> ES ir noteikusi jaunas emisijas tirdzniecības sistēmas izveidi – </w:t>
      </w:r>
      <w:r w:rsidRPr="00F51111">
        <w:rPr>
          <w:b/>
          <w:bCs/>
        </w:rPr>
        <w:t>ETS2</w:t>
      </w:r>
      <w:r w:rsidRPr="0045215A">
        <w:t xml:space="preserve">. Tā </w:t>
      </w:r>
      <w:r w:rsidR="00560662">
        <w:t>attiecas uz</w:t>
      </w:r>
      <w:r w:rsidR="00560662" w:rsidRPr="0045215A">
        <w:t xml:space="preserve"> </w:t>
      </w:r>
      <w:r w:rsidRPr="0045215A">
        <w:t>degvielas un kurināmā patēriņu ēkās, autotransportā un papildu sektoros, t.i. nozarēs, uz kurām neattiecas ETS.</w:t>
      </w:r>
    </w:p>
    <w:p w14:paraId="6D05772C" w14:textId="6D826A85" w:rsidR="00F51111" w:rsidRDefault="00EE658A" w:rsidP="00501035">
      <w:pPr>
        <w:pStyle w:val="ListParagraph"/>
        <w:spacing w:before="120"/>
        <w:ind w:left="0" w:firstLine="567"/>
        <w:contextualSpacing w:val="0"/>
      </w:pPr>
      <w:r>
        <w:t>E</w:t>
      </w:r>
      <w:r w:rsidR="001649ED" w:rsidRPr="0045215A">
        <w:t>TS2 ir daļa no ES “</w:t>
      </w:r>
      <w:r w:rsidR="001649ED" w:rsidRPr="00C638E1">
        <w:rPr>
          <w:i/>
          <w:iCs/>
        </w:rPr>
        <w:t xml:space="preserve">Gatavi </w:t>
      </w:r>
      <w:proofErr w:type="spellStart"/>
      <w:r w:rsidR="001649ED" w:rsidRPr="00C638E1">
        <w:rPr>
          <w:i/>
          <w:iCs/>
        </w:rPr>
        <w:t>mērķrādītājam</w:t>
      </w:r>
      <w:proofErr w:type="spellEnd"/>
      <w:r w:rsidR="001649ED" w:rsidRPr="00C638E1">
        <w:rPr>
          <w:i/>
          <w:iCs/>
        </w:rPr>
        <w:t xml:space="preserve"> 55”</w:t>
      </w:r>
      <w:r w:rsidR="001649ED" w:rsidRPr="0045215A">
        <w:t xml:space="preserve"> likumdošanas </w:t>
      </w:r>
      <w:proofErr w:type="spellStart"/>
      <w:r w:rsidR="001649ED" w:rsidRPr="0045215A">
        <w:t>pakotnes</w:t>
      </w:r>
      <w:proofErr w:type="spellEnd"/>
      <w:r w:rsidR="001649ED" w:rsidRPr="0045215A">
        <w:t xml:space="preserve">, lai samazinātu SEG emisijas ETS iekļautajās nozarēs par </w:t>
      </w:r>
      <w:r w:rsidR="001649ED" w:rsidRPr="00C638E1">
        <w:rPr>
          <w:b/>
          <w:bCs/>
        </w:rPr>
        <w:t>62%</w:t>
      </w:r>
      <w:r w:rsidR="001649ED" w:rsidRPr="0045215A">
        <w:t xml:space="preserve"> līdz 2030. gadam, salīdzinot ar 2005. gadu.</w:t>
      </w:r>
    </w:p>
    <w:p w14:paraId="204604DE" w14:textId="6B360744" w:rsidR="00F51111" w:rsidRDefault="001649ED" w:rsidP="00501035">
      <w:pPr>
        <w:pStyle w:val="ListParagraph"/>
        <w:spacing w:before="120"/>
        <w:ind w:left="0" w:firstLine="567"/>
        <w:contextualSpacing w:val="0"/>
      </w:pPr>
      <w:r w:rsidRPr="0045215A">
        <w:t xml:space="preserve">ES ETS2 kvotu tirdzniecība tiks ieviesta </w:t>
      </w:r>
      <w:r w:rsidR="00F915DC">
        <w:t xml:space="preserve">no </w:t>
      </w:r>
      <w:r w:rsidRPr="0045215A">
        <w:t>2027. gad</w:t>
      </w:r>
      <w:r w:rsidR="00F915DC">
        <w:t>a</w:t>
      </w:r>
      <w:r w:rsidRPr="0045215A">
        <w:t xml:space="preserve">, savukārt ETS2 sistēmas operatoriem dati par kurināmā/degvielas patēriņu </w:t>
      </w:r>
      <w:r w:rsidR="00F915DC">
        <w:t>un emisijām</w:t>
      </w:r>
      <w:r w:rsidRPr="0045215A">
        <w:t xml:space="preserve"> 2024. gad</w:t>
      </w:r>
      <w:r w:rsidR="00F915DC">
        <w:t>ā</w:t>
      </w:r>
      <w:r w:rsidRPr="0045215A">
        <w:t xml:space="preserve"> jāiesniedz </w:t>
      </w:r>
      <w:r w:rsidR="00F915DC">
        <w:t xml:space="preserve">līdz </w:t>
      </w:r>
      <w:r w:rsidRPr="0045215A">
        <w:t>2025. gad</w:t>
      </w:r>
      <w:r w:rsidR="00F915DC">
        <w:t>a 30.aprīlim</w:t>
      </w:r>
      <w:r w:rsidRPr="0045215A">
        <w:t xml:space="preserve">. Šīs sistēmas mērķis ir samazināt fosilo izejvielu patēriņu, lai katrs sektors sniegtu ieguldījumu SEG emisiju samazināšanā un nodrošinātu virzību uz </w:t>
      </w:r>
      <w:proofErr w:type="spellStart"/>
      <w:r w:rsidRPr="0045215A">
        <w:t>klimatneitralitāti</w:t>
      </w:r>
      <w:proofErr w:type="spellEnd"/>
      <w:r w:rsidRPr="0045215A">
        <w:t xml:space="preserve"> ES un Latvijā.</w:t>
      </w:r>
    </w:p>
    <w:p w14:paraId="48E94E57" w14:textId="6C897AB1" w:rsidR="00F51111" w:rsidRDefault="001649ED" w:rsidP="00501035">
      <w:pPr>
        <w:pStyle w:val="ListParagraph"/>
        <w:spacing w:before="120"/>
        <w:ind w:left="0" w:firstLine="567"/>
        <w:contextualSpacing w:val="0"/>
      </w:pPr>
      <w:r>
        <w:t xml:space="preserve">Saskaņā ar jauno ETS2, kas attiecas uz autotransportu, ēkām un papildu nozarēm, un Regulu, ar ko izveido Sociālā klimata fondu, emisijas kvotu oglekļa cena jaunajai ETS ir noteikta vidējā vērtībā 45,9 </w:t>
      </w:r>
      <w:r w:rsidRPr="00C638E1">
        <w:rPr>
          <w:i/>
          <w:iCs/>
        </w:rPr>
        <w:t>euro</w:t>
      </w:r>
      <w:r>
        <w:t>/t</w:t>
      </w:r>
      <w:r w:rsidR="007D6ADD">
        <w:t xml:space="preserve"> </w:t>
      </w:r>
      <w:r>
        <w:t>CO</w:t>
      </w:r>
      <w:r w:rsidRPr="00667E7C">
        <w:rPr>
          <w:vertAlign w:val="subscript"/>
        </w:rPr>
        <w:t>2</w:t>
      </w:r>
      <w:r>
        <w:t xml:space="preserve"> periodā no 2027.</w:t>
      </w:r>
      <w:r w:rsidR="00C638E1">
        <w:t>-</w:t>
      </w:r>
      <w:r>
        <w:t xml:space="preserve">2032. gada (2020. gada cenās). Tas </w:t>
      </w:r>
      <w:r>
        <w:lastRenderedPageBreak/>
        <w:t xml:space="preserve">nozīmē, ka vidējā oglekļa cena laikposmam no 2028. gada līdz 2030. gadam ir 43,6 </w:t>
      </w:r>
      <w:r w:rsidRPr="00C638E1">
        <w:rPr>
          <w:i/>
          <w:iCs/>
        </w:rPr>
        <w:t>euro</w:t>
      </w:r>
      <w:r>
        <w:t>/tCO</w:t>
      </w:r>
      <w:r w:rsidRPr="00667E7C">
        <w:rPr>
          <w:vertAlign w:val="subscript"/>
        </w:rPr>
        <w:t>2</w:t>
      </w:r>
      <w:r>
        <w:t xml:space="preserve"> (2018. gada cenās).</w:t>
      </w:r>
    </w:p>
    <w:p w14:paraId="6AE9824F" w14:textId="65746A2C" w:rsidR="00F51111" w:rsidRDefault="001649ED" w:rsidP="00501035">
      <w:pPr>
        <w:pStyle w:val="ListParagraph"/>
        <w:spacing w:before="120"/>
        <w:ind w:left="0" w:firstLine="567"/>
        <w:contextualSpacing w:val="0"/>
      </w:pPr>
      <w:r>
        <w:t>Ņ</w:t>
      </w:r>
      <w:r w:rsidR="004F37DD">
        <w:t>emot vērā ETS2 tvērumu</w:t>
      </w:r>
      <w:r w:rsidR="00C638E1">
        <w:t xml:space="preserve"> </w:t>
      </w:r>
      <w:r w:rsidR="00D343FA">
        <w:t>(</w:t>
      </w:r>
      <w:r w:rsidR="004F37DD" w:rsidRPr="001649ED">
        <w:t xml:space="preserve">ēkas, autotransports un </w:t>
      </w:r>
      <w:r w:rsidR="002C23D0">
        <w:t>papildus sektori</w:t>
      </w:r>
      <w:r w:rsidR="00D343FA">
        <w:t>,</w:t>
      </w:r>
      <w:r w:rsidR="00D343FA">
        <w:rPr>
          <w:rStyle w:val="CommentReference"/>
          <w:rFonts w:eastAsiaTheme="minorHAnsi" w:cstheme="minorBidi"/>
        </w:rPr>
        <w:t xml:space="preserve"> </w:t>
      </w:r>
      <w:r w:rsidR="004F37DD" w:rsidRPr="0037538C">
        <w:t>galvenokārt</w:t>
      </w:r>
      <w:r w:rsidR="00D343FA">
        <w:t>,</w:t>
      </w:r>
      <w:r w:rsidR="004F37DD" w:rsidRPr="0037538C">
        <w:t xml:space="preserve"> ražotāji, kur</w:t>
      </w:r>
      <w:r w:rsidR="00EB1D1A">
        <w:t>i</w:t>
      </w:r>
      <w:r w:rsidR="004F37DD" w:rsidRPr="0037538C">
        <w:t xml:space="preserve"> </w:t>
      </w:r>
      <w:r w:rsidR="00EB1D1A">
        <w:t>nav iekļauti</w:t>
      </w:r>
      <w:r w:rsidR="004F37DD" w:rsidRPr="0037538C">
        <w:t xml:space="preserve"> ETS)</w:t>
      </w:r>
      <w:r w:rsidR="004F37DD">
        <w:t>, Latvijas ražotājiem un attiecīgi patērētājiem jārēķinās ar papildus izmaksām par oglekļa emisijām, kas no 2027. gada attieksies uz būtisku ekonomikas daļu, kas līdz šim neveica samaksu par to radītajiem CO</w:t>
      </w:r>
      <w:r w:rsidR="004F37DD" w:rsidRPr="00EE658A">
        <w:rPr>
          <w:vertAlign w:val="subscript"/>
        </w:rPr>
        <w:t>2</w:t>
      </w:r>
      <w:r w:rsidR="004F37DD">
        <w:t xml:space="preserve"> </w:t>
      </w:r>
      <w:proofErr w:type="spellStart"/>
      <w:r w:rsidR="004F37DD">
        <w:t>izmešiem</w:t>
      </w:r>
      <w:proofErr w:type="spellEnd"/>
      <w:r w:rsidR="004F37DD">
        <w:t>.</w:t>
      </w:r>
      <w:r w:rsidR="004F37DD" w:rsidRPr="009B79A2">
        <w:t xml:space="preserve"> </w:t>
      </w:r>
    </w:p>
    <w:p w14:paraId="74422294" w14:textId="1B4427CE" w:rsidR="00F51111" w:rsidRDefault="004F37DD" w:rsidP="00501035">
      <w:pPr>
        <w:pStyle w:val="ListParagraph"/>
        <w:spacing w:before="120"/>
        <w:ind w:left="0" w:firstLine="567"/>
        <w:contextualSpacing w:val="0"/>
      </w:pPr>
      <w:r>
        <w:t xml:space="preserve">Pēc Starptautiskā Valūtas Fonda novērtējuma, </w:t>
      </w:r>
      <w:r w:rsidRPr="00827D29">
        <w:t>2022. gadā Latvij</w:t>
      </w:r>
      <w:r w:rsidR="00B064EB" w:rsidRPr="00827D29">
        <w:t>ā</w:t>
      </w:r>
      <w:r>
        <w:t xml:space="preserve"> ETS sedza ap 25% no valsts SEG emisijām. </w:t>
      </w:r>
      <w:r w:rsidRPr="00F51111">
        <w:t>Citās ES valstīs pakāpeniski ir ieviesti oglekļa izmešu nodokļi, kas atkarībā no valstu pieņemtajiem lēmumiem var transformēties ETS2 mehānismā (pēc būtības pakāpeniski iecenojot CO</w:t>
      </w:r>
      <w:r w:rsidRPr="00F51111">
        <w:rPr>
          <w:vertAlign w:val="subscript"/>
        </w:rPr>
        <w:t xml:space="preserve">2 </w:t>
      </w:r>
      <w:r w:rsidRPr="00F51111">
        <w:t>tonnas izmaksas produktu un pakalpojumu cenā vai pārejot uz zemāku izmešu tehnoloģijām).</w:t>
      </w:r>
      <w:r>
        <w:t xml:space="preserve"> </w:t>
      </w:r>
    </w:p>
    <w:p w14:paraId="27F82B25" w14:textId="0ECCF107" w:rsidR="00F51111" w:rsidRDefault="004F37DD" w:rsidP="00501035">
      <w:pPr>
        <w:pStyle w:val="ListParagraph"/>
        <w:spacing w:before="120"/>
        <w:ind w:left="0" w:firstLine="567"/>
        <w:contextualSpacing w:val="0"/>
      </w:pPr>
      <w:r>
        <w:t xml:space="preserve">Būtiskais apsvērums </w:t>
      </w:r>
      <w:r w:rsidR="00B064EB">
        <w:t xml:space="preserve">par </w:t>
      </w:r>
      <w:r w:rsidRPr="00827D29">
        <w:t>Latvij</w:t>
      </w:r>
      <w:r w:rsidR="00B064EB" w:rsidRPr="00827D29">
        <w:t>u</w:t>
      </w:r>
      <w:r w:rsidRPr="00827D29">
        <w:t xml:space="preserve"> i</w:t>
      </w:r>
      <w:r>
        <w:t>r</w:t>
      </w:r>
      <w:r w:rsidR="00F51111">
        <w:t>,</w:t>
      </w:r>
      <w:r>
        <w:t xml:space="preserve"> vai ETS2 ieviešana 2027.</w:t>
      </w:r>
      <w:r w:rsidR="00DE7B79">
        <w:t> </w:t>
      </w:r>
      <w:r>
        <w:t>gadā notiks pietiekami pakāpeniski</w:t>
      </w:r>
      <w:r w:rsidR="00F51111">
        <w:t>,</w:t>
      </w:r>
      <w:r>
        <w:t xml:space="preserve"> vai </w:t>
      </w:r>
      <w:r w:rsidR="00F51111">
        <w:t xml:space="preserve">arī </w:t>
      </w:r>
      <w:r>
        <w:t>sagaidāma nozīmīga cenu korekcija CO</w:t>
      </w:r>
      <w:r w:rsidRPr="001649ED">
        <w:rPr>
          <w:vertAlign w:val="subscript"/>
        </w:rPr>
        <w:t>2</w:t>
      </w:r>
      <w:r>
        <w:t xml:space="preserve"> izmešu avotiem, kas var būtiski ietekmēt Latvijas uzņēmumu konkurētspēju un patērētājus. </w:t>
      </w:r>
    </w:p>
    <w:p w14:paraId="29EA1F28" w14:textId="620942B0" w:rsidR="00CD1EC4" w:rsidRDefault="004F37DD" w:rsidP="00501035">
      <w:pPr>
        <w:pStyle w:val="ListParagraph"/>
        <w:spacing w:before="120"/>
        <w:ind w:left="0" w:firstLine="567"/>
        <w:contextualSpacing w:val="0"/>
      </w:pPr>
      <w:r>
        <w:t xml:space="preserve">Lai Latvijas uzņēmumi varētu </w:t>
      </w:r>
      <w:r w:rsidR="00D343FA">
        <w:t xml:space="preserve">mazināt </w:t>
      </w:r>
      <w:r>
        <w:t>ETS2 ietekmi</w:t>
      </w:r>
      <w:r w:rsidR="00D343FA">
        <w:t xml:space="preserve"> 2027.</w:t>
      </w:r>
      <w:r w:rsidR="00DE7B79">
        <w:t> </w:t>
      </w:r>
      <w:r w:rsidR="00D343FA">
        <w:t>gadā</w:t>
      </w:r>
      <w:r>
        <w:t xml:space="preserve">, </w:t>
      </w:r>
      <w:r w:rsidR="000011F4">
        <w:t xml:space="preserve">ir </w:t>
      </w:r>
      <w:r w:rsidR="00AF172F">
        <w:t>jā</w:t>
      </w:r>
      <w:r>
        <w:t>vērtē</w:t>
      </w:r>
      <w:r w:rsidR="000011F4">
        <w:t>,</w:t>
      </w:r>
      <w:r>
        <w:t xml:space="preserve"> kādā apmērā ETS2 ieviest pakāpeniski caur </w:t>
      </w:r>
      <w:r w:rsidR="000C6E7C">
        <w:t xml:space="preserve">akcīzes nodokļa </w:t>
      </w:r>
      <w:r w:rsidR="000C6E7C" w:rsidRPr="000C6E7C">
        <w:rPr>
          <w:i/>
          <w:iCs/>
        </w:rPr>
        <w:t xml:space="preserve">(turpmāk – </w:t>
      </w:r>
      <w:r w:rsidRPr="000C6E7C">
        <w:rPr>
          <w:i/>
          <w:iCs/>
        </w:rPr>
        <w:t>AN</w:t>
      </w:r>
      <w:r w:rsidR="000C6E7C" w:rsidRPr="000C6E7C">
        <w:rPr>
          <w:i/>
          <w:iCs/>
        </w:rPr>
        <w:t>)</w:t>
      </w:r>
      <w:r w:rsidR="000C6E7C">
        <w:t xml:space="preserve"> </w:t>
      </w:r>
      <w:r>
        <w:t xml:space="preserve">degvielai paaugstināšanu no 2025. gada. Atliekot lēmumu un neveicot pakāpenisku pāreju, tiktu faktiski ieplānots nozīmīgs cenu </w:t>
      </w:r>
      <w:r w:rsidR="008643DF">
        <w:t>kāpums</w:t>
      </w:r>
      <w:r>
        <w:t xml:space="preserve"> 2027. gadā.</w:t>
      </w:r>
    </w:p>
    <w:p w14:paraId="25C9C4BF" w14:textId="3B216C85" w:rsidR="00CD1EC4" w:rsidRDefault="000011F4" w:rsidP="00501035">
      <w:pPr>
        <w:pStyle w:val="ListParagraph"/>
        <w:spacing w:before="120"/>
        <w:ind w:left="0" w:firstLine="567"/>
        <w:contextualSpacing w:val="0"/>
        <w:rPr>
          <w:szCs w:val="24"/>
        </w:rPr>
      </w:pPr>
      <w:r>
        <w:rPr>
          <w:szCs w:val="24"/>
        </w:rPr>
        <w:t xml:space="preserve">Tādejādi </w:t>
      </w:r>
      <w:r w:rsidR="008643DF">
        <w:rPr>
          <w:szCs w:val="24"/>
        </w:rPr>
        <w:t>plānots</w:t>
      </w:r>
      <w:r w:rsidR="008272F1" w:rsidRPr="008272F1">
        <w:rPr>
          <w:szCs w:val="24"/>
        </w:rPr>
        <w:t xml:space="preserve"> </w:t>
      </w:r>
      <w:r w:rsidR="00F51111" w:rsidRPr="008272F1">
        <w:rPr>
          <w:szCs w:val="24"/>
        </w:rPr>
        <w:t xml:space="preserve">pakāpeniski paaugstināt AN likmes degvielai, lai novērstu strauju vienreizēju </w:t>
      </w:r>
      <w:r w:rsidR="00F861B9">
        <w:rPr>
          <w:szCs w:val="24"/>
        </w:rPr>
        <w:t xml:space="preserve">AN </w:t>
      </w:r>
      <w:r w:rsidR="00F51111" w:rsidRPr="008272F1">
        <w:rPr>
          <w:szCs w:val="24"/>
        </w:rPr>
        <w:t>likmju kāpumu 2027.gadā, ieviešot ETS2.</w:t>
      </w:r>
      <w:r w:rsidR="008272F1" w:rsidRPr="008272F1">
        <w:rPr>
          <w:rFonts w:cstheme="minorHAnsi"/>
          <w:szCs w:val="24"/>
        </w:rPr>
        <w:t xml:space="preserve"> Jāņem vērā, ka arī kaimiņvalstis – Lietuva un Igaunija</w:t>
      </w:r>
      <w:r w:rsidR="008272F1">
        <w:rPr>
          <w:rFonts w:cstheme="minorHAnsi"/>
          <w:szCs w:val="24"/>
        </w:rPr>
        <w:t xml:space="preserve"> – </w:t>
      </w:r>
      <w:r w:rsidR="008272F1" w:rsidRPr="008272F1">
        <w:rPr>
          <w:szCs w:val="24"/>
        </w:rPr>
        <w:t>pakāpeniski paaugstin</w:t>
      </w:r>
      <w:r w:rsidR="008272F1">
        <w:rPr>
          <w:szCs w:val="24"/>
        </w:rPr>
        <w:t>a</w:t>
      </w:r>
      <w:r w:rsidR="008272F1" w:rsidRPr="008272F1">
        <w:rPr>
          <w:szCs w:val="24"/>
        </w:rPr>
        <w:t xml:space="preserve"> AN likmes degvielai</w:t>
      </w:r>
      <w:r w:rsidR="008272F1">
        <w:rPr>
          <w:szCs w:val="24"/>
        </w:rPr>
        <w:t>.</w:t>
      </w:r>
    </w:p>
    <w:p w14:paraId="7BA34C0A" w14:textId="1F62A111" w:rsidR="00F51111" w:rsidRPr="00CD1EC4" w:rsidRDefault="00F51111" w:rsidP="00501035">
      <w:pPr>
        <w:pStyle w:val="ListParagraph"/>
        <w:spacing w:before="120"/>
        <w:ind w:left="0" w:firstLine="567"/>
        <w:contextualSpacing w:val="0"/>
      </w:pPr>
      <w:r w:rsidRPr="008272F1">
        <w:rPr>
          <w:rFonts w:cstheme="minorHAnsi"/>
          <w:bCs/>
          <w:szCs w:val="24"/>
        </w:rPr>
        <w:t>AN likmju palielinājums naftas produktiem par CO</w:t>
      </w:r>
      <w:r w:rsidRPr="008272F1">
        <w:rPr>
          <w:rFonts w:cstheme="minorHAnsi"/>
          <w:bCs/>
          <w:szCs w:val="24"/>
          <w:vertAlign w:val="subscript"/>
        </w:rPr>
        <w:t>2</w:t>
      </w:r>
      <w:r w:rsidRPr="008272F1">
        <w:rPr>
          <w:rFonts w:cstheme="minorHAnsi"/>
          <w:bCs/>
          <w:szCs w:val="24"/>
        </w:rPr>
        <w:t xml:space="preserve"> komponenti paredzēts:</w:t>
      </w:r>
      <w:r w:rsidRPr="008272F1">
        <w:rPr>
          <w:b/>
          <w:bCs/>
          <w:szCs w:val="24"/>
        </w:rPr>
        <w:t xml:space="preserve"> </w:t>
      </w:r>
    </w:p>
    <w:p w14:paraId="42A91BC3" w14:textId="77777777" w:rsidR="00F51111" w:rsidRPr="006C0DA8" w:rsidRDefault="00F51111" w:rsidP="00FF31ED">
      <w:pPr>
        <w:pStyle w:val="ListParagraph"/>
        <w:numPr>
          <w:ilvl w:val="0"/>
          <w:numId w:val="3"/>
        </w:numPr>
        <w:ind w:left="1134" w:hanging="425"/>
        <w:rPr>
          <w:b/>
          <w:bCs/>
          <w:szCs w:val="24"/>
        </w:rPr>
      </w:pPr>
      <w:r w:rsidRPr="006C0DA8">
        <w:rPr>
          <w:b/>
          <w:bCs/>
          <w:szCs w:val="24"/>
        </w:rPr>
        <w:t>2025. gadā</w:t>
      </w:r>
      <w:r w:rsidRPr="00712E36">
        <w:rPr>
          <w:szCs w:val="24"/>
        </w:rPr>
        <w:t xml:space="preserve"> </w:t>
      </w:r>
      <w:r w:rsidRPr="00712E36">
        <w:rPr>
          <w:b/>
          <w:bCs/>
          <w:color w:val="C00000"/>
          <w:szCs w:val="24"/>
        </w:rPr>
        <w:t>10</w:t>
      </w:r>
      <w:r w:rsidRPr="00712E36">
        <w:rPr>
          <w:color w:val="C00000"/>
          <w:szCs w:val="24"/>
        </w:rPr>
        <w:t xml:space="preserve"> </w:t>
      </w:r>
      <w:r w:rsidRPr="00712E36">
        <w:rPr>
          <w:i/>
          <w:iCs/>
          <w:szCs w:val="24"/>
        </w:rPr>
        <w:t>euro</w:t>
      </w:r>
      <w:r w:rsidRPr="00712E36">
        <w:rPr>
          <w:szCs w:val="24"/>
        </w:rPr>
        <w:t xml:space="preserve"> par 1 tonnu CO</w:t>
      </w:r>
      <w:r w:rsidRPr="00712E36">
        <w:rPr>
          <w:szCs w:val="24"/>
          <w:vertAlign w:val="subscript"/>
        </w:rPr>
        <w:t>2</w:t>
      </w:r>
      <w:r w:rsidRPr="006C0DA8">
        <w:rPr>
          <w:szCs w:val="24"/>
        </w:rPr>
        <w:t>;</w:t>
      </w:r>
      <w:r w:rsidRPr="00712E36">
        <w:rPr>
          <w:szCs w:val="24"/>
        </w:rPr>
        <w:t xml:space="preserve"> </w:t>
      </w:r>
    </w:p>
    <w:p w14:paraId="6C9AD2B1" w14:textId="78EDB900" w:rsidR="00F51111" w:rsidRPr="00712E36" w:rsidRDefault="00F51111" w:rsidP="00FF31ED">
      <w:pPr>
        <w:pStyle w:val="ListParagraph"/>
        <w:numPr>
          <w:ilvl w:val="0"/>
          <w:numId w:val="3"/>
        </w:numPr>
        <w:ind w:left="1134" w:hanging="425"/>
        <w:rPr>
          <w:b/>
          <w:bCs/>
          <w:szCs w:val="24"/>
        </w:rPr>
      </w:pPr>
      <w:r w:rsidRPr="006C0DA8">
        <w:rPr>
          <w:b/>
          <w:bCs/>
          <w:szCs w:val="24"/>
        </w:rPr>
        <w:t>2026.</w:t>
      </w:r>
      <w:r w:rsidR="00DE7B79">
        <w:rPr>
          <w:b/>
          <w:bCs/>
          <w:szCs w:val="24"/>
        </w:rPr>
        <w:t> </w:t>
      </w:r>
      <w:r w:rsidRPr="006C0DA8">
        <w:rPr>
          <w:b/>
          <w:bCs/>
          <w:szCs w:val="24"/>
        </w:rPr>
        <w:t>gadā</w:t>
      </w:r>
      <w:r w:rsidRPr="00712E36">
        <w:rPr>
          <w:szCs w:val="24"/>
        </w:rPr>
        <w:t xml:space="preserve"> </w:t>
      </w:r>
      <w:r w:rsidRPr="00712E36">
        <w:rPr>
          <w:b/>
          <w:bCs/>
          <w:color w:val="C00000"/>
          <w:szCs w:val="24"/>
        </w:rPr>
        <w:t>20</w:t>
      </w:r>
      <w:r w:rsidRPr="00712E36">
        <w:rPr>
          <w:color w:val="C00000"/>
          <w:szCs w:val="24"/>
        </w:rPr>
        <w:t xml:space="preserve"> </w:t>
      </w:r>
      <w:r w:rsidRPr="00712E36">
        <w:rPr>
          <w:i/>
          <w:iCs/>
          <w:szCs w:val="24"/>
        </w:rPr>
        <w:t>euro</w:t>
      </w:r>
      <w:r w:rsidRPr="00712E36">
        <w:rPr>
          <w:szCs w:val="24"/>
        </w:rPr>
        <w:t xml:space="preserve"> par 1 tonnu CO</w:t>
      </w:r>
      <w:r w:rsidRPr="00712E36">
        <w:rPr>
          <w:szCs w:val="24"/>
          <w:vertAlign w:val="subscript"/>
        </w:rPr>
        <w:t>2</w:t>
      </w:r>
      <w:r w:rsidRPr="006C0DA8">
        <w:rPr>
          <w:szCs w:val="24"/>
        </w:rPr>
        <w:t xml:space="preserve">; </w:t>
      </w:r>
    </w:p>
    <w:p w14:paraId="0A91BBC0" w14:textId="2C3E58F2" w:rsidR="00F51111" w:rsidRDefault="00827D29" w:rsidP="00F51111">
      <w:pPr>
        <w:rPr>
          <w:szCs w:val="24"/>
        </w:rPr>
      </w:pPr>
      <w:r w:rsidRPr="00A6700C">
        <w:rPr>
          <w:rFonts w:cstheme="minorHAnsi"/>
          <w:b/>
          <w:bCs/>
          <w:color w:val="0070C0"/>
          <w:sz w:val="20"/>
          <w:szCs w:val="20"/>
        </w:rPr>
        <w:tab/>
      </w:r>
      <w:r w:rsidRPr="00A6700C">
        <w:rPr>
          <w:rFonts w:cstheme="minorHAnsi"/>
          <w:b/>
          <w:bCs/>
          <w:color w:val="0070C0"/>
          <w:sz w:val="20"/>
          <w:szCs w:val="20"/>
        </w:rPr>
        <w:tab/>
      </w:r>
    </w:p>
    <w:p w14:paraId="54738FFB" w14:textId="3F7EE2CB" w:rsidR="008272F1" w:rsidRPr="008272F1" w:rsidRDefault="006F5E64" w:rsidP="008272F1">
      <w:pPr>
        <w:spacing w:after="120"/>
        <w:jc w:val="center"/>
        <w:rPr>
          <w:sz w:val="20"/>
          <w:szCs w:val="20"/>
        </w:rPr>
      </w:pPr>
      <w:r>
        <w:rPr>
          <w:rFonts w:cs="Times New Roman"/>
          <w:sz w:val="20"/>
        </w:rPr>
        <w:t>1</w:t>
      </w:r>
      <w:r w:rsidR="00725CD9">
        <w:rPr>
          <w:rFonts w:cs="Times New Roman"/>
          <w:sz w:val="20"/>
        </w:rPr>
        <w:t>7</w:t>
      </w:r>
      <w:r w:rsidR="008272F1" w:rsidRPr="00CD1EC4">
        <w:rPr>
          <w:bCs/>
          <w:sz w:val="20"/>
          <w:szCs w:val="20"/>
        </w:rPr>
        <w:t>.tab.</w:t>
      </w:r>
      <w:r w:rsidR="008272F1" w:rsidRPr="008272F1">
        <w:rPr>
          <w:b/>
          <w:sz w:val="20"/>
          <w:szCs w:val="20"/>
        </w:rPr>
        <w:t xml:space="preserve"> AN degvielai paaugstināšana, ietverot AN CO</w:t>
      </w:r>
      <w:r w:rsidR="008272F1" w:rsidRPr="008272F1">
        <w:rPr>
          <w:b/>
          <w:sz w:val="20"/>
          <w:szCs w:val="20"/>
          <w:vertAlign w:val="subscript"/>
        </w:rPr>
        <w:t>2</w:t>
      </w:r>
      <w:r w:rsidR="008272F1" w:rsidRPr="008272F1">
        <w:rPr>
          <w:b/>
          <w:sz w:val="20"/>
          <w:szCs w:val="20"/>
        </w:rPr>
        <w:t xml:space="preserve"> komponenti</w:t>
      </w:r>
    </w:p>
    <w:tbl>
      <w:tblPr>
        <w:tblStyle w:val="TableGrid"/>
        <w:tblW w:w="9639" w:type="dxa"/>
        <w:tblInd w:w="-5" w:type="dxa"/>
        <w:tblLayout w:type="fixed"/>
        <w:tblLook w:val="04A0" w:firstRow="1" w:lastRow="0" w:firstColumn="1" w:lastColumn="0" w:noHBand="0" w:noVBand="1"/>
      </w:tblPr>
      <w:tblGrid>
        <w:gridCol w:w="2834"/>
        <w:gridCol w:w="709"/>
        <w:gridCol w:w="709"/>
        <w:gridCol w:w="709"/>
        <w:gridCol w:w="850"/>
        <w:gridCol w:w="851"/>
        <w:gridCol w:w="850"/>
        <w:gridCol w:w="709"/>
        <w:gridCol w:w="709"/>
        <w:gridCol w:w="709"/>
      </w:tblGrid>
      <w:tr w:rsidR="007515A7" w:rsidRPr="009C5FBC" w14:paraId="6AC20215" w14:textId="6A3CC342" w:rsidTr="0054058E">
        <w:trPr>
          <w:trHeight w:val="175"/>
        </w:trPr>
        <w:tc>
          <w:tcPr>
            <w:tcW w:w="2835" w:type="dxa"/>
            <w:vMerge w:val="restart"/>
            <w:tcBorders>
              <w:bottom w:val="single" w:sz="4" w:space="0" w:color="FFFFFF" w:themeColor="background1"/>
              <w:right w:val="single" w:sz="4" w:space="0" w:color="FFFFFF" w:themeColor="background1"/>
            </w:tcBorders>
            <w:shd w:val="clear" w:color="auto" w:fill="002060"/>
            <w:vAlign w:val="center"/>
          </w:tcPr>
          <w:p w14:paraId="13DC7A83" w14:textId="77777777" w:rsidR="007515A7" w:rsidRPr="005C1FD5" w:rsidRDefault="007515A7" w:rsidP="00195D54">
            <w:pPr>
              <w:contextualSpacing/>
              <w:jc w:val="center"/>
              <w:rPr>
                <w:rFonts w:cstheme="minorHAnsi"/>
                <w:b/>
                <w:color w:val="FFFFFF" w:themeColor="background1"/>
                <w:sz w:val="20"/>
                <w:szCs w:val="20"/>
              </w:rPr>
            </w:pPr>
            <w:r w:rsidRPr="005C1FD5">
              <w:rPr>
                <w:rFonts w:cstheme="minorHAnsi"/>
                <w:b/>
                <w:color w:val="FFFFFF" w:themeColor="background1"/>
                <w:sz w:val="20"/>
                <w:szCs w:val="20"/>
              </w:rPr>
              <w:t>AN likmes</w:t>
            </w:r>
          </w:p>
        </w:tc>
        <w:tc>
          <w:tcPr>
            <w:tcW w:w="2127" w:type="dxa"/>
            <w:gridSpan w:val="3"/>
            <w:tcBorders>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C54AB31" w14:textId="77777777" w:rsidR="007515A7" w:rsidRPr="005C1FD5" w:rsidRDefault="007515A7" w:rsidP="00195D54">
            <w:pPr>
              <w:contextualSpacing/>
              <w:jc w:val="center"/>
              <w:rPr>
                <w:rFonts w:cstheme="minorHAnsi"/>
                <w:b/>
                <w:color w:val="FFFFFF" w:themeColor="background1"/>
                <w:sz w:val="20"/>
                <w:szCs w:val="20"/>
              </w:rPr>
            </w:pPr>
            <w:r w:rsidRPr="005C1FD5">
              <w:rPr>
                <w:rFonts w:cstheme="minorHAnsi"/>
                <w:b/>
                <w:color w:val="FFFFFF" w:themeColor="background1"/>
                <w:sz w:val="20"/>
                <w:szCs w:val="20"/>
              </w:rPr>
              <w:t>Latvija</w:t>
            </w:r>
          </w:p>
        </w:tc>
        <w:tc>
          <w:tcPr>
            <w:tcW w:w="2551" w:type="dxa"/>
            <w:gridSpan w:val="3"/>
            <w:tcBorders>
              <w:left w:val="single" w:sz="4" w:space="0" w:color="FFFFFF" w:themeColor="background1"/>
              <w:bottom w:val="single" w:sz="4" w:space="0" w:color="FFFFFF" w:themeColor="background1"/>
              <w:right w:val="single" w:sz="4" w:space="0" w:color="FFFFFF" w:themeColor="background1"/>
            </w:tcBorders>
            <w:shd w:val="clear" w:color="auto" w:fill="002060"/>
          </w:tcPr>
          <w:p w14:paraId="0D3C7D45" w14:textId="6CB0654B" w:rsidR="007515A7" w:rsidRPr="005C1FD5" w:rsidRDefault="007515A7" w:rsidP="00195D54">
            <w:pPr>
              <w:contextualSpacing/>
              <w:jc w:val="center"/>
              <w:rPr>
                <w:rFonts w:cstheme="minorHAnsi"/>
                <w:b/>
                <w:color w:val="FFFFFF" w:themeColor="background1"/>
                <w:sz w:val="20"/>
                <w:szCs w:val="20"/>
              </w:rPr>
            </w:pPr>
            <w:r w:rsidRPr="005C1FD5">
              <w:rPr>
                <w:rFonts w:cstheme="minorHAnsi"/>
                <w:b/>
                <w:color w:val="FFFFFF" w:themeColor="background1"/>
                <w:sz w:val="20"/>
                <w:szCs w:val="20"/>
              </w:rPr>
              <w:t>Lietuva</w:t>
            </w:r>
          </w:p>
        </w:tc>
        <w:tc>
          <w:tcPr>
            <w:tcW w:w="2126" w:type="dxa"/>
            <w:gridSpan w:val="3"/>
            <w:tcBorders>
              <w:left w:val="single" w:sz="4" w:space="0" w:color="FFFFFF" w:themeColor="background1"/>
              <w:bottom w:val="single" w:sz="4" w:space="0" w:color="FFFFFF" w:themeColor="background1"/>
            </w:tcBorders>
            <w:shd w:val="clear" w:color="auto" w:fill="002060"/>
          </w:tcPr>
          <w:p w14:paraId="381BB1D0" w14:textId="106363EE" w:rsidR="007515A7" w:rsidRPr="005C1FD5" w:rsidRDefault="007515A7" w:rsidP="00195D54">
            <w:pPr>
              <w:contextualSpacing/>
              <w:jc w:val="center"/>
              <w:rPr>
                <w:rFonts w:cstheme="minorHAnsi"/>
                <w:b/>
                <w:color w:val="FFFFFF" w:themeColor="background1"/>
                <w:sz w:val="20"/>
                <w:szCs w:val="20"/>
              </w:rPr>
            </w:pPr>
            <w:r w:rsidRPr="005C1FD5">
              <w:rPr>
                <w:rFonts w:cstheme="minorHAnsi"/>
                <w:b/>
                <w:color w:val="FFFFFF" w:themeColor="background1"/>
                <w:sz w:val="20"/>
                <w:szCs w:val="20"/>
              </w:rPr>
              <w:t>Igaunija</w:t>
            </w:r>
          </w:p>
        </w:tc>
      </w:tr>
      <w:tr w:rsidR="007515A7" w:rsidRPr="009C5FBC" w14:paraId="0AFB998B" w14:textId="1981558D" w:rsidTr="00827D29">
        <w:trPr>
          <w:trHeight w:val="175"/>
        </w:trPr>
        <w:tc>
          <w:tcPr>
            <w:tcW w:w="2835" w:type="dxa"/>
            <w:vMerge/>
            <w:tcBorders>
              <w:top w:val="single" w:sz="4" w:space="0" w:color="FFFFFF" w:themeColor="background1"/>
              <w:bottom w:val="single" w:sz="4" w:space="0" w:color="auto"/>
              <w:right w:val="single" w:sz="4" w:space="0" w:color="FFFFFF" w:themeColor="background1"/>
            </w:tcBorders>
            <w:shd w:val="clear" w:color="auto" w:fill="002060"/>
            <w:vAlign w:val="center"/>
          </w:tcPr>
          <w:p w14:paraId="2FD6CFDF" w14:textId="77777777" w:rsidR="007515A7" w:rsidRPr="005C1FD5" w:rsidRDefault="007515A7" w:rsidP="00195D54">
            <w:pPr>
              <w:contextualSpacing/>
              <w:jc w:val="center"/>
              <w:rPr>
                <w:rFonts w:cstheme="minorHAnsi"/>
                <w:b/>
                <w:color w:val="FFFFFF" w:themeColor="background1"/>
                <w:sz w:val="20"/>
                <w:szCs w:val="20"/>
              </w:rPr>
            </w:pP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5EF17B98" w14:textId="77777777" w:rsidR="007515A7" w:rsidRPr="005C1FD5" w:rsidRDefault="007515A7" w:rsidP="00195D54">
            <w:pPr>
              <w:contextualSpacing/>
              <w:jc w:val="center"/>
              <w:rPr>
                <w:rFonts w:cstheme="minorHAnsi"/>
                <w:b/>
                <w:color w:val="FFFFFF" w:themeColor="background1"/>
                <w:sz w:val="20"/>
                <w:szCs w:val="20"/>
              </w:rPr>
            </w:pPr>
            <w:r w:rsidRPr="005C1FD5">
              <w:rPr>
                <w:rFonts w:cstheme="minorHAnsi"/>
                <w:b/>
                <w:color w:val="FFFFFF" w:themeColor="background1"/>
                <w:sz w:val="20"/>
                <w:szCs w:val="20"/>
              </w:rPr>
              <w:t>2024</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711F7166" w14:textId="77777777" w:rsidR="007515A7" w:rsidRPr="005C1FD5" w:rsidRDefault="007515A7" w:rsidP="00195D54">
            <w:pPr>
              <w:contextualSpacing/>
              <w:jc w:val="center"/>
              <w:rPr>
                <w:rFonts w:cstheme="minorHAnsi"/>
                <w:b/>
                <w:color w:val="FFFFFF" w:themeColor="background1"/>
                <w:sz w:val="20"/>
                <w:szCs w:val="20"/>
              </w:rPr>
            </w:pPr>
            <w:r w:rsidRPr="005C1FD5">
              <w:rPr>
                <w:rFonts w:cstheme="minorHAnsi"/>
                <w:b/>
                <w:color w:val="FFFFFF" w:themeColor="background1"/>
                <w:sz w:val="20"/>
                <w:szCs w:val="20"/>
              </w:rPr>
              <w:t>2025</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5E4E4792" w14:textId="77777777" w:rsidR="007515A7" w:rsidRPr="005C1FD5" w:rsidRDefault="007515A7" w:rsidP="00195D54">
            <w:pPr>
              <w:contextualSpacing/>
              <w:jc w:val="center"/>
              <w:rPr>
                <w:rFonts w:cstheme="minorHAnsi"/>
                <w:b/>
                <w:color w:val="FFFFFF" w:themeColor="background1"/>
                <w:sz w:val="20"/>
                <w:szCs w:val="20"/>
              </w:rPr>
            </w:pPr>
            <w:r w:rsidRPr="005C1FD5">
              <w:rPr>
                <w:rFonts w:cstheme="minorHAnsi"/>
                <w:b/>
                <w:color w:val="FFFFFF" w:themeColor="background1"/>
                <w:sz w:val="20"/>
                <w:szCs w:val="20"/>
              </w:rPr>
              <w:t>2026</w:t>
            </w:r>
          </w:p>
        </w:tc>
        <w:tc>
          <w:tcPr>
            <w:tcW w:w="85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14:paraId="7C1C8D11" w14:textId="77777777" w:rsidR="007515A7" w:rsidRPr="005C1FD5" w:rsidRDefault="007515A7" w:rsidP="00195D54">
            <w:pPr>
              <w:contextualSpacing/>
              <w:jc w:val="center"/>
              <w:rPr>
                <w:rFonts w:cstheme="minorHAnsi"/>
                <w:b/>
                <w:color w:val="FFFFFF" w:themeColor="background1"/>
                <w:sz w:val="20"/>
                <w:szCs w:val="20"/>
              </w:rPr>
            </w:pPr>
            <w:r w:rsidRPr="005C1FD5">
              <w:rPr>
                <w:rFonts w:cstheme="minorHAnsi"/>
                <w:b/>
                <w:color w:val="FFFFFF" w:themeColor="background1"/>
                <w:sz w:val="20"/>
                <w:szCs w:val="20"/>
              </w:rPr>
              <w:t>2024</w:t>
            </w:r>
          </w:p>
        </w:tc>
        <w:tc>
          <w:tcPr>
            <w:tcW w:w="85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14:paraId="6E5CCDFE" w14:textId="77777777" w:rsidR="007515A7" w:rsidRPr="005C1FD5" w:rsidRDefault="007515A7" w:rsidP="00195D54">
            <w:pPr>
              <w:contextualSpacing/>
              <w:jc w:val="center"/>
              <w:rPr>
                <w:rFonts w:cstheme="minorHAnsi"/>
                <w:b/>
                <w:color w:val="FFFFFF" w:themeColor="background1"/>
                <w:sz w:val="20"/>
                <w:szCs w:val="20"/>
              </w:rPr>
            </w:pPr>
            <w:r w:rsidRPr="005C1FD5">
              <w:rPr>
                <w:rFonts w:cstheme="minorHAnsi"/>
                <w:b/>
                <w:color w:val="FFFFFF" w:themeColor="background1"/>
                <w:sz w:val="20"/>
                <w:szCs w:val="20"/>
              </w:rPr>
              <w:t>2025</w:t>
            </w:r>
          </w:p>
        </w:tc>
        <w:tc>
          <w:tcPr>
            <w:tcW w:w="85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14:paraId="2C5EFD35" w14:textId="250E48FD" w:rsidR="007515A7" w:rsidRPr="005C1FD5" w:rsidRDefault="007515A7" w:rsidP="00195D54">
            <w:pPr>
              <w:contextualSpacing/>
              <w:jc w:val="center"/>
              <w:rPr>
                <w:rFonts w:cstheme="minorHAnsi"/>
                <w:b/>
                <w:color w:val="FFFFFF" w:themeColor="background1"/>
                <w:sz w:val="20"/>
                <w:szCs w:val="20"/>
              </w:rPr>
            </w:pPr>
            <w:r>
              <w:rPr>
                <w:rFonts w:cstheme="minorHAnsi"/>
                <w:b/>
                <w:color w:val="FFFFFF" w:themeColor="background1"/>
                <w:sz w:val="20"/>
                <w:szCs w:val="20"/>
              </w:rPr>
              <w:t>2026</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14:paraId="79577D2F" w14:textId="649E6A40" w:rsidR="007515A7" w:rsidRPr="005C1FD5" w:rsidRDefault="007515A7" w:rsidP="00195D54">
            <w:pPr>
              <w:contextualSpacing/>
              <w:jc w:val="center"/>
              <w:rPr>
                <w:rFonts w:cstheme="minorHAnsi"/>
                <w:b/>
                <w:color w:val="FFFFFF" w:themeColor="background1"/>
                <w:sz w:val="20"/>
                <w:szCs w:val="20"/>
              </w:rPr>
            </w:pPr>
            <w:r w:rsidRPr="005C1FD5">
              <w:rPr>
                <w:rFonts w:cstheme="minorHAnsi"/>
                <w:b/>
                <w:color w:val="FFFFFF" w:themeColor="background1"/>
                <w:sz w:val="20"/>
                <w:szCs w:val="20"/>
              </w:rPr>
              <w:t>2024</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14:paraId="2C6A7447" w14:textId="77777777" w:rsidR="007515A7" w:rsidRPr="005C1FD5" w:rsidRDefault="007515A7" w:rsidP="00195D54">
            <w:pPr>
              <w:contextualSpacing/>
              <w:jc w:val="center"/>
              <w:rPr>
                <w:rFonts w:cstheme="minorHAnsi"/>
                <w:b/>
                <w:color w:val="FFFFFF" w:themeColor="background1"/>
                <w:sz w:val="20"/>
                <w:szCs w:val="20"/>
              </w:rPr>
            </w:pPr>
            <w:r w:rsidRPr="005C1FD5">
              <w:rPr>
                <w:rFonts w:cstheme="minorHAnsi"/>
                <w:b/>
                <w:color w:val="FFFFFF" w:themeColor="background1"/>
                <w:sz w:val="20"/>
                <w:szCs w:val="20"/>
              </w:rPr>
              <w:t>2025</w:t>
            </w:r>
          </w:p>
        </w:tc>
        <w:tc>
          <w:tcPr>
            <w:tcW w:w="708" w:type="dxa"/>
            <w:tcBorders>
              <w:top w:val="single" w:sz="4" w:space="0" w:color="FFFFFF" w:themeColor="background1"/>
              <w:left w:val="single" w:sz="4" w:space="0" w:color="FFFFFF" w:themeColor="background1"/>
              <w:bottom w:val="single" w:sz="4" w:space="0" w:color="auto"/>
            </w:tcBorders>
            <w:shd w:val="clear" w:color="auto" w:fill="002060"/>
          </w:tcPr>
          <w:p w14:paraId="11BBC5A9" w14:textId="5B96FEE3" w:rsidR="007515A7" w:rsidRPr="005C1FD5" w:rsidRDefault="007515A7" w:rsidP="00195D54">
            <w:pPr>
              <w:contextualSpacing/>
              <w:jc w:val="center"/>
              <w:rPr>
                <w:rFonts w:cstheme="minorHAnsi"/>
                <w:b/>
                <w:color w:val="FFFFFF" w:themeColor="background1"/>
                <w:sz w:val="20"/>
                <w:szCs w:val="20"/>
              </w:rPr>
            </w:pPr>
            <w:r>
              <w:rPr>
                <w:rFonts w:cstheme="minorHAnsi"/>
                <w:b/>
                <w:color w:val="FFFFFF" w:themeColor="background1"/>
                <w:sz w:val="20"/>
                <w:szCs w:val="20"/>
              </w:rPr>
              <w:t>2026</w:t>
            </w:r>
          </w:p>
        </w:tc>
      </w:tr>
      <w:tr w:rsidR="00827D29" w:rsidRPr="00F15523" w14:paraId="7DD4436A" w14:textId="6B9AAA27" w:rsidTr="00827D29">
        <w:trPr>
          <w:trHeight w:val="170"/>
        </w:trPr>
        <w:tc>
          <w:tcPr>
            <w:tcW w:w="2835" w:type="dxa"/>
            <w:tcBorders>
              <w:bottom w:val="single" w:sz="4" w:space="0" w:color="auto"/>
            </w:tcBorders>
            <w:shd w:val="clear" w:color="auto" w:fill="auto"/>
            <w:vAlign w:val="center"/>
          </w:tcPr>
          <w:p w14:paraId="713E237D" w14:textId="77777777" w:rsidR="00827D29" w:rsidRPr="00AC0C9B" w:rsidRDefault="00827D29" w:rsidP="00195D54">
            <w:pPr>
              <w:contextualSpacing/>
              <w:rPr>
                <w:rFonts w:cstheme="minorHAnsi"/>
                <w:bCs/>
                <w:sz w:val="20"/>
                <w:szCs w:val="20"/>
              </w:rPr>
            </w:pPr>
            <w:bookmarkStart w:id="45" w:name="_Hlk176876980"/>
            <w:r w:rsidRPr="00126954">
              <w:rPr>
                <w:rFonts w:cstheme="minorHAnsi"/>
                <w:b/>
                <w:sz w:val="20"/>
                <w:szCs w:val="20"/>
              </w:rPr>
              <w:t>Bezsvina benzīns</w:t>
            </w:r>
            <w:r>
              <w:rPr>
                <w:rFonts w:cstheme="minorHAnsi"/>
                <w:bCs/>
                <w:sz w:val="20"/>
                <w:szCs w:val="20"/>
              </w:rPr>
              <w:t xml:space="preserve">, </w:t>
            </w:r>
            <w:r w:rsidRPr="00097D61">
              <w:rPr>
                <w:i/>
                <w:iCs/>
                <w:sz w:val="20"/>
                <w:szCs w:val="20"/>
              </w:rPr>
              <w:t>euro par 1000 litriem</w:t>
            </w:r>
          </w:p>
        </w:tc>
        <w:tc>
          <w:tcPr>
            <w:tcW w:w="709" w:type="dxa"/>
            <w:tcBorders>
              <w:bottom w:val="single" w:sz="4" w:space="0" w:color="auto"/>
            </w:tcBorders>
            <w:shd w:val="clear" w:color="auto" w:fill="F2F2F2" w:themeFill="background1" w:themeFillShade="F2"/>
            <w:vAlign w:val="center"/>
          </w:tcPr>
          <w:p w14:paraId="77E462E0" w14:textId="77777777" w:rsidR="00827D29" w:rsidRPr="00097D61" w:rsidRDefault="00827D29" w:rsidP="00195D54">
            <w:pPr>
              <w:contextualSpacing/>
              <w:jc w:val="center"/>
              <w:rPr>
                <w:rFonts w:cstheme="minorHAnsi"/>
                <w:b/>
                <w:bCs/>
                <w:sz w:val="20"/>
                <w:szCs w:val="20"/>
              </w:rPr>
            </w:pPr>
            <w:r w:rsidRPr="006B14BA">
              <w:rPr>
                <w:rFonts w:cstheme="minorHAnsi"/>
                <w:b/>
                <w:bCs/>
                <w:sz w:val="20"/>
                <w:szCs w:val="20"/>
              </w:rPr>
              <w:t>509</w:t>
            </w:r>
          </w:p>
        </w:tc>
        <w:tc>
          <w:tcPr>
            <w:tcW w:w="709" w:type="dxa"/>
            <w:tcBorders>
              <w:bottom w:val="single" w:sz="4" w:space="0" w:color="auto"/>
            </w:tcBorders>
            <w:vAlign w:val="center"/>
          </w:tcPr>
          <w:p w14:paraId="0FB21DF2" w14:textId="77777777" w:rsidR="00827D29" w:rsidRPr="008B0B39" w:rsidRDefault="00827D29" w:rsidP="00195D54">
            <w:pPr>
              <w:contextualSpacing/>
              <w:jc w:val="center"/>
              <w:rPr>
                <w:b/>
                <w:bCs/>
                <w:color w:val="C00000"/>
                <w:sz w:val="20"/>
                <w:szCs w:val="20"/>
              </w:rPr>
            </w:pPr>
            <w:r w:rsidRPr="008B0B39">
              <w:rPr>
                <w:b/>
                <w:bCs/>
                <w:color w:val="C00000"/>
                <w:sz w:val="20"/>
                <w:szCs w:val="20"/>
              </w:rPr>
              <w:t>531,7</w:t>
            </w:r>
          </w:p>
        </w:tc>
        <w:tc>
          <w:tcPr>
            <w:tcW w:w="709" w:type="dxa"/>
            <w:tcBorders>
              <w:bottom w:val="single" w:sz="4" w:space="0" w:color="auto"/>
            </w:tcBorders>
            <w:vAlign w:val="center"/>
          </w:tcPr>
          <w:p w14:paraId="3F33760D" w14:textId="77777777" w:rsidR="00827D29" w:rsidRPr="008B0B39" w:rsidRDefault="00827D29" w:rsidP="00195D54">
            <w:pPr>
              <w:contextualSpacing/>
              <w:jc w:val="center"/>
              <w:rPr>
                <w:b/>
                <w:bCs/>
                <w:color w:val="C00000"/>
                <w:sz w:val="20"/>
                <w:szCs w:val="20"/>
              </w:rPr>
            </w:pPr>
            <w:r w:rsidRPr="008B0B39">
              <w:rPr>
                <w:b/>
                <w:bCs/>
                <w:color w:val="C00000"/>
                <w:sz w:val="20"/>
                <w:szCs w:val="20"/>
              </w:rPr>
              <w:t>554,4</w:t>
            </w:r>
          </w:p>
        </w:tc>
        <w:tc>
          <w:tcPr>
            <w:tcW w:w="850" w:type="dxa"/>
            <w:tcBorders>
              <w:bottom w:val="single" w:sz="4" w:space="0" w:color="auto"/>
            </w:tcBorders>
            <w:shd w:val="clear" w:color="auto" w:fill="FFFFFF" w:themeFill="background1"/>
            <w:vAlign w:val="center"/>
          </w:tcPr>
          <w:p w14:paraId="34449FD9" w14:textId="77777777" w:rsidR="00827D29" w:rsidRPr="006B14BA" w:rsidRDefault="00827D29" w:rsidP="00195D54">
            <w:pPr>
              <w:contextualSpacing/>
              <w:jc w:val="center"/>
              <w:rPr>
                <w:rFonts w:cstheme="minorHAnsi"/>
                <w:b/>
                <w:bCs/>
                <w:sz w:val="20"/>
                <w:szCs w:val="20"/>
              </w:rPr>
            </w:pPr>
            <w:r w:rsidRPr="008B0B39">
              <w:rPr>
                <w:rFonts w:cstheme="minorHAnsi"/>
                <w:b/>
                <w:bCs/>
                <w:color w:val="00B050"/>
                <w:sz w:val="20"/>
                <w:szCs w:val="20"/>
              </w:rPr>
              <w:t>466</w:t>
            </w:r>
          </w:p>
        </w:tc>
        <w:tc>
          <w:tcPr>
            <w:tcW w:w="851" w:type="dxa"/>
            <w:tcBorders>
              <w:bottom w:val="single" w:sz="4" w:space="0" w:color="auto"/>
            </w:tcBorders>
            <w:shd w:val="clear" w:color="auto" w:fill="FFFFFF" w:themeFill="background1"/>
            <w:vAlign w:val="center"/>
          </w:tcPr>
          <w:p w14:paraId="47B51A7A" w14:textId="77777777" w:rsidR="00827D29" w:rsidRPr="00712E36" w:rsidRDefault="00827D29" w:rsidP="00195D54">
            <w:pPr>
              <w:contextualSpacing/>
              <w:jc w:val="center"/>
              <w:rPr>
                <w:rFonts w:cstheme="minorHAnsi"/>
                <w:b/>
                <w:bCs/>
                <w:color w:val="00B050"/>
                <w:sz w:val="20"/>
                <w:szCs w:val="20"/>
              </w:rPr>
            </w:pPr>
            <w:r w:rsidRPr="00712E36">
              <w:rPr>
                <w:rFonts w:cstheme="minorHAnsi"/>
                <w:b/>
                <w:bCs/>
                <w:color w:val="00B050"/>
                <w:sz w:val="20"/>
                <w:szCs w:val="20"/>
              </w:rPr>
              <w:t>513</w:t>
            </w:r>
          </w:p>
        </w:tc>
        <w:tc>
          <w:tcPr>
            <w:tcW w:w="850" w:type="dxa"/>
            <w:tcBorders>
              <w:bottom w:val="single" w:sz="4" w:space="0" w:color="auto"/>
              <w:right w:val="single" w:sz="4" w:space="0" w:color="auto"/>
            </w:tcBorders>
            <w:shd w:val="clear" w:color="auto" w:fill="FFFFFF" w:themeFill="background1"/>
            <w:vAlign w:val="center"/>
          </w:tcPr>
          <w:p w14:paraId="3E243C2C" w14:textId="1F04BB46" w:rsidR="00827D29" w:rsidRPr="00075E5A" w:rsidRDefault="00827D29" w:rsidP="00075E5A">
            <w:pPr>
              <w:contextualSpacing/>
              <w:jc w:val="center"/>
              <w:rPr>
                <w:rFonts w:cstheme="minorHAnsi"/>
                <w:b/>
                <w:bCs/>
                <w:color w:val="00B050"/>
                <w:sz w:val="20"/>
                <w:szCs w:val="20"/>
              </w:rPr>
            </w:pPr>
            <w:r w:rsidRPr="00075E5A">
              <w:rPr>
                <w:rFonts w:cstheme="minorHAnsi"/>
                <w:b/>
                <w:bCs/>
                <w:color w:val="00B050"/>
                <w:sz w:val="20"/>
                <w:szCs w:val="20"/>
              </w:rPr>
              <w:t>562</w:t>
            </w:r>
          </w:p>
        </w:tc>
        <w:tc>
          <w:tcPr>
            <w:tcW w:w="708" w:type="dxa"/>
            <w:tcBorders>
              <w:left w:val="single" w:sz="4" w:space="0" w:color="auto"/>
              <w:bottom w:val="single" w:sz="4" w:space="0" w:color="auto"/>
            </w:tcBorders>
            <w:shd w:val="clear" w:color="auto" w:fill="FFFFFF" w:themeFill="background1"/>
            <w:vAlign w:val="center"/>
          </w:tcPr>
          <w:p w14:paraId="6BB4F8AD" w14:textId="152CB653" w:rsidR="00827D29" w:rsidRPr="008B0B39" w:rsidRDefault="00827D29" w:rsidP="00827D29">
            <w:pPr>
              <w:contextualSpacing/>
              <w:jc w:val="center"/>
              <w:rPr>
                <w:rFonts w:cstheme="minorHAnsi"/>
                <w:b/>
                <w:bCs/>
                <w:color w:val="0070C0"/>
                <w:sz w:val="20"/>
                <w:szCs w:val="20"/>
              </w:rPr>
            </w:pPr>
            <w:r>
              <w:rPr>
                <w:rFonts w:cstheme="minorHAnsi"/>
                <w:b/>
                <w:bCs/>
                <w:color w:val="0070C0"/>
                <w:sz w:val="20"/>
                <w:szCs w:val="20"/>
              </w:rPr>
              <w:t>563</w:t>
            </w:r>
            <w:r w:rsidRPr="00827D29">
              <w:rPr>
                <w:rFonts w:cstheme="minorHAnsi"/>
                <w:b/>
                <w:bCs/>
                <w:sz w:val="20"/>
                <w:szCs w:val="20"/>
                <w:vertAlign w:val="superscript"/>
              </w:rPr>
              <w:t>*</w:t>
            </w:r>
          </w:p>
        </w:tc>
        <w:tc>
          <w:tcPr>
            <w:tcW w:w="709" w:type="dxa"/>
            <w:tcBorders>
              <w:left w:val="single" w:sz="4" w:space="0" w:color="auto"/>
              <w:bottom w:val="single" w:sz="4" w:space="0" w:color="auto"/>
            </w:tcBorders>
            <w:shd w:val="clear" w:color="auto" w:fill="FFFFFF" w:themeFill="background1"/>
            <w:vAlign w:val="center"/>
          </w:tcPr>
          <w:p w14:paraId="18B4EA74" w14:textId="6F5B5435" w:rsidR="00827D29" w:rsidRPr="008B0B39" w:rsidRDefault="00827D29" w:rsidP="00827D29">
            <w:pPr>
              <w:contextualSpacing/>
              <w:jc w:val="center"/>
              <w:rPr>
                <w:rFonts w:cstheme="minorHAnsi"/>
                <w:b/>
                <w:bCs/>
                <w:color w:val="0070C0"/>
                <w:sz w:val="20"/>
                <w:szCs w:val="20"/>
              </w:rPr>
            </w:pPr>
            <w:r w:rsidRPr="00A6700C">
              <w:rPr>
                <w:rFonts w:cstheme="minorHAnsi"/>
                <w:b/>
                <w:bCs/>
                <w:color w:val="0070C0"/>
                <w:sz w:val="20"/>
                <w:szCs w:val="20"/>
              </w:rPr>
              <w:t>5</w:t>
            </w:r>
            <w:r>
              <w:rPr>
                <w:rFonts w:cstheme="minorHAnsi"/>
                <w:b/>
                <w:bCs/>
                <w:color w:val="0070C0"/>
                <w:sz w:val="20"/>
                <w:szCs w:val="20"/>
              </w:rPr>
              <w:t>91</w:t>
            </w:r>
            <w:r w:rsidRPr="00827D29">
              <w:rPr>
                <w:rFonts w:cstheme="minorHAnsi"/>
                <w:b/>
                <w:bCs/>
                <w:sz w:val="20"/>
                <w:szCs w:val="20"/>
                <w:vertAlign w:val="superscript"/>
              </w:rPr>
              <w:t>*</w:t>
            </w:r>
          </w:p>
        </w:tc>
        <w:tc>
          <w:tcPr>
            <w:tcW w:w="709" w:type="dxa"/>
            <w:tcBorders>
              <w:left w:val="single" w:sz="4" w:space="0" w:color="auto"/>
              <w:bottom w:val="single" w:sz="4" w:space="0" w:color="auto"/>
            </w:tcBorders>
            <w:shd w:val="clear" w:color="auto" w:fill="FFFFFF" w:themeFill="background1"/>
            <w:vAlign w:val="center"/>
          </w:tcPr>
          <w:p w14:paraId="277E7821" w14:textId="6EE70C9C" w:rsidR="00827D29" w:rsidRPr="008B0B39" w:rsidRDefault="00827D29" w:rsidP="00827D29">
            <w:pPr>
              <w:contextualSpacing/>
              <w:jc w:val="center"/>
              <w:rPr>
                <w:rFonts w:cstheme="minorHAnsi"/>
                <w:b/>
                <w:bCs/>
                <w:color w:val="0070C0"/>
                <w:sz w:val="20"/>
                <w:szCs w:val="20"/>
              </w:rPr>
            </w:pPr>
            <w:r>
              <w:rPr>
                <w:rFonts w:cstheme="minorHAnsi"/>
                <w:b/>
                <w:bCs/>
                <w:color w:val="0070C0"/>
                <w:sz w:val="20"/>
                <w:szCs w:val="20"/>
              </w:rPr>
              <w:t>621</w:t>
            </w:r>
            <w:r w:rsidRPr="00827D29">
              <w:rPr>
                <w:rFonts w:cstheme="minorHAnsi"/>
                <w:b/>
                <w:bCs/>
                <w:sz w:val="20"/>
                <w:szCs w:val="20"/>
                <w:vertAlign w:val="superscript"/>
              </w:rPr>
              <w:t>*</w:t>
            </w:r>
          </w:p>
        </w:tc>
      </w:tr>
      <w:bookmarkEnd w:id="45"/>
      <w:tr w:rsidR="007515A7" w:rsidRPr="00C666EF" w14:paraId="0989F4BC" w14:textId="39D35B70" w:rsidTr="00183B22">
        <w:trPr>
          <w:trHeight w:val="85"/>
        </w:trPr>
        <w:tc>
          <w:tcPr>
            <w:tcW w:w="2835" w:type="dxa"/>
            <w:tcBorders>
              <w:top w:val="single" w:sz="4" w:space="0" w:color="auto"/>
              <w:bottom w:val="single" w:sz="4" w:space="0" w:color="A6A6A6" w:themeColor="background1" w:themeShade="A6"/>
            </w:tcBorders>
            <w:shd w:val="clear" w:color="auto" w:fill="auto"/>
            <w:vAlign w:val="center"/>
          </w:tcPr>
          <w:p w14:paraId="532B307E" w14:textId="77777777" w:rsidR="007515A7" w:rsidRPr="008B0B39" w:rsidRDefault="007515A7" w:rsidP="00195D54">
            <w:pPr>
              <w:contextualSpacing/>
              <w:rPr>
                <w:b/>
                <w:bCs/>
                <w:sz w:val="20"/>
                <w:szCs w:val="20"/>
              </w:rPr>
            </w:pPr>
            <w:r w:rsidRPr="00126954">
              <w:rPr>
                <w:b/>
                <w:bCs/>
                <w:color w:val="000000"/>
                <w:sz w:val="20"/>
                <w:szCs w:val="20"/>
              </w:rPr>
              <w:t>Dīzeļdegviela</w:t>
            </w:r>
            <w:r w:rsidRPr="008B0B39">
              <w:rPr>
                <w:sz w:val="20"/>
                <w:szCs w:val="20"/>
              </w:rPr>
              <w:t xml:space="preserve">, </w:t>
            </w:r>
            <w:r w:rsidRPr="008B0B39">
              <w:rPr>
                <w:i/>
                <w:iCs/>
                <w:sz w:val="20"/>
                <w:szCs w:val="20"/>
              </w:rPr>
              <w:t>euro par 1000 litriem</w:t>
            </w:r>
          </w:p>
        </w:tc>
        <w:tc>
          <w:tcPr>
            <w:tcW w:w="709" w:type="dxa"/>
            <w:tcBorders>
              <w:top w:val="single" w:sz="4" w:space="0" w:color="auto"/>
              <w:bottom w:val="single" w:sz="4" w:space="0" w:color="A6A6A6" w:themeColor="background1" w:themeShade="A6"/>
            </w:tcBorders>
            <w:shd w:val="clear" w:color="auto" w:fill="F2F2F2" w:themeFill="background1" w:themeFillShade="F2"/>
            <w:vAlign w:val="center"/>
          </w:tcPr>
          <w:p w14:paraId="3AF03CB2" w14:textId="77777777" w:rsidR="007515A7" w:rsidRPr="00C666EF" w:rsidRDefault="007515A7" w:rsidP="00195D54">
            <w:pPr>
              <w:contextualSpacing/>
              <w:jc w:val="center"/>
              <w:rPr>
                <w:b/>
                <w:bCs/>
                <w:sz w:val="20"/>
                <w:szCs w:val="20"/>
              </w:rPr>
            </w:pPr>
            <w:r w:rsidRPr="008B0B39">
              <w:rPr>
                <w:b/>
                <w:bCs/>
                <w:sz w:val="20"/>
                <w:szCs w:val="20"/>
              </w:rPr>
              <w:t>414</w:t>
            </w:r>
          </w:p>
        </w:tc>
        <w:tc>
          <w:tcPr>
            <w:tcW w:w="709" w:type="dxa"/>
            <w:tcBorders>
              <w:top w:val="single" w:sz="4" w:space="0" w:color="auto"/>
              <w:bottom w:val="single" w:sz="4" w:space="0" w:color="A6A6A6" w:themeColor="background1" w:themeShade="A6"/>
            </w:tcBorders>
            <w:vAlign w:val="center"/>
          </w:tcPr>
          <w:p w14:paraId="2D555A39" w14:textId="77777777" w:rsidR="007515A7" w:rsidRPr="008B0B39" w:rsidRDefault="007515A7" w:rsidP="00195D54">
            <w:pPr>
              <w:contextualSpacing/>
              <w:jc w:val="center"/>
              <w:rPr>
                <w:b/>
                <w:bCs/>
                <w:color w:val="C00000"/>
                <w:sz w:val="20"/>
                <w:szCs w:val="20"/>
              </w:rPr>
            </w:pPr>
            <w:r w:rsidRPr="008B0B39">
              <w:rPr>
                <w:b/>
                <w:bCs/>
                <w:color w:val="C00000"/>
                <w:sz w:val="20"/>
                <w:szCs w:val="20"/>
              </w:rPr>
              <w:t>440,3</w:t>
            </w:r>
          </w:p>
        </w:tc>
        <w:tc>
          <w:tcPr>
            <w:tcW w:w="709" w:type="dxa"/>
            <w:tcBorders>
              <w:top w:val="single" w:sz="4" w:space="0" w:color="auto"/>
              <w:bottom w:val="single" w:sz="4" w:space="0" w:color="A6A6A6" w:themeColor="background1" w:themeShade="A6"/>
            </w:tcBorders>
            <w:vAlign w:val="center"/>
          </w:tcPr>
          <w:p w14:paraId="3E730337" w14:textId="77777777" w:rsidR="007515A7" w:rsidRPr="008B0B39" w:rsidRDefault="007515A7" w:rsidP="00195D54">
            <w:pPr>
              <w:contextualSpacing/>
              <w:jc w:val="center"/>
              <w:rPr>
                <w:b/>
                <w:bCs/>
                <w:color w:val="C00000"/>
                <w:sz w:val="20"/>
                <w:szCs w:val="20"/>
              </w:rPr>
            </w:pPr>
            <w:r w:rsidRPr="008B0B39">
              <w:rPr>
                <w:b/>
                <w:bCs/>
                <w:color w:val="C00000"/>
                <w:sz w:val="20"/>
                <w:szCs w:val="20"/>
              </w:rPr>
              <w:t>466,6</w:t>
            </w:r>
          </w:p>
        </w:tc>
        <w:tc>
          <w:tcPr>
            <w:tcW w:w="850" w:type="dxa"/>
            <w:tcBorders>
              <w:top w:val="single" w:sz="4" w:space="0" w:color="auto"/>
            </w:tcBorders>
            <w:shd w:val="clear" w:color="auto" w:fill="FFFFFF" w:themeFill="background1"/>
            <w:vAlign w:val="center"/>
          </w:tcPr>
          <w:p w14:paraId="5D4F2BE5" w14:textId="77777777" w:rsidR="007515A7" w:rsidRPr="00C666EF" w:rsidRDefault="007515A7" w:rsidP="00195D54">
            <w:pPr>
              <w:contextualSpacing/>
              <w:jc w:val="center"/>
              <w:rPr>
                <w:b/>
                <w:bCs/>
                <w:color w:val="C00000"/>
                <w:sz w:val="20"/>
                <w:szCs w:val="20"/>
              </w:rPr>
            </w:pPr>
            <w:r w:rsidRPr="008B0B39">
              <w:rPr>
                <w:b/>
                <w:bCs/>
                <w:color w:val="00B050"/>
                <w:sz w:val="20"/>
                <w:szCs w:val="20"/>
              </w:rPr>
              <w:t>410</w:t>
            </w:r>
          </w:p>
        </w:tc>
        <w:tc>
          <w:tcPr>
            <w:tcW w:w="851" w:type="dxa"/>
            <w:tcBorders>
              <w:top w:val="single" w:sz="4" w:space="0" w:color="auto"/>
            </w:tcBorders>
            <w:shd w:val="clear" w:color="auto" w:fill="FFFFFF" w:themeFill="background1"/>
            <w:vAlign w:val="center"/>
          </w:tcPr>
          <w:p w14:paraId="4153E501" w14:textId="77777777" w:rsidR="007515A7" w:rsidRPr="00712E36" w:rsidRDefault="007515A7" w:rsidP="00195D54">
            <w:pPr>
              <w:contextualSpacing/>
              <w:jc w:val="center"/>
              <w:rPr>
                <w:b/>
                <w:bCs/>
                <w:color w:val="00B050"/>
                <w:sz w:val="20"/>
                <w:szCs w:val="20"/>
              </w:rPr>
            </w:pPr>
            <w:r w:rsidRPr="00712E36">
              <w:rPr>
                <w:b/>
                <w:bCs/>
                <w:color w:val="00B050"/>
                <w:sz w:val="20"/>
                <w:szCs w:val="20"/>
              </w:rPr>
              <w:t>5</w:t>
            </w:r>
            <w:r>
              <w:rPr>
                <w:b/>
                <w:bCs/>
                <w:color w:val="00B050"/>
                <w:sz w:val="20"/>
                <w:szCs w:val="20"/>
              </w:rPr>
              <w:t>19</w:t>
            </w:r>
            <w:r w:rsidRPr="00712E36">
              <w:rPr>
                <w:b/>
                <w:bCs/>
                <w:color w:val="00B050"/>
                <w:sz w:val="20"/>
                <w:szCs w:val="20"/>
              </w:rPr>
              <w:t>,6</w:t>
            </w:r>
          </w:p>
        </w:tc>
        <w:tc>
          <w:tcPr>
            <w:tcW w:w="850" w:type="dxa"/>
            <w:tcBorders>
              <w:top w:val="single" w:sz="4" w:space="0" w:color="auto"/>
            </w:tcBorders>
            <w:shd w:val="clear" w:color="auto" w:fill="FFFFFF" w:themeFill="background1"/>
            <w:vAlign w:val="center"/>
          </w:tcPr>
          <w:p w14:paraId="22D8984B" w14:textId="10F6910A" w:rsidR="007515A7" w:rsidRPr="00075E5A" w:rsidRDefault="00C46165" w:rsidP="00075E5A">
            <w:pPr>
              <w:contextualSpacing/>
              <w:jc w:val="center"/>
              <w:rPr>
                <w:b/>
                <w:bCs/>
                <w:color w:val="00B050"/>
                <w:sz w:val="20"/>
                <w:szCs w:val="20"/>
              </w:rPr>
            </w:pPr>
            <w:r w:rsidRPr="00075E5A">
              <w:rPr>
                <w:b/>
                <w:bCs/>
                <w:color w:val="00B050"/>
                <w:sz w:val="20"/>
                <w:szCs w:val="20"/>
              </w:rPr>
              <w:t>604,8</w:t>
            </w:r>
          </w:p>
        </w:tc>
        <w:tc>
          <w:tcPr>
            <w:tcW w:w="709" w:type="dxa"/>
            <w:tcBorders>
              <w:top w:val="single" w:sz="4" w:space="0" w:color="auto"/>
            </w:tcBorders>
            <w:shd w:val="clear" w:color="auto" w:fill="FFFFFF" w:themeFill="background1"/>
            <w:vAlign w:val="center"/>
          </w:tcPr>
          <w:p w14:paraId="4A853805" w14:textId="0F253E6D" w:rsidR="007515A7" w:rsidRDefault="007515A7" w:rsidP="00195D54">
            <w:pPr>
              <w:contextualSpacing/>
              <w:jc w:val="center"/>
              <w:rPr>
                <w:b/>
                <w:bCs/>
                <w:color w:val="0070C0"/>
                <w:sz w:val="20"/>
                <w:szCs w:val="20"/>
              </w:rPr>
            </w:pPr>
            <w:r w:rsidRPr="008B0B39">
              <w:rPr>
                <w:b/>
                <w:bCs/>
                <w:color w:val="0070C0"/>
                <w:sz w:val="20"/>
                <w:szCs w:val="20"/>
              </w:rPr>
              <w:t>399</w:t>
            </w:r>
          </w:p>
          <w:p w14:paraId="73C2FDCA" w14:textId="77777777" w:rsidR="007515A7" w:rsidRPr="00FE35AA" w:rsidRDefault="007515A7" w:rsidP="00195D54">
            <w:pPr>
              <w:contextualSpacing/>
              <w:jc w:val="center"/>
              <w:rPr>
                <w:color w:val="C00000"/>
                <w:sz w:val="10"/>
                <w:szCs w:val="10"/>
              </w:rPr>
            </w:pPr>
            <w:r w:rsidRPr="00FE35AA">
              <w:rPr>
                <w:sz w:val="10"/>
                <w:szCs w:val="10"/>
              </w:rPr>
              <w:t>(no 01.05.)</w:t>
            </w:r>
          </w:p>
        </w:tc>
        <w:tc>
          <w:tcPr>
            <w:tcW w:w="709" w:type="dxa"/>
            <w:tcBorders>
              <w:top w:val="single" w:sz="4" w:space="0" w:color="auto"/>
            </w:tcBorders>
            <w:shd w:val="clear" w:color="auto" w:fill="FFFFFF" w:themeFill="background1"/>
            <w:vAlign w:val="center"/>
          </w:tcPr>
          <w:p w14:paraId="1A8F36C1" w14:textId="77777777" w:rsidR="007515A7" w:rsidRPr="00FE35AA" w:rsidRDefault="007515A7" w:rsidP="00195D54">
            <w:pPr>
              <w:contextualSpacing/>
              <w:jc w:val="center"/>
              <w:rPr>
                <w:b/>
                <w:bCs/>
                <w:color w:val="0070C0"/>
                <w:sz w:val="20"/>
                <w:szCs w:val="20"/>
              </w:rPr>
            </w:pPr>
            <w:r w:rsidRPr="00FE35AA">
              <w:rPr>
                <w:b/>
                <w:bCs/>
                <w:color w:val="0070C0"/>
                <w:sz w:val="20"/>
                <w:szCs w:val="20"/>
              </w:rPr>
              <w:t>428</w:t>
            </w:r>
          </w:p>
          <w:p w14:paraId="03345412" w14:textId="77777777" w:rsidR="007515A7" w:rsidRPr="008B0B39" w:rsidRDefault="007515A7" w:rsidP="00195D54">
            <w:pPr>
              <w:contextualSpacing/>
              <w:jc w:val="center"/>
              <w:rPr>
                <w:b/>
                <w:bCs/>
                <w:color w:val="0070C0"/>
                <w:sz w:val="20"/>
                <w:szCs w:val="20"/>
              </w:rPr>
            </w:pPr>
            <w:r w:rsidRPr="00FE35AA">
              <w:rPr>
                <w:sz w:val="10"/>
                <w:szCs w:val="10"/>
              </w:rPr>
              <w:t>(no 01.05.)</w:t>
            </w:r>
          </w:p>
        </w:tc>
        <w:tc>
          <w:tcPr>
            <w:tcW w:w="708" w:type="dxa"/>
            <w:tcBorders>
              <w:top w:val="single" w:sz="4" w:space="0" w:color="auto"/>
            </w:tcBorders>
            <w:shd w:val="clear" w:color="auto" w:fill="FFFFFF" w:themeFill="background1"/>
            <w:vAlign w:val="center"/>
          </w:tcPr>
          <w:p w14:paraId="2A66E0D6" w14:textId="77777777" w:rsidR="007515A7" w:rsidRDefault="00C46165" w:rsidP="00075E5A">
            <w:pPr>
              <w:contextualSpacing/>
              <w:jc w:val="center"/>
              <w:rPr>
                <w:b/>
                <w:bCs/>
                <w:color w:val="0070C0"/>
                <w:sz w:val="20"/>
                <w:szCs w:val="20"/>
              </w:rPr>
            </w:pPr>
            <w:r>
              <w:rPr>
                <w:b/>
                <w:bCs/>
                <w:color w:val="0070C0"/>
                <w:sz w:val="20"/>
                <w:szCs w:val="20"/>
              </w:rPr>
              <w:t>459</w:t>
            </w:r>
          </w:p>
          <w:p w14:paraId="7C679C2B" w14:textId="54169FBF" w:rsidR="00C46165" w:rsidRPr="00075E5A" w:rsidRDefault="00C46165" w:rsidP="00075E5A">
            <w:pPr>
              <w:contextualSpacing/>
              <w:jc w:val="center"/>
              <w:rPr>
                <w:color w:val="0070C0"/>
                <w:sz w:val="10"/>
                <w:szCs w:val="10"/>
              </w:rPr>
            </w:pPr>
            <w:r w:rsidRPr="00075E5A">
              <w:rPr>
                <w:sz w:val="10"/>
                <w:szCs w:val="10"/>
              </w:rPr>
              <w:t>(no 01.05</w:t>
            </w:r>
            <w:r w:rsidR="00075E5A">
              <w:rPr>
                <w:sz w:val="10"/>
                <w:szCs w:val="10"/>
              </w:rPr>
              <w:t>.</w:t>
            </w:r>
            <w:r w:rsidRPr="00075E5A">
              <w:rPr>
                <w:sz w:val="10"/>
                <w:szCs w:val="10"/>
              </w:rPr>
              <w:t>)</w:t>
            </w:r>
          </w:p>
        </w:tc>
      </w:tr>
      <w:tr w:rsidR="00C46165" w:rsidRPr="00097D61" w14:paraId="707777B7" w14:textId="2DDF1E93" w:rsidTr="00075E5A">
        <w:trPr>
          <w:trHeight w:val="50"/>
        </w:trPr>
        <w:tc>
          <w:tcPr>
            <w:tcW w:w="2835" w:type="dxa"/>
            <w:tcBorders>
              <w:top w:val="single" w:sz="4" w:space="0" w:color="000000"/>
              <w:bottom w:val="single" w:sz="4" w:space="0" w:color="A6A6A6" w:themeColor="background1" w:themeShade="A6"/>
            </w:tcBorders>
            <w:shd w:val="clear" w:color="auto" w:fill="auto"/>
            <w:vAlign w:val="center"/>
          </w:tcPr>
          <w:p w14:paraId="0C7E7AA3" w14:textId="77777777" w:rsidR="00C46165" w:rsidRPr="008B0B39" w:rsidRDefault="00C46165" w:rsidP="00195D54">
            <w:pPr>
              <w:contextualSpacing/>
              <w:rPr>
                <w:sz w:val="20"/>
                <w:szCs w:val="20"/>
              </w:rPr>
            </w:pPr>
            <w:r w:rsidRPr="00126954">
              <w:rPr>
                <w:b/>
                <w:bCs/>
                <w:sz w:val="20"/>
                <w:szCs w:val="20"/>
              </w:rPr>
              <w:t>Petroleja</w:t>
            </w:r>
            <w:r>
              <w:rPr>
                <w:rFonts w:cstheme="minorHAnsi"/>
                <w:bCs/>
                <w:sz w:val="20"/>
                <w:szCs w:val="20"/>
              </w:rPr>
              <w:t xml:space="preserve">, </w:t>
            </w:r>
            <w:r w:rsidRPr="00097D61">
              <w:rPr>
                <w:i/>
                <w:iCs/>
                <w:sz w:val="20"/>
                <w:szCs w:val="20"/>
              </w:rPr>
              <w:t>euro par 1000 litriem</w:t>
            </w:r>
          </w:p>
        </w:tc>
        <w:tc>
          <w:tcPr>
            <w:tcW w:w="709" w:type="dxa"/>
            <w:tcBorders>
              <w:top w:val="single" w:sz="4" w:space="0" w:color="000000"/>
              <w:bottom w:val="single" w:sz="4" w:space="0" w:color="A6A6A6" w:themeColor="background1" w:themeShade="A6"/>
            </w:tcBorders>
            <w:shd w:val="clear" w:color="auto" w:fill="F2F2F2" w:themeFill="background1" w:themeFillShade="F2"/>
            <w:vAlign w:val="center"/>
          </w:tcPr>
          <w:p w14:paraId="6B337B5F" w14:textId="77777777" w:rsidR="00C46165" w:rsidRPr="008B0B39" w:rsidRDefault="00C46165" w:rsidP="00195D54">
            <w:pPr>
              <w:contextualSpacing/>
              <w:jc w:val="center"/>
              <w:rPr>
                <w:b/>
                <w:bCs/>
                <w:sz w:val="20"/>
                <w:szCs w:val="20"/>
              </w:rPr>
            </w:pPr>
            <w:r>
              <w:rPr>
                <w:b/>
                <w:bCs/>
                <w:sz w:val="20"/>
                <w:szCs w:val="20"/>
              </w:rPr>
              <w:t>414</w:t>
            </w:r>
          </w:p>
        </w:tc>
        <w:tc>
          <w:tcPr>
            <w:tcW w:w="709" w:type="dxa"/>
            <w:tcBorders>
              <w:top w:val="single" w:sz="4" w:space="0" w:color="000000"/>
              <w:bottom w:val="single" w:sz="4" w:space="0" w:color="A6A6A6" w:themeColor="background1" w:themeShade="A6"/>
            </w:tcBorders>
            <w:vAlign w:val="bottom"/>
          </w:tcPr>
          <w:p w14:paraId="3110D6FD" w14:textId="77777777" w:rsidR="00C46165" w:rsidRPr="000D6AA5" w:rsidRDefault="00C46165" w:rsidP="00195D54">
            <w:pPr>
              <w:contextualSpacing/>
              <w:jc w:val="center"/>
              <w:rPr>
                <w:b/>
                <w:bCs/>
                <w:color w:val="C00000"/>
                <w:sz w:val="20"/>
                <w:szCs w:val="20"/>
              </w:rPr>
            </w:pPr>
            <w:r w:rsidRPr="000D6AA5">
              <w:rPr>
                <w:b/>
                <w:bCs/>
                <w:color w:val="C00000"/>
                <w:sz w:val="20"/>
                <w:szCs w:val="20"/>
              </w:rPr>
              <w:t>438,9</w:t>
            </w:r>
          </w:p>
        </w:tc>
        <w:tc>
          <w:tcPr>
            <w:tcW w:w="709" w:type="dxa"/>
            <w:tcBorders>
              <w:top w:val="single" w:sz="4" w:space="0" w:color="000000"/>
              <w:bottom w:val="single" w:sz="4" w:space="0" w:color="A6A6A6" w:themeColor="background1" w:themeShade="A6"/>
            </w:tcBorders>
            <w:vAlign w:val="bottom"/>
          </w:tcPr>
          <w:p w14:paraId="6E147502" w14:textId="77777777" w:rsidR="00C46165" w:rsidRPr="000D6AA5" w:rsidRDefault="00C46165" w:rsidP="00195D54">
            <w:pPr>
              <w:contextualSpacing/>
              <w:jc w:val="center"/>
              <w:rPr>
                <w:b/>
                <w:bCs/>
                <w:color w:val="C00000"/>
                <w:sz w:val="20"/>
                <w:szCs w:val="20"/>
              </w:rPr>
            </w:pPr>
            <w:r w:rsidRPr="000D6AA5">
              <w:rPr>
                <w:b/>
                <w:bCs/>
                <w:color w:val="C00000"/>
                <w:sz w:val="20"/>
                <w:szCs w:val="20"/>
              </w:rPr>
              <w:t>463,8</w:t>
            </w:r>
          </w:p>
        </w:tc>
        <w:tc>
          <w:tcPr>
            <w:tcW w:w="850" w:type="dxa"/>
            <w:shd w:val="clear" w:color="auto" w:fill="FFFFFF" w:themeFill="background1"/>
            <w:vAlign w:val="center"/>
          </w:tcPr>
          <w:p w14:paraId="21D9CA69" w14:textId="77777777" w:rsidR="00C46165" w:rsidRPr="00255CA7" w:rsidRDefault="00C46165" w:rsidP="00195D54">
            <w:pPr>
              <w:contextualSpacing/>
              <w:jc w:val="center"/>
              <w:rPr>
                <w:b/>
                <w:bCs/>
                <w:sz w:val="20"/>
                <w:szCs w:val="20"/>
              </w:rPr>
            </w:pPr>
            <w:r w:rsidRPr="00125329">
              <w:rPr>
                <w:b/>
                <w:bCs/>
                <w:color w:val="00B050"/>
                <w:sz w:val="20"/>
                <w:szCs w:val="20"/>
              </w:rPr>
              <w:t>330,17</w:t>
            </w:r>
          </w:p>
        </w:tc>
        <w:tc>
          <w:tcPr>
            <w:tcW w:w="851" w:type="dxa"/>
            <w:shd w:val="clear" w:color="auto" w:fill="FFFFFF" w:themeFill="background1"/>
            <w:vAlign w:val="center"/>
          </w:tcPr>
          <w:p w14:paraId="3B36DB36" w14:textId="77777777" w:rsidR="00C46165" w:rsidRPr="00712E36" w:rsidRDefault="00C46165" w:rsidP="00195D54">
            <w:pPr>
              <w:contextualSpacing/>
              <w:jc w:val="center"/>
              <w:rPr>
                <w:b/>
                <w:bCs/>
                <w:color w:val="00B050"/>
                <w:sz w:val="20"/>
                <w:szCs w:val="20"/>
              </w:rPr>
            </w:pPr>
            <w:r>
              <w:rPr>
                <w:b/>
                <w:bCs/>
                <w:color w:val="00B050"/>
                <w:sz w:val="20"/>
                <w:szCs w:val="20"/>
              </w:rPr>
              <w:t>383</w:t>
            </w:r>
            <w:r w:rsidRPr="00712E36">
              <w:rPr>
                <w:b/>
                <w:bCs/>
                <w:color w:val="00B050"/>
                <w:sz w:val="20"/>
                <w:szCs w:val="20"/>
              </w:rPr>
              <w:t>,</w:t>
            </w:r>
            <w:r>
              <w:rPr>
                <w:b/>
                <w:bCs/>
                <w:color w:val="00B050"/>
                <w:sz w:val="20"/>
                <w:szCs w:val="20"/>
              </w:rPr>
              <w:t>7</w:t>
            </w:r>
            <w:r w:rsidRPr="00712E36">
              <w:rPr>
                <w:b/>
                <w:bCs/>
                <w:color w:val="00B050"/>
                <w:sz w:val="20"/>
                <w:szCs w:val="20"/>
              </w:rPr>
              <w:t>7</w:t>
            </w:r>
          </w:p>
        </w:tc>
        <w:tc>
          <w:tcPr>
            <w:tcW w:w="850" w:type="dxa"/>
            <w:shd w:val="clear" w:color="auto" w:fill="FFFFFF" w:themeFill="background1"/>
            <w:vAlign w:val="center"/>
          </w:tcPr>
          <w:p w14:paraId="2D7FCA58" w14:textId="286C5A2D" w:rsidR="00C46165" w:rsidRPr="00075E5A" w:rsidRDefault="00C46165" w:rsidP="00075E5A">
            <w:pPr>
              <w:contextualSpacing/>
              <w:jc w:val="center"/>
              <w:rPr>
                <w:b/>
                <w:bCs/>
                <w:color w:val="00B050"/>
                <w:sz w:val="20"/>
                <w:szCs w:val="20"/>
              </w:rPr>
            </w:pPr>
            <w:r w:rsidRPr="00075E5A">
              <w:rPr>
                <w:b/>
                <w:bCs/>
                <w:color w:val="00B050"/>
                <w:sz w:val="20"/>
                <w:szCs w:val="20"/>
              </w:rPr>
              <w:t>438,57</w:t>
            </w:r>
          </w:p>
        </w:tc>
        <w:tc>
          <w:tcPr>
            <w:tcW w:w="2126" w:type="dxa"/>
            <w:gridSpan w:val="3"/>
            <w:shd w:val="clear" w:color="auto" w:fill="FFFFFF" w:themeFill="background1"/>
            <w:vAlign w:val="center"/>
          </w:tcPr>
          <w:p w14:paraId="63A4B81B" w14:textId="14B12D13" w:rsidR="00C46165" w:rsidRPr="00125329" w:rsidRDefault="00C46165" w:rsidP="00195D54">
            <w:pPr>
              <w:contextualSpacing/>
              <w:jc w:val="center"/>
              <w:rPr>
                <w:b/>
                <w:bCs/>
                <w:color w:val="0070C0"/>
                <w:sz w:val="20"/>
                <w:szCs w:val="20"/>
              </w:rPr>
            </w:pPr>
            <w:r w:rsidRPr="00125329">
              <w:rPr>
                <w:b/>
                <w:bCs/>
                <w:color w:val="0070C0"/>
                <w:sz w:val="20"/>
                <w:szCs w:val="20"/>
              </w:rPr>
              <w:t>330,1</w:t>
            </w:r>
          </w:p>
        </w:tc>
      </w:tr>
      <w:tr w:rsidR="00C46165" w:rsidRPr="00097D61" w14:paraId="6B7A030A" w14:textId="4137C152" w:rsidTr="00075E5A">
        <w:trPr>
          <w:trHeight w:val="85"/>
        </w:trPr>
        <w:tc>
          <w:tcPr>
            <w:tcW w:w="2835" w:type="dxa"/>
            <w:tcBorders>
              <w:top w:val="single" w:sz="4" w:space="0" w:color="000000"/>
              <w:bottom w:val="single" w:sz="4" w:space="0" w:color="A6A6A6" w:themeColor="background1" w:themeShade="A6"/>
            </w:tcBorders>
            <w:shd w:val="clear" w:color="auto" w:fill="auto"/>
            <w:vAlign w:val="center"/>
          </w:tcPr>
          <w:p w14:paraId="3238A5A9" w14:textId="77777777" w:rsidR="00C46165" w:rsidRPr="00041711" w:rsidRDefault="00C46165" w:rsidP="00195D54">
            <w:pPr>
              <w:contextualSpacing/>
              <w:rPr>
                <w:sz w:val="20"/>
                <w:szCs w:val="20"/>
              </w:rPr>
            </w:pPr>
            <w:r w:rsidRPr="00126954">
              <w:rPr>
                <w:b/>
                <w:bCs/>
                <w:sz w:val="20"/>
                <w:szCs w:val="20"/>
              </w:rPr>
              <w:t xml:space="preserve">Naftas gāze </w:t>
            </w:r>
            <w:r w:rsidRPr="00126954">
              <w:rPr>
                <w:b/>
                <w:bCs/>
                <w:color w:val="000000"/>
                <w:sz w:val="20"/>
                <w:szCs w:val="20"/>
              </w:rPr>
              <w:t xml:space="preserve">(LPG </w:t>
            </w:r>
            <w:proofErr w:type="spellStart"/>
            <w:r w:rsidRPr="00126954">
              <w:rPr>
                <w:b/>
                <w:bCs/>
                <w:color w:val="000000"/>
                <w:sz w:val="20"/>
                <w:szCs w:val="20"/>
              </w:rPr>
              <w:t>autogāze</w:t>
            </w:r>
            <w:proofErr w:type="spellEnd"/>
            <w:r w:rsidRPr="00126954">
              <w:rPr>
                <w:b/>
                <w:bCs/>
                <w:color w:val="000000"/>
                <w:sz w:val="20"/>
                <w:szCs w:val="20"/>
              </w:rPr>
              <w:t>)</w:t>
            </w:r>
            <w:r w:rsidRPr="00041711">
              <w:rPr>
                <w:sz w:val="20"/>
                <w:szCs w:val="20"/>
              </w:rPr>
              <w:t xml:space="preserve">, </w:t>
            </w:r>
            <w:r w:rsidRPr="00041711">
              <w:rPr>
                <w:i/>
                <w:iCs/>
                <w:sz w:val="20"/>
                <w:szCs w:val="20"/>
              </w:rPr>
              <w:t>euro par 1000 kg.</w:t>
            </w:r>
          </w:p>
        </w:tc>
        <w:tc>
          <w:tcPr>
            <w:tcW w:w="709" w:type="dxa"/>
            <w:tcBorders>
              <w:top w:val="single" w:sz="4" w:space="0" w:color="000000"/>
              <w:bottom w:val="single" w:sz="4" w:space="0" w:color="A6A6A6" w:themeColor="background1" w:themeShade="A6"/>
            </w:tcBorders>
            <w:shd w:val="clear" w:color="auto" w:fill="F2F2F2" w:themeFill="background1" w:themeFillShade="F2"/>
            <w:vAlign w:val="center"/>
          </w:tcPr>
          <w:p w14:paraId="423819BD" w14:textId="77777777" w:rsidR="00C46165" w:rsidRPr="00041711" w:rsidRDefault="00C46165" w:rsidP="00195D54">
            <w:pPr>
              <w:contextualSpacing/>
              <w:jc w:val="center"/>
              <w:rPr>
                <w:b/>
                <w:bCs/>
                <w:sz w:val="20"/>
                <w:szCs w:val="20"/>
              </w:rPr>
            </w:pPr>
            <w:r w:rsidRPr="00041711">
              <w:rPr>
                <w:b/>
                <w:bCs/>
                <w:sz w:val="20"/>
                <w:szCs w:val="20"/>
              </w:rPr>
              <w:t>285</w:t>
            </w:r>
          </w:p>
        </w:tc>
        <w:tc>
          <w:tcPr>
            <w:tcW w:w="709" w:type="dxa"/>
            <w:tcBorders>
              <w:top w:val="single" w:sz="4" w:space="0" w:color="000000"/>
              <w:bottom w:val="single" w:sz="4" w:space="0" w:color="A6A6A6" w:themeColor="background1" w:themeShade="A6"/>
            </w:tcBorders>
            <w:vAlign w:val="center"/>
          </w:tcPr>
          <w:p w14:paraId="7D403D3A" w14:textId="77777777" w:rsidR="00C46165" w:rsidRPr="00041711" w:rsidRDefault="00C46165" w:rsidP="00195D54">
            <w:pPr>
              <w:contextualSpacing/>
              <w:jc w:val="center"/>
              <w:rPr>
                <w:b/>
                <w:bCs/>
                <w:color w:val="C00000"/>
                <w:sz w:val="20"/>
                <w:szCs w:val="20"/>
              </w:rPr>
            </w:pPr>
            <w:r w:rsidRPr="00041711">
              <w:rPr>
                <w:b/>
                <w:bCs/>
                <w:color w:val="C00000"/>
                <w:sz w:val="20"/>
                <w:szCs w:val="20"/>
              </w:rPr>
              <w:t>314,0</w:t>
            </w:r>
          </w:p>
        </w:tc>
        <w:tc>
          <w:tcPr>
            <w:tcW w:w="709" w:type="dxa"/>
            <w:tcBorders>
              <w:top w:val="single" w:sz="4" w:space="0" w:color="000000"/>
              <w:bottom w:val="single" w:sz="4" w:space="0" w:color="A6A6A6" w:themeColor="background1" w:themeShade="A6"/>
            </w:tcBorders>
            <w:vAlign w:val="center"/>
          </w:tcPr>
          <w:p w14:paraId="2479C48C" w14:textId="77777777" w:rsidR="00C46165" w:rsidRPr="00041711" w:rsidRDefault="00C46165" w:rsidP="00195D54">
            <w:pPr>
              <w:contextualSpacing/>
              <w:jc w:val="center"/>
              <w:rPr>
                <w:b/>
                <w:bCs/>
                <w:color w:val="C00000"/>
                <w:sz w:val="20"/>
                <w:szCs w:val="20"/>
              </w:rPr>
            </w:pPr>
            <w:r w:rsidRPr="00041711">
              <w:rPr>
                <w:b/>
                <w:bCs/>
                <w:color w:val="C00000"/>
                <w:sz w:val="20"/>
                <w:szCs w:val="20"/>
              </w:rPr>
              <w:t>343,0</w:t>
            </w:r>
          </w:p>
        </w:tc>
        <w:tc>
          <w:tcPr>
            <w:tcW w:w="850" w:type="dxa"/>
            <w:shd w:val="clear" w:color="auto" w:fill="FFFFFF" w:themeFill="background1"/>
            <w:vAlign w:val="center"/>
          </w:tcPr>
          <w:p w14:paraId="6E75E6AE" w14:textId="77777777" w:rsidR="00C46165" w:rsidRPr="00041711" w:rsidRDefault="00C46165" w:rsidP="00195D54">
            <w:pPr>
              <w:contextualSpacing/>
              <w:jc w:val="center"/>
              <w:rPr>
                <w:b/>
                <w:bCs/>
                <w:color w:val="00B050"/>
                <w:sz w:val="20"/>
                <w:szCs w:val="20"/>
              </w:rPr>
            </w:pPr>
            <w:r w:rsidRPr="00041711">
              <w:rPr>
                <w:b/>
                <w:bCs/>
                <w:color w:val="00B050"/>
                <w:sz w:val="20"/>
                <w:szCs w:val="20"/>
              </w:rPr>
              <w:t>304,1</w:t>
            </w:r>
          </w:p>
        </w:tc>
        <w:tc>
          <w:tcPr>
            <w:tcW w:w="851" w:type="dxa"/>
            <w:shd w:val="clear" w:color="auto" w:fill="FFFFFF" w:themeFill="background1"/>
            <w:vAlign w:val="center"/>
          </w:tcPr>
          <w:p w14:paraId="3C1F876A" w14:textId="77777777" w:rsidR="00C46165" w:rsidRPr="00FE35AA" w:rsidRDefault="00C46165" w:rsidP="00195D54">
            <w:pPr>
              <w:contextualSpacing/>
              <w:jc w:val="center"/>
              <w:rPr>
                <w:b/>
                <w:bCs/>
                <w:color w:val="92D050"/>
                <w:sz w:val="20"/>
                <w:szCs w:val="20"/>
              </w:rPr>
            </w:pPr>
            <w:r w:rsidRPr="00712E36">
              <w:rPr>
                <w:b/>
                <w:bCs/>
                <w:color w:val="00B050"/>
                <w:sz w:val="20"/>
                <w:szCs w:val="20"/>
              </w:rPr>
              <w:t>370,9</w:t>
            </w:r>
          </w:p>
        </w:tc>
        <w:tc>
          <w:tcPr>
            <w:tcW w:w="850" w:type="dxa"/>
            <w:shd w:val="clear" w:color="auto" w:fill="FFFFFF" w:themeFill="background1"/>
            <w:vAlign w:val="center"/>
          </w:tcPr>
          <w:p w14:paraId="17D93C99" w14:textId="659110A7" w:rsidR="00C46165" w:rsidRPr="00075E5A" w:rsidRDefault="00C46165" w:rsidP="00075E5A">
            <w:pPr>
              <w:contextualSpacing/>
              <w:jc w:val="center"/>
              <w:rPr>
                <w:b/>
                <w:bCs/>
                <w:color w:val="00B050"/>
                <w:sz w:val="20"/>
                <w:szCs w:val="20"/>
              </w:rPr>
            </w:pPr>
            <w:r w:rsidRPr="00075E5A">
              <w:rPr>
                <w:b/>
                <w:bCs/>
                <w:color w:val="00B050"/>
                <w:sz w:val="20"/>
                <w:szCs w:val="20"/>
              </w:rPr>
              <w:t>426,5</w:t>
            </w:r>
          </w:p>
        </w:tc>
        <w:tc>
          <w:tcPr>
            <w:tcW w:w="2126" w:type="dxa"/>
            <w:gridSpan w:val="3"/>
            <w:shd w:val="clear" w:color="auto" w:fill="FFFFFF" w:themeFill="background1"/>
            <w:vAlign w:val="center"/>
          </w:tcPr>
          <w:p w14:paraId="130034A5" w14:textId="178FABA6" w:rsidR="00C46165" w:rsidRPr="00041711" w:rsidRDefault="00C46165" w:rsidP="00195D54">
            <w:pPr>
              <w:contextualSpacing/>
              <w:jc w:val="center"/>
              <w:rPr>
                <w:b/>
                <w:bCs/>
                <w:color w:val="0070C0"/>
                <w:sz w:val="20"/>
                <w:szCs w:val="20"/>
              </w:rPr>
            </w:pPr>
            <w:r w:rsidRPr="00041711">
              <w:rPr>
                <w:b/>
                <w:bCs/>
                <w:color w:val="0070C0"/>
                <w:sz w:val="20"/>
                <w:szCs w:val="20"/>
              </w:rPr>
              <w:t>193</w:t>
            </w:r>
          </w:p>
        </w:tc>
      </w:tr>
      <w:tr w:rsidR="000C6BDB" w:rsidRPr="00097D61" w14:paraId="386880E0" w14:textId="09F046DB" w:rsidTr="000C6BDB">
        <w:trPr>
          <w:trHeight w:val="85"/>
        </w:trPr>
        <w:tc>
          <w:tcPr>
            <w:tcW w:w="2835" w:type="dxa"/>
            <w:tcBorders>
              <w:top w:val="single" w:sz="4" w:space="0" w:color="000000"/>
              <w:bottom w:val="single" w:sz="4" w:space="0" w:color="A6A6A6" w:themeColor="background1" w:themeShade="A6"/>
            </w:tcBorders>
            <w:shd w:val="clear" w:color="auto" w:fill="auto"/>
            <w:vAlign w:val="center"/>
          </w:tcPr>
          <w:p w14:paraId="42D37C50" w14:textId="77777777" w:rsidR="000C6BDB" w:rsidRPr="00EF404E" w:rsidRDefault="000C6BDB" w:rsidP="00195D54">
            <w:pPr>
              <w:contextualSpacing/>
              <w:rPr>
                <w:b/>
                <w:bCs/>
                <w:sz w:val="20"/>
                <w:szCs w:val="20"/>
              </w:rPr>
            </w:pPr>
            <w:bookmarkStart w:id="46" w:name="_Hlk168581648"/>
            <w:r w:rsidRPr="00EF404E">
              <w:rPr>
                <w:b/>
                <w:bCs/>
                <w:color w:val="000000"/>
                <w:sz w:val="20"/>
                <w:szCs w:val="20"/>
              </w:rPr>
              <w:t>Dabasgāze</w:t>
            </w:r>
            <w:r w:rsidRPr="00126954">
              <w:rPr>
                <w:b/>
                <w:bCs/>
                <w:sz w:val="20"/>
                <w:szCs w:val="20"/>
              </w:rPr>
              <w:t>, ko izmanto</w:t>
            </w:r>
            <w:r w:rsidRPr="00EF404E">
              <w:rPr>
                <w:b/>
                <w:bCs/>
                <w:color w:val="000000"/>
                <w:sz w:val="20"/>
                <w:szCs w:val="20"/>
              </w:rPr>
              <w:t xml:space="preserve"> </w:t>
            </w:r>
            <w:r>
              <w:rPr>
                <w:b/>
                <w:bCs/>
                <w:sz w:val="20"/>
                <w:szCs w:val="20"/>
              </w:rPr>
              <w:t>par</w:t>
            </w:r>
            <w:r w:rsidRPr="00126954">
              <w:rPr>
                <w:b/>
                <w:bCs/>
                <w:sz w:val="20"/>
                <w:szCs w:val="20"/>
              </w:rPr>
              <w:t xml:space="preserve"> </w:t>
            </w:r>
            <w:r w:rsidRPr="00EF404E">
              <w:rPr>
                <w:b/>
                <w:bCs/>
                <w:color w:val="000000"/>
                <w:sz w:val="20"/>
                <w:szCs w:val="20"/>
              </w:rPr>
              <w:t>degviel</w:t>
            </w:r>
            <w:r>
              <w:rPr>
                <w:b/>
                <w:bCs/>
                <w:color w:val="000000"/>
                <w:sz w:val="20"/>
                <w:szCs w:val="20"/>
              </w:rPr>
              <w:t>u</w:t>
            </w:r>
            <w:r w:rsidRPr="00EF404E">
              <w:rPr>
                <w:color w:val="000000"/>
                <w:sz w:val="20"/>
                <w:szCs w:val="20"/>
              </w:rPr>
              <w:t xml:space="preserve">, </w:t>
            </w:r>
            <w:r w:rsidRPr="00EF404E">
              <w:rPr>
                <w:i/>
                <w:iCs/>
                <w:sz w:val="20"/>
                <w:szCs w:val="20"/>
              </w:rPr>
              <w:t xml:space="preserve">euro </w:t>
            </w:r>
            <w:r w:rsidRPr="00EF404E">
              <w:rPr>
                <w:color w:val="000000"/>
                <w:sz w:val="20"/>
                <w:szCs w:val="20"/>
              </w:rPr>
              <w:t xml:space="preserve">par 1 MWh </w:t>
            </w:r>
            <w:bookmarkEnd w:id="46"/>
            <w:r w:rsidRPr="00EF404E">
              <w:rPr>
                <w:color w:val="000000"/>
                <w:sz w:val="20"/>
                <w:szCs w:val="20"/>
              </w:rPr>
              <w:t>(GCV)</w:t>
            </w:r>
          </w:p>
        </w:tc>
        <w:tc>
          <w:tcPr>
            <w:tcW w:w="709" w:type="dxa"/>
            <w:tcBorders>
              <w:top w:val="single" w:sz="4" w:space="0" w:color="000000"/>
              <w:bottom w:val="single" w:sz="4" w:space="0" w:color="A6A6A6" w:themeColor="background1" w:themeShade="A6"/>
            </w:tcBorders>
            <w:shd w:val="clear" w:color="auto" w:fill="F2F2F2" w:themeFill="background1" w:themeFillShade="F2"/>
            <w:vAlign w:val="center"/>
          </w:tcPr>
          <w:p w14:paraId="4654CF45" w14:textId="77777777" w:rsidR="000C6BDB" w:rsidRPr="00EF404E" w:rsidRDefault="000C6BDB" w:rsidP="00195D54">
            <w:pPr>
              <w:contextualSpacing/>
              <w:jc w:val="center"/>
              <w:rPr>
                <w:b/>
                <w:bCs/>
                <w:color w:val="C00000"/>
                <w:sz w:val="20"/>
                <w:szCs w:val="20"/>
              </w:rPr>
            </w:pPr>
            <w:r w:rsidRPr="00EF404E">
              <w:rPr>
                <w:b/>
                <w:bCs/>
                <w:sz w:val="20"/>
                <w:szCs w:val="20"/>
              </w:rPr>
              <w:t>1,91</w:t>
            </w:r>
          </w:p>
        </w:tc>
        <w:tc>
          <w:tcPr>
            <w:tcW w:w="709" w:type="dxa"/>
            <w:tcBorders>
              <w:top w:val="single" w:sz="4" w:space="0" w:color="000000"/>
              <w:bottom w:val="single" w:sz="4" w:space="0" w:color="A6A6A6" w:themeColor="background1" w:themeShade="A6"/>
            </w:tcBorders>
            <w:vAlign w:val="center"/>
          </w:tcPr>
          <w:p w14:paraId="3EA06B79" w14:textId="77777777" w:rsidR="000C6BDB" w:rsidRPr="00EF404E" w:rsidRDefault="000C6BDB" w:rsidP="00195D54">
            <w:pPr>
              <w:contextualSpacing/>
              <w:jc w:val="center"/>
              <w:rPr>
                <w:b/>
                <w:bCs/>
                <w:color w:val="C00000"/>
                <w:sz w:val="20"/>
                <w:szCs w:val="20"/>
              </w:rPr>
            </w:pPr>
            <w:r w:rsidRPr="00EF404E">
              <w:rPr>
                <w:b/>
                <w:bCs/>
                <w:color w:val="C00000"/>
                <w:sz w:val="20"/>
                <w:szCs w:val="20"/>
              </w:rPr>
              <w:t>3,63</w:t>
            </w:r>
          </w:p>
        </w:tc>
        <w:tc>
          <w:tcPr>
            <w:tcW w:w="709" w:type="dxa"/>
            <w:tcBorders>
              <w:top w:val="single" w:sz="4" w:space="0" w:color="000000"/>
              <w:bottom w:val="single" w:sz="4" w:space="0" w:color="A6A6A6" w:themeColor="background1" w:themeShade="A6"/>
            </w:tcBorders>
            <w:vAlign w:val="center"/>
          </w:tcPr>
          <w:p w14:paraId="2B47DFE5" w14:textId="77777777" w:rsidR="000C6BDB" w:rsidRPr="00EF404E" w:rsidRDefault="000C6BDB" w:rsidP="00195D54">
            <w:pPr>
              <w:contextualSpacing/>
              <w:jc w:val="center"/>
              <w:rPr>
                <w:b/>
                <w:bCs/>
                <w:color w:val="C00000"/>
                <w:sz w:val="20"/>
                <w:szCs w:val="20"/>
              </w:rPr>
            </w:pPr>
            <w:r w:rsidRPr="00EF404E">
              <w:rPr>
                <w:b/>
                <w:bCs/>
                <w:color w:val="C00000"/>
                <w:sz w:val="20"/>
                <w:szCs w:val="20"/>
              </w:rPr>
              <w:t>13,44</w:t>
            </w:r>
          </w:p>
        </w:tc>
        <w:tc>
          <w:tcPr>
            <w:tcW w:w="2551" w:type="dxa"/>
            <w:gridSpan w:val="3"/>
            <w:vMerge w:val="restart"/>
            <w:shd w:val="clear" w:color="auto" w:fill="FFFFFF" w:themeFill="background1"/>
            <w:vAlign w:val="center"/>
          </w:tcPr>
          <w:p w14:paraId="230FC41A" w14:textId="09463A75" w:rsidR="000C6BDB" w:rsidRDefault="000C6BDB" w:rsidP="00195D54">
            <w:pPr>
              <w:contextualSpacing/>
              <w:jc w:val="center"/>
              <w:rPr>
                <w:b/>
                <w:bCs/>
                <w:color w:val="0070C0"/>
                <w:sz w:val="20"/>
                <w:szCs w:val="20"/>
              </w:rPr>
            </w:pPr>
            <w:r>
              <w:rPr>
                <w:b/>
                <w:bCs/>
                <w:color w:val="00B050"/>
                <w:sz w:val="20"/>
                <w:szCs w:val="20"/>
              </w:rPr>
              <w:t>0,0</w:t>
            </w:r>
          </w:p>
        </w:tc>
        <w:tc>
          <w:tcPr>
            <w:tcW w:w="709" w:type="dxa"/>
            <w:vMerge w:val="restart"/>
            <w:shd w:val="clear" w:color="auto" w:fill="FFFFFF" w:themeFill="background1"/>
            <w:vAlign w:val="center"/>
          </w:tcPr>
          <w:p w14:paraId="62B0139C" w14:textId="03F68317" w:rsidR="000C6BDB" w:rsidRDefault="000C6BDB" w:rsidP="00195D54">
            <w:pPr>
              <w:contextualSpacing/>
              <w:jc w:val="center"/>
              <w:rPr>
                <w:sz w:val="20"/>
                <w:szCs w:val="20"/>
              </w:rPr>
            </w:pPr>
            <w:bookmarkStart w:id="47" w:name="_Hlk168581681"/>
            <w:r>
              <w:rPr>
                <w:b/>
                <w:bCs/>
                <w:color w:val="0070C0"/>
                <w:sz w:val="20"/>
                <w:szCs w:val="20"/>
              </w:rPr>
              <w:t>4,03</w:t>
            </w:r>
            <w:r w:rsidRPr="00842FF1">
              <w:rPr>
                <w:sz w:val="20"/>
                <w:szCs w:val="20"/>
              </w:rPr>
              <w:t xml:space="preserve"> </w:t>
            </w:r>
          </w:p>
          <w:p w14:paraId="17ED2F73" w14:textId="77777777" w:rsidR="000C6BDB" w:rsidRPr="00021331" w:rsidRDefault="000C6BDB" w:rsidP="00195D54">
            <w:pPr>
              <w:contextualSpacing/>
              <w:jc w:val="center"/>
              <w:rPr>
                <w:b/>
                <w:bCs/>
                <w:color w:val="0070C0"/>
                <w:sz w:val="20"/>
                <w:szCs w:val="20"/>
              </w:rPr>
            </w:pPr>
            <w:r w:rsidRPr="00FE35AA">
              <w:rPr>
                <w:sz w:val="10"/>
                <w:szCs w:val="10"/>
              </w:rPr>
              <w:t>(no 01.05.)</w:t>
            </w:r>
            <w:bookmarkEnd w:id="47"/>
          </w:p>
        </w:tc>
        <w:tc>
          <w:tcPr>
            <w:tcW w:w="709" w:type="dxa"/>
            <w:vMerge w:val="restart"/>
            <w:shd w:val="clear" w:color="auto" w:fill="FFFFFF" w:themeFill="background1"/>
            <w:vAlign w:val="center"/>
          </w:tcPr>
          <w:p w14:paraId="01421836" w14:textId="77777777" w:rsidR="000C6BDB" w:rsidRDefault="000C6BDB" w:rsidP="00195D54">
            <w:pPr>
              <w:contextualSpacing/>
              <w:jc w:val="center"/>
              <w:rPr>
                <w:b/>
                <w:bCs/>
                <w:color w:val="0070C0"/>
                <w:sz w:val="20"/>
                <w:szCs w:val="20"/>
              </w:rPr>
            </w:pPr>
            <w:r>
              <w:rPr>
                <w:b/>
                <w:bCs/>
                <w:color w:val="0070C0"/>
                <w:sz w:val="20"/>
                <w:szCs w:val="20"/>
              </w:rPr>
              <w:t>4,20</w:t>
            </w:r>
          </w:p>
          <w:p w14:paraId="5FA78364" w14:textId="77777777" w:rsidR="000C6BDB" w:rsidRPr="00B61575" w:rsidRDefault="000C6BDB" w:rsidP="00195D54">
            <w:pPr>
              <w:contextualSpacing/>
              <w:jc w:val="center"/>
              <w:rPr>
                <w:b/>
                <w:bCs/>
                <w:color w:val="0070C0"/>
                <w:sz w:val="20"/>
                <w:szCs w:val="20"/>
              </w:rPr>
            </w:pPr>
            <w:r w:rsidRPr="00FE35AA">
              <w:rPr>
                <w:sz w:val="10"/>
                <w:szCs w:val="10"/>
              </w:rPr>
              <w:t>(no 01.05.)</w:t>
            </w:r>
          </w:p>
        </w:tc>
        <w:tc>
          <w:tcPr>
            <w:tcW w:w="708" w:type="dxa"/>
            <w:vMerge w:val="restart"/>
            <w:shd w:val="clear" w:color="auto" w:fill="FFFFFF" w:themeFill="background1"/>
            <w:vAlign w:val="center"/>
          </w:tcPr>
          <w:p w14:paraId="53667403" w14:textId="7CAF1A69" w:rsidR="00C46165" w:rsidRDefault="00C46165" w:rsidP="00C46165">
            <w:pPr>
              <w:contextualSpacing/>
              <w:jc w:val="center"/>
              <w:rPr>
                <w:b/>
                <w:bCs/>
                <w:color w:val="0070C0"/>
                <w:sz w:val="20"/>
                <w:szCs w:val="20"/>
              </w:rPr>
            </w:pPr>
            <w:r>
              <w:rPr>
                <w:b/>
                <w:bCs/>
                <w:color w:val="0070C0"/>
                <w:sz w:val="20"/>
                <w:szCs w:val="20"/>
              </w:rPr>
              <w:t>4,</w:t>
            </w:r>
            <w:r w:rsidR="00DB108F">
              <w:rPr>
                <w:b/>
                <w:bCs/>
                <w:color w:val="0070C0"/>
                <w:sz w:val="20"/>
                <w:szCs w:val="20"/>
              </w:rPr>
              <w:t>38</w:t>
            </w:r>
          </w:p>
          <w:p w14:paraId="61DAF9C7" w14:textId="1C7D7DBF" w:rsidR="000C6BDB" w:rsidRDefault="00C46165" w:rsidP="00C46165">
            <w:pPr>
              <w:contextualSpacing/>
              <w:jc w:val="center"/>
              <w:rPr>
                <w:b/>
                <w:bCs/>
                <w:color w:val="0070C0"/>
                <w:sz w:val="20"/>
                <w:szCs w:val="20"/>
              </w:rPr>
            </w:pPr>
            <w:r w:rsidRPr="00FE35AA">
              <w:rPr>
                <w:sz w:val="10"/>
                <w:szCs w:val="10"/>
              </w:rPr>
              <w:t>(no 01.05.)</w:t>
            </w:r>
          </w:p>
        </w:tc>
      </w:tr>
      <w:tr w:rsidR="000C6BDB" w:rsidRPr="00097D61" w14:paraId="10952289" w14:textId="28AD264E" w:rsidTr="000C6BDB">
        <w:trPr>
          <w:trHeight w:val="85"/>
        </w:trPr>
        <w:tc>
          <w:tcPr>
            <w:tcW w:w="2835" w:type="dxa"/>
            <w:tcBorders>
              <w:top w:val="single" w:sz="4" w:space="0" w:color="A6A6A6" w:themeColor="background1" w:themeShade="A6"/>
              <w:bottom w:val="single" w:sz="4" w:space="0" w:color="A6A6A6" w:themeColor="background1" w:themeShade="A6"/>
            </w:tcBorders>
            <w:shd w:val="clear" w:color="auto" w:fill="auto"/>
            <w:vAlign w:val="center"/>
          </w:tcPr>
          <w:p w14:paraId="1C24E5BF" w14:textId="77777777" w:rsidR="000C6BDB" w:rsidRDefault="000C6BDB" w:rsidP="00195D54">
            <w:pPr>
              <w:contextualSpacing/>
              <w:jc w:val="right"/>
              <w:rPr>
                <w:i/>
                <w:iCs/>
                <w:color w:val="000000"/>
                <w:sz w:val="18"/>
                <w:szCs w:val="18"/>
              </w:rPr>
            </w:pPr>
            <w:r>
              <w:rPr>
                <w:i/>
                <w:iCs/>
                <w:color w:val="000000"/>
                <w:sz w:val="18"/>
                <w:szCs w:val="18"/>
              </w:rPr>
              <w:t>Ar 24.11.2020.grozījumiem likumā “Par akcīzes nodokli” pieņemtais likmju pieaugums</w:t>
            </w:r>
          </w:p>
        </w:tc>
        <w:tc>
          <w:tcPr>
            <w:tcW w:w="709"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4E8E9818" w14:textId="77777777" w:rsidR="000C6BDB" w:rsidRPr="00EF404E" w:rsidRDefault="000C6BDB" w:rsidP="00195D54">
            <w:pPr>
              <w:contextualSpacing/>
              <w:jc w:val="center"/>
              <w:rPr>
                <w:b/>
                <w:bCs/>
                <w:color w:val="C00000"/>
                <w:sz w:val="20"/>
                <w:szCs w:val="20"/>
              </w:rPr>
            </w:pPr>
          </w:p>
        </w:tc>
        <w:tc>
          <w:tcPr>
            <w:tcW w:w="709" w:type="dxa"/>
            <w:tcBorders>
              <w:top w:val="single" w:sz="4" w:space="0" w:color="A6A6A6" w:themeColor="background1" w:themeShade="A6"/>
              <w:bottom w:val="single" w:sz="4" w:space="0" w:color="A6A6A6" w:themeColor="background1" w:themeShade="A6"/>
            </w:tcBorders>
            <w:vAlign w:val="center"/>
          </w:tcPr>
          <w:p w14:paraId="4F6DA40A" w14:textId="77777777" w:rsidR="000C6BDB" w:rsidRPr="00EF404E" w:rsidRDefault="000C6BDB" w:rsidP="00195D54">
            <w:pPr>
              <w:contextualSpacing/>
              <w:jc w:val="center"/>
              <w:rPr>
                <w:i/>
                <w:iCs/>
                <w:color w:val="C00000"/>
                <w:sz w:val="18"/>
                <w:szCs w:val="18"/>
              </w:rPr>
            </w:pPr>
          </w:p>
        </w:tc>
        <w:tc>
          <w:tcPr>
            <w:tcW w:w="709" w:type="dxa"/>
            <w:tcBorders>
              <w:top w:val="single" w:sz="4" w:space="0" w:color="A6A6A6" w:themeColor="background1" w:themeShade="A6"/>
              <w:bottom w:val="single" w:sz="4" w:space="0" w:color="A6A6A6" w:themeColor="background1" w:themeShade="A6"/>
            </w:tcBorders>
            <w:vAlign w:val="center"/>
          </w:tcPr>
          <w:p w14:paraId="3C3AECDF" w14:textId="77777777" w:rsidR="000C6BDB" w:rsidRPr="00EF404E" w:rsidRDefault="000C6BDB" w:rsidP="00195D54">
            <w:pPr>
              <w:contextualSpacing/>
              <w:jc w:val="center"/>
              <w:rPr>
                <w:i/>
                <w:iCs/>
                <w:color w:val="C00000"/>
                <w:sz w:val="18"/>
                <w:szCs w:val="18"/>
              </w:rPr>
            </w:pPr>
            <w:r>
              <w:rPr>
                <w:i/>
                <w:iCs/>
                <w:color w:val="C00000"/>
                <w:sz w:val="18"/>
                <w:szCs w:val="18"/>
              </w:rPr>
              <w:t>+8,09</w:t>
            </w:r>
          </w:p>
        </w:tc>
        <w:tc>
          <w:tcPr>
            <w:tcW w:w="2551" w:type="dxa"/>
            <w:gridSpan w:val="3"/>
            <w:vMerge/>
            <w:shd w:val="clear" w:color="auto" w:fill="FFFFFF" w:themeFill="background1"/>
            <w:vAlign w:val="center"/>
          </w:tcPr>
          <w:p w14:paraId="50323081" w14:textId="77777777" w:rsidR="000C6BDB" w:rsidRPr="00021331" w:rsidRDefault="000C6BDB" w:rsidP="00195D54">
            <w:pPr>
              <w:contextualSpacing/>
              <w:jc w:val="center"/>
              <w:rPr>
                <w:b/>
                <w:bCs/>
                <w:color w:val="0070C0"/>
                <w:sz w:val="20"/>
                <w:szCs w:val="20"/>
              </w:rPr>
            </w:pPr>
          </w:p>
        </w:tc>
        <w:tc>
          <w:tcPr>
            <w:tcW w:w="709" w:type="dxa"/>
            <w:vMerge/>
            <w:shd w:val="clear" w:color="auto" w:fill="FFFFFF" w:themeFill="background1"/>
            <w:vAlign w:val="center"/>
          </w:tcPr>
          <w:p w14:paraId="397F06C1" w14:textId="2EE2DC82" w:rsidR="000C6BDB" w:rsidRPr="00021331" w:rsidRDefault="000C6BDB" w:rsidP="00195D54">
            <w:pPr>
              <w:contextualSpacing/>
              <w:jc w:val="center"/>
              <w:rPr>
                <w:b/>
                <w:bCs/>
                <w:color w:val="0070C0"/>
                <w:sz w:val="20"/>
                <w:szCs w:val="20"/>
              </w:rPr>
            </w:pPr>
          </w:p>
        </w:tc>
        <w:tc>
          <w:tcPr>
            <w:tcW w:w="709" w:type="dxa"/>
            <w:vMerge/>
            <w:shd w:val="clear" w:color="auto" w:fill="FFFFFF" w:themeFill="background1"/>
          </w:tcPr>
          <w:p w14:paraId="5932E557" w14:textId="77777777" w:rsidR="000C6BDB" w:rsidRPr="00021331" w:rsidRDefault="000C6BDB" w:rsidP="00195D54">
            <w:pPr>
              <w:contextualSpacing/>
              <w:jc w:val="center"/>
              <w:rPr>
                <w:b/>
                <w:bCs/>
                <w:color w:val="0070C0"/>
                <w:sz w:val="20"/>
                <w:szCs w:val="20"/>
              </w:rPr>
            </w:pPr>
          </w:p>
        </w:tc>
        <w:tc>
          <w:tcPr>
            <w:tcW w:w="708" w:type="dxa"/>
            <w:vMerge/>
            <w:shd w:val="clear" w:color="auto" w:fill="FFFFFF" w:themeFill="background1"/>
          </w:tcPr>
          <w:p w14:paraId="15A33E1A" w14:textId="77777777" w:rsidR="000C6BDB" w:rsidRPr="00021331" w:rsidRDefault="000C6BDB" w:rsidP="00195D54">
            <w:pPr>
              <w:contextualSpacing/>
              <w:jc w:val="center"/>
              <w:rPr>
                <w:b/>
                <w:bCs/>
                <w:color w:val="0070C0"/>
                <w:sz w:val="20"/>
                <w:szCs w:val="20"/>
              </w:rPr>
            </w:pPr>
          </w:p>
        </w:tc>
      </w:tr>
      <w:tr w:rsidR="000C6BDB" w:rsidRPr="00097D61" w14:paraId="4F7465E4" w14:textId="32923507" w:rsidTr="000C6BDB">
        <w:trPr>
          <w:trHeight w:val="85"/>
        </w:trPr>
        <w:tc>
          <w:tcPr>
            <w:tcW w:w="2835" w:type="dxa"/>
            <w:tcBorders>
              <w:top w:val="single" w:sz="4" w:space="0" w:color="A6A6A6" w:themeColor="background1" w:themeShade="A6"/>
              <w:bottom w:val="single" w:sz="4" w:space="0" w:color="000000"/>
            </w:tcBorders>
            <w:shd w:val="clear" w:color="auto" w:fill="auto"/>
            <w:vAlign w:val="center"/>
          </w:tcPr>
          <w:p w14:paraId="445A92C6" w14:textId="77777777" w:rsidR="000C6BDB" w:rsidRPr="00EF404E" w:rsidRDefault="000C6BDB" w:rsidP="00195D54">
            <w:pPr>
              <w:contextualSpacing/>
              <w:jc w:val="right"/>
              <w:rPr>
                <w:b/>
                <w:bCs/>
                <w:sz w:val="20"/>
                <w:szCs w:val="20"/>
              </w:rPr>
            </w:pPr>
            <w:r>
              <w:rPr>
                <w:i/>
                <w:iCs/>
                <w:color w:val="000000"/>
                <w:sz w:val="18"/>
                <w:szCs w:val="18"/>
              </w:rPr>
              <w:t>Izmaiņas</w:t>
            </w:r>
            <w:r w:rsidRPr="00FB0EB9">
              <w:rPr>
                <w:b/>
                <w:bCs/>
                <w:i/>
                <w:iCs/>
                <w:color w:val="000000"/>
                <w:sz w:val="18"/>
                <w:szCs w:val="18"/>
              </w:rPr>
              <w:t xml:space="preserve"> </w:t>
            </w:r>
            <w:r w:rsidRPr="00126954">
              <w:rPr>
                <w:i/>
                <w:iCs/>
                <w:color w:val="000000"/>
                <w:sz w:val="18"/>
                <w:szCs w:val="18"/>
              </w:rPr>
              <w:t>sakarā ar  ETS2 ieviešanu</w:t>
            </w:r>
          </w:p>
        </w:tc>
        <w:tc>
          <w:tcPr>
            <w:tcW w:w="709" w:type="dxa"/>
            <w:tcBorders>
              <w:top w:val="single" w:sz="4" w:space="0" w:color="A6A6A6" w:themeColor="background1" w:themeShade="A6"/>
              <w:bottom w:val="single" w:sz="4" w:space="0" w:color="000000"/>
            </w:tcBorders>
            <w:shd w:val="clear" w:color="auto" w:fill="F2F2F2" w:themeFill="background1" w:themeFillShade="F2"/>
            <w:vAlign w:val="center"/>
          </w:tcPr>
          <w:p w14:paraId="61BD87D3" w14:textId="77777777" w:rsidR="000C6BDB" w:rsidRPr="00EF404E" w:rsidRDefault="000C6BDB" w:rsidP="00195D54">
            <w:pPr>
              <w:contextualSpacing/>
              <w:jc w:val="center"/>
              <w:rPr>
                <w:b/>
                <w:bCs/>
                <w:color w:val="C00000"/>
                <w:sz w:val="20"/>
                <w:szCs w:val="20"/>
              </w:rPr>
            </w:pPr>
          </w:p>
        </w:tc>
        <w:tc>
          <w:tcPr>
            <w:tcW w:w="709" w:type="dxa"/>
            <w:tcBorders>
              <w:top w:val="single" w:sz="4" w:space="0" w:color="A6A6A6" w:themeColor="background1" w:themeShade="A6"/>
              <w:bottom w:val="single" w:sz="4" w:space="0" w:color="000000"/>
            </w:tcBorders>
            <w:vAlign w:val="center"/>
          </w:tcPr>
          <w:p w14:paraId="3F1097F2" w14:textId="77777777" w:rsidR="000C6BDB" w:rsidRPr="00EF404E" w:rsidRDefault="000C6BDB" w:rsidP="00195D54">
            <w:pPr>
              <w:contextualSpacing/>
              <w:jc w:val="right"/>
              <w:rPr>
                <w:i/>
                <w:iCs/>
                <w:color w:val="C00000"/>
                <w:sz w:val="18"/>
                <w:szCs w:val="18"/>
              </w:rPr>
            </w:pPr>
            <w:r w:rsidRPr="00EF404E">
              <w:rPr>
                <w:i/>
                <w:iCs/>
                <w:color w:val="C00000"/>
                <w:sz w:val="18"/>
                <w:szCs w:val="18"/>
              </w:rPr>
              <w:t>+1,72</w:t>
            </w:r>
          </w:p>
        </w:tc>
        <w:tc>
          <w:tcPr>
            <w:tcW w:w="709" w:type="dxa"/>
            <w:tcBorders>
              <w:top w:val="single" w:sz="4" w:space="0" w:color="A6A6A6" w:themeColor="background1" w:themeShade="A6"/>
              <w:bottom w:val="single" w:sz="4" w:space="0" w:color="000000"/>
            </w:tcBorders>
            <w:vAlign w:val="center"/>
          </w:tcPr>
          <w:p w14:paraId="7AA20723" w14:textId="77777777" w:rsidR="000C6BDB" w:rsidRPr="00EF404E" w:rsidRDefault="000C6BDB" w:rsidP="00195D54">
            <w:pPr>
              <w:contextualSpacing/>
              <w:jc w:val="right"/>
              <w:rPr>
                <w:i/>
                <w:iCs/>
                <w:color w:val="C00000"/>
                <w:sz w:val="18"/>
                <w:szCs w:val="18"/>
              </w:rPr>
            </w:pPr>
            <w:r w:rsidRPr="00EF404E">
              <w:rPr>
                <w:i/>
                <w:iCs/>
                <w:color w:val="C00000"/>
                <w:sz w:val="18"/>
                <w:szCs w:val="18"/>
              </w:rPr>
              <w:t>+</w:t>
            </w:r>
            <w:r>
              <w:rPr>
                <w:i/>
                <w:iCs/>
                <w:color w:val="C00000"/>
                <w:sz w:val="18"/>
                <w:szCs w:val="18"/>
              </w:rPr>
              <w:t>1,72</w:t>
            </w:r>
          </w:p>
        </w:tc>
        <w:tc>
          <w:tcPr>
            <w:tcW w:w="2551" w:type="dxa"/>
            <w:gridSpan w:val="3"/>
            <w:vMerge/>
            <w:shd w:val="clear" w:color="auto" w:fill="FFFFFF" w:themeFill="background1"/>
            <w:vAlign w:val="center"/>
          </w:tcPr>
          <w:p w14:paraId="1538C663" w14:textId="77777777" w:rsidR="000C6BDB" w:rsidRPr="00021331" w:rsidRDefault="000C6BDB" w:rsidP="00195D54">
            <w:pPr>
              <w:contextualSpacing/>
              <w:jc w:val="center"/>
              <w:rPr>
                <w:b/>
                <w:bCs/>
                <w:color w:val="0070C0"/>
                <w:sz w:val="20"/>
                <w:szCs w:val="20"/>
              </w:rPr>
            </w:pPr>
          </w:p>
        </w:tc>
        <w:tc>
          <w:tcPr>
            <w:tcW w:w="709" w:type="dxa"/>
            <w:vMerge/>
            <w:shd w:val="clear" w:color="auto" w:fill="FFFFFF" w:themeFill="background1"/>
            <w:vAlign w:val="center"/>
          </w:tcPr>
          <w:p w14:paraId="4575C491" w14:textId="307BB76E" w:rsidR="000C6BDB" w:rsidRPr="00021331" w:rsidRDefault="000C6BDB" w:rsidP="00195D54">
            <w:pPr>
              <w:contextualSpacing/>
              <w:jc w:val="center"/>
              <w:rPr>
                <w:b/>
                <w:bCs/>
                <w:color w:val="0070C0"/>
                <w:sz w:val="20"/>
                <w:szCs w:val="20"/>
              </w:rPr>
            </w:pPr>
          </w:p>
        </w:tc>
        <w:tc>
          <w:tcPr>
            <w:tcW w:w="709" w:type="dxa"/>
            <w:vMerge/>
            <w:shd w:val="clear" w:color="auto" w:fill="FFFFFF" w:themeFill="background1"/>
          </w:tcPr>
          <w:p w14:paraId="5202C60B" w14:textId="77777777" w:rsidR="000C6BDB" w:rsidRPr="00021331" w:rsidRDefault="000C6BDB" w:rsidP="00195D54">
            <w:pPr>
              <w:contextualSpacing/>
              <w:jc w:val="center"/>
              <w:rPr>
                <w:b/>
                <w:bCs/>
                <w:color w:val="0070C0"/>
                <w:sz w:val="20"/>
                <w:szCs w:val="20"/>
              </w:rPr>
            </w:pPr>
          </w:p>
        </w:tc>
        <w:tc>
          <w:tcPr>
            <w:tcW w:w="708" w:type="dxa"/>
            <w:vMerge/>
            <w:shd w:val="clear" w:color="auto" w:fill="FFFFFF" w:themeFill="background1"/>
          </w:tcPr>
          <w:p w14:paraId="2E090F42" w14:textId="77777777" w:rsidR="000C6BDB" w:rsidRPr="00021331" w:rsidRDefault="000C6BDB" w:rsidP="00195D54">
            <w:pPr>
              <w:contextualSpacing/>
              <w:jc w:val="center"/>
              <w:rPr>
                <w:b/>
                <w:bCs/>
                <w:color w:val="0070C0"/>
                <w:sz w:val="20"/>
                <w:szCs w:val="20"/>
              </w:rPr>
            </w:pPr>
          </w:p>
        </w:tc>
      </w:tr>
    </w:tbl>
    <w:p w14:paraId="53572DAC" w14:textId="1BFADEFF" w:rsidR="00CD1EC4" w:rsidRPr="00FA7FB6" w:rsidRDefault="0077419A" w:rsidP="0077419A">
      <w:pPr>
        <w:spacing w:after="120"/>
        <w:rPr>
          <w:i/>
          <w:iCs/>
          <w:sz w:val="16"/>
          <w:szCs w:val="16"/>
        </w:rPr>
      </w:pPr>
      <w:r w:rsidRPr="0077419A">
        <w:rPr>
          <w:sz w:val="16"/>
          <w:szCs w:val="16"/>
        </w:rPr>
        <w:t xml:space="preserve">* </w:t>
      </w:r>
      <w:r w:rsidRPr="00FA7FB6">
        <w:rPr>
          <w:i/>
          <w:iCs/>
          <w:sz w:val="16"/>
          <w:szCs w:val="16"/>
        </w:rPr>
        <w:t>Igaunija plāno palielināt AN likmi benzīnam 2025. un 2026</w:t>
      </w:r>
      <w:r w:rsidR="00FA7FB6" w:rsidRPr="00FA7FB6">
        <w:rPr>
          <w:i/>
          <w:iCs/>
          <w:sz w:val="16"/>
          <w:szCs w:val="16"/>
        </w:rPr>
        <w:t>.</w:t>
      </w:r>
      <w:r w:rsidRPr="00FA7FB6">
        <w:rPr>
          <w:i/>
          <w:iCs/>
          <w:sz w:val="16"/>
          <w:szCs w:val="16"/>
        </w:rPr>
        <w:t xml:space="preserve"> gadā par 5%</w:t>
      </w:r>
      <w:r w:rsidR="00FA7FB6" w:rsidRPr="00FA7FB6">
        <w:rPr>
          <w:i/>
          <w:iCs/>
          <w:sz w:val="16"/>
          <w:szCs w:val="16"/>
        </w:rPr>
        <w:t>.</w:t>
      </w:r>
    </w:p>
    <w:p w14:paraId="62E6482D" w14:textId="77777777" w:rsidR="00AB5793" w:rsidRDefault="00AB5793" w:rsidP="008272F1">
      <w:pPr>
        <w:spacing w:after="120"/>
        <w:jc w:val="center"/>
        <w:rPr>
          <w:rFonts w:cs="Times New Roman"/>
          <w:sz w:val="20"/>
        </w:rPr>
      </w:pPr>
    </w:p>
    <w:p w14:paraId="3E3F8603" w14:textId="77777777" w:rsidR="00AB5793" w:rsidRDefault="00AB5793" w:rsidP="008272F1">
      <w:pPr>
        <w:spacing w:after="120"/>
        <w:jc w:val="center"/>
        <w:rPr>
          <w:rFonts w:cs="Times New Roman"/>
          <w:sz w:val="20"/>
        </w:rPr>
      </w:pPr>
    </w:p>
    <w:p w14:paraId="270FFA29" w14:textId="77777777" w:rsidR="00AB5793" w:rsidRDefault="00AB5793" w:rsidP="008272F1">
      <w:pPr>
        <w:spacing w:after="120"/>
        <w:jc w:val="center"/>
        <w:rPr>
          <w:rFonts w:cs="Times New Roman"/>
          <w:sz w:val="20"/>
        </w:rPr>
      </w:pPr>
    </w:p>
    <w:p w14:paraId="3FC0EF64" w14:textId="77777777" w:rsidR="00AB5793" w:rsidRDefault="00AB5793" w:rsidP="008272F1">
      <w:pPr>
        <w:spacing w:after="120"/>
        <w:jc w:val="center"/>
        <w:rPr>
          <w:rFonts w:cs="Times New Roman"/>
          <w:sz w:val="20"/>
        </w:rPr>
      </w:pPr>
    </w:p>
    <w:p w14:paraId="66DCBD0A" w14:textId="77777777" w:rsidR="00AB5793" w:rsidRDefault="00AB5793" w:rsidP="008272F1">
      <w:pPr>
        <w:spacing w:after="120"/>
        <w:jc w:val="center"/>
        <w:rPr>
          <w:rFonts w:cs="Times New Roman"/>
          <w:sz w:val="20"/>
        </w:rPr>
      </w:pPr>
    </w:p>
    <w:p w14:paraId="52166314" w14:textId="77777777" w:rsidR="00AB5793" w:rsidRDefault="00AB5793" w:rsidP="008272F1">
      <w:pPr>
        <w:spacing w:after="120"/>
        <w:jc w:val="center"/>
        <w:rPr>
          <w:rFonts w:cs="Times New Roman"/>
          <w:sz w:val="20"/>
        </w:rPr>
      </w:pPr>
    </w:p>
    <w:p w14:paraId="256AE2AD" w14:textId="77777777" w:rsidR="00AB5793" w:rsidRDefault="00AB5793" w:rsidP="008272F1">
      <w:pPr>
        <w:spacing w:after="120"/>
        <w:jc w:val="center"/>
        <w:rPr>
          <w:rFonts w:cs="Times New Roman"/>
          <w:sz w:val="20"/>
        </w:rPr>
      </w:pPr>
    </w:p>
    <w:p w14:paraId="623A28D6" w14:textId="0BFD2A62" w:rsidR="008272F1" w:rsidRPr="008272F1" w:rsidRDefault="006F5E64" w:rsidP="008272F1">
      <w:pPr>
        <w:spacing w:after="120"/>
        <w:jc w:val="center"/>
        <w:rPr>
          <w:sz w:val="20"/>
          <w:szCs w:val="20"/>
        </w:rPr>
      </w:pPr>
      <w:r>
        <w:rPr>
          <w:rFonts w:cs="Times New Roman"/>
          <w:sz w:val="20"/>
        </w:rPr>
        <w:lastRenderedPageBreak/>
        <w:t>1</w:t>
      </w:r>
      <w:r w:rsidR="00725CD9">
        <w:rPr>
          <w:rFonts w:cs="Times New Roman"/>
          <w:sz w:val="20"/>
        </w:rPr>
        <w:t>8</w:t>
      </w:r>
      <w:r w:rsidR="008272F1" w:rsidRPr="00CD1EC4">
        <w:rPr>
          <w:sz w:val="20"/>
          <w:szCs w:val="20"/>
        </w:rPr>
        <w:t>.tab.</w:t>
      </w:r>
      <w:r w:rsidR="008272F1">
        <w:rPr>
          <w:b/>
          <w:bCs/>
          <w:sz w:val="20"/>
          <w:szCs w:val="20"/>
        </w:rPr>
        <w:t xml:space="preserve"> </w:t>
      </w:r>
      <w:r w:rsidR="008272F1" w:rsidRPr="008272F1">
        <w:rPr>
          <w:b/>
          <w:bCs/>
          <w:sz w:val="20"/>
          <w:szCs w:val="20"/>
        </w:rPr>
        <w:t>AN degvielai paaugstināšanas ietekme uz cenu</w:t>
      </w:r>
    </w:p>
    <w:tbl>
      <w:tblPr>
        <w:tblW w:w="9640" w:type="dxa"/>
        <w:tblInd w:w="-147" w:type="dxa"/>
        <w:tblCellMar>
          <w:left w:w="0" w:type="dxa"/>
          <w:right w:w="0" w:type="dxa"/>
        </w:tblCellMar>
        <w:tblLook w:val="0600" w:firstRow="0" w:lastRow="0" w:firstColumn="0" w:lastColumn="0" w:noHBand="1" w:noVBand="1"/>
      </w:tblPr>
      <w:tblGrid>
        <w:gridCol w:w="3261"/>
        <w:gridCol w:w="709"/>
        <w:gridCol w:w="708"/>
        <w:gridCol w:w="709"/>
        <w:gridCol w:w="567"/>
        <w:gridCol w:w="709"/>
        <w:gridCol w:w="709"/>
        <w:gridCol w:w="708"/>
        <w:gridCol w:w="851"/>
        <w:gridCol w:w="709"/>
      </w:tblGrid>
      <w:tr w:rsidR="0077419A" w:rsidRPr="008272F1" w14:paraId="17ABAD6C" w14:textId="507FBE45" w:rsidTr="006C3686">
        <w:trPr>
          <w:trHeight w:val="33"/>
        </w:trPr>
        <w:tc>
          <w:tcPr>
            <w:tcW w:w="3261" w:type="dxa"/>
            <w:vMerge w:val="restart"/>
            <w:tcBorders>
              <w:top w:val="single" w:sz="4" w:space="0" w:color="000000"/>
              <w:left w:val="single" w:sz="4" w:space="0" w:color="000000"/>
              <w:bottom w:val="single" w:sz="4" w:space="0" w:color="FFFFFF" w:themeColor="background1"/>
              <w:right w:val="single" w:sz="4" w:space="0" w:color="FFFFFF" w:themeColor="background1"/>
            </w:tcBorders>
            <w:shd w:val="clear" w:color="auto" w:fill="002060"/>
            <w:tcMar>
              <w:top w:w="10" w:type="dxa"/>
              <w:left w:w="10" w:type="dxa"/>
              <w:bottom w:w="0" w:type="dxa"/>
              <w:right w:w="10" w:type="dxa"/>
            </w:tcMar>
            <w:vAlign w:val="center"/>
            <w:hideMark/>
          </w:tcPr>
          <w:p w14:paraId="00AA1F45" w14:textId="1C62B1D7" w:rsidR="0054058E" w:rsidRPr="008272F1" w:rsidRDefault="0054058E" w:rsidP="008272F1">
            <w:pPr>
              <w:ind w:left="126"/>
              <w:jc w:val="center"/>
              <w:rPr>
                <w:color w:val="FFFFFF" w:themeColor="background1"/>
                <w:sz w:val="20"/>
                <w:szCs w:val="20"/>
              </w:rPr>
            </w:pPr>
            <w:r w:rsidRPr="008272F1">
              <w:rPr>
                <w:b/>
                <w:bCs/>
                <w:color w:val="FFFFFF" w:themeColor="background1"/>
                <w:sz w:val="20"/>
                <w:szCs w:val="20"/>
              </w:rPr>
              <w:t>AN</w:t>
            </w:r>
            <w:r w:rsidR="006C3686">
              <w:rPr>
                <w:b/>
                <w:bCs/>
                <w:color w:val="FFFFFF" w:themeColor="background1"/>
                <w:sz w:val="20"/>
                <w:szCs w:val="20"/>
              </w:rPr>
              <w:t>, naftas rezervju maksa</w:t>
            </w:r>
            <w:r w:rsidRPr="008272F1">
              <w:rPr>
                <w:b/>
                <w:bCs/>
                <w:color w:val="FFFFFF" w:themeColor="background1"/>
                <w:sz w:val="20"/>
                <w:szCs w:val="20"/>
              </w:rPr>
              <w:t xml:space="preserve"> un tam piemērojamā PVN daļa</w:t>
            </w:r>
          </w:p>
        </w:tc>
        <w:tc>
          <w:tcPr>
            <w:tcW w:w="2126" w:type="dxa"/>
            <w:gridSpan w:val="3"/>
            <w:tcBorders>
              <w:top w:val="single" w:sz="4" w:space="0" w:color="000000"/>
              <w:left w:val="single" w:sz="4" w:space="0" w:color="FFFFFF" w:themeColor="background1"/>
              <w:bottom w:val="single" w:sz="4" w:space="0" w:color="FFFFFF" w:themeColor="background1"/>
              <w:right w:val="single" w:sz="4" w:space="0" w:color="FFFFFF" w:themeColor="background1"/>
            </w:tcBorders>
            <w:shd w:val="clear" w:color="auto" w:fill="002060"/>
            <w:tcMar>
              <w:top w:w="10" w:type="dxa"/>
              <w:left w:w="10" w:type="dxa"/>
              <w:bottom w:w="0" w:type="dxa"/>
              <w:right w:w="10" w:type="dxa"/>
            </w:tcMar>
            <w:vAlign w:val="center"/>
            <w:hideMark/>
          </w:tcPr>
          <w:p w14:paraId="197E5723" w14:textId="4FB45F1D" w:rsidR="0054058E" w:rsidRPr="008272F1" w:rsidRDefault="0054058E" w:rsidP="008272F1">
            <w:pPr>
              <w:jc w:val="center"/>
              <w:rPr>
                <w:color w:val="FFFFFF" w:themeColor="background1"/>
                <w:sz w:val="20"/>
                <w:szCs w:val="20"/>
              </w:rPr>
            </w:pPr>
            <w:r w:rsidRPr="008272F1">
              <w:rPr>
                <w:b/>
                <w:bCs/>
                <w:color w:val="FFFFFF" w:themeColor="background1"/>
                <w:sz w:val="20"/>
                <w:szCs w:val="20"/>
              </w:rPr>
              <w:t>L</w:t>
            </w:r>
            <w:r w:rsidRPr="005C1FD5">
              <w:rPr>
                <w:b/>
                <w:bCs/>
                <w:color w:val="FFFFFF" w:themeColor="background1"/>
                <w:sz w:val="20"/>
                <w:szCs w:val="20"/>
              </w:rPr>
              <w:t>atvija</w:t>
            </w:r>
          </w:p>
        </w:tc>
        <w:tc>
          <w:tcPr>
            <w:tcW w:w="1985" w:type="dxa"/>
            <w:gridSpan w:val="3"/>
            <w:tcBorders>
              <w:top w:val="single" w:sz="4" w:space="0" w:color="000000"/>
              <w:left w:val="single" w:sz="4" w:space="0" w:color="FFFFFF" w:themeColor="background1"/>
              <w:bottom w:val="single" w:sz="4" w:space="0" w:color="FFFFFF" w:themeColor="background1"/>
              <w:right w:val="single" w:sz="4" w:space="0" w:color="FFFFFF" w:themeColor="background1"/>
            </w:tcBorders>
            <w:shd w:val="clear" w:color="auto" w:fill="002060"/>
            <w:tcMar>
              <w:top w:w="10" w:type="dxa"/>
              <w:left w:w="10" w:type="dxa"/>
              <w:bottom w:w="0" w:type="dxa"/>
              <w:right w:w="10" w:type="dxa"/>
            </w:tcMar>
            <w:vAlign w:val="center"/>
            <w:hideMark/>
          </w:tcPr>
          <w:p w14:paraId="144E7957" w14:textId="443A8B62" w:rsidR="0054058E" w:rsidRPr="005C1FD5" w:rsidRDefault="0054058E" w:rsidP="008272F1">
            <w:pPr>
              <w:jc w:val="center"/>
              <w:rPr>
                <w:b/>
                <w:bCs/>
                <w:color w:val="FFFFFF" w:themeColor="background1"/>
                <w:sz w:val="20"/>
                <w:szCs w:val="20"/>
              </w:rPr>
            </w:pPr>
            <w:r w:rsidRPr="008272F1">
              <w:rPr>
                <w:b/>
                <w:bCs/>
                <w:color w:val="FFFFFF" w:themeColor="background1"/>
                <w:sz w:val="20"/>
                <w:szCs w:val="20"/>
              </w:rPr>
              <w:t>L</w:t>
            </w:r>
            <w:r w:rsidRPr="005C1FD5">
              <w:rPr>
                <w:b/>
                <w:bCs/>
                <w:color w:val="FFFFFF" w:themeColor="background1"/>
                <w:sz w:val="20"/>
                <w:szCs w:val="20"/>
              </w:rPr>
              <w:t>ietuva</w:t>
            </w:r>
          </w:p>
        </w:tc>
        <w:tc>
          <w:tcPr>
            <w:tcW w:w="2268" w:type="dxa"/>
            <w:gridSpan w:val="3"/>
            <w:tcBorders>
              <w:top w:val="single" w:sz="4" w:space="0" w:color="000000"/>
              <w:left w:val="single" w:sz="4" w:space="0" w:color="FFFFFF" w:themeColor="background1"/>
              <w:bottom w:val="single" w:sz="4" w:space="0" w:color="FFFFFF" w:themeColor="background1"/>
              <w:right w:val="single" w:sz="4" w:space="0" w:color="000000"/>
            </w:tcBorders>
            <w:shd w:val="clear" w:color="auto" w:fill="002060"/>
            <w:tcMar>
              <w:top w:w="10" w:type="dxa"/>
              <w:left w:w="10" w:type="dxa"/>
              <w:bottom w:w="0" w:type="dxa"/>
              <w:right w:w="10" w:type="dxa"/>
            </w:tcMar>
            <w:vAlign w:val="center"/>
            <w:hideMark/>
          </w:tcPr>
          <w:p w14:paraId="4FB33ABA" w14:textId="31E5F579" w:rsidR="0054058E" w:rsidRPr="005C1FD5" w:rsidRDefault="0054058E" w:rsidP="008272F1">
            <w:pPr>
              <w:jc w:val="center"/>
              <w:rPr>
                <w:b/>
                <w:bCs/>
                <w:color w:val="FFFFFF" w:themeColor="background1"/>
                <w:sz w:val="20"/>
                <w:szCs w:val="20"/>
              </w:rPr>
            </w:pPr>
            <w:r w:rsidRPr="005C1FD5">
              <w:rPr>
                <w:b/>
                <w:bCs/>
                <w:color w:val="FFFFFF" w:themeColor="background1"/>
                <w:sz w:val="20"/>
                <w:szCs w:val="20"/>
              </w:rPr>
              <w:t>Igaunija</w:t>
            </w:r>
          </w:p>
        </w:tc>
      </w:tr>
      <w:tr w:rsidR="00A6700C" w:rsidRPr="008272F1" w14:paraId="265B0302" w14:textId="29E0CD5C" w:rsidTr="00777F80">
        <w:trPr>
          <w:trHeight w:val="36"/>
        </w:trPr>
        <w:tc>
          <w:tcPr>
            <w:tcW w:w="3261" w:type="dxa"/>
            <w:vMerge/>
            <w:tcBorders>
              <w:top w:val="single" w:sz="4" w:space="0" w:color="FFFFFF" w:themeColor="background1"/>
              <w:left w:val="single" w:sz="4" w:space="0" w:color="000000"/>
              <w:bottom w:val="single" w:sz="4" w:space="0" w:color="000000"/>
              <w:right w:val="single" w:sz="4" w:space="0" w:color="FFFFFF" w:themeColor="background1"/>
            </w:tcBorders>
            <w:shd w:val="clear" w:color="auto" w:fill="002060"/>
            <w:vAlign w:val="center"/>
            <w:hideMark/>
          </w:tcPr>
          <w:p w14:paraId="3028B797" w14:textId="77777777" w:rsidR="0054058E" w:rsidRPr="008272F1" w:rsidRDefault="0054058E" w:rsidP="008272F1">
            <w:pPr>
              <w:ind w:left="126"/>
              <w:rPr>
                <w:color w:val="FFFFFF" w:themeColor="background1"/>
                <w:sz w:val="20"/>
                <w:szCs w:val="20"/>
              </w:rPr>
            </w:pPr>
          </w:p>
        </w:tc>
        <w:tc>
          <w:tcPr>
            <w:tcW w:w="709"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2060"/>
            <w:tcMar>
              <w:top w:w="10" w:type="dxa"/>
              <w:left w:w="10" w:type="dxa"/>
              <w:bottom w:w="0" w:type="dxa"/>
              <w:right w:w="10" w:type="dxa"/>
            </w:tcMar>
            <w:vAlign w:val="center"/>
            <w:hideMark/>
          </w:tcPr>
          <w:p w14:paraId="2517EDE7" w14:textId="77777777" w:rsidR="0054058E" w:rsidRPr="008272F1" w:rsidRDefault="0054058E" w:rsidP="008272F1">
            <w:pPr>
              <w:jc w:val="center"/>
              <w:rPr>
                <w:color w:val="FFFFFF" w:themeColor="background1"/>
                <w:sz w:val="20"/>
                <w:szCs w:val="20"/>
              </w:rPr>
            </w:pPr>
            <w:r w:rsidRPr="008272F1">
              <w:rPr>
                <w:b/>
                <w:bCs/>
                <w:color w:val="FFFFFF" w:themeColor="background1"/>
                <w:sz w:val="20"/>
                <w:szCs w:val="20"/>
              </w:rPr>
              <w:t>2024</w:t>
            </w:r>
          </w:p>
        </w:tc>
        <w:tc>
          <w:tcPr>
            <w:tcW w:w="708"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2060"/>
            <w:tcMar>
              <w:top w:w="10" w:type="dxa"/>
              <w:left w:w="10" w:type="dxa"/>
              <w:bottom w:w="0" w:type="dxa"/>
              <w:right w:w="10" w:type="dxa"/>
            </w:tcMar>
            <w:vAlign w:val="center"/>
            <w:hideMark/>
          </w:tcPr>
          <w:p w14:paraId="220E8CCA" w14:textId="77777777" w:rsidR="0054058E" w:rsidRPr="008272F1" w:rsidRDefault="0054058E" w:rsidP="008272F1">
            <w:pPr>
              <w:jc w:val="center"/>
              <w:rPr>
                <w:color w:val="FFFFFF" w:themeColor="background1"/>
                <w:sz w:val="20"/>
                <w:szCs w:val="20"/>
              </w:rPr>
            </w:pPr>
            <w:r w:rsidRPr="008272F1">
              <w:rPr>
                <w:b/>
                <w:bCs/>
                <w:color w:val="FFFFFF" w:themeColor="background1"/>
                <w:sz w:val="20"/>
                <w:szCs w:val="20"/>
              </w:rPr>
              <w:t>2025</w:t>
            </w:r>
          </w:p>
        </w:tc>
        <w:tc>
          <w:tcPr>
            <w:tcW w:w="709"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2060"/>
            <w:tcMar>
              <w:top w:w="10" w:type="dxa"/>
              <w:left w:w="10" w:type="dxa"/>
              <w:bottom w:w="0" w:type="dxa"/>
              <w:right w:w="10" w:type="dxa"/>
            </w:tcMar>
            <w:vAlign w:val="center"/>
            <w:hideMark/>
          </w:tcPr>
          <w:p w14:paraId="233BDB01" w14:textId="77777777" w:rsidR="0054058E" w:rsidRPr="008272F1" w:rsidRDefault="0054058E" w:rsidP="008272F1">
            <w:pPr>
              <w:jc w:val="center"/>
              <w:rPr>
                <w:color w:val="FFFFFF" w:themeColor="background1"/>
                <w:sz w:val="20"/>
                <w:szCs w:val="20"/>
              </w:rPr>
            </w:pPr>
            <w:r w:rsidRPr="008272F1">
              <w:rPr>
                <w:b/>
                <w:bCs/>
                <w:color w:val="FFFFFF" w:themeColor="background1"/>
                <w:sz w:val="20"/>
                <w:szCs w:val="20"/>
              </w:rPr>
              <w:t>2026</w:t>
            </w:r>
          </w:p>
        </w:tc>
        <w:tc>
          <w:tcPr>
            <w:tcW w:w="567"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2060"/>
            <w:tcMar>
              <w:top w:w="10" w:type="dxa"/>
              <w:left w:w="10" w:type="dxa"/>
              <w:bottom w:w="0" w:type="dxa"/>
              <w:right w:w="10" w:type="dxa"/>
            </w:tcMar>
            <w:vAlign w:val="center"/>
            <w:hideMark/>
          </w:tcPr>
          <w:p w14:paraId="4A4D82FD" w14:textId="77777777" w:rsidR="0054058E" w:rsidRPr="008272F1" w:rsidRDefault="0054058E" w:rsidP="008272F1">
            <w:pPr>
              <w:jc w:val="center"/>
              <w:rPr>
                <w:color w:val="FFFFFF" w:themeColor="background1"/>
                <w:sz w:val="20"/>
                <w:szCs w:val="20"/>
              </w:rPr>
            </w:pPr>
            <w:r w:rsidRPr="008272F1">
              <w:rPr>
                <w:b/>
                <w:bCs/>
                <w:color w:val="FFFFFF" w:themeColor="background1"/>
                <w:sz w:val="20"/>
                <w:szCs w:val="20"/>
              </w:rPr>
              <w:t>2024</w:t>
            </w:r>
          </w:p>
        </w:tc>
        <w:tc>
          <w:tcPr>
            <w:tcW w:w="709"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2060"/>
            <w:tcMar>
              <w:top w:w="10" w:type="dxa"/>
              <w:left w:w="10" w:type="dxa"/>
              <w:bottom w:w="0" w:type="dxa"/>
              <w:right w:w="10" w:type="dxa"/>
            </w:tcMar>
            <w:vAlign w:val="center"/>
            <w:hideMark/>
          </w:tcPr>
          <w:p w14:paraId="1AA704A5" w14:textId="77777777" w:rsidR="0054058E" w:rsidRPr="008272F1" w:rsidRDefault="0054058E" w:rsidP="008272F1">
            <w:pPr>
              <w:jc w:val="center"/>
              <w:rPr>
                <w:color w:val="FFFFFF" w:themeColor="background1"/>
                <w:sz w:val="20"/>
                <w:szCs w:val="20"/>
              </w:rPr>
            </w:pPr>
            <w:r w:rsidRPr="008272F1">
              <w:rPr>
                <w:b/>
                <w:bCs/>
                <w:color w:val="FFFFFF" w:themeColor="background1"/>
                <w:sz w:val="20"/>
                <w:szCs w:val="20"/>
              </w:rPr>
              <w:t>2025</w:t>
            </w:r>
          </w:p>
        </w:tc>
        <w:tc>
          <w:tcPr>
            <w:tcW w:w="709"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2060"/>
          </w:tcPr>
          <w:p w14:paraId="709CDC71" w14:textId="58514F91" w:rsidR="0054058E" w:rsidRPr="008272F1" w:rsidRDefault="0054058E" w:rsidP="008272F1">
            <w:pPr>
              <w:jc w:val="center"/>
              <w:rPr>
                <w:b/>
                <w:bCs/>
                <w:color w:val="FFFFFF" w:themeColor="background1"/>
                <w:sz w:val="20"/>
                <w:szCs w:val="20"/>
              </w:rPr>
            </w:pPr>
            <w:r>
              <w:rPr>
                <w:b/>
                <w:bCs/>
                <w:color w:val="FFFFFF" w:themeColor="background1"/>
                <w:sz w:val="20"/>
                <w:szCs w:val="20"/>
              </w:rPr>
              <w:t>2026</w:t>
            </w:r>
          </w:p>
        </w:tc>
        <w:tc>
          <w:tcPr>
            <w:tcW w:w="708"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2060"/>
            <w:tcMar>
              <w:top w:w="10" w:type="dxa"/>
              <w:left w:w="10" w:type="dxa"/>
              <w:bottom w:w="0" w:type="dxa"/>
              <w:right w:w="10" w:type="dxa"/>
            </w:tcMar>
            <w:vAlign w:val="center"/>
            <w:hideMark/>
          </w:tcPr>
          <w:p w14:paraId="1469F487" w14:textId="2191C770" w:rsidR="0054058E" w:rsidRPr="008272F1" w:rsidRDefault="0054058E" w:rsidP="008272F1">
            <w:pPr>
              <w:jc w:val="center"/>
              <w:rPr>
                <w:color w:val="FFFFFF" w:themeColor="background1"/>
                <w:sz w:val="20"/>
                <w:szCs w:val="20"/>
              </w:rPr>
            </w:pPr>
            <w:r w:rsidRPr="008272F1">
              <w:rPr>
                <w:b/>
                <w:bCs/>
                <w:color w:val="FFFFFF" w:themeColor="background1"/>
                <w:sz w:val="20"/>
                <w:szCs w:val="20"/>
              </w:rPr>
              <w:t>2024</w:t>
            </w:r>
          </w:p>
        </w:tc>
        <w:tc>
          <w:tcPr>
            <w:tcW w:w="851"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2060"/>
            <w:tcMar>
              <w:top w:w="10" w:type="dxa"/>
              <w:left w:w="10" w:type="dxa"/>
              <w:bottom w:w="0" w:type="dxa"/>
              <w:right w:w="10" w:type="dxa"/>
            </w:tcMar>
            <w:vAlign w:val="center"/>
            <w:hideMark/>
          </w:tcPr>
          <w:p w14:paraId="3FD69691" w14:textId="77777777" w:rsidR="0054058E" w:rsidRPr="008272F1" w:rsidRDefault="0054058E" w:rsidP="008272F1">
            <w:pPr>
              <w:jc w:val="center"/>
              <w:rPr>
                <w:color w:val="FFFFFF" w:themeColor="background1"/>
                <w:sz w:val="20"/>
                <w:szCs w:val="20"/>
              </w:rPr>
            </w:pPr>
            <w:r w:rsidRPr="008272F1">
              <w:rPr>
                <w:b/>
                <w:bCs/>
                <w:color w:val="FFFFFF" w:themeColor="background1"/>
                <w:sz w:val="20"/>
                <w:szCs w:val="20"/>
              </w:rPr>
              <w:t>2025</w:t>
            </w:r>
          </w:p>
        </w:tc>
        <w:tc>
          <w:tcPr>
            <w:tcW w:w="709" w:type="dxa"/>
            <w:tcBorders>
              <w:top w:val="single" w:sz="4" w:space="0" w:color="FFFFFF" w:themeColor="background1"/>
              <w:left w:val="single" w:sz="4" w:space="0" w:color="FFFFFF" w:themeColor="background1"/>
              <w:bottom w:val="single" w:sz="4" w:space="0" w:color="000000"/>
              <w:right w:val="single" w:sz="4" w:space="0" w:color="000000"/>
            </w:tcBorders>
            <w:shd w:val="clear" w:color="auto" w:fill="002060"/>
            <w:vAlign w:val="center"/>
          </w:tcPr>
          <w:p w14:paraId="30330975" w14:textId="5E06EAF6" w:rsidR="0054058E" w:rsidRPr="008272F1" w:rsidRDefault="0054058E" w:rsidP="006462C6">
            <w:pPr>
              <w:jc w:val="center"/>
              <w:rPr>
                <w:b/>
                <w:bCs/>
                <w:color w:val="FFFFFF" w:themeColor="background1"/>
                <w:sz w:val="20"/>
                <w:szCs w:val="20"/>
              </w:rPr>
            </w:pPr>
            <w:r>
              <w:rPr>
                <w:b/>
                <w:bCs/>
                <w:color w:val="FFFFFF" w:themeColor="background1"/>
                <w:sz w:val="20"/>
                <w:szCs w:val="20"/>
              </w:rPr>
              <w:t>2026</w:t>
            </w:r>
            <w:r w:rsidR="00CB5A0D" w:rsidRPr="00CB5A0D">
              <w:rPr>
                <w:b/>
                <w:bCs/>
                <w:color w:val="FFFFFF" w:themeColor="background1"/>
                <w:sz w:val="20"/>
                <w:szCs w:val="20"/>
                <w:vertAlign w:val="superscript"/>
              </w:rPr>
              <w:t>**</w:t>
            </w:r>
          </w:p>
        </w:tc>
      </w:tr>
      <w:tr w:rsidR="0077419A" w:rsidRPr="008272F1" w14:paraId="0F8668B9" w14:textId="30FE8879" w:rsidTr="006C3686">
        <w:trPr>
          <w:trHeight w:val="68"/>
        </w:trPr>
        <w:tc>
          <w:tcPr>
            <w:tcW w:w="3261"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0C8F1E66" w14:textId="1DE3DAD3" w:rsidR="006C3686" w:rsidRPr="00827D29" w:rsidRDefault="0054058E" w:rsidP="00827D29">
            <w:pPr>
              <w:ind w:left="126"/>
              <w:rPr>
                <w:i/>
                <w:iCs/>
                <w:sz w:val="20"/>
                <w:szCs w:val="20"/>
              </w:rPr>
            </w:pPr>
            <w:r w:rsidRPr="008272F1">
              <w:rPr>
                <w:b/>
                <w:bCs/>
                <w:sz w:val="20"/>
                <w:szCs w:val="20"/>
              </w:rPr>
              <w:t>Svinu nesaturošs benzīns</w:t>
            </w:r>
            <w:r w:rsidRPr="008272F1">
              <w:rPr>
                <w:sz w:val="20"/>
                <w:szCs w:val="20"/>
              </w:rPr>
              <w:t xml:space="preserve">, </w:t>
            </w:r>
            <w:r w:rsidRPr="008272F1">
              <w:rPr>
                <w:i/>
                <w:iCs/>
                <w:sz w:val="20"/>
                <w:szCs w:val="20"/>
              </w:rPr>
              <w:t>euro par litru</w:t>
            </w:r>
            <w:r w:rsidR="00E1797D">
              <w:rPr>
                <w:i/>
                <w:iCs/>
                <w:sz w:val="20"/>
                <w:szCs w:val="20"/>
              </w:rPr>
              <w:t>,</w:t>
            </w:r>
            <w:r w:rsidR="00E1797D">
              <w:rPr>
                <w:sz w:val="20"/>
                <w:szCs w:val="20"/>
              </w:rPr>
              <w:t xml:space="preserve"> </w:t>
            </w:r>
            <w:proofErr w:type="spellStart"/>
            <w:r w:rsidR="00E1797D">
              <w:rPr>
                <w:sz w:val="20"/>
                <w:szCs w:val="20"/>
              </w:rPr>
              <w:t>t,sk</w:t>
            </w:r>
            <w:proofErr w:type="spellEnd"/>
            <w:r w:rsidR="00E1797D">
              <w:rPr>
                <w:sz w:val="20"/>
                <w:szCs w:val="20"/>
              </w:rPr>
              <w:t>:</w:t>
            </w:r>
          </w:p>
        </w:tc>
        <w:tc>
          <w:tcPr>
            <w:tcW w:w="709"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76286D77" w14:textId="494E97E9" w:rsidR="006C3686" w:rsidRPr="00827D29" w:rsidRDefault="0054058E" w:rsidP="00827D29">
            <w:pPr>
              <w:jc w:val="center"/>
              <w:rPr>
                <w:b/>
                <w:bCs/>
                <w:color w:val="C00000"/>
                <w:sz w:val="20"/>
                <w:szCs w:val="20"/>
              </w:rPr>
            </w:pPr>
            <w:r w:rsidRPr="008272F1">
              <w:rPr>
                <w:b/>
                <w:bCs/>
                <w:color w:val="C00000"/>
                <w:sz w:val="20"/>
                <w:szCs w:val="20"/>
              </w:rPr>
              <w:t>0,</w:t>
            </w:r>
            <w:r w:rsidR="00A6700C">
              <w:rPr>
                <w:b/>
                <w:bCs/>
                <w:color w:val="C00000"/>
                <w:sz w:val="20"/>
                <w:szCs w:val="20"/>
              </w:rPr>
              <w:t>701</w:t>
            </w:r>
          </w:p>
          <w:p w14:paraId="698DEB25" w14:textId="5DFECC70" w:rsidR="006C3686" w:rsidRPr="00827D29" w:rsidRDefault="006C3686" w:rsidP="008272F1">
            <w:pPr>
              <w:jc w:val="center"/>
              <w:rPr>
                <w:color w:val="C00000"/>
                <w:sz w:val="18"/>
                <w:szCs w:val="18"/>
              </w:rPr>
            </w:pPr>
          </w:p>
        </w:tc>
        <w:tc>
          <w:tcPr>
            <w:tcW w:w="708"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1A4EB360" w14:textId="67269584" w:rsidR="006C3686" w:rsidRDefault="0054058E" w:rsidP="00827D29">
            <w:pPr>
              <w:jc w:val="center"/>
              <w:rPr>
                <w:b/>
                <w:bCs/>
                <w:color w:val="C00000"/>
                <w:sz w:val="20"/>
                <w:szCs w:val="20"/>
              </w:rPr>
            </w:pPr>
            <w:r w:rsidRPr="008272F1">
              <w:rPr>
                <w:b/>
                <w:bCs/>
                <w:color w:val="C00000"/>
                <w:sz w:val="20"/>
                <w:szCs w:val="20"/>
              </w:rPr>
              <w:t>0,</w:t>
            </w:r>
            <w:r w:rsidR="00A6700C">
              <w:rPr>
                <w:b/>
                <w:bCs/>
                <w:color w:val="C00000"/>
                <w:sz w:val="20"/>
                <w:szCs w:val="20"/>
              </w:rPr>
              <w:t>728</w:t>
            </w:r>
          </w:p>
          <w:p w14:paraId="0482DE36" w14:textId="140F7FB3" w:rsidR="006C3686" w:rsidRPr="00827D29" w:rsidRDefault="006C3686" w:rsidP="008272F1">
            <w:pPr>
              <w:jc w:val="center"/>
              <w:rPr>
                <w:color w:val="C00000"/>
                <w:sz w:val="18"/>
                <w:szCs w:val="18"/>
              </w:rPr>
            </w:pPr>
          </w:p>
        </w:tc>
        <w:tc>
          <w:tcPr>
            <w:tcW w:w="709"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30B7B91D" w14:textId="4E42DAEB" w:rsidR="006C3686" w:rsidRDefault="0054058E" w:rsidP="00827D29">
            <w:pPr>
              <w:jc w:val="center"/>
              <w:rPr>
                <w:b/>
                <w:bCs/>
                <w:color w:val="C00000"/>
                <w:sz w:val="20"/>
                <w:szCs w:val="20"/>
              </w:rPr>
            </w:pPr>
            <w:r w:rsidRPr="008272F1">
              <w:rPr>
                <w:b/>
                <w:bCs/>
                <w:color w:val="C00000"/>
                <w:sz w:val="20"/>
                <w:szCs w:val="20"/>
              </w:rPr>
              <w:t>0,</w:t>
            </w:r>
            <w:r w:rsidR="00A6700C">
              <w:rPr>
                <w:b/>
                <w:bCs/>
                <w:color w:val="C00000"/>
                <w:sz w:val="20"/>
                <w:szCs w:val="20"/>
              </w:rPr>
              <w:t>756</w:t>
            </w:r>
          </w:p>
          <w:p w14:paraId="2B936315" w14:textId="1E39641D" w:rsidR="006C3686" w:rsidRPr="006C3686" w:rsidRDefault="006C3686" w:rsidP="008272F1">
            <w:pPr>
              <w:jc w:val="center"/>
              <w:rPr>
                <w:color w:val="C00000"/>
                <w:sz w:val="20"/>
                <w:szCs w:val="20"/>
              </w:rPr>
            </w:pPr>
          </w:p>
        </w:tc>
        <w:tc>
          <w:tcPr>
            <w:tcW w:w="567"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106367B1" w14:textId="75D54DC6" w:rsidR="00A6700C" w:rsidRPr="00827D29" w:rsidRDefault="0054058E" w:rsidP="00827D29">
            <w:pPr>
              <w:jc w:val="center"/>
              <w:rPr>
                <w:b/>
                <w:bCs/>
                <w:color w:val="00B050"/>
                <w:sz w:val="20"/>
                <w:szCs w:val="20"/>
              </w:rPr>
            </w:pPr>
            <w:r w:rsidRPr="008272F1">
              <w:rPr>
                <w:b/>
                <w:bCs/>
                <w:color w:val="00B050"/>
                <w:sz w:val="20"/>
                <w:szCs w:val="20"/>
              </w:rPr>
              <w:t>0,564</w:t>
            </w:r>
          </w:p>
          <w:p w14:paraId="504CEF93" w14:textId="64360814" w:rsidR="00A6700C" w:rsidRPr="008272F1" w:rsidRDefault="00A6700C" w:rsidP="008272F1">
            <w:pPr>
              <w:jc w:val="center"/>
              <w:rPr>
                <w:color w:val="00B050"/>
                <w:sz w:val="20"/>
                <w:szCs w:val="20"/>
              </w:rPr>
            </w:pPr>
          </w:p>
        </w:tc>
        <w:tc>
          <w:tcPr>
            <w:tcW w:w="709"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1D5EA422" w14:textId="13158E0F" w:rsidR="00A6700C" w:rsidRPr="00827D29" w:rsidRDefault="0054058E" w:rsidP="00827D29">
            <w:pPr>
              <w:jc w:val="center"/>
              <w:rPr>
                <w:b/>
                <w:bCs/>
                <w:color w:val="00B050"/>
                <w:sz w:val="20"/>
                <w:szCs w:val="20"/>
              </w:rPr>
            </w:pPr>
            <w:r w:rsidRPr="008272F1">
              <w:rPr>
                <w:b/>
                <w:bCs/>
                <w:color w:val="00B050"/>
                <w:sz w:val="20"/>
                <w:szCs w:val="20"/>
              </w:rPr>
              <w:t>0,621</w:t>
            </w:r>
          </w:p>
          <w:p w14:paraId="328FB72A" w14:textId="717BC504" w:rsidR="00A6700C" w:rsidRPr="008272F1" w:rsidRDefault="00A6700C" w:rsidP="008272F1">
            <w:pPr>
              <w:jc w:val="center"/>
              <w:rPr>
                <w:color w:val="00B050"/>
                <w:sz w:val="20"/>
                <w:szCs w:val="20"/>
              </w:rPr>
            </w:pPr>
          </w:p>
        </w:tc>
        <w:tc>
          <w:tcPr>
            <w:tcW w:w="709" w:type="dxa"/>
            <w:tcBorders>
              <w:top w:val="single" w:sz="4" w:space="0" w:color="000000"/>
              <w:left w:val="single" w:sz="4" w:space="0" w:color="000000"/>
              <w:bottom w:val="nil"/>
              <w:right w:val="single" w:sz="4" w:space="0" w:color="000000"/>
            </w:tcBorders>
            <w:vAlign w:val="center"/>
          </w:tcPr>
          <w:p w14:paraId="406A67F3" w14:textId="7E66C81D" w:rsidR="00A6700C" w:rsidRPr="00827D29" w:rsidRDefault="00DB108F" w:rsidP="00827D29">
            <w:pPr>
              <w:jc w:val="center"/>
              <w:rPr>
                <w:b/>
                <w:bCs/>
                <w:color w:val="00B050"/>
                <w:sz w:val="20"/>
                <w:szCs w:val="20"/>
              </w:rPr>
            </w:pPr>
            <w:r w:rsidRPr="00075E5A">
              <w:rPr>
                <w:b/>
                <w:bCs/>
                <w:color w:val="00B050"/>
                <w:sz w:val="20"/>
                <w:szCs w:val="20"/>
              </w:rPr>
              <w:t>0,680</w:t>
            </w:r>
          </w:p>
        </w:tc>
        <w:tc>
          <w:tcPr>
            <w:tcW w:w="708"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5BA591FB" w14:textId="4817F0B4" w:rsidR="0077419A" w:rsidRDefault="0054058E" w:rsidP="00827D29">
            <w:pPr>
              <w:jc w:val="center"/>
              <w:rPr>
                <w:b/>
                <w:bCs/>
                <w:color w:val="0070C0"/>
                <w:sz w:val="20"/>
                <w:szCs w:val="20"/>
              </w:rPr>
            </w:pPr>
            <w:r w:rsidRPr="008272F1">
              <w:rPr>
                <w:b/>
                <w:bCs/>
                <w:color w:val="0070C0"/>
                <w:sz w:val="20"/>
                <w:szCs w:val="20"/>
              </w:rPr>
              <w:t>0,6</w:t>
            </w:r>
            <w:r w:rsidR="0077419A">
              <w:rPr>
                <w:b/>
                <w:bCs/>
                <w:color w:val="0070C0"/>
                <w:sz w:val="20"/>
                <w:szCs w:val="20"/>
              </w:rPr>
              <w:t>93</w:t>
            </w:r>
          </w:p>
          <w:p w14:paraId="4E729B27" w14:textId="737CC8C2" w:rsidR="0077419A" w:rsidRPr="0077419A" w:rsidRDefault="0077419A" w:rsidP="008272F1">
            <w:pPr>
              <w:jc w:val="center"/>
              <w:rPr>
                <w:color w:val="0070C0"/>
                <w:sz w:val="20"/>
                <w:szCs w:val="20"/>
              </w:rPr>
            </w:pPr>
          </w:p>
        </w:tc>
        <w:tc>
          <w:tcPr>
            <w:tcW w:w="851"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116AF642" w14:textId="597A0015" w:rsidR="0077419A" w:rsidRDefault="0054058E" w:rsidP="00827D29">
            <w:pPr>
              <w:jc w:val="center"/>
              <w:rPr>
                <w:b/>
                <w:bCs/>
                <w:color w:val="0070C0"/>
                <w:sz w:val="20"/>
                <w:szCs w:val="20"/>
              </w:rPr>
            </w:pPr>
            <w:r w:rsidRPr="008272F1">
              <w:rPr>
                <w:b/>
                <w:bCs/>
                <w:color w:val="0070C0"/>
                <w:sz w:val="20"/>
                <w:szCs w:val="20"/>
              </w:rPr>
              <w:t>0,</w:t>
            </w:r>
            <w:r w:rsidR="0077419A">
              <w:rPr>
                <w:b/>
                <w:bCs/>
                <w:color w:val="0070C0"/>
                <w:sz w:val="20"/>
                <w:szCs w:val="20"/>
              </w:rPr>
              <w:t>727</w:t>
            </w:r>
          </w:p>
          <w:p w14:paraId="1DB6F94B" w14:textId="35369BDE" w:rsidR="0077419A" w:rsidRPr="0077419A" w:rsidRDefault="0077419A" w:rsidP="008272F1">
            <w:pPr>
              <w:jc w:val="center"/>
              <w:rPr>
                <w:color w:val="0070C0"/>
                <w:sz w:val="20"/>
                <w:szCs w:val="20"/>
              </w:rPr>
            </w:pPr>
          </w:p>
        </w:tc>
        <w:tc>
          <w:tcPr>
            <w:tcW w:w="709" w:type="dxa"/>
            <w:tcBorders>
              <w:top w:val="single" w:sz="4" w:space="0" w:color="000000"/>
              <w:left w:val="single" w:sz="4" w:space="0" w:color="000000"/>
              <w:bottom w:val="nil"/>
              <w:right w:val="single" w:sz="4" w:space="0" w:color="000000"/>
            </w:tcBorders>
            <w:vAlign w:val="center"/>
          </w:tcPr>
          <w:p w14:paraId="2FC661ED" w14:textId="237B45CB" w:rsidR="006C3686" w:rsidRPr="00827D29" w:rsidRDefault="00DB108F" w:rsidP="00827D29">
            <w:pPr>
              <w:jc w:val="center"/>
              <w:rPr>
                <w:b/>
                <w:bCs/>
                <w:color w:val="0070C0"/>
                <w:sz w:val="20"/>
                <w:szCs w:val="20"/>
              </w:rPr>
            </w:pPr>
            <w:r>
              <w:rPr>
                <w:b/>
                <w:bCs/>
                <w:color w:val="0070C0"/>
                <w:sz w:val="20"/>
                <w:szCs w:val="20"/>
              </w:rPr>
              <w:t>0,</w:t>
            </w:r>
            <w:r w:rsidR="0077419A">
              <w:rPr>
                <w:b/>
                <w:bCs/>
                <w:color w:val="0070C0"/>
                <w:sz w:val="20"/>
                <w:szCs w:val="20"/>
              </w:rPr>
              <w:t>776</w:t>
            </w:r>
          </w:p>
        </w:tc>
      </w:tr>
      <w:tr w:rsidR="00827D29" w:rsidRPr="008272F1" w14:paraId="5AC14EE0" w14:textId="77777777" w:rsidTr="00777F80">
        <w:trPr>
          <w:trHeight w:val="68"/>
        </w:trPr>
        <w:tc>
          <w:tcPr>
            <w:tcW w:w="3261" w:type="dxa"/>
            <w:tcBorders>
              <w:left w:val="single" w:sz="4" w:space="0" w:color="000000"/>
              <w:bottom w:val="nil"/>
              <w:right w:val="single" w:sz="4" w:space="0" w:color="000000"/>
            </w:tcBorders>
            <w:shd w:val="clear" w:color="auto" w:fill="auto"/>
            <w:tcMar>
              <w:top w:w="10" w:type="dxa"/>
              <w:left w:w="10" w:type="dxa"/>
              <w:bottom w:w="0" w:type="dxa"/>
              <w:right w:w="10" w:type="dxa"/>
            </w:tcMar>
            <w:vAlign w:val="center"/>
          </w:tcPr>
          <w:p w14:paraId="0FE5B6A8" w14:textId="7BAE87D6" w:rsidR="00827D29" w:rsidRPr="00827D29" w:rsidRDefault="00827D29" w:rsidP="00827D29">
            <w:pPr>
              <w:pStyle w:val="ListParagraph"/>
              <w:numPr>
                <w:ilvl w:val="0"/>
                <w:numId w:val="3"/>
              </w:numPr>
              <w:ind w:left="277" w:hanging="142"/>
              <w:rPr>
                <w:b/>
                <w:bCs/>
                <w:sz w:val="20"/>
                <w:szCs w:val="20"/>
              </w:rPr>
            </w:pPr>
            <w:r w:rsidRPr="00827D29">
              <w:rPr>
                <w:sz w:val="18"/>
                <w:szCs w:val="18"/>
              </w:rPr>
              <w:t>maksa par naftas produktu rezervēm</w:t>
            </w:r>
            <w:r w:rsidRPr="00827D29">
              <w:rPr>
                <w:sz w:val="18"/>
                <w:szCs w:val="18"/>
                <w:vertAlign w:val="superscript"/>
              </w:rPr>
              <w:t>*</w:t>
            </w:r>
          </w:p>
        </w:tc>
        <w:tc>
          <w:tcPr>
            <w:tcW w:w="709" w:type="dxa"/>
            <w:tcBorders>
              <w:left w:val="single" w:sz="4" w:space="0" w:color="000000"/>
              <w:bottom w:val="nil"/>
              <w:right w:val="single" w:sz="4" w:space="0" w:color="000000"/>
            </w:tcBorders>
            <w:shd w:val="clear" w:color="auto" w:fill="auto"/>
            <w:tcMar>
              <w:top w:w="10" w:type="dxa"/>
              <w:left w:w="10" w:type="dxa"/>
              <w:bottom w:w="0" w:type="dxa"/>
              <w:right w:w="10" w:type="dxa"/>
            </w:tcMar>
            <w:vAlign w:val="center"/>
          </w:tcPr>
          <w:p w14:paraId="7A9D0E63" w14:textId="12F5C4C0" w:rsidR="00827D29" w:rsidRPr="00777F80" w:rsidRDefault="00827D29" w:rsidP="008272F1">
            <w:pPr>
              <w:jc w:val="center"/>
              <w:rPr>
                <w:b/>
                <w:bCs/>
                <w:color w:val="C00000"/>
                <w:sz w:val="18"/>
                <w:szCs w:val="18"/>
              </w:rPr>
            </w:pPr>
            <w:r w:rsidRPr="00777F80">
              <w:rPr>
                <w:color w:val="C00000"/>
                <w:sz w:val="18"/>
                <w:szCs w:val="18"/>
              </w:rPr>
              <w:t>0,085</w:t>
            </w:r>
          </w:p>
        </w:tc>
        <w:tc>
          <w:tcPr>
            <w:tcW w:w="708" w:type="dxa"/>
            <w:tcBorders>
              <w:left w:val="single" w:sz="4" w:space="0" w:color="000000"/>
              <w:bottom w:val="nil"/>
              <w:right w:val="single" w:sz="4" w:space="0" w:color="000000"/>
            </w:tcBorders>
            <w:shd w:val="clear" w:color="auto" w:fill="auto"/>
            <w:tcMar>
              <w:top w:w="10" w:type="dxa"/>
              <w:left w:w="10" w:type="dxa"/>
              <w:bottom w:w="0" w:type="dxa"/>
              <w:right w:w="10" w:type="dxa"/>
            </w:tcMar>
            <w:vAlign w:val="center"/>
          </w:tcPr>
          <w:p w14:paraId="763DF77A" w14:textId="31A2A456" w:rsidR="00827D29" w:rsidRPr="00777F80" w:rsidRDefault="00827D29" w:rsidP="008272F1">
            <w:pPr>
              <w:jc w:val="center"/>
              <w:rPr>
                <w:b/>
                <w:bCs/>
                <w:color w:val="C00000"/>
                <w:sz w:val="18"/>
                <w:szCs w:val="18"/>
              </w:rPr>
            </w:pPr>
            <w:r w:rsidRPr="00777F80">
              <w:rPr>
                <w:color w:val="C00000"/>
                <w:sz w:val="18"/>
                <w:szCs w:val="18"/>
              </w:rPr>
              <w:t>0,085</w:t>
            </w:r>
          </w:p>
        </w:tc>
        <w:tc>
          <w:tcPr>
            <w:tcW w:w="709" w:type="dxa"/>
            <w:tcBorders>
              <w:left w:val="single" w:sz="4" w:space="0" w:color="000000"/>
              <w:bottom w:val="nil"/>
              <w:right w:val="single" w:sz="4" w:space="0" w:color="000000"/>
            </w:tcBorders>
            <w:shd w:val="clear" w:color="auto" w:fill="auto"/>
            <w:tcMar>
              <w:top w:w="10" w:type="dxa"/>
              <w:left w:w="10" w:type="dxa"/>
              <w:bottom w:w="0" w:type="dxa"/>
              <w:right w:w="10" w:type="dxa"/>
            </w:tcMar>
            <w:vAlign w:val="center"/>
          </w:tcPr>
          <w:p w14:paraId="424C0BEA" w14:textId="1AC260B0" w:rsidR="00827D29" w:rsidRPr="00777F80" w:rsidRDefault="00827D29" w:rsidP="008272F1">
            <w:pPr>
              <w:jc w:val="center"/>
              <w:rPr>
                <w:b/>
                <w:bCs/>
                <w:color w:val="C00000"/>
                <w:sz w:val="18"/>
                <w:szCs w:val="18"/>
              </w:rPr>
            </w:pPr>
            <w:r w:rsidRPr="00777F80">
              <w:rPr>
                <w:color w:val="C00000"/>
                <w:sz w:val="18"/>
                <w:szCs w:val="18"/>
              </w:rPr>
              <w:t>0,085</w:t>
            </w:r>
          </w:p>
        </w:tc>
        <w:tc>
          <w:tcPr>
            <w:tcW w:w="567" w:type="dxa"/>
            <w:tcBorders>
              <w:left w:val="single" w:sz="4" w:space="0" w:color="000000"/>
              <w:bottom w:val="nil"/>
              <w:right w:val="single" w:sz="4" w:space="0" w:color="000000"/>
            </w:tcBorders>
            <w:shd w:val="clear" w:color="auto" w:fill="auto"/>
            <w:tcMar>
              <w:top w:w="10" w:type="dxa"/>
              <w:left w:w="10" w:type="dxa"/>
              <w:bottom w:w="0" w:type="dxa"/>
              <w:right w:w="10" w:type="dxa"/>
            </w:tcMar>
            <w:vAlign w:val="center"/>
          </w:tcPr>
          <w:p w14:paraId="7A71EEF0" w14:textId="07E0D244" w:rsidR="00827D29" w:rsidRPr="00777F80" w:rsidRDefault="00827D29" w:rsidP="008272F1">
            <w:pPr>
              <w:jc w:val="center"/>
              <w:rPr>
                <w:b/>
                <w:bCs/>
                <w:color w:val="00B050"/>
                <w:sz w:val="18"/>
                <w:szCs w:val="18"/>
              </w:rPr>
            </w:pPr>
            <w:r w:rsidRPr="00777F80">
              <w:rPr>
                <w:color w:val="00B050"/>
                <w:sz w:val="18"/>
                <w:szCs w:val="18"/>
              </w:rPr>
              <w:t>0,000</w:t>
            </w:r>
          </w:p>
        </w:tc>
        <w:tc>
          <w:tcPr>
            <w:tcW w:w="709" w:type="dxa"/>
            <w:tcBorders>
              <w:left w:val="single" w:sz="4" w:space="0" w:color="000000"/>
              <w:bottom w:val="nil"/>
              <w:right w:val="single" w:sz="4" w:space="0" w:color="000000"/>
            </w:tcBorders>
            <w:shd w:val="clear" w:color="auto" w:fill="auto"/>
            <w:tcMar>
              <w:top w:w="10" w:type="dxa"/>
              <w:left w:w="10" w:type="dxa"/>
              <w:bottom w:w="0" w:type="dxa"/>
              <w:right w:w="10" w:type="dxa"/>
            </w:tcMar>
            <w:vAlign w:val="center"/>
          </w:tcPr>
          <w:p w14:paraId="7FE872B5" w14:textId="344220C4" w:rsidR="00827D29" w:rsidRPr="00777F80" w:rsidRDefault="00827D29" w:rsidP="008272F1">
            <w:pPr>
              <w:jc w:val="center"/>
              <w:rPr>
                <w:b/>
                <w:bCs/>
                <w:color w:val="00B050"/>
                <w:sz w:val="18"/>
                <w:szCs w:val="18"/>
              </w:rPr>
            </w:pPr>
            <w:r w:rsidRPr="00777F80">
              <w:rPr>
                <w:color w:val="00B050"/>
                <w:sz w:val="18"/>
                <w:szCs w:val="18"/>
              </w:rPr>
              <w:t>0,000</w:t>
            </w:r>
          </w:p>
        </w:tc>
        <w:tc>
          <w:tcPr>
            <w:tcW w:w="709" w:type="dxa"/>
            <w:tcBorders>
              <w:left w:val="single" w:sz="4" w:space="0" w:color="000000"/>
              <w:bottom w:val="nil"/>
              <w:right w:val="single" w:sz="4" w:space="0" w:color="000000"/>
            </w:tcBorders>
            <w:vAlign w:val="center"/>
          </w:tcPr>
          <w:p w14:paraId="13857DF9" w14:textId="13F0E837" w:rsidR="00827D29" w:rsidRPr="00777F80" w:rsidRDefault="00827D29" w:rsidP="00075E5A">
            <w:pPr>
              <w:jc w:val="center"/>
              <w:rPr>
                <w:b/>
                <w:bCs/>
                <w:color w:val="00B050"/>
                <w:sz w:val="18"/>
                <w:szCs w:val="18"/>
              </w:rPr>
            </w:pPr>
            <w:r w:rsidRPr="00777F80">
              <w:rPr>
                <w:color w:val="00B050"/>
                <w:sz w:val="18"/>
                <w:szCs w:val="18"/>
              </w:rPr>
              <w:t>0,000</w:t>
            </w:r>
          </w:p>
        </w:tc>
        <w:tc>
          <w:tcPr>
            <w:tcW w:w="708" w:type="dxa"/>
            <w:tcBorders>
              <w:left w:val="single" w:sz="4" w:space="0" w:color="000000"/>
              <w:bottom w:val="nil"/>
              <w:right w:val="single" w:sz="4" w:space="0" w:color="000000"/>
            </w:tcBorders>
            <w:shd w:val="clear" w:color="auto" w:fill="auto"/>
            <w:tcMar>
              <w:top w:w="10" w:type="dxa"/>
              <w:left w:w="10" w:type="dxa"/>
              <w:bottom w:w="0" w:type="dxa"/>
              <w:right w:w="10" w:type="dxa"/>
            </w:tcMar>
            <w:vAlign w:val="center"/>
          </w:tcPr>
          <w:p w14:paraId="033E6272" w14:textId="152EB9C8" w:rsidR="00827D29" w:rsidRPr="00777F80" w:rsidRDefault="00827D29" w:rsidP="008272F1">
            <w:pPr>
              <w:jc w:val="center"/>
              <w:rPr>
                <w:b/>
                <w:bCs/>
                <w:color w:val="0070C0"/>
                <w:sz w:val="18"/>
                <w:szCs w:val="18"/>
              </w:rPr>
            </w:pPr>
            <w:r w:rsidRPr="00777F80">
              <w:rPr>
                <w:color w:val="0070C0"/>
                <w:sz w:val="18"/>
                <w:szCs w:val="18"/>
              </w:rPr>
              <w:t>0,006</w:t>
            </w:r>
          </w:p>
        </w:tc>
        <w:tc>
          <w:tcPr>
            <w:tcW w:w="851" w:type="dxa"/>
            <w:tcBorders>
              <w:left w:val="single" w:sz="4" w:space="0" w:color="000000"/>
              <w:bottom w:val="nil"/>
              <w:right w:val="single" w:sz="4" w:space="0" w:color="000000"/>
            </w:tcBorders>
            <w:shd w:val="clear" w:color="auto" w:fill="auto"/>
            <w:tcMar>
              <w:top w:w="10" w:type="dxa"/>
              <w:left w:w="10" w:type="dxa"/>
              <w:bottom w:w="0" w:type="dxa"/>
              <w:right w:w="10" w:type="dxa"/>
            </w:tcMar>
            <w:vAlign w:val="center"/>
          </w:tcPr>
          <w:p w14:paraId="0B53709B" w14:textId="0B0664F3" w:rsidR="00827D29" w:rsidRPr="00777F80" w:rsidRDefault="00827D29" w:rsidP="008272F1">
            <w:pPr>
              <w:jc w:val="center"/>
              <w:rPr>
                <w:b/>
                <w:bCs/>
                <w:color w:val="0070C0"/>
                <w:sz w:val="18"/>
                <w:szCs w:val="18"/>
              </w:rPr>
            </w:pPr>
            <w:r w:rsidRPr="00777F80">
              <w:rPr>
                <w:color w:val="0070C0"/>
                <w:sz w:val="18"/>
                <w:szCs w:val="18"/>
              </w:rPr>
              <w:t>0,006</w:t>
            </w:r>
          </w:p>
        </w:tc>
        <w:tc>
          <w:tcPr>
            <w:tcW w:w="709" w:type="dxa"/>
            <w:tcBorders>
              <w:left w:val="single" w:sz="4" w:space="0" w:color="000000"/>
              <w:bottom w:val="nil"/>
              <w:right w:val="single" w:sz="4" w:space="0" w:color="000000"/>
            </w:tcBorders>
            <w:vAlign w:val="center"/>
          </w:tcPr>
          <w:p w14:paraId="1B139ED7" w14:textId="24CE6F95" w:rsidR="00827D29" w:rsidRPr="00777F80" w:rsidRDefault="00827D29" w:rsidP="006462C6">
            <w:pPr>
              <w:jc w:val="center"/>
              <w:rPr>
                <w:b/>
                <w:bCs/>
                <w:color w:val="0070C0"/>
                <w:sz w:val="18"/>
                <w:szCs w:val="18"/>
              </w:rPr>
            </w:pPr>
            <w:r w:rsidRPr="00777F80">
              <w:rPr>
                <w:color w:val="0070C0"/>
                <w:sz w:val="18"/>
                <w:szCs w:val="18"/>
              </w:rPr>
              <w:t>0,006</w:t>
            </w:r>
          </w:p>
        </w:tc>
      </w:tr>
      <w:tr w:rsidR="0077419A" w:rsidRPr="008272F1" w14:paraId="042ECB07" w14:textId="68A77E03" w:rsidTr="006C3686">
        <w:trPr>
          <w:trHeight w:val="43"/>
        </w:trPr>
        <w:tc>
          <w:tcPr>
            <w:tcW w:w="3261"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326C36B5" w14:textId="7BD4DEE6" w:rsidR="0054058E" w:rsidRPr="006462C6" w:rsidRDefault="0054058E" w:rsidP="008272F1">
            <w:pPr>
              <w:ind w:left="126"/>
              <w:rPr>
                <w:sz w:val="18"/>
                <w:szCs w:val="18"/>
              </w:rPr>
            </w:pPr>
            <w:r w:rsidRPr="006462C6">
              <w:rPr>
                <w:i/>
                <w:iCs/>
                <w:sz w:val="18"/>
                <w:szCs w:val="18"/>
              </w:rPr>
              <w:t>Pieaugums, euro/litrā pret 2024</w:t>
            </w:r>
            <w:r w:rsidR="00FA7FB6">
              <w:rPr>
                <w:i/>
                <w:iCs/>
                <w:sz w:val="18"/>
                <w:szCs w:val="18"/>
              </w:rPr>
              <w:t>.g.</w:t>
            </w:r>
          </w:p>
        </w:tc>
        <w:tc>
          <w:tcPr>
            <w:tcW w:w="709"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7C7B8BC0" w14:textId="5360144D" w:rsidR="0054058E" w:rsidRPr="006462C6" w:rsidRDefault="0054058E" w:rsidP="008272F1">
            <w:pPr>
              <w:jc w:val="center"/>
              <w:rPr>
                <w:color w:val="C00000"/>
                <w:sz w:val="18"/>
                <w:szCs w:val="18"/>
              </w:rPr>
            </w:pPr>
          </w:p>
        </w:tc>
        <w:tc>
          <w:tcPr>
            <w:tcW w:w="708"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AAD4853" w14:textId="77777777" w:rsidR="0054058E" w:rsidRPr="006462C6" w:rsidRDefault="0054058E" w:rsidP="008272F1">
            <w:pPr>
              <w:jc w:val="center"/>
              <w:rPr>
                <w:color w:val="FF0000"/>
                <w:sz w:val="18"/>
                <w:szCs w:val="18"/>
              </w:rPr>
            </w:pPr>
            <w:r w:rsidRPr="006462C6">
              <w:rPr>
                <w:i/>
                <w:iCs/>
                <w:color w:val="FF0000"/>
                <w:sz w:val="18"/>
                <w:szCs w:val="18"/>
              </w:rPr>
              <w:t>0,027</w:t>
            </w:r>
          </w:p>
        </w:tc>
        <w:tc>
          <w:tcPr>
            <w:tcW w:w="709"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54BC707E" w14:textId="77777777" w:rsidR="0054058E" w:rsidRPr="006462C6" w:rsidRDefault="0054058E" w:rsidP="008272F1">
            <w:pPr>
              <w:jc w:val="center"/>
              <w:rPr>
                <w:color w:val="FF0000"/>
                <w:sz w:val="18"/>
                <w:szCs w:val="18"/>
              </w:rPr>
            </w:pPr>
            <w:r w:rsidRPr="006462C6">
              <w:rPr>
                <w:i/>
                <w:iCs/>
                <w:color w:val="FF0000"/>
                <w:sz w:val="18"/>
                <w:szCs w:val="18"/>
              </w:rPr>
              <w:t>0,055</w:t>
            </w:r>
          </w:p>
        </w:tc>
        <w:tc>
          <w:tcPr>
            <w:tcW w:w="567"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5C347188" w14:textId="27F7A1E5" w:rsidR="0054058E" w:rsidRPr="006462C6" w:rsidRDefault="0054058E" w:rsidP="008272F1">
            <w:pPr>
              <w:jc w:val="center"/>
              <w:rPr>
                <w:color w:val="00B050"/>
                <w:sz w:val="18"/>
                <w:szCs w:val="18"/>
              </w:rPr>
            </w:pPr>
          </w:p>
        </w:tc>
        <w:tc>
          <w:tcPr>
            <w:tcW w:w="709"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62F44D7D" w14:textId="77777777" w:rsidR="0054058E" w:rsidRPr="006462C6" w:rsidRDefault="0054058E" w:rsidP="008272F1">
            <w:pPr>
              <w:jc w:val="center"/>
              <w:rPr>
                <w:color w:val="00B050"/>
                <w:sz w:val="18"/>
                <w:szCs w:val="18"/>
              </w:rPr>
            </w:pPr>
            <w:r w:rsidRPr="006462C6">
              <w:rPr>
                <w:i/>
                <w:iCs/>
                <w:color w:val="00B050"/>
                <w:sz w:val="18"/>
                <w:szCs w:val="18"/>
              </w:rPr>
              <w:t>0,057</w:t>
            </w:r>
          </w:p>
        </w:tc>
        <w:tc>
          <w:tcPr>
            <w:tcW w:w="709" w:type="dxa"/>
            <w:tcBorders>
              <w:top w:val="nil"/>
              <w:left w:val="single" w:sz="4" w:space="0" w:color="000000"/>
              <w:bottom w:val="single" w:sz="4" w:space="0" w:color="000000"/>
              <w:right w:val="single" w:sz="4" w:space="0" w:color="000000"/>
            </w:tcBorders>
            <w:vAlign w:val="center"/>
          </w:tcPr>
          <w:p w14:paraId="45B08E90" w14:textId="2A939856" w:rsidR="0054058E" w:rsidRPr="006462C6" w:rsidRDefault="00DB108F" w:rsidP="00075E5A">
            <w:pPr>
              <w:jc w:val="center"/>
              <w:rPr>
                <w:i/>
                <w:iCs/>
                <w:color w:val="00B050"/>
                <w:sz w:val="18"/>
                <w:szCs w:val="18"/>
              </w:rPr>
            </w:pPr>
            <w:r w:rsidRPr="006462C6">
              <w:rPr>
                <w:i/>
                <w:iCs/>
                <w:color w:val="00B050"/>
                <w:sz w:val="18"/>
                <w:szCs w:val="18"/>
              </w:rPr>
              <w:t>0,116</w:t>
            </w:r>
          </w:p>
        </w:tc>
        <w:tc>
          <w:tcPr>
            <w:tcW w:w="708"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514DA181" w14:textId="4D22A8BF" w:rsidR="0054058E" w:rsidRPr="006462C6" w:rsidRDefault="0054058E" w:rsidP="008272F1">
            <w:pPr>
              <w:jc w:val="center"/>
              <w:rPr>
                <w:color w:val="0070C0"/>
                <w:sz w:val="18"/>
                <w:szCs w:val="18"/>
              </w:rPr>
            </w:pPr>
          </w:p>
        </w:tc>
        <w:tc>
          <w:tcPr>
            <w:tcW w:w="851"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A39BDB0" w14:textId="5F721710" w:rsidR="0054058E" w:rsidRPr="006462C6" w:rsidRDefault="0054058E" w:rsidP="008272F1">
            <w:pPr>
              <w:jc w:val="center"/>
              <w:rPr>
                <w:color w:val="0070C0"/>
                <w:sz w:val="18"/>
                <w:szCs w:val="18"/>
              </w:rPr>
            </w:pPr>
            <w:r w:rsidRPr="006462C6">
              <w:rPr>
                <w:i/>
                <w:iCs/>
                <w:color w:val="0070C0"/>
                <w:sz w:val="18"/>
                <w:szCs w:val="18"/>
              </w:rPr>
              <w:t>0,0</w:t>
            </w:r>
            <w:r w:rsidR="0077419A">
              <w:rPr>
                <w:i/>
                <w:iCs/>
                <w:color w:val="0070C0"/>
                <w:sz w:val="18"/>
                <w:szCs w:val="18"/>
              </w:rPr>
              <w:t>34</w:t>
            </w:r>
          </w:p>
        </w:tc>
        <w:tc>
          <w:tcPr>
            <w:tcW w:w="709" w:type="dxa"/>
            <w:tcBorders>
              <w:top w:val="nil"/>
              <w:left w:val="single" w:sz="4" w:space="0" w:color="000000"/>
              <w:bottom w:val="single" w:sz="4" w:space="0" w:color="000000"/>
              <w:right w:val="single" w:sz="4" w:space="0" w:color="000000"/>
            </w:tcBorders>
            <w:vAlign w:val="center"/>
          </w:tcPr>
          <w:p w14:paraId="7C9A2CC7" w14:textId="36EBA07F" w:rsidR="0054058E" w:rsidRPr="006462C6" w:rsidRDefault="00DB108F" w:rsidP="006462C6">
            <w:pPr>
              <w:jc w:val="center"/>
              <w:rPr>
                <w:i/>
                <w:iCs/>
                <w:color w:val="0070C0"/>
                <w:sz w:val="18"/>
                <w:szCs w:val="18"/>
              </w:rPr>
            </w:pPr>
            <w:r w:rsidRPr="006462C6">
              <w:rPr>
                <w:i/>
                <w:iCs/>
                <w:color w:val="0070C0"/>
                <w:sz w:val="18"/>
                <w:szCs w:val="18"/>
              </w:rPr>
              <w:t>0,0</w:t>
            </w:r>
            <w:r w:rsidR="00D37F25">
              <w:rPr>
                <w:i/>
                <w:iCs/>
                <w:color w:val="0070C0"/>
                <w:sz w:val="18"/>
                <w:szCs w:val="18"/>
              </w:rPr>
              <w:t>83</w:t>
            </w:r>
          </w:p>
        </w:tc>
      </w:tr>
      <w:tr w:rsidR="0077419A" w:rsidRPr="008272F1" w14:paraId="4B4A054A" w14:textId="41B4B984" w:rsidTr="00777F80">
        <w:trPr>
          <w:trHeight w:val="50"/>
        </w:trPr>
        <w:tc>
          <w:tcPr>
            <w:tcW w:w="3261" w:type="dxa"/>
            <w:tcBorders>
              <w:top w:val="single" w:sz="4" w:space="0" w:color="000000"/>
              <w:left w:val="single" w:sz="4" w:space="0" w:color="000000"/>
              <w:right w:val="single" w:sz="4" w:space="0" w:color="000000"/>
            </w:tcBorders>
            <w:shd w:val="clear" w:color="auto" w:fill="auto"/>
            <w:tcMar>
              <w:top w:w="10" w:type="dxa"/>
              <w:left w:w="10" w:type="dxa"/>
              <w:bottom w:w="0" w:type="dxa"/>
              <w:right w:w="10" w:type="dxa"/>
            </w:tcMar>
            <w:vAlign w:val="center"/>
            <w:hideMark/>
          </w:tcPr>
          <w:p w14:paraId="47C75B5D" w14:textId="6F0368B1" w:rsidR="0054058E" w:rsidRDefault="0054058E" w:rsidP="008272F1">
            <w:pPr>
              <w:ind w:left="126"/>
              <w:rPr>
                <w:i/>
                <w:iCs/>
                <w:sz w:val="20"/>
                <w:szCs w:val="20"/>
              </w:rPr>
            </w:pPr>
            <w:r w:rsidRPr="008272F1">
              <w:rPr>
                <w:b/>
                <w:bCs/>
                <w:sz w:val="20"/>
                <w:szCs w:val="20"/>
              </w:rPr>
              <w:t>Dīzeļdegviela</w:t>
            </w:r>
            <w:r w:rsidRPr="008272F1">
              <w:rPr>
                <w:sz w:val="20"/>
                <w:szCs w:val="20"/>
              </w:rPr>
              <w:t xml:space="preserve">, </w:t>
            </w:r>
            <w:r w:rsidRPr="008272F1">
              <w:rPr>
                <w:i/>
                <w:iCs/>
                <w:sz w:val="20"/>
                <w:szCs w:val="20"/>
              </w:rPr>
              <w:t>euro par litru</w:t>
            </w:r>
            <w:r w:rsidR="00E1797D">
              <w:rPr>
                <w:i/>
                <w:iCs/>
                <w:sz w:val="20"/>
                <w:szCs w:val="20"/>
              </w:rPr>
              <w:t>, t.sk.:</w:t>
            </w:r>
          </w:p>
          <w:p w14:paraId="122F86F7" w14:textId="229AB169" w:rsidR="00D37F25" w:rsidRPr="008272F1" w:rsidRDefault="00D37F25" w:rsidP="008272F1">
            <w:pPr>
              <w:ind w:left="126"/>
              <w:rPr>
                <w:sz w:val="20"/>
                <w:szCs w:val="20"/>
              </w:rPr>
            </w:pPr>
          </w:p>
        </w:tc>
        <w:tc>
          <w:tcPr>
            <w:tcW w:w="709" w:type="dxa"/>
            <w:tcBorders>
              <w:top w:val="single" w:sz="4" w:space="0" w:color="000000"/>
              <w:left w:val="single" w:sz="4" w:space="0" w:color="000000"/>
              <w:right w:val="single" w:sz="4" w:space="0" w:color="000000"/>
            </w:tcBorders>
            <w:shd w:val="clear" w:color="auto" w:fill="auto"/>
            <w:tcMar>
              <w:top w:w="10" w:type="dxa"/>
              <w:left w:w="10" w:type="dxa"/>
              <w:bottom w:w="0" w:type="dxa"/>
              <w:right w:w="10" w:type="dxa"/>
            </w:tcMar>
            <w:vAlign w:val="center"/>
            <w:hideMark/>
          </w:tcPr>
          <w:p w14:paraId="61A45B22" w14:textId="1C77E79E" w:rsidR="0054058E" w:rsidRDefault="0054058E" w:rsidP="008272F1">
            <w:pPr>
              <w:jc w:val="center"/>
              <w:rPr>
                <w:b/>
                <w:bCs/>
                <w:color w:val="C00000"/>
                <w:sz w:val="20"/>
                <w:szCs w:val="20"/>
              </w:rPr>
            </w:pPr>
            <w:r w:rsidRPr="008272F1">
              <w:rPr>
                <w:b/>
                <w:bCs/>
                <w:color w:val="C00000"/>
                <w:sz w:val="20"/>
                <w:szCs w:val="20"/>
              </w:rPr>
              <w:t>0,5</w:t>
            </w:r>
            <w:r w:rsidR="00D37F25">
              <w:rPr>
                <w:b/>
                <w:bCs/>
                <w:color w:val="C00000"/>
                <w:sz w:val="20"/>
                <w:szCs w:val="20"/>
              </w:rPr>
              <w:t>93</w:t>
            </w:r>
          </w:p>
          <w:p w14:paraId="445966C8" w14:textId="4D6C1C13" w:rsidR="00D37F25" w:rsidRPr="00D37F25" w:rsidRDefault="00D37F25" w:rsidP="008272F1">
            <w:pPr>
              <w:jc w:val="center"/>
              <w:rPr>
                <w:color w:val="C00000"/>
                <w:sz w:val="20"/>
                <w:szCs w:val="20"/>
              </w:rPr>
            </w:pPr>
          </w:p>
        </w:tc>
        <w:tc>
          <w:tcPr>
            <w:tcW w:w="708" w:type="dxa"/>
            <w:tcBorders>
              <w:top w:val="single" w:sz="4" w:space="0" w:color="000000"/>
              <w:left w:val="single" w:sz="4" w:space="0" w:color="000000"/>
              <w:right w:val="single" w:sz="4" w:space="0" w:color="000000"/>
            </w:tcBorders>
            <w:shd w:val="clear" w:color="auto" w:fill="auto"/>
            <w:tcMar>
              <w:top w:w="10" w:type="dxa"/>
              <w:left w:w="10" w:type="dxa"/>
              <w:bottom w:w="0" w:type="dxa"/>
              <w:right w:w="10" w:type="dxa"/>
            </w:tcMar>
            <w:vAlign w:val="center"/>
            <w:hideMark/>
          </w:tcPr>
          <w:p w14:paraId="7F7BDAF0" w14:textId="3EFD4FC5" w:rsidR="0054058E" w:rsidRDefault="0054058E" w:rsidP="008272F1">
            <w:pPr>
              <w:jc w:val="center"/>
              <w:rPr>
                <w:b/>
                <w:bCs/>
                <w:color w:val="C00000"/>
                <w:sz w:val="20"/>
                <w:szCs w:val="20"/>
              </w:rPr>
            </w:pPr>
            <w:r w:rsidRPr="008272F1">
              <w:rPr>
                <w:b/>
                <w:bCs/>
                <w:color w:val="C00000"/>
                <w:sz w:val="20"/>
                <w:szCs w:val="20"/>
              </w:rPr>
              <w:t>0,</w:t>
            </w:r>
            <w:r w:rsidR="00D37F25">
              <w:rPr>
                <w:b/>
                <w:bCs/>
                <w:color w:val="C00000"/>
                <w:sz w:val="20"/>
                <w:szCs w:val="20"/>
              </w:rPr>
              <w:t>625</w:t>
            </w:r>
          </w:p>
          <w:p w14:paraId="34C8D136" w14:textId="2BB97F60" w:rsidR="00D37F25" w:rsidRPr="008272F1" w:rsidRDefault="00D37F25" w:rsidP="008272F1">
            <w:pPr>
              <w:jc w:val="center"/>
              <w:rPr>
                <w:color w:val="C00000"/>
                <w:sz w:val="20"/>
                <w:szCs w:val="20"/>
              </w:rPr>
            </w:pPr>
          </w:p>
        </w:tc>
        <w:tc>
          <w:tcPr>
            <w:tcW w:w="709" w:type="dxa"/>
            <w:tcBorders>
              <w:top w:val="single" w:sz="4" w:space="0" w:color="000000"/>
              <w:left w:val="single" w:sz="4" w:space="0" w:color="000000"/>
              <w:right w:val="single" w:sz="4" w:space="0" w:color="000000"/>
            </w:tcBorders>
            <w:shd w:val="clear" w:color="auto" w:fill="auto"/>
            <w:tcMar>
              <w:top w:w="10" w:type="dxa"/>
              <w:left w:w="10" w:type="dxa"/>
              <w:bottom w:w="0" w:type="dxa"/>
              <w:right w:w="10" w:type="dxa"/>
            </w:tcMar>
            <w:vAlign w:val="center"/>
            <w:hideMark/>
          </w:tcPr>
          <w:p w14:paraId="2F51900D" w14:textId="16EA1B53" w:rsidR="0054058E" w:rsidRDefault="0054058E" w:rsidP="008272F1">
            <w:pPr>
              <w:jc w:val="center"/>
              <w:rPr>
                <w:b/>
                <w:bCs/>
                <w:color w:val="C00000"/>
                <w:sz w:val="20"/>
                <w:szCs w:val="20"/>
              </w:rPr>
            </w:pPr>
            <w:r w:rsidRPr="008272F1">
              <w:rPr>
                <w:b/>
                <w:bCs/>
                <w:color w:val="C00000"/>
                <w:sz w:val="20"/>
                <w:szCs w:val="20"/>
              </w:rPr>
              <w:t>0,65</w:t>
            </w:r>
            <w:r w:rsidR="00D37F25">
              <w:rPr>
                <w:b/>
                <w:bCs/>
                <w:color w:val="C00000"/>
                <w:sz w:val="20"/>
                <w:szCs w:val="20"/>
              </w:rPr>
              <w:t>7</w:t>
            </w:r>
          </w:p>
          <w:p w14:paraId="170ED432" w14:textId="56EED911" w:rsidR="00D37F25" w:rsidRPr="008272F1" w:rsidRDefault="00D37F25" w:rsidP="008272F1">
            <w:pPr>
              <w:jc w:val="center"/>
              <w:rPr>
                <w:color w:val="C00000"/>
                <w:sz w:val="20"/>
                <w:szCs w:val="20"/>
              </w:rPr>
            </w:pPr>
          </w:p>
        </w:tc>
        <w:tc>
          <w:tcPr>
            <w:tcW w:w="567" w:type="dxa"/>
            <w:tcBorders>
              <w:top w:val="single" w:sz="4" w:space="0" w:color="000000"/>
              <w:left w:val="single" w:sz="4" w:space="0" w:color="000000"/>
              <w:right w:val="single" w:sz="4" w:space="0" w:color="000000"/>
            </w:tcBorders>
            <w:shd w:val="clear" w:color="auto" w:fill="auto"/>
            <w:tcMar>
              <w:top w:w="10" w:type="dxa"/>
              <w:left w:w="10" w:type="dxa"/>
              <w:bottom w:w="0" w:type="dxa"/>
              <w:right w:w="10" w:type="dxa"/>
            </w:tcMar>
            <w:vAlign w:val="center"/>
            <w:hideMark/>
          </w:tcPr>
          <w:p w14:paraId="7617D132" w14:textId="77777777" w:rsidR="0054058E" w:rsidRDefault="0054058E" w:rsidP="008272F1">
            <w:pPr>
              <w:jc w:val="center"/>
              <w:rPr>
                <w:b/>
                <w:bCs/>
                <w:color w:val="00B050"/>
                <w:sz w:val="20"/>
                <w:szCs w:val="20"/>
              </w:rPr>
            </w:pPr>
            <w:r w:rsidRPr="008272F1">
              <w:rPr>
                <w:b/>
                <w:bCs/>
                <w:color w:val="00B050"/>
                <w:sz w:val="20"/>
                <w:szCs w:val="20"/>
              </w:rPr>
              <w:t>0,496</w:t>
            </w:r>
          </w:p>
          <w:p w14:paraId="2EEF31E5" w14:textId="35D34666" w:rsidR="00D37F25" w:rsidRPr="008272F1" w:rsidRDefault="00D37F25" w:rsidP="008272F1">
            <w:pPr>
              <w:jc w:val="center"/>
              <w:rPr>
                <w:color w:val="00B050"/>
                <w:sz w:val="20"/>
                <w:szCs w:val="20"/>
              </w:rPr>
            </w:pPr>
          </w:p>
        </w:tc>
        <w:tc>
          <w:tcPr>
            <w:tcW w:w="709" w:type="dxa"/>
            <w:tcBorders>
              <w:top w:val="single" w:sz="4" w:space="0" w:color="000000"/>
              <w:left w:val="single" w:sz="4" w:space="0" w:color="000000"/>
              <w:right w:val="single" w:sz="4" w:space="0" w:color="000000"/>
            </w:tcBorders>
            <w:shd w:val="clear" w:color="auto" w:fill="auto"/>
            <w:tcMar>
              <w:top w:w="10" w:type="dxa"/>
              <w:left w:w="10" w:type="dxa"/>
              <w:bottom w:w="0" w:type="dxa"/>
              <w:right w:w="10" w:type="dxa"/>
            </w:tcMar>
            <w:vAlign w:val="center"/>
            <w:hideMark/>
          </w:tcPr>
          <w:p w14:paraId="729EF5D7" w14:textId="77777777" w:rsidR="0054058E" w:rsidRDefault="0054058E" w:rsidP="008272F1">
            <w:pPr>
              <w:jc w:val="center"/>
              <w:rPr>
                <w:b/>
                <w:bCs/>
                <w:color w:val="00B050"/>
                <w:sz w:val="20"/>
                <w:szCs w:val="20"/>
              </w:rPr>
            </w:pPr>
            <w:r w:rsidRPr="008272F1">
              <w:rPr>
                <w:b/>
                <w:bCs/>
                <w:color w:val="00B050"/>
                <w:sz w:val="20"/>
                <w:szCs w:val="20"/>
              </w:rPr>
              <w:t>0,629</w:t>
            </w:r>
          </w:p>
          <w:p w14:paraId="2959ECB8" w14:textId="53459BC2" w:rsidR="00D37F25" w:rsidRPr="008272F1" w:rsidRDefault="00D37F25" w:rsidP="008272F1">
            <w:pPr>
              <w:jc w:val="center"/>
              <w:rPr>
                <w:color w:val="00B050"/>
                <w:sz w:val="20"/>
                <w:szCs w:val="20"/>
              </w:rPr>
            </w:pPr>
          </w:p>
        </w:tc>
        <w:tc>
          <w:tcPr>
            <w:tcW w:w="709" w:type="dxa"/>
            <w:tcBorders>
              <w:top w:val="single" w:sz="4" w:space="0" w:color="000000"/>
              <w:left w:val="single" w:sz="4" w:space="0" w:color="000000"/>
              <w:right w:val="single" w:sz="4" w:space="0" w:color="000000"/>
            </w:tcBorders>
            <w:vAlign w:val="center"/>
          </w:tcPr>
          <w:p w14:paraId="160D75F4" w14:textId="4D5394DF" w:rsidR="00D37F25" w:rsidRPr="00777F80" w:rsidRDefault="00DB108F" w:rsidP="00777F80">
            <w:pPr>
              <w:jc w:val="center"/>
              <w:rPr>
                <w:b/>
                <w:bCs/>
                <w:color w:val="00B050"/>
                <w:sz w:val="20"/>
                <w:szCs w:val="20"/>
              </w:rPr>
            </w:pPr>
            <w:r w:rsidRPr="00075E5A">
              <w:rPr>
                <w:b/>
                <w:bCs/>
                <w:color w:val="00B050"/>
                <w:sz w:val="20"/>
                <w:szCs w:val="20"/>
              </w:rPr>
              <w:t>0,732</w:t>
            </w:r>
          </w:p>
        </w:tc>
        <w:tc>
          <w:tcPr>
            <w:tcW w:w="708" w:type="dxa"/>
            <w:tcBorders>
              <w:top w:val="single" w:sz="4" w:space="0" w:color="000000"/>
              <w:left w:val="single" w:sz="4" w:space="0" w:color="000000"/>
              <w:right w:val="single" w:sz="4" w:space="0" w:color="000000"/>
            </w:tcBorders>
            <w:shd w:val="clear" w:color="auto" w:fill="auto"/>
            <w:tcMar>
              <w:top w:w="10" w:type="dxa"/>
              <w:left w:w="10" w:type="dxa"/>
              <w:bottom w:w="0" w:type="dxa"/>
              <w:right w:w="10" w:type="dxa"/>
            </w:tcMar>
            <w:vAlign w:val="center"/>
            <w:hideMark/>
          </w:tcPr>
          <w:p w14:paraId="2EB80138" w14:textId="3B521FC3" w:rsidR="0054058E" w:rsidRDefault="0054058E" w:rsidP="008272F1">
            <w:pPr>
              <w:jc w:val="center"/>
              <w:rPr>
                <w:b/>
                <w:bCs/>
                <w:color w:val="0070C0"/>
                <w:sz w:val="20"/>
                <w:szCs w:val="20"/>
              </w:rPr>
            </w:pPr>
            <w:r w:rsidRPr="008272F1">
              <w:rPr>
                <w:b/>
                <w:bCs/>
                <w:color w:val="0070C0"/>
                <w:sz w:val="20"/>
                <w:szCs w:val="20"/>
              </w:rPr>
              <w:t>0,4</w:t>
            </w:r>
            <w:r w:rsidR="002630E4">
              <w:rPr>
                <w:b/>
                <w:bCs/>
                <w:color w:val="0070C0"/>
                <w:sz w:val="20"/>
                <w:szCs w:val="20"/>
              </w:rPr>
              <w:t>92</w:t>
            </w:r>
          </w:p>
          <w:p w14:paraId="79DB101A" w14:textId="53B7EDE1" w:rsidR="00D37F25" w:rsidRPr="008272F1" w:rsidRDefault="00D37F25" w:rsidP="008272F1">
            <w:pPr>
              <w:jc w:val="center"/>
              <w:rPr>
                <w:color w:val="0070C0"/>
                <w:sz w:val="20"/>
                <w:szCs w:val="20"/>
              </w:rPr>
            </w:pPr>
          </w:p>
        </w:tc>
        <w:tc>
          <w:tcPr>
            <w:tcW w:w="851" w:type="dxa"/>
            <w:tcBorders>
              <w:top w:val="single" w:sz="4" w:space="0" w:color="000000"/>
              <w:left w:val="single" w:sz="4" w:space="0" w:color="000000"/>
              <w:right w:val="single" w:sz="4" w:space="0" w:color="000000"/>
            </w:tcBorders>
            <w:shd w:val="clear" w:color="auto" w:fill="auto"/>
            <w:tcMar>
              <w:top w:w="10" w:type="dxa"/>
              <w:left w:w="10" w:type="dxa"/>
              <w:bottom w:w="0" w:type="dxa"/>
              <w:right w:w="10" w:type="dxa"/>
            </w:tcMar>
            <w:vAlign w:val="center"/>
            <w:hideMark/>
          </w:tcPr>
          <w:p w14:paraId="6959CC76" w14:textId="10D62A52" w:rsidR="0054058E" w:rsidRDefault="0054058E" w:rsidP="008272F1">
            <w:pPr>
              <w:jc w:val="center"/>
              <w:rPr>
                <w:b/>
                <w:bCs/>
                <w:color w:val="0070C0"/>
                <w:sz w:val="20"/>
                <w:szCs w:val="20"/>
              </w:rPr>
            </w:pPr>
            <w:r w:rsidRPr="008272F1">
              <w:rPr>
                <w:b/>
                <w:bCs/>
                <w:color w:val="0070C0"/>
                <w:sz w:val="20"/>
                <w:szCs w:val="20"/>
              </w:rPr>
              <w:t>0,52</w:t>
            </w:r>
            <w:r w:rsidR="002630E4">
              <w:rPr>
                <w:b/>
                <w:bCs/>
                <w:color w:val="0070C0"/>
                <w:sz w:val="20"/>
                <w:szCs w:val="20"/>
              </w:rPr>
              <w:t>7</w:t>
            </w:r>
          </w:p>
          <w:p w14:paraId="6405BDAA" w14:textId="0AAE81CD" w:rsidR="00D37F25" w:rsidRPr="008272F1" w:rsidRDefault="00D37F25" w:rsidP="008272F1">
            <w:pPr>
              <w:jc w:val="center"/>
              <w:rPr>
                <w:color w:val="0070C0"/>
                <w:sz w:val="20"/>
                <w:szCs w:val="20"/>
              </w:rPr>
            </w:pPr>
          </w:p>
        </w:tc>
        <w:tc>
          <w:tcPr>
            <w:tcW w:w="709" w:type="dxa"/>
            <w:tcBorders>
              <w:top w:val="single" w:sz="4" w:space="0" w:color="000000"/>
              <w:left w:val="single" w:sz="4" w:space="0" w:color="000000"/>
              <w:right w:val="single" w:sz="4" w:space="0" w:color="000000"/>
            </w:tcBorders>
            <w:vAlign w:val="center"/>
          </w:tcPr>
          <w:p w14:paraId="4D3DD418" w14:textId="1A831EE2" w:rsidR="00D37F25" w:rsidRPr="00777F80" w:rsidRDefault="006E0CCE" w:rsidP="00777F80">
            <w:pPr>
              <w:jc w:val="center"/>
              <w:rPr>
                <w:b/>
                <w:bCs/>
                <w:color w:val="0070C0"/>
                <w:sz w:val="20"/>
                <w:szCs w:val="20"/>
              </w:rPr>
            </w:pPr>
            <w:r>
              <w:rPr>
                <w:b/>
                <w:bCs/>
                <w:color w:val="0070C0"/>
                <w:sz w:val="20"/>
                <w:szCs w:val="20"/>
              </w:rPr>
              <w:t>0,5</w:t>
            </w:r>
            <w:r w:rsidR="002630E4">
              <w:rPr>
                <w:b/>
                <w:bCs/>
                <w:color w:val="0070C0"/>
                <w:sz w:val="20"/>
                <w:szCs w:val="20"/>
              </w:rPr>
              <w:t>74</w:t>
            </w:r>
          </w:p>
        </w:tc>
      </w:tr>
      <w:tr w:rsidR="00777F80" w:rsidRPr="008272F1" w14:paraId="67F86EDD" w14:textId="77777777" w:rsidTr="00777F80">
        <w:trPr>
          <w:trHeight w:val="310"/>
        </w:trPr>
        <w:tc>
          <w:tcPr>
            <w:tcW w:w="3261" w:type="dxa"/>
            <w:tcBorders>
              <w:top w:val="nil"/>
              <w:left w:val="single" w:sz="4" w:space="0" w:color="000000"/>
              <w:right w:val="single" w:sz="4" w:space="0" w:color="000000"/>
            </w:tcBorders>
            <w:shd w:val="clear" w:color="auto" w:fill="auto"/>
            <w:tcMar>
              <w:top w:w="10" w:type="dxa"/>
              <w:left w:w="10" w:type="dxa"/>
              <w:bottom w:w="0" w:type="dxa"/>
              <w:right w:w="10" w:type="dxa"/>
            </w:tcMar>
            <w:vAlign w:val="center"/>
          </w:tcPr>
          <w:p w14:paraId="51ED5409" w14:textId="77702A1A" w:rsidR="00777F80" w:rsidRPr="00777F80" w:rsidRDefault="00777F80" w:rsidP="008272F1">
            <w:pPr>
              <w:ind w:left="126"/>
              <w:rPr>
                <w:i/>
                <w:iCs/>
                <w:sz w:val="18"/>
                <w:szCs w:val="18"/>
              </w:rPr>
            </w:pPr>
            <w:r w:rsidRPr="00777F80">
              <w:rPr>
                <w:sz w:val="18"/>
                <w:szCs w:val="18"/>
              </w:rPr>
              <w:t>- maksa par naftas produktu rezervēm</w:t>
            </w:r>
            <w:r w:rsidRPr="00777F80">
              <w:rPr>
                <w:sz w:val="18"/>
                <w:szCs w:val="18"/>
                <w:vertAlign w:val="superscript"/>
              </w:rPr>
              <w:t>*</w:t>
            </w:r>
          </w:p>
        </w:tc>
        <w:tc>
          <w:tcPr>
            <w:tcW w:w="709" w:type="dxa"/>
            <w:tcBorders>
              <w:top w:val="nil"/>
              <w:left w:val="single" w:sz="4" w:space="0" w:color="000000"/>
              <w:right w:val="single" w:sz="4" w:space="0" w:color="000000"/>
            </w:tcBorders>
            <w:shd w:val="clear" w:color="auto" w:fill="auto"/>
            <w:tcMar>
              <w:top w:w="10" w:type="dxa"/>
              <w:left w:w="10" w:type="dxa"/>
              <w:bottom w:w="0" w:type="dxa"/>
              <w:right w:w="10" w:type="dxa"/>
            </w:tcMar>
            <w:vAlign w:val="center"/>
          </w:tcPr>
          <w:p w14:paraId="18BDBEE7" w14:textId="477DE629" w:rsidR="00777F80" w:rsidRPr="00777F80" w:rsidRDefault="00777F80" w:rsidP="008272F1">
            <w:pPr>
              <w:jc w:val="center"/>
              <w:rPr>
                <w:color w:val="C00000"/>
                <w:sz w:val="18"/>
                <w:szCs w:val="18"/>
              </w:rPr>
            </w:pPr>
            <w:r w:rsidRPr="00777F80">
              <w:rPr>
                <w:color w:val="C00000"/>
                <w:sz w:val="18"/>
                <w:szCs w:val="18"/>
              </w:rPr>
              <w:t>0,092</w:t>
            </w:r>
          </w:p>
        </w:tc>
        <w:tc>
          <w:tcPr>
            <w:tcW w:w="708" w:type="dxa"/>
            <w:tcBorders>
              <w:top w:val="nil"/>
              <w:left w:val="single" w:sz="4" w:space="0" w:color="000000"/>
              <w:right w:val="single" w:sz="4" w:space="0" w:color="000000"/>
            </w:tcBorders>
            <w:shd w:val="clear" w:color="auto" w:fill="auto"/>
            <w:tcMar>
              <w:top w:w="10" w:type="dxa"/>
              <w:left w:w="10" w:type="dxa"/>
              <w:bottom w:w="0" w:type="dxa"/>
              <w:right w:w="10" w:type="dxa"/>
            </w:tcMar>
            <w:vAlign w:val="center"/>
          </w:tcPr>
          <w:p w14:paraId="42517165" w14:textId="065842A5" w:rsidR="00777F80" w:rsidRPr="00777F80" w:rsidRDefault="00777F80" w:rsidP="008272F1">
            <w:pPr>
              <w:jc w:val="center"/>
              <w:rPr>
                <w:i/>
                <w:iCs/>
                <w:color w:val="FF0000"/>
                <w:sz w:val="18"/>
                <w:szCs w:val="18"/>
              </w:rPr>
            </w:pPr>
            <w:r w:rsidRPr="00777F80">
              <w:rPr>
                <w:color w:val="C00000"/>
                <w:sz w:val="18"/>
                <w:szCs w:val="18"/>
              </w:rPr>
              <w:t>0,092</w:t>
            </w:r>
          </w:p>
        </w:tc>
        <w:tc>
          <w:tcPr>
            <w:tcW w:w="709" w:type="dxa"/>
            <w:tcBorders>
              <w:top w:val="nil"/>
              <w:left w:val="single" w:sz="4" w:space="0" w:color="000000"/>
              <w:right w:val="single" w:sz="4" w:space="0" w:color="000000"/>
            </w:tcBorders>
            <w:shd w:val="clear" w:color="auto" w:fill="auto"/>
            <w:tcMar>
              <w:top w:w="10" w:type="dxa"/>
              <w:left w:w="10" w:type="dxa"/>
              <w:bottom w:w="0" w:type="dxa"/>
              <w:right w:w="10" w:type="dxa"/>
            </w:tcMar>
            <w:vAlign w:val="center"/>
          </w:tcPr>
          <w:p w14:paraId="4978027D" w14:textId="240A4282" w:rsidR="00777F80" w:rsidRPr="00777F80" w:rsidRDefault="00777F80" w:rsidP="008272F1">
            <w:pPr>
              <w:jc w:val="center"/>
              <w:rPr>
                <w:i/>
                <w:iCs/>
                <w:color w:val="FF0000"/>
                <w:sz w:val="18"/>
                <w:szCs w:val="18"/>
              </w:rPr>
            </w:pPr>
            <w:r w:rsidRPr="00777F80">
              <w:rPr>
                <w:color w:val="C00000"/>
                <w:sz w:val="18"/>
                <w:szCs w:val="18"/>
              </w:rPr>
              <w:t>0,092</w:t>
            </w:r>
          </w:p>
        </w:tc>
        <w:tc>
          <w:tcPr>
            <w:tcW w:w="567" w:type="dxa"/>
            <w:tcBorders>
              <w:top w:val="nil"/>
              <w:left w:val="single" w:sz="4" w:space="0" w:color="000000"/>
              <w:right w:val="single" w:sz="4" w:space="0" w:color="000000"/>
            </w:tcBorders>
            <w:shd w:val="clear" w:color="auto" w:fill="auto"/>
            <w:tcMar>
              <w:top w:w="10" w:type="dxa"/>
              <w:left w:w="10" w:type="dxa"/>
              <w:bottom w:w="0" w:type="dxa"/>
              <w:right w:w="10" w:type="dxa"/>
            </w:tcMar>
            <w:vAlign w:val="center"/>
          </w:tcPr>
          <w:p w14:paraId="1C04443D" w14:textId="0540929F" w:rsidR="00777F80" w:rsidRPr="00777F80" w:rsidRDefault="00777F80" w:rsidP="008272F1">
            <w:pPr>
              <w:jc w:val="center"/>
              <w:rPr>
                <w:color w:val="00B050"/>
                <w:sz w:val="18"/>
                <w:szCs w:val="18"/>
              </w:rPr>
            </w:pPr>
            <w:r w:rsidRPr="00777F80">
              <w:rPr>
                <w:color w:val="00B050"/>
                <w:sz w:val="18"/>
                <w:szCs w:val="18"/>
              </w:rPr>
              <w:t>0,000</w:t>
            </w:r>
          </w:p>
        </w:tc>
        <w:tc>
          <w:tcPr>
            <w:tcW w:w="709" w:type="dxa"/>
            <w:tcBorders>
              <w:top w:val="nil"/>
              <w:left w:val="single" w:sz="4" w:space="0" w:color="000000"/>
              <w:right w:val="single" w:sz="4" w:space="0" w:color="000000"/>
            </w:tcBorders>
            <w:shd w:val="clear" w:color="auto" w:fill="auto"/>
            <w:tcMar>
              <w:top w:w="10" w:type="dxa"/>
              <w:left w:w="10" w:type="dxa"/>
              <w:bottom w:w="0" w:type="dxa"/>
              <w:right w:w="10" w:type="dxa"/>
            </w:tcMar>
            <w:vAlign w:val="center"/>
          </w:tcPr>
          <w:p w14:paraId="6ABA8EEE" w14:textId="3075450F" w:rsidR="00777F80" w:rsidRPr="00777F80" w:rsidRDefault="00777F80" w:rsidP="008272F1">
            <w:pPr>
              <w:jc w:val="center"/>
              <w:rPr>
                <w:i/>
                <w:iCs/>
                <w:color w:val="00B050"/>
                <w:sz w:val="18"/>
                <w:szCs w:val="18"/>
              </w:rPr>
            </w:pPr>
            <w:r w:rsidRPr="00777F80">
              <w:rPr>
                <w:color w:val="00B050"/>
                <w:sz w:val="18"/>
                <w:szCs w:val="18"/>
              </w:rPr>
              <w:t>0,000</w:t>
            </w:r>
          </w:p>
        </w:tc>
        <w:tc>
          <w:tcPr>
            <w:tcW w:w="709" w:type="dxa"/>
            <w:tcBorders>
              <w:top w:val="nil"/>
              <w:left w:val="single" w:sz="4" w:space="0" w:color="000000"/>
              <w:right w:val="single" w:sz="4" w:space="0" w:color="000000"/>
            </w:tcBorders>
            <w:vAlign w:val="center"/>
          </w:tcPr>
          <w:p w14:paraId="120A3833" w14:textId="1F464E17" w:rsidR="00777F80" w:rsidRPr="00777F80" w:rsidRDefault="00777F80" w:rsidP="00075E5A">
            <w:pPr>
              <w:jc w:val="center"/>
              <w:rPr>
                <w:i/>
                <w:iCs/>
                <w:color w:val="00B050"/>
                <w:sz w:val="18"/>
                <w:szCs w:val="18"/>
              </w:rPr>
            </w:pPr>
            <w:r w:rsidRPr="00777F80">
              <w:rPr>
                <w:color w:val="00B050"/>
                <w:sz w:val="18"/>
                <w:szCs w:val="18"/>
              </w:rPr>
              <w:t>0,000</w:t>
            </w:r>
          </w:p>
        </w:tc>
        <w:tc>
          <w:tcPr>
            <w:tcW w:w="708" w:type="dxa"/>
            <w:tcBorders>
              <w:top w:val="nil"/>
              <w:left w:val="single" w:sz="4" w:space="0" w:color="000000"/>
              <w:right w:val="single" w:sz="4" w:space="0" w:color="000000"/>
            </w:tcBorders>
            <w:shd w:val="clear" w:color="auto" w:fill="auto"/>
            <w:tcMar>
              <w:top w:w="10" w:type="dxa"/>
              <w:left w:w="10" w:type="dxa"/>
              <w:bottom w:w="0" w:type="dxa"/>
              <w:right w:w="10" w:type="dxa"/>
            </w:tcMar>
            <w:vAlign w:val="center"/>
          </w:tcPr>
          <w:p w14:paraId="2D1ABA0C" w14:textId="522DA27C" w:rsidR="00777F80" w:rsidRPr="00777F80" w:rsidRDefault="00777F80" w:rsidP="008272F1">
            <w:pPr>
              <w:jc w:val="center"/>
              <w:rPr>
                <w:color w:val="0070C0"/>
                <w:sz w:val="18"/>
                <w:szCs w:val="18"/>
              </w:rPr>
            </w:pPr>
            <w:r w:rsidRPr="00777F80">
              <w:rPr>
                <w:color w:val="0070C0"/>
                <w:sz w:val="18"/>
                <w:szCs w:val="18"/>
              </w:rPr>
              <w:t>0,005</w:t>
            </w:r>
          </w:p>
        </w:tc>
        <w:tc>
          <w:tcPr>
            <w:tcW w:w="851" w:type="dxa"/>
            <w:tcBorders>
              <w:top w:val="nil"/>
              <w:left w:val="single" w:sz="4" w:space="0" w:color="000000"/>
              <w:right w:val="single" w:sz="4" w:space="0" w:color="000000"/>
            </w:tcBorders>
            <w:shd w:val="clear" w:color="auto" w:fill="auto"/>
            <w:tcMar>
              <w:top w:w="10" w:type="dxa"/>
              <w:left w:w="10" w:type="dxa"/>
              <w:bottom w:w="0" w:type="dxa"/>
              <w:right w:w="10" w:type="dxa"/>
            </w:tcMar>
            <w:vAlign w:val="center"/>
          </w:tcPr>
          <w:p w14:paraId="756016B4" w14:textId="63B64354" w:rsidR="00777F80" w:rsidRPr="00777F80" w:rsidRDefault="00777F80" w:rsidP="008272F1">
            <w:pPr>
              <w:jc w:val="center"/>
              <w:rPr>
                <w:i/>
                <w:iCs/>
                <w:color w:val="0070C0"/>
                <w:sz w:val="18"/>
                <w:szCs w:val="18"/>
              </w:rPr>
            </w:pPr>
            <w:r w:rsidRPr="00777F80">
              <w:rPr>
                <w:color w:val="0070C0"/>
                <w:sz w:val="18"/>
                <w:szCs w:val="18"/>
              </w:rPr>
              <w:t>0,005</w:t>
            </w:r>
          </w:p>
        </w:tc>
        <w:tc>
          <w:tcPr>
            <w:tcW w:w="709" w:type="dxa"/>
            <w:tcBorders>
              <w:top w:val="nil"/>
              <w:left w:val="single" w:sz="4" w:space="0" w:color="000000"/>
              <w:right w:val="single" w:sz="4" w:space="0" w:color="000000"/>
            </w:tcBorders>
            <w:vAlign w:val="center"/>
          </w:tcPr>
          <w:p w14:paraId="0253E803" w14:textId="02352EDD" w:rsidR="00777F80" w:rsidRPr="00777F80" w:rsidRDefault="00777F80" w:rsidP="006462C6">
            <w:pPr>
              <w:jc w:val="center"/>
              <w:rPr>
                <w:i/>
                <w:iCs/>
                <w:color w:val="0070C0"/>
                <w:sz w:val="18"/>
                <w:szCs w:val="18"/>
              </w:rPr>
            </w:pPr>
            <w:r w:rsidRPr="00777F80">
              <w:rPr>
                <w:color w:val="0070C0"/>
                <w:sz w:val="18"/>
                <w:szCs w:val="18"/>
              </w:rPr>
              <w:t>0,005</w:t>
            </w:r>
          </w:p>
        </w:tc>
      </w:tr>
      <w:tr w:rsidR="0077419A" w:rsidRPr="008272F1" w14:paraId="47411BF7" w14:textId="57FE8013" w:rsidTr="00777F80">
        <w:trPr>
          <w:trHeight w:val="50"/>
        </w:trPr>
        <w:tc>
          <w:tcPr>
            <w:tcW w:w="3261"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71B9BC40" w14:textId="5B38D133" w:rsidR="0054058E" w:rsidRPr="006462C6" w:rsidRDefault="0054058E" w:rsidP="008272F1">
            <w:pPr>
              <w:ind w:left="126"/>
              <w:rPr>
                <w:sz w:val="18"/>
                <w:szCs w:val="18"/>
              </w:rPr>
            </w:pPr>
            <w:r w:rsidRPr="006462C6">
              <w:rPr>
                <w:i/>
                <w:iCs/>
                <w:sz w:val="18"/>
                <w:szCs w:val="18"/>
              </w:rPr>
              <w:t>Pieaugums, euro/litrā pret 2024</w:t>
            </w:r>
            <w:r w:rsidR="00FA7FB6">
              <w:rPr>
                <w:i/>
                <w:iCs/>
                <w:sz w:val="18"/>
                <w:szCs w:val="18"/>
              </w:rPr>
              <w:t>.g.</w:t>
            </w:r>
          </w:p>
        </w:tc>
        <w:tc>
          <w:tcPr>
            <w:tcW w:w="709"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7D77D151" w14:textId="4AA131D3" w:rsidR="0054058E" w:rsidRPr="006462C6" w:rsidRDefault="0054058E" w:rsidP="008272F1">
            <w:pPr>
              <w:jc w:val="center"/>
              <w:rPr>
                <w:color w:val="C00000"/>
                <w:sz w:val="18"/>
                <w:szCs w:val="18"/>
              </w:rPr>
            </w:pPr>
          </w:p>
        </w:tc>
        <w:tc>
          <w:tcPr>
            <w:tcW w:w="708"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78A60A2E" w14:textId="77777777" w:rsidR="0054058E" w:rsidRPr="006462C6" w:rsidRDefault="0054058E" w:rsidP="008272F1">
            <w:pPr>
              <w:jc w:val="center"/>
              <w:rPr>
                <w:color w:val="FF0000"/>
                <w:sz w:val="18"/>
                <w:szCs w:val="18"/>
              </w:rPr>
            </w:pPr>
            <w:r w:rsidRPr="006462C6">
              <w:rPr>
                <w:i/>
                <w:iCs/>
                <w:color w:val="FF0000"/>
                <w:sz w:val="18"/>
                <w:szCs w:val="18"/>
              </w:rPr>
              <w:t>0,032</w:t>
            </w:r>
          </w:p>
        </w:tc>
        <w:tc>
          <w:tcPr>
            <w:tcW w:w="709"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14E18D5C" w14:textId="77777777" w:rsidR="0054058E" w:rsidRPr="006462C6" w:rsidRDefault="0054058E" w:rsidP="008272F1">
            <w:pPr>
              <w:jc w:val="center"/>
              <w:rPr>
                <w:color w:val="FF0000"/>
                <w:sz w:val="18"/>
                <w:szCs w:val="18"/>
              </w:rPr>
            </w:pPr>
            <w:r w:rsidRPr="006462C6">
              <w:rPr>
                <w:i/>
                <w:iCs/>
                <w:color w:val="FF0000"/>
                <w:sz w:val="18"/>
                <w:szCs w:val="18"/>
              </w:rPr>
              <w:t>0,064</w:t>
            </w:r>
          </w:p>
        </w:tc>
        <w:tc>
          <w:tcPr>
            <w:tcW w:w="567"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BF8C5A2" w14:textId="77777777" w:rsidR="0054058E" w:rsidRPr="006462C6" w:rsidRDefault="0054058E" w:rsidP="008272F1">
            <w:pPr>
              <w:jc w:val="center"/>
              <w:rPr>
                <w:color w:val="00B050"/>
                <w:sz w:val="18"/>
                <w:szCs w:val="18"/>
              </w:rPr>
            </w:pPr>
          </w:p>
        </w:tc>
        <w:tc>
          <w:tcPr>
            <w:tcW w:w="709"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01C2AF12" w14:textId="77777777" w:rsidR="0054058E" w:rsidRPr="006462C6" w:rsidRDefault="0054058E" w:rsidP="008272F1">
            <w:pPr>
              <w:jc w:val="center"/>
              <w:rPr>
                <w:color w:val="00B050"/>
                <w:sz w:val="18"/>
                <w:szCs w:val="18"/>
              </w:rPr>
            </w:pPr>
            <w:r w:rsidRPr="006462C6">
              <w:rPr>
                <w:i/>
                <w:iCs/>
                <w:color w:val="00B050"/>
                <w:sz w:val="18"/>
                <w:szCs w:val="18"/>
              </w:rPr>
              <w:t>0,133</w:t>
            </w:r>
          </w:p>
        </w:tc>
        <w:tc>
          <w:tcPr>
            <w:tcW w:w="709" w:type="dxa"/>
            <w:tcBorders>
              <w:top w:val="nil"/>
              <w:left w:val="single" w:sz="4" w:space="0" w:color="000000"/>
              <w:bottom w:val="single" w:sz="4" w:space="0" w:color="000000"/>
              <w:right w:val="single" w:sz="4" w:space="0" w:color="000000"/>
            </w:tcBorders>
            <w:vAlign w:val="center"/>
          </w:tcPr>
          <w:p w14:paraId="5981E4BB" w14:textId="2E33D633" w:rsidR="0054058E" w:rsidRPr="006462C6" w:rsidRDefault="00DB108F" w:rsidP="00075E5A">
            <w:pPr>
              <w:jc w:val="center"/>
              <w:rPr>
                <w:i/>
                <w:iCs/>
                <w:color w:val="00B050"/>
                <w:sz w:val="18"/>
                <w:szCs w:val="18"/>
              </w:rPr>
            </w:pPr>
            <w:r w:rsidRPr="006462C6">
              <w:rPr>
                <w:i/>
                <w:iCs/>
                <w:color w:val="00B050"/>
                <w:sz w:val="18"/>
                <w:szCs w:val="18"/>
              </w:rPr>
              <w:t>0,236</w:t>
            </w:r>
          </w:p>
        </w:tc>
        <w:tc>
          <w:tcPr>
            <w:tcW w:w="708"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4C30980" w14:textId="1D72D5D4" w:rsidR="0054058E" w:rsidRPr="006462C6" w:rsidRDefault="0054058E" w:rsidP="008272F1">
            <w:pPr>
              <w:jc w:val="center"/>
              <w:rPr>
                <w:color w:val="0070C0"/>
                <w:sz w:val="18"/>
                <w:szCs w:val="18"/>
              </w:rPr>
            </w:pPr>
          </w:p>
        </w:tc>
        <w:tc>
          <w:tcPr>
            <w:tcW w:w="851"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695043AC" w14:textId="77777777" w:rsidR="0054058E" w:rsidRPr="006462C6" w:rsidRDefault="0054058E" w:rsidP="008272F1">
            <w:pPr>
              <w:jc w:val="center"/>
              <w:rPr>
                <w:color w:val="0070C0"/>
                <w:sz w:val="18"/>
                <w:szCs w:val="18"/>
              </w:rPr>
            </w:pPr>
            <w:r w:rsidRPr="006462C6">
              <w:rPr>
                <w:i/>
                <w:iCs/>
                <w:color w:val="0070C0"/>
                <w:sz w:val="18"/>
                <w:szCs w:val="18"/>
              </w:rPr>
              <w:t>0,035</w:t>
            </w:r>
          </w:p>
        </w:tc>
        <w:tc>
          <w:tcPr>
            <w:tcW w:w="709" w:type="dxa"/>
            <w:tcBorders>
              <w:top w:val="nil"/>
              <w:left w:val="single" w:sz="4" w:space="0" w:color="000000"/>
              <w:bottom w:val="single" w:sz="4" w:space="0" w:color="000000"/>
              <w:right w:val="single" w:sz="4" w:space="0" w:color="000000"/>
            </w:tcBorders>
            <w:vAlign w:val="center"/>
          </w:tcPr>
          <w:p w14:paraId="59842D32" w14:textId="0F724831" w:rsidR="0054058E" w:rsidRPr="006462C6" w:rsidRDefault="006E0CCE" w:rsidP="006462C6">
            <w:pPr>
              <w:jc w:val="center"/>
              <w:rPr>
                <w:i/>
                <w:iCs/>
                <w:color w:val="0070C0"/>
                <w:sz w:val="18"/>
                <w:szCs w:val="18"/>
              </w:rPr>
            </w:pPr>
            <w:r w:rsidRPr="006462C6">
              <w:rPr>
                <w:i/>
                <w:iCs/>
                <w:color w:val="0070C0"/>
                <w:sz w:val="18"/>
                <w:szCs w:val="18"/>
              </w:rPr>
              <w:t>0,082</w:t>
            </w:r>
          </w:p>
        </w:tc>
      </w:tr>
      <w:tr w:rsidR="0077419A" w:rsidRPr="008272F1" w14:paraId="2B19BD2E" w14:textId="3EC6BE44" w:rsidTr="00777F80">
        <w:trPr>
          <w:trHeight w:val="58"/>
        </w:trPr>
        <w:tc>
          <w:tcPr>
            <w:tcW w:w="3261" w:type="dxa"/>
            <w:tcBorders>
              <w:top w:val="single" w:sz="4" w:space="0" w:color="000000"/>
              <w:left w:val="single" w:sz="4" w:space="0" w:color="000000"/>
              <w:right w:val="single" w:sz="4" w:space="0" w:color="000000"/>
            </w:tcBorders>
            <w:shd w:val="clear" w:color="auto" w:fill="auto"/>
            <w:tcMar>
              <w:top w:w="10" w:type="dxa"/>
              <w:left w:w="10" w:type="dxa"/>
              <w:bottom w:w="0" w:type="dxa"/>
              <w:right w:w="10" w:type="dxa"/>
            </w:tcMar>
            <w:vAlign w:val="center"/>
            <w:hideMark/>
          </w:tcPr>
          <w:p w14:paraId="27DA9D96" w14:textId="7B030FCB" w:rsidR="002630E4" w:rsidRPr="00777F80" w:rsidRDefault="0054058E" w:rsidP="00777F80">
            <w:pPr>
              <w:ind w:left="126"/>
              <w:rPr>
                <w:i/>
                <w:iCs/>
                <w:sz w:val="20"/>
                <w:szCs w:val="20"/>
              </w:rPr>
            </w:pPr>
            <w:r w:rsidRPr="008272F1">
              <w:rPr>
                <w:b/>
                <w:bCs/>
                <w:sz w:val="20"/>
                <w:szCs w:val="20"/>
              </w:rPr>
              <w:t>Naftas gāzes</w:t>
            </w:r>
            <w:r w:rsidRPr="008272F1">
              <w:rPr>
                <w:sz w:val="20"/>
                <w:szCs w:val="20"/>
              </w:rPr>
              <w:t xml:space="preserve">, </w:t>
            </w:r>
            <w:r w:rsidRPr="008272F1">
              <w:rPr>
                <w:i/>
                <w:iCs/>
                <w:sz w:val="20"/>
                <w:szCs w:val="20"/>
              </w:rPr>
              <w:t>euro par litru</w:t>
            </w:r>
            <w:r w:rsidR="00E1797D">
              <w:rPr>
                <w:i/>
                <w:iCs/>
                <w:sz w:val="20"/>
                <w:szCs w:val="20"/>
              </w:rPr>
              <w:t>, t.sk.:</w:t>
            </w:r>
          </w:p>
        </w:tc>
        <w:tc>
          <w:tcPr>
            <w:tcW w:w="709" w:type="dxa"/>
            <w:tcBorders>
              <w:top w:val="single" w:sz="4" w:space="0" w:color="000000"/>
              <w:left w:val="single" w:sz="4" w:space="0" w:color="000000"/>
              <w:right w:val="single" w:sz="4" w:space="0" w:color="000000"/>
            </w:tcBorders>
            <w:shd w:val="clear" w:color="auto" w:fill="auto"/>
            <w:tcMar>
              <w:top w:w="10" w:type="dxa"/>
              <w:left w:w="10" w:type="dxa"/>
              <w:bottom w:w="0" w:type="dxa"/>
              <w:right w:w="10" w:type="dxa"/>
            </w:tcMar>
            <w:vAlign w:val="center"/>
            <w:hideMark/>
          </w:tcPr>
          <w:p w14:paraId="44B19D3E" w14:textId="4EBF69E8" w:rsidR="0054058E" w:rsidRDefault="0054058E" w:rsidP="008272F1">
            <w:pPr>
              <w:jc w:val="center"/>
              <w:rPr>
                <w:b/>
                <w:bCs/>
                <w:color w:val="C00000"/>
                <w:sz w:val="20"/>
                <w:szCs w:val="20"/>
              </w:rPr>
            </w:pPr>
            <w:r w:rsidRPr="008272F1">
              <w:rPr>
                <w:b/>
                <w:bCs/>
                <w:color w:val="C00000"/>
                <w:sz w:val="20"/>
                <w:szCs w:val="20"/>
              </w:rPr>
              <w:t>0,</w:t>
            </w:r>
            <w:r w:rsidR="002630E4">
              <w:rPr>
                <w:b/>
                <w:bCs/>
                <w:color w:val="C00000"/>
                <w:sz w:val="20"/>
                <w:szCs w:val="20"/>
              </w:rPr>
              <w:t>25</w:t>
            </w:r>
            <w:r w:rsidR="002630E4" w:rsidRPr="008272F1">
              <w:rPr>
                <w:b/>
                <w:bCs/>
                <w:color w:val="C00000"/>
                <w:sz w:val="20"/>
                <w:szCs w:val="20"/>
              </w:rPr>
              <w:t>0</w:t>
            </w:r>
          </w:p>
          <w:p w14:paraId="08DC4894" w14:textId="0366A5E4" w:rsidR="002630E4" w:rsidRPr="008272F1" w:rsidRDefault="002630E4" w:rsidP="008272F1">
            <w:pPr>
              <w:jc w:val="center"/>
              <w:rPr>
                <w:color w:val="C00000"/>
                <w:sz w:val="20"/>
                <w:szCs w:val="20"/>
              </w:rPr>
            </w:pPr>
          </w:p>
        </w:tc>
        <w:tc>
          <w:tcPr>
            <w:tcW w:w="708" w:type="dxa"/>
            <w:tcBorders>
              <w:top w:val="single" w:sz="4" w:space="0" w:color="000000"/>
              <w:left w:val="single" w:sz="4" w:space="0" w:color="000000"/>
              <w:right w:val="single" w:sz="4" w:space="0" w:color="000000"/>
            </w:tcBorders>
            <w:shd w:val="clear" w:color="auto" w:fill="auto"/>
            <w:tcMar>
              <w:top w:w="10" w:type="dxa"/>
              <w:left w:w="10" w:type="dxa"/>
              <w:bottom w:w="0" w:type="dxa"/>
              <w:right w:w="10" w:type="dxa"/>
            </w:tcMar>
            <w:vAlign w:val="center"/>
            <w:hideMark/>
          </w:tcPr>
          <w:p w14:paraId="15943D5E" w14:textId="755288F4" w:rsidR="0054058E" w:rsidRDefault="0054058E" w:rsidP="008272F1">
            <w:pPr>
              <w:jc w:val="center"/>
              <w:rPr>
                <w:b/>
                <w:bCs/>
                <w:color w:val="C00000"/>
                <w:sz w:val="20"/>
                <w:szCs w:val="20"/>
              </w:rPr>
            </w:pPr>
            <w:r w:rsidRPr="008272F1">
              <w:rPr>
                <w:b/>
                <w:bCs/>
                <w:color w:val="C00000"/>
                <w:sz w:val="20"/>
                <w:szCs w:val="20"/>
              </w:rPr>
              <w:t>0,2</w:t>
            </w:r>
            <w:r w:rsidR="002630E4">
              <w:rPr>
                <w:b/>
                <w:bCs/>
                <w:color w:val="C00000"/>
                <w:sz w:val="20"/>
                <w:szCs w:val="20"/>
              </w:rPr>
              <w:t>6</w:t>
            </w:r>
            <w:r w:rsidRPr="008272F1">
              <w:rPr>
                <w:b/>
                <w:bCs/>
                <w:color w:val="C00000"/>
                <w:sz w:val="20"/>
                <w:szCs w:val="20"/>
              </w:rPr>
              <w:t>9</w:t>
            </w:r>
          </w:p>
          <w:p w14:paraId="05D91B61" w14:textId="4009E089" w:rsidR="002630E4" w:rsidRPr="008272F1" w:rsidRDefault="002630E4" w:rsidP="008272F1">
            <w:pPr>
              <w:jc w:val="center"/>
              <w:rPr>
                <w:color w:val="C00000"/>
                <w:sz w:val="20"/>
                <w:szCs w:val="20"/>
              </w:rPr>
            </w:pPr>
          </w:p>
        </w:tc>
        <w:tc>
          <w:tcPr>
            <w:tcW w:w="709" w:type="dxa"/>
            <w:tcBorders>
              <w:top w:val="single" w:sz="4" w:space="0" w:color="000000"/>
              <w:left w:val="single" w:sz="4" w:space="0" w:color="000000"/>
              <w:right w:val="single" w:sz="4" w:space="0" w:color="000000"/>
            </w:tcBorders>
            <w:shd w:val="clear" w:color="auto" w:fill="auto"/>
            <w:tcMar>
              <w:top w:w="10" w:type="dxa"/>
              <w:left w:w="10" w:type="dxa"/>
              <w:bottom w:w="0" w:type="dxa"/>
              <w:right w:w="10" w:type="dxa"/>
            </w:tcMar>
            <w:vAlign w:val="center"/>
            <w:hideMark/>
          </w:tcPr>
          <w:p w14:paraId="477F9243" w14:textId="7A5CDD7E" w:rsidR="0054058E" w:rsidRDefault="0054058E" w:rsidP="008272F1">
            <w:pPr>
              <w:jc w:val="center"/>
              <w:rPr>
                <w:b/>
                <w:bCs/>
                <w:color w:val="C00000"/>
                <w:sz w:val="20"/>
                <w:szCs w:val="20"/>
              </w:rPr>
            </w:pPr>
            <w:r w:rsidRPr="008272F1">
              <w:rPr>
                <w:b/>
                <w:bCs/>
                <w:color w:val="C00000"/>
                <w:sz w:val="20"/>
                <w:szCs w:val="20"/>
              </w:rPr>
              <w:t>0,</w:t>
            </w:r>
            <w:r w:rsidR="003D117E" w:rsidRPr="008272F1">
              <w:rPr>
                <w:b/>
                <w:bCs/>
                <w:color w:val="C00000"/>
                <w:sz w:val="20"/>
                <w:szCs w:val="20"/>
              </w:rPr>
              <w:t>2</w:t>
            </w:r>
            <w:r w:rsidR="003D117E">
              <w:rPr>
                <w:b/>
                <w:bCs/>
                <w:color w:val="C00000"/>
                <w:sz w:val="20"/>
                <w:szCs w:val="20"/>
              </w:rPr>
              <w:t>89</w:t>
            </w:r>
          </w:p>
          <w:p w14:paraId="74FC01E5" w14:textId="3EB20AC6" w:rsidR="002630E4" w:rsidRPr="008272F1" w:rsidRDefault="002630E4" w:rsidP="008272F1">
            <w:pPr>
              <w:jc w:val="center"/>
              <w:rPr>
                <w:color w:val="C00000"/>
                <w:sz w:val="20"/>
                <w:szCs w:val="20"/>
              </w:rPr>
            </w:pPr>
          </w:p>
        </w:tc>
        <w:tc>
          <w:tcPr>
            <w:tcW w:w="567" w:type="dxa"/>
            <w:tcBorders>
              <w:top w:val="single" w:sz="4" w:space="0" w:color="000000"/>
              <w:left w:val="single" w:sz="4" w:space="0" w:color="000000"/>
              <w:right w:val="single" w:sz="4" w:space="0" w:color="000000"/>
            </w:tcBorders>
            <w:shd w:val="clear" w:color="auto" w:fill="auto"/>
            <w:tcMar>
              <w:top w:w="10" w:type="dxa"/>
              <w:left w:w="10" w:type="dxa"/>
              <w:bottom w:w="0" w:type="dxa"/>
              <w:right w:w="10" w:type="dxa"/>
            </w:tcMar>
            <w:vAlign w:val="center"/>
            <w:hideMark/>
          </w:tcPr>
          <w:p w14:paraId="02E1AE19" w14:textId="77777777" w:rsidR="0054058E" w:rsidRPr="008272F1" w:rsidRDefault="0054058E" w:rsidP="008272F1">
            <w:pPr>
              <w:jc w:val="center"/>
              <w:rPr>
                <w:color w:val="00B050"/>
                <w:sz w:val="20"/>
                <w:szCs w:val="20"/>
              </w:rPr>
            </w:pPr>
            <w:r w:rsidRPr="008272F1">
              <w:rPr>
                <w:b/>
                <w:bCs/>
                <w:color w:val="00B050"/>
                <w:sz w:val="20"/>
                <w:szCs w:val="20"/>
              </w:rPr>
              <w:t>0,202</w:t>
            </w:r>
          </w:p>
        </w:tc>
        <w:tc>
          <w:tcPr>
            <w:tcW w:w="709" w:type="dxa"/>
            <w:tcBorders>
              <w:top w:val="single" w:sz="4" w:space="0" w:color="000000"/>
              <w:left w:val="single" w:sz="4" w:space="0" w:color="000000"/>
              <w:right w:val="single" w:sz="4" w:space="0" w:color="000000"/>
            </w:tcBorders>
            <w:shd w:val="clear" w:color="auto" w:fill="auto"/>
            <w:tcMar>
              <w:top w:w="10" w:type="dxa"/>
              <w:left w:w="10" w:type="dxa"/>
              <w:bottom w:w="0" w:type="dxa"/>
              <w:right w:w="10" w:type="dxa"/>
            </w:tcMar>
            <w:vAlign w:val="center"/>
            <w:hideMark/>
          </w:tcPr>
          <w:p w14:paraId="26E0AAF5" w14:textId="77777777" w:rsidR="0054058E" w:rsidRPr="008272F1" w:rsidRDefault="0054058E" w:rsidP="008272F1">
            <w:pPr>
              <w:jc w:val="center"/>
              <w:rPr>
                <w:color w:val="00B050"/>
                <w:sz w:val="20"/>
                <w:szCs w:val="20"/>
              </w:rPr>
            </w:pPr>
            <w:r w:rsidRPr="008272F1">
              <w:rPr>
                <w:b/>
                <w:bCs/>
                <w:color w:val="00B050"/>
                <w:sz w:val="20"/>
                <w:szCs w:val="20"/>
              </w:rPr>
              <w:t>0,247</w:t>
            </w:r>
          </w:p>
        </w:tc>
        <w:tc>
          <w:tcPr>
            <w:tcW w:w="709" w:type="dxa"/>
            <w:tcBorders>
              <w:top w:val="single" w:sz="4" w:space="0" w:color="000000"/>
              <w:left w:val="single" w:sz="4" w:space="0" w:color="000000"/>
              <w:right w:val="single" w:sz="4" w:space="0" w:color="000000"/>
            </w:tcBorders>
            <w:vAlign w:val="center"/>
          </w:tcPr>
          <w:p w14:paraId="529E6267" w14:textId="5C53212F" w:rsidR="0054058E" w:rsidRPr="00075E5A" w:rsidRDefault="00DB108F" w:rsidP="00075E5A">
            <w:pPr>
              <w:jc w:val="center"/>
              <w:rPr>
                <w:b/>
                <w:bCs/>
                <w:color w:val="00B050"/>
                <w:sz w:val="20"/>
                <w:szCs w:val="20"/>
              </w:rPr>
            </w:pPr>
            <w:r w:rsidRPr="00075E5A">
              <w:rPr>
                <w:b/>
                <w:bCs/>
                <w:color w:val="00B050"/>
                <w:sz w:val="20"/>
                <w:szCs w:val="20"/>
              </w:rPr>
              <w:t>0,292</w:t>
            </w:r>
          </w:p>
        </w:tc>
        <w:tc>
          <w:tcPr>
            <w:tcW w:w="708" w:type="dxa"/>
            <w:tcBorders>
              <w:top w:val="single" w:sz="4" w:space="0" w:color="000000"/>
              <w:left w:val="single" w:sz="4" w:space="0" w:color="000000"/>
              <w:right w:val="single" w:sz="4" w:space="0" w:color="000000"/>
            </w:tcBorders>
            <w:shd w:val="clear" w:color="auto" w:fill="auto"/>
            <w:tcMar>
              <w:top w:w="10" w:type="dxa"/>
              <w:left w:w="10" w:type="dxa"/>
              <w:bottom w:w="0" w:type="dxa"/>
              <w:right w:w="10" w:type="dxa"/>
            </w:tcMar>
            <w:vAlign w:val="center"/>
            <w:hideMark/>
          </w:tcPr>
          <w:p w14:paraId="140B437D" w14:textId="6730B50B" w:rsidR="0054058E" w:rsidRPr="008272F1" w:rsidRDefault="0054058E" w:rsidP="008272F1">
            <w:pPr>
              <w:jc w:val="center"/>
              <w:rPr>
                <w:color w:val="0070C0"/>
                <w:sz w:val="20"/>
                <w:szCs w:val="20"/>
              </w:rPr>
            </w:pPr>
            <w:r w:rsidRPr="008272F1">
              <w:rPr>
                <w:b/>
                <w:bCs/>
                <w:color w:val="0070C0"/>
                <w:sz w:val="20"/>
                <w:szCs w:val="20"/>
              </w:rPr>
              <w:t>0,130</w:t>
            </w:r>
          </w:p>
        </w:tc>
        <w:tc>
          <w:tcPr>
            <w:tcW w:w="851" w:type="dxa"/>
            <w:tcBorders>
              <w:top w:val="single" w:sz="4" w:space="0" w:color="000000"/>
              <w:left w:val="single" w:sz="4" w:space="0" w:color="000000"/>
              <w:right w:val="single" w:sz="4" w:space="0" w:color="000000"/>
            </w:tcBorders>
            <w:shd w:val="clear" w:color="auto" w:fill="auto"/>
            <w:tcMar>
              <w:top w:w="10" w:type="dxa"/>
              <w:left w:w="10" w:type="dxa"/>
              <w:bottom w:w="0" w:type="dxa"/>
              <w:right w:w="10" w:type="dxa"/>
            </w:tcMar>
            <w:vAlign w:val="center"/>
            <w:hideMark/>
          </w:tcPr>
          <w:p w14:paraId="0F28CBA9" w14:textId="77777777" w:rsidR="0054058E" w:rsidRPr="008272F1" w:rsidRDefault="0054058E" w:rsidP="008272F1">
            <w:pPr>
              <w:jc w:val="center"/>
              <w:rPr>
                <w:color w:val="0070C0"/>
                <w:sz w:val="20"/>
                <w:szCs w:val="20"/>
              </w:rPr>
            </w:pPr>
            <w:r w:rsidRPr="008272F1">
              <w:rPr>
                <w:b/>
                <w:bCs/>
                <w:color w:val="0070C0"/>
                <w:sz w:val="20"/>
                <w:szCs w:val="20"/>
              </w:rPr>
              <w:t>0,130</w:t>
            </w:r>
          </w:p>
        </w:tc>
        <w:tc>
          <w:tcPr>
            <w:tcW w:w="709" w:type="dxa"/>
            <w:tcBorders>
              <w:top w:val="single" w:sz="4" w:space="0" w:color="000000"/>
              <w:left w:val="single" w:sz="4" w:space="0" w:color="000000"/>
              <w:right w:val="single" w:sz="4" w:space="0" w:color="000000"/>
            </w:tcBorders>
            <w:vAlign w:val="center"/>
          </w:tcPr>
          <w:p w14:paraId="697E0E24" w14:textId="1F8C1358" w:rsidR="0054058E" w:rsidRPr="008272F1" w:rsidRDefault="006E0CCE" w:rsidP="006462C6">
            <w:pPr>
              <w:jc w:val="center"/>
              <w:rPr>
                <w:b/>
                <w:bCs/>
                <w:color w:val="0070C0"/>
                <w:sz w:val="20"/>
                <w:szCs w:val="20"/>
              </w:rPr>
            </w:pPr>
            <w:r>
              <w:rPr>
                <w:b/>
                <w:bCs/>
                <w:color w:val="0070C0"/>
                <w:sz w:val="20"/>
                <w:szCs w:val="20"/>
              </w:rPr>
              <w:t>0,132</w:t>
            </w:r>
          </w:p>
        </w:tc>
      </w:tr>
      <w:tr w:rsidR="00777F80" w:rsidRPr="008272F1" w14:paraId="6D913A22" w14:textId="77777777" w:rsidTr="00777F80">
        <w:trPr>
          <w:trHeight w:val="43"/>
        </w:trPr>
        <w:tc>
          <w:tcPr>
            <w:tcW w:w="3261" w:type="dxa"/>
            <w:tcBorders>
              <w:top w:val="nil"/>
              <w:left w:val="single" w:sz="4" w:space="0" w:color="000000"/>
              <w:right w:val="single" w:sz="4" w:space="0" w:color="000000"/>
            </w:tcBorders>
            <w:shd w:val="clear" w:color="auto" w:fill="auto"/>
            <w:tcMar>
              <w:top w:w="10" w:type="dxa"/>
              <w:left w:w="10" w:type="dxa"/>
              <w:bottom w:w="0" w:type="dxa"/>
              <w:right w:w="10" w:type="dxa"/>
            </w:tcMar>
            <w:vAlign w:val="center"/>
          </w:tcPr>
          <w:p w14:paraId="0937A668" w14:textId="54FDAA83" w:rsidR="00777F80" w:rsidRPr="00777F80" w:rsidRDefault="00777F80" w:rsidP="00777F80">
            <w:pPr>
              <w:pStyle w:val="ListParagraph"/>
              <w:numPr>
                <w:ilvl w:val="0"/>
                <w:numId w:val="3"/>
              </w:numPr>
              <w:ind w:left="277" w:hanging="142"/>
              <w:rPr>
                <w:i/>
                <w:iCs/>
                <w:sz w:val="18"/>
                <w:szCs w:val="18"/>
              </w:rPr>
            </w:pPr>
            <w:r w:rsidRPr="00777F80">
              <w:rPr>
                <w:sz w:val="18"/>
                <w:szCs w:val="18"/>
              </w:rPr>
              <w:t>maksa par naftas produktu rezervēm</w:t>
            </w:r>
            <w:r w:rsidRPr="00777F80">
              <w:rPr>
                <w:sz w:val="18"/>
                <w:szCs w:val="18"/>
                <w:vertAlign w:val="superscript"/>
              </w:rPr>
              <w:t>*</w:t>
            </w:r>
          </w:p>
        </w:tc>
        <w:tc>
          <w:tcPr>
            <w:tcW w:w="709" w:type="dxa"/>
            <w:tcBorders>
              <w:top w:val="nil"/>
              <w:left w:val="single" w:sz="4" w:space="0" w:color="000000"/>
              <w:right w:val="single" w:sz="4" w:space="0" w:color="000000"/>
            </w:tcBorders>
            <w:shd w:val="clear" w:color="auto" w:fill="auto"/>
            <w:tcMar>
              <w:top w:w="10" w:type="dxa"/>
              <w:left w:w="10" w:type="dxa"/>
              <w:bottom w:w="0" w:type="dxa"/>
              <w:right w:w="10" w:type="dxa"/>
            </w:tcMar>
            <w:vAlign w:val="center"/>
          </w:tcPr>
          <w:p w14:paraId="36F797C8" w14:textId="13F6D048" w:rsidR="00777F80" w:rsidRPr="00777F80" w:rsidRDefault="00777F80" w:rsidP="008272F1">
            <w:pPr>
              <w:jc w:val="center"/>
              <w:rPr>
                <w:color w:val="C00000"/>
                <w:sz w:val="18"/>
                <w:szCs w:val="18"/>
              </w:rPr>
            </w:pPr>
            <w:r w:rsidRPr="00777F80">
              <w:rPr>
                <w:color w:val="C00000"/>
                <w:sz w:val="18"/>
                <w:szCs w:val="18"/>
              </w:rPr>
              <w:t>0,060</w:t>
            </w:r>
          </w:p>
        </w:tc>
        <w:tc>
          <w:tcPr>
            <w:tcW w:w="708" w:type="dxa"/>
            <w:tcBorders>
              <w:top w:val="nil"/>
              <w:left w:val="single" w:sz="4" w:space="0" w:color="000000"/>
              <w:right w:val="single" w:sz="4" w:space="0" w:color="000000"/>
            </w:tcBorders>
            <w:shd w:val="clear" w:color="auto" w:fill="auto"/>
            <w:tcMar>
              <w:top w:w="10" w:type="dxa"/>
              <w:left w:w="10" w:type="dxa"/>
              <w:bottom w:w="0" w:type="dxa"/>
              <w:right w:w="10" w:type="dxa"/>
            </w:tcMar>
            <w:vAlign w:val="center"/>
          </w:tcPr>
          <w:p w14:paraId="5386AFBE" w14:textId="55F7BE9C" w:rsidR="00777F80" w:rsidRPr="00777F80" w:rsidRDefault="00777F80" w:rsidP="008272F1">
            <w:pPr>
              <w:jc w:val="center"/>
              <w:rPr>
                <w:i/>
                <w:iCs/>
                <w:color w:val="FF0000"/>
                <w:sz w:val="18"/>
                <w:szCs w:val="18"/>
              </w:rPr>
            </w:pPr>
            <w:r w:rsidRPr="00777F80">
              <w:rPr>
                <w:color w:val="C00000"/>
                <w:sz w:val="18"/>
                <w:szCs w:val="18"/>
              </w:rPr>
              <w:t>0,060</w:t>
            </w:r>
          </w:p>
        </w:tc>
        <w:tc>
          <w:tcPr>
            <w:tcW w:w="709" w:type="dxa"/>
            <w:tcBorders>
              <w:top w:val="nil"/>
              <w:left w:val="single" w:sz="4" w:space="0" w:color="000000"/>
              <w:right w:val="single" w:sz="4" w:space="0" w:color="000000"/>
            </w:tcBorders>
            <w:shd w:val="clear" w:color="auto" w:fill="auto"/>
            <w:tcMar>
              <w:top w:w="10" w:type="dxa"/>
              <w:left w:w="10" w:type="dxa"/>
              <w:bottom w:w="0" w:type="dxa"/>
              <w:right w:w="10" w:type="dxa"/>
            </w:tcMar>
            <w:vAlign w:val="center"/>
          </w:tcPr>
          <w:p w14:paraId="7110EEED" w14:textId="4F5429B7" w:rsidR="00777F80" w:rsidRPr="00777F80" w:rsidRDefault="00777F80" w:rsidP="008272F1">
            <w:pPr>
              <w:jc w:val="center"/>
              <w:rPr>
                <w:i/>
                <w:iCs/>
                <w:color w:val="FF0000"/>
                <w:sz w:val="18"/>
                <w:szCs w:val="18"/>
              </w:rPr>
            </w:pPr>
            <w:r w:rsidRPr="00777F80">
              <w:rPr>
                <w:color w:val="C00000"/>
                <w:sz w:val="18"/>
                <w:szCs w:val="18"/>
              </w:rPr>
              <w:t>0,060</w:t>
            </w:r>
          </w:p>
        </w:tc>
        <w:tc>
          <w:tcPr>
            <w:tcW w:w="567" w:type="dxa"/>
            <w:tcBorders>
              <w:top w:val="nil"/>
              <w:left w:val="single" w:sz="4" w:space="0" w:color="000000"/>
              <w:right w:val="single" w:sz="4" w:space="0" w:color="000000"/>
            </w:tcBorders>
            <w:shd w:val="clear" w:color="auto" w:fill="auto"/>
            <w:tcMar>
              <w:top w:w="10" w:type="dxa"/>
              <w:left w:w="10" w:type="dxa"/>
              <w:bottom w:w="0" w:type="dxa"/>
              <w:right w:w="10" w:type="dxa"/>
            </w:tcMar>
            <w:vAlign w:val="center"/>
          </w:tcPr>
          <w:p w14:paraId="31AAF14F" w14:textId="77777777" w:rsidR="00777F80" w:rsidRPr="00777F80" w:rsidRDefault="00777F80" w:rsidP="008272F1">
            <w:pPr>
              <w:jc w:val="center"/>
              <w:rPr>
                <w:color w:val="00B050"/>
                <w:sz w:val="18"/>
                <w:szCs w:val="18"/>
              </w:rPr>
            </w:pPr>
          </w:p>
        </w:tc>
        <w:tc>
          <w:tcPr>
            <w:tcW w:w="709" w:type="dxa"/>
            <w:tcBorders>
              <w:top w:val="nil"/>
              <w:left w:val="single" w:sz="4" w:space="0" w:color="000000"/>
              <w:right w:val="single" w:sz="4" w:space="0" w:color="000000"/>
            </w:tcBorders>
            <w:shd w:val="clear" w:color="auto" w:fill="auto"/>
            <w:tcMar>
              <w:top w:w="10" w:type="dxa"/>
              <w:left w:w="10" w:type="dxa"/>
              <w:bottom w:w="0" w:type="dxa"/>
              <w:right w:w="10" w:type="dxa"/>
            </w:tcMar>
            <w:vAlign w:val="center"/>
          </w:tcPr>
          <w:p w14:paraId="05F83D3E" w14:textId="77777777" w:rsidR="00777F80" w:rsidRPr="00777F80" w:rsidRDefault="00777F80" w:rsidP="008272F1">
            <w:pPr>
              <w:jc w:val="center"/>
              <w:rPr>
                <w:i/>
                <w:iCs/>
                <w:color w:val="00B050"/>
                <w:sz w:val="18"/>
                <w:szCs w:val="18"/>
              </w:rPr>
            </w:pPr>
          </w:p>
        </w:tc>
        <w:tc>
          <w:tcPr>
            <w:tcW w:w="709" w:type="dxa"/>
            <w:tcBorders>
              <w:top w:val="nil"/>
              <w:left w:val="single" w:sz="4" w:space="0" w:color="000000"/>
              <w:right w:val="single" w:sz="4" w:space="0" w:color="000000"/>
            </w:tcBorders>
            <w:vAlign w:val="center"/>
          </w:tcPr>
          <w:p w14:paraId="1F522953" w14:textId="77777777" w:rsidR="00777F80" w:rsidRPr="00777F80" w:rsidRDefault="00777F80" w:rsidP="00075E5A">
            <w:pPr>
              <w:jc w:val="center"/>
              <w:rPr>
                <w:i/>
                <w:iCs/>
                <w:color w:val="00B050"/>
                <w:sz w:val="18"/>
                <w:szCs w:val="18"/>
              </w:rPr>
            </w:pPr>
          </w:p>
        </w:tc>
        <w:tc>
          <w:tcPr>
            <w:tcW w:w="708" w:type="dxa"/>
            <w:tcBorders>
              <w:top w:val="nil"/>
              <w:left w:val="single" w:sz="4" w:space="0" w:color="000000"/>
              <w:right w:val="single" w:sz="4" w:space="0" w:color="000000"/>
            </w:tcBorders>
            <w:shd w:val="clear" w:color="auto" w:fill="auto"/>
            <w:tcMar>
              <w:top w:w="10" w:type="dxa"/>
              <w:left w:w="10" w:type="dxa"/>
              <w:bottom w:w="0" w:type="dxa"/>
              <w:right w:w="10" w:type="dxa"/>
            </w:tcMar>
            <w:vAlign w:val="center"/>
          </w:tcPr>
          <w:p w14:paraId="2E0818AA" w14:textId="77777777" w:rsidR="00777F80" w:rsidRPr="00777F80" w:rsidRDefault="00777F80" w:rsidP="008272F1">
            <w:pPr>
              <w:jc w:val="center"/>
              <w:rPr>
                <w:color w:val="0070C0"/>
                <w:sz w:val="18"/>
                <w:szCs w:val="18"/>
              </w:rPr>
            </w:pPr>
          </w:p>
        </w:tc>
        <w:tc>
          <w:tcPr>
            <w:tcW w:w="851" w:type="dxa"/>
            <w:tcBorders>
              <w:top w:val="nil"/>
              <w:left w:val="single" w:sz="4" w:space="0" w:color="000000"/>
              <w:right w:val="single" w:sz="4" w:space="0" w:color="000000"/>
            </w:tcBorders>
            <w:shd w:val="clear" w:color="auto" w:fill="auto"/>
            <w:tcMar>
              <w:top w:w="10" w:type="dxa"/>
              <w:left w:w="10" w:type="dxa"/>
              <w:bottom w:w="0" w:type="dxa"/>
              <w:right w:w="10" w:type="dxa"/>
            </w:tcMar>
            <w:vAlign w:val="center"/>
          </w:tcPr>
          <w:p w14:paraId="07A6FE7D" w14:textId="77777777" w:rsidR="00777F80" w:rsidRPr="00777F80" w:rsidRDefault="00777F80" w:rsidP="008272F1">
            <w:pPr>
              <w:jc w:val="center"/>
              <w:rPr>
                <w:i/>
                <w:iCs/>
                <w:color w:val="0070C0"/>
                <w:sz w:val="18"/>
                <w:szCs w:val="18"/>
              </w:rPr>
            </w:pPr>
          </w:p>
        </w:tc>
        <w:tc>
          <w:tcPr>
            <w:tcW w:w="709" w:type="dxa"/>
            <w:tcBorders>
              <w:top w:val="nil"/>
              <w:left w:val="single" w:sz="4" w:space="0" w:color="000000"/>
              <w:right w:val="single" w:sz="4" w:space="0" w:color="000000"/>
            </w:tcBorders>
            <w:vAlign w:val="center"/>
          </w:tcPr>
          <w:p w14:paraId="2C7DB4E3" w14:textId="77777777" w:rsidR="00777F80" w:rsidRPr="00777F80" w:rsidRDefault="00777F80" w:rsidP="006462C6">
            <w:pPr>
              <w:jc w:val="center"/>
              <w:rPr>
                <w:i/>
                <w:iCs/>
                <w:color w:val="0070C0"/>
                <w:sz w:val="18"/>
                <w:szCs w:val="18"/>
              </w:rPr>
            </w:pPr>
          </w:p>
        </w:tc>
      </w:tr>
      <w:tr w:rsidR="0077419A" w:rsidRPr="008272F1" w14:paraId="44B31D4E" w14:textId="23F17A4F" w:rsidTr="006C3686">
        <w:trPr>
          <w:trHeight w:val="43"/>
        </w:trPr>
        <w:tc>
          <w:tcPr>
            <w:tcW w:w="3261"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157B5CB0" w14:textId="6A160582" w:rsidR="0054058E" w:rsidRPr="006462C6" w:rsidRDefault="0054058E" w:rsidP="008272F1">
            <w:pPr>
              <w:ind w:left="126"/>
              <w:rPr>
                <w:sz w:val="18"/>
                <w:szCs w:val="18"/>
              </w:rPr>
            </w:pPr>
            <w:r w:rsidRPr="006462C6">
              <w:rPr>
                <w:i/>
                <w:iCs/>
                <w:sz w:val="18"/>
                <w:szCs w:val="18"/>
              </w:rPr>
              <w:t>Pieaugums, euro/litrā pret 2024</w:t>
            </w:r>
            <w:r w:rsidR="00FA7FB6">
              <w:rPr>
                <w:i/>
                <w:iCs/>
                <w:sz w:val="18"/>
                <w:szCs w:val="18"/>
              </w:rPr>
              <w:t>.g.</w:t>
            </w:r>
          </w:p>
        </w:tc>
        <w:tc>
          <w:tcPr>
            <w:tcW w:w="709"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389F90A6" w14:textId="3C66895C" w:rsidR="0054058E" w:rsidRPr="006462C6" w:rsidRDefault="0054058E" w:rsidP="008272F1">
            <w:pPr>
              <w:jc w:val="center"/>
              <w:rPr>
                <w:color w:val="C00000"/>
                <w:sz w:val="18"/>
                <w:szCs w:val="18"/>
              </w:rPr>
            </w:pPr>
          </w:p>
        </w:tc>
        <w:tc>
          <w:tcPr>
            <w:tcW w:w="708"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5C7CF96F" w14:textId="77777777" w:rsidR="0054058E" w:rsidRPr="006462C6" w:rsidRDefault="0054058E" w:rsidP="008272F1">
            <w:pPr>
              <w:jc w:val="center"/>
              <w:rPr>
                <w:color w:val="FF0000"/>
                <w:sz w:val="18"/>
                <w:szCs w:val="18"/>
              </w:rPr>
            </w:pPr>
            <w:r w:rsidRPr="006462C6">
              <w:rPr>
                <w:i/>
                <w:iCs/>
                <w:color w:val="FF0000"/>
                <w:sz w:val="18"/>
                <w:szCs w:val="18"/>
              </w:rPr>
              <w:t>0,019</w:t>
            </w:r>
          </w:p>
        </w:tc>
        <w:tc>
          <w:tcPr>
            <w:tcW w:w="709"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4179FBF4" w14:textId="77777777" w:rsidR="0054058E" w:rsidRPr="006462C6" w:rsidRDefault="0054058E" w:rsidP="008272F1">
            <w:pPr>
              <w:jc w:val="center"/>
              <w:rPr>
                <w:color w:val="FF0000"/>
                <w:sz w:val="18"/>
                <w:szCs w:val="18"/>
              </w:rPr>
            </w:pPr>
            <w:r w:rsidRPr="006462C6">
              <w:rPr>
                <w:i/>
                <w:iCs/>
                <w:color w:val="FF0000"/>
                <w:sz w:val="18"/>
                <w:szCs w:val="18"/>
              </w:rPr>
              <w:t>0,039</w:t>
            </w:r>
          </w:p>
        </w:tc>
        <w:tc>
          <w:tcPr>
            <w:tcW w:w="567"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7FC3974E" w14:textId="77777777" w:rsidR="0054058E" w:rsidRPr="006462C6" w:rsidRDefault="0054058E" w:rsidP="008272F1">
            <w:pPr>
              <w:jc w:val="center"/>
              <w:rPr>
                <w:color w:val="00B050"/>
                <w:sz w:val="18"/>
                <w:szCs w:val="18"/>
              </w:rPr>
            </w:pPr>
          </w:p>
        </w:tc>
        <w:tc>
          <w:tcPr>
            <w:tcW w:w="709"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0D90791C" w14:textId="77777777" w:rsidR="0054058E" w:rsidRPr="006462C6" w:rsidRDefault="0054058E" w:rsidP="008272F1">
            <w:pPr>
              <w:jc w:val="center"/>
              <w:rPr>
                <w:color w:val="00B050"/>
                <w:sz w:val="18"/>
                <w:szCs w:val="18"/>
              </w:rPr>
            </w:pPr>
            <w:r w:rsidRPr="006462C6">
              <w:rPr>
                <w:i/>
                <w:iCs/>
                <w:color w:val="00B050"/>
                <w:sz w:val="18"/>
                <w:szCs w:val="18"/>
              </w:rPr>
              <w:t>0,045</w:t>
            </w:r>
          </w:p>
        </w:tc>
        <w:tc>
          <w:tcPr>
            <w:tcW w:w="709" w:type="dxa"/>
            <w:tcBorders>
              <w:top w:val="nil"/>
              <w:left w:val="single" w:sz="4" w:space="0" w:color="000000"/>
              <w:bottom w:val="single" w:sz="4" w:space="0" w:color="000000"/>
              <w:right w:val="single" w:sz="4" w:space="0" w:color="000000"/>
            </w:tcBorders>
            <w:vAlign w:val="center"/>
          </w:tcPr>
          <w:p w14:paraId="12D6C1EB" w14:textId="3113E5DE" w:rsidR="0054058E" w:rsidRPr="006462C6" w:rsidRDefault="00DB108F" w:rsidP="00075E5A">
            <w:pPr>
              <w:jc w:val="center"/>
              <w:rPr>
                <w:i/>
                <w:iCs/>
                <w:color w:val="00B050"/>
                <w:sz w:val="18"/>
                <w:szCs w:val="18"/>
              </w:rPr>
            </w:pPr>
            <w:r w:rsidRPr="006462C6">
              <w:rPr>
                <w:i/>
                <w:iCs/>
                <w:color w:val="00B050"/>
                <w:sz w:val="18"/>
                <w:szCs w:val="18"/>
              </w:rPr>
              <w:t>0,090</w:t>
            </w:r>
          </w:p>
        </w:tc>
        <w:tc>
          <w:tcPr>
            <w:tcW w:w="708"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7A82DEB1" w14:textId="2131E97A" w:rsidR="0054058E" w:rsidRPr="006462C6" w:rsidRDefault="0054058E" w:rsidP="008272F1">
            <w:pPr>
              <w:jc w:val="center"/>
              <w:rPr>
                <w:color w:val="0070C0"/>
                <w:sz w:val="18"/>
                <w:szCs w:val="18"/>
              </w:rPr>
            </w:pPr>
          </w:p>
        </w:tc>
        <w:tc>
          <w:tcPr>
            <w:tcW w:w="851"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09A61CFF" w14:textId="77777777" w:rsidR="0054058E" w:rsidRPr="006462C6" w:rsidRDefault="0054058E" w:rsidP="008272F1">
            <w:pPr>
              <w:jc w:val="center"/>
              <w:rPr>
                <w:color w:val="0070C0"/>
                <w:sz w:val="18"/>
                <w:szCs w:val="18"/>
              </w:rPr>
            </w:pPr>
            <w:r w:rsidRPr="006462C6">
              <w:rPr>
                <w:i/>
                <w:iCs/>
                <w:color w:val="0070C0"/>
                <w:sz w:val="18"/>
                <w:szCs w:val="18"/>
              </w:rPr>
              <w:t>0,000</w:t>
            </w:r>
          </w:p>
        </w:tc>
        <w:tc>
          <w:tcPr>
            <w:tcW w:w="709" w:type="dxa"/>
            <w:tcBorders>
              <w:top w:val="nil"/>
              <w:left w:val="single" w:sz="4" w:space="0" w:color="000000"/>
              <w:bottom w:val="single" w:sz="4" w:space="0" w:color="000000"/>
              <w:right w:val="single" w:sz="4" w:space="0" w:color="000000"/>
            </w:tcBorders>
            <w:vAlign w:val="center"/>
          </w:tcPr>
          <w:p w14:paraId="01EDEC83" w14:textId="4A974B45" w:rsidR="0054058E" w:rsidRPr="006462C6" w:rsidRDefault="006E0CCE" w:rsidP="006462C6">
            <w:pPr>
              <w:jc w:val="center"/>
              <w:rPr>
                <w:i/>
                <w:iCs/>
                <w:color w:val="0070C0"/>
                <w:sz w:val="18"/>
                <w:szCs w:val="18"/>
              </w:rPr>
            </w:pPr>
            <w:r w:rsidRPr="006462C6">
              <w:rPr>
                <w:i/>
                <w:iCs/>
                <w:color w:val="0070C0"/>
                <w:sz w:val="18"/>
                <w:szCs w:val="18"/>
              </w:rPr>
              <w:t>0,002</w:t>
            </w:r>
          </w:p>
        </w:tc>
      </w:tr>
      <w:tr w:rsidR="0077419A" w:rsidRPr="008272F1" w14:paraId="7F1D0679" w14:textId="1F971FD4" w:rsidTr="006C3686">
        <w:trPr>
          <w:trHeight w:val="136"/>
        </w:trPr>
        <w:tc>
          <w:tcPr>
            <w:tcW w:w="3261"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26781BCB" w14:textId="521B0DD6" w:rsidR="00DB108F" w:rsidRPr="008272F1" w:rsidRDefault="00DB108F" w:rsidP="00DB108F">
            <w:pPr>
              <w:ind w:left="126"/>
              <w:rPr>
                <w:sz w:val="20"/>
                <w:szCs w:val="20"/>
              </w:rPr>
            </w:pPr>
            <w:r w:rsidRPr="008272F1">
              <w:rPr>
                <w:b/>
                <w:bCs/>
                <w:sz w:val="20"/>
                <w:szCs w:val="20"/>
              </w:rPr>
              <w:t>Dabasgāze, ko izmanto par degvielu</w:t>
            </w:r>
            <w:r w:rsidRPr="008272F1">
              <w:rPr>
                <w:sz w:val="20"/>
                <w:szCs w:val="20"/>
              </w:rPr>
              <w:t xml:space="preserve">, </w:t>
            </w:r>
            <w:r w:rsidRPr="008272F1">
              <w:rPr>
                <w:i/>
                <w:iCs/>
                <w:sz w:val="20"/>
                <w:szCs w:val="20"/>
              </w:rPr>
              <w:t>euro par kg</w:t>
            </w:r>
            <w:r w:rsidR="008643DF">
              <w:rPr>
                <w:i/>
                <w:iCs/>
                <w:sz w:val="20"/>
                <w:szCs w:val="20"/>
              </w:rPr>
              <w:t>.</w:t>
            </w:r>
          </w:p>
        </w:tc>
        <w:tc>
          <w:tcPr>
            <w:tcW w:w="709"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68CF0825" w14:textId="77777777" w:rsidR="00DB108F" w:rsidRPr="008272F1" w:rsidRDefault="00DB108F" w:rsidP="00DB108F">
            <w:pPr>
              <w:jc w:val="center"/>
              <w:rPr>
                <w:color w:val="C00000"/>
                <w:sz w:val="20"/>
                <w:szCs w:val="20"/>
              </w:rPr>
            </w:pPr>
            <w:r w:rsidRPr="008272F1">
              <w:rPr>
                <w:b/>
                <w:bCs/>
                <w:color w:val="C00000"/>
                <w:sz w:val="20"/>
                <w:szCs w:val="20"/>
              </w:rPr>
              <w:t>0,035</w:t>
            </w:r>
          </w:p>
        </w:tc>
        <w:tc>
          <w:tcPr>
            <w:tcW w:w="708"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697865A1" w14:textId="77777777" w:rsidR="00DB108F" w:rsidRPr="008272F1" w:rsidRDefault="00DB108F" w:rsidP="00DB108F">
            <w:pPr>
              <w:jc w:val="center"/>
              <w:rPr>
                <w:color w:val="C00000"/>
                <w:sz w:val="20"/>
                <w:szCs w:val="20"/>
              </w:rPr>
            </w:pPr>
            <w:r w:rsidRPr="008272F1">
              <w:rPr>
                <w:b/>
                <w:bCs/>
                <w:color w:val="C00000"/>
                <w:sz w:val="20"/>
                <w:szCs w:val="20"/>
              </w:rPr>
              <w:t>0,067</w:t>
            </w:r>
          </w:p>
        </w:tc>
        <w:tc>
          <w:tcPr>
            <w:tcW w:w="709"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4ADFCACC" w14:textId="77777777" w:rsidR="00DB108F" w:rsidRPr="008272F1" w:rsidRDefault="00DB108F" w:rsidP="00DB108F">
            <w:pPr>
              <w:jc w:val="center"/>
              <w:rPr>
                <w:color w:val="C00000"/>
                <w:sz w:val="20"/>
                <w:szCs w:val="20"/>
              </w:rPr>
            </w:pPr>
            <w:r w:rsidRPr="008272F1">
              <w:rPr>
                <w:b/>
                <w:bCs/>
                <w:color w:val="C00000"/>
                <w:sz w:val="20"/>
                <w:szCs w:val="20"/>
              </w:rPr>
              <w:t>0,246</w:t>
            </w:r>
          </w:p>
        </w:tc>
        <w:tc>
          <w:tcPr>
            <w:tcW w:w="567"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0673D0E0" w14:textId="77777777" w:rsidR="00DB108F" w:rsidRPr="008272F1" w:rsidRDefault="00DB108F" w:rsidP="00DB108F">
            <w:pPr>
              <w:jc w:val="center"/>
              <w:rPr>
                <w:color w:val="00B050"/>
                <w:sz w:val="20"/>
                <w:szCs w:val="20"/>
              </w:rPr>
            </w:pPr>
            <w:r w:rsidRPr="008272F1">
              <w:rPr>
                <w:b/>
                <w:bCs/>
                <w:color w:val="00B050"/>
                <w:sz w:val="20"/>
                <w:szCs w:val="20"/>
              </w:rPr>
              <w:t>0,000</w:t>
            </w:r>
          </w:p>
        </w:tc>
        <w:tc>
          <w:tcPr>
            <w:tcW w:w="709"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2420CFE8" w14:textId="77777777" w:rsidR="00DB108F" w:rsidRPr="008272F1" w:rsidRDefault="00DB108F" w:rsidP="00DB108F">
            <w:pPr>
              <w:jc w:val="center"/>
              <w:rPr>
                <w:color w:val="00B050"/>
                <w:sz w:val="20"/>
                <w:szCs w:val="20"/>
              </w:rPr>
            </w:pPr>
            <w:r w:rsidRPr="008272F1">
              <w:rPr>
                <w:b/>
                <w:bCs/>
                <w:color w:val="00B050"/>
                <w:sz w:val="20"/>
                <w:szCs w:val="20"/>
              </w:rPr>
              <w:t>0,000</w:t>
            </w:r>
          </w:p>
        </w:tc>
        <w:tc>
          <w:tcPr>
            <w:tcW w:w="709" w:type="dxa"/>
            <w:tcBorders>
              <w:top w:val="single" w:sz="4" w:space="0" w:color="000000"/>
              <w:left w:val="single" w:sz="4" w:space="0" w:color="000000"/>
              <w:bottom w:val="nil"/>
              <w:right w:val="single" w:sz="4" w:space="0" w:color="000000"/>
            </w:tcBorders>
            <w:vAlign w:val="center"/>
          </w:tcPr>
          <w:p w14:paraId="6ED63CB7" w14:textId="6E09FE65" w:rsidR="00DB108F" w:rsidRPr="008272F1" w:rsidRDefault="00DB108F" w:rsidP="00DB108F">
            <w:pPr>
              <w:jc w:val="center"/>
              <w:rPr>
                <w:b/>
                <w:bCs/>
                <w:color w:val="0070C0"/>
                <w:sz w:val="20"/>
                <w:szCs w:val="20"/>
              </w:rPr>
            </w:pPr>
            <w:r w:rsidRPr="008272F1">
              <w:rPr>
                <w:b/>
                <w:bCs/>
                <w:color w:val="00B050"/>
                <w:sz w:val="20"/>
                <w:szCs w:val="20"/>
              </w:rPr>
              <w:t>0,000</w:t>
            </w:r>
          </w:p>
        </w:tc>
        <w:tc>
          <w:tcPr>
            <w:tcW w:w="708"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19D4C968" w14:textId="53DA0A9E" w:rsidR="00DB108F" w:rsidRPr="008272F1" w:rsidRDefault="00DB108F" w:rsidP="00DB108F">
            <w:pPr>
              <w:jc w:val="center"/>
              <w:rPr>
                <w:color w:val="0070C0"/>
                <w:sz w:val="20"/>
                <w:szCs w:val="20"/>
              </w:rPr>
            </w:pPr>
            <w:r w:rsidRPr="008272F1">
              <w:rPr>
                <w:b/>
                <w:bCs/>
                <w:color w:val="0070C0"/>
                <w:sz w:val="20"/>
                <w:szCs w:val="20"/>
              </w:rPr>
              <w:t>0,074</w:t>
            </w:r>
          </w:p>
        </w:tc>
        <w:tc>
          <w:tcPr>
            <w:tcW w:w="851" w:type="dxa"/>
            <w:tcBorders>
              <w:top w:val="single" w:sz="4" w:space="0" w:color="000000"/>
              <w:left w:val="single" w:sz="4" w:space="0" w:color="000000"/>
              <w:bottom w:val="nil"/>
              <w:right w:val="single" w:sz="4" w:space="0" w:color="000000"/>
            </w:tcBorders>
            <w:shd w:val="clear" w:color="auto" w:fill="auto"/>
            <w:tcMar>
              <w:top w:w="10" w:type="dxa"/>
              <w:left w:w="10" w:type="dxa"/>
              <w:bottom w:w="0" w:type="dxa"/>
              <w:right w:w="10" w:type="dxa"/>
            </w:tcMar>
            <w:vAlign w:val="center"/>
            <w:hideMark/>
          </w:tcPr>
          <w:p w14:paraId="133F5142" w14:textId="77777777" w:rsidR="00DB108F" w:rsidRPr="008272F1" w:rsidRDefault="00DB108F" w:rsidP="00DB108F">
            <w:pPr>
              <w:jc w:val="center"/>
              <w:rPr>
                <w:color w:val="0070C0"/>
                <w:sz w:val="20"/>
                <w:szCs w:val="20"/>
              </w:rPr>
            </w:pPr>
            <w:r w:rsidRPr="008272F1">
              <w:rPr>
                <w:b/>
                <w:bCs/>
                <w:color w:val="0070C0"/>
                <w:sz w:val="20"/>
                <w:szCs w:val="20"/>
              </w:rPr>
              <w:t>0,078</w:t>
            </w:r>
          </w:p>
        </w:tc>
        <w:tc>
          <w:tcPr>
            <w:tcW w:w="709" w:type="dxa"/>
            <w:tcBorders>
              <w:top w:val="single" w:sz="4" w:space="0" w:color="000000"/>
              <w:left w:val="single" w:sz="4" w:space="0" w:color="000000"/>
              <w:bottom w:val="nil"/>
              <w:right w:val="single" w:sz="4" w:space="0" w:color="000000"/>
            </w:tcBorders>
            <w:vAlign w:val="center"/>
          </w:tcPr>
          <w:p w14:paraId="03ACD160" w14:textId="69BFD8BA" w:rsidR="00DB108F" w:rsidRPr="008272F1" w:rsidRDefault="006E0CCE" w:rsidP="006462C6">
            <w:pPr>
              <w:jc w:val="center"/>
              <w:rPr>
                <w:b/>
                <w:bCs/>
                <w:color w:val="0070C0"/>
                <w:sz w:val="20"/>
                <w:szCs w:val="20"/>
              </w:rPr>
            </w:pPr>
            <w:r>
              <w:rPr>
                <w:b/>
                <w:bCs/>
                <w:color w:val="0070C0"/>
                <w:sz w:val="20"/>
                <w:szCs w:val="20"/>
              </w:rPr>
              <w:t>0,082</w:t>
            </w:r>
          </w:p>
        </w:tc>
      </w:tr>
      <w:tr w:rsidR="0077419A" w:rsidRPr="008272F1" w14:paraId="4C592A19" w14:textId="17E913B0" w:rsidTr="006C3686">
        <w:trPr>
          <w:trHeight w:val="43"/>
        </w:trPr>
        <w:tc>
          <w:tcPr>
            <w:tcW w:w="3261"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178E4453" w14:textId="0522C35B" w:rsidR="00DB108F" w:rsidRPr="006462C6" w:rsidRDefault="00DB108F" w:rsidP="00DB108F">
            <w:pPr>
              <w:ind w:left="126"/>
              <w:rPr>
                <w:sz w:val="18"/>
                <w:szCs w:val="18"/>
              </w:rPr>
            </w:pPr>
            <w:r w:rsidRPr="006462C6">
              <w:rPr>
                <w:i/>
                <w:iCs/>
                <w:sz w:val="18"/>
                <w:szCs w:val="18"/>
              </w:rPr>
              <w:t>Pieaugums, euro/kg pret 2024</w:t>
            </w:r>
            <w:r w:rsidR="00FA7FB6">
              <w:rPr>
                <w:i/>
                <w:iCs/>
                <w:sz w:val="18"/>
                <w:szCs w:val="18"/>
              </w:rPr>
              <w:t>.g.</w:t>
            </w:r>
          </w:p>
        </w:tc>
        <w:tc>
          <w:tcPr>
            <w:tcW w:w="709"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47DFDB13" w14:textId="3F041F5B" w:rsidR="00DB108F" w:rsidRPr="006462C6" w:rsidRDefault="00DB108F" w:rsidP="00DB108F">
            <w:pPr>
              <w:jc w:val="center"/>
              <w:rPr>
                <w:color w:val="C00000"/>
                <w:sz w:val="18"/>
                <w:szCs w:val="18"/>
              </w:rPr>
            </w:pPr>
          </w:p>
        </w:tc>
        <w:tc>
          <w:tcPr>
            <w:tcW w:w="708"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71E44735" w14:textId="77777777" w:rsidR="00DB108F" w:rsidRPr="006462C6" w:rsidRDefault="00DB108F" w:rsidP="00DB108F">
            <w:pPr>
              <w:jc w:val="center"/>
              <w:rPr>
                <w:color w:val="FF0000"/>
                <w:sz w:val="18"/>
                <w:szCs w:val="18"/>
              </w:rPr>
            </w:pPr>
            <w:r w:rsidRPr="006462C6">
              <w:rPr>
                <w:i/>
                <w:iCs/>
                <w:color w:val="FF0000"/>
                <w:sz w:val="18"/>
                <w:szCs w:val="18"/>
              </w:rPr>
              <w:t>0,032</w:t>
            </w:r>
          </w:p>
        </w:tc>
        <w:tc>
          <w:tcPr>
            <w:tcW w:w="709"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5D8CBE41" w14:textId="77777777" w:rsidR="00DB108F" w:rsidRPr="006462C6" w:rsidRDefault="00DB108F" w:rsidP="00DB108F">
            <w:pPr>
              <w:jc w:val="center"/>
              <w:rPr>
                <w:color w:val="FF0000"/>
                <w:sz w:val="18"/>
                <w:szCs w:val="18"/>
              </w:rPr>
            </w:pPr>
            <w:r w:rsidRPr="006462C6">
              <w:rPr>
                <w:i/>
                <w:iCs/>
                <w:color w:val="FF0000"/>
                <w:sz w:val="18"/>
                <w:szCs w:val="18"/>
              </w:rPr>
              <w:t>0,211</w:t>
            </w:r>
          </w:p>
        </w:tc>
        <w:tc>
          <w:tcPr>
            <w:tcW w:w="567"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7B6BA325" w14:textId="77777777" w:rsidR="00DB108F" w:rsidRPr="006462C6" w:rsidRDefault="00DB108F" w:rsidP="00DB108F">
            <w:pPr>
              <w:jc w:val="center"/>
              <w:rPr>
                <w:color w:val="00B050"/>
                <w:sz w:val="18"/>
                <w:szCs w:val="18"/>
              </w:rPr>
            </w:pPr>
          </w:p>
        </w:tc>
        <w:tc>
          <w:tcPr>
            <w:tcW w:w="709"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6B5EB2FB" w14:textId="77777777" w:rsidR="00DB108F" w:rsidRPr="006462C6" w:rsidRDefault="00DB108F" w:rsidP="00DB108F">
            <w:pPr>
              <w:jc w:val="center"/>
              <w:rPr>
                <w:color w:val="00B050"/>
                <w:sz w:val="18"/>
                <w:szCs w:val="18"/>
              </w:rPr>
            </w:pPr>
            <w:r w:rsidRPr="006462C6">
              <w:rPr>
                <w:i/>
                <w:iCs/>
                <w:color w:val="00B050"/>
                <w:sz w:val="18"/>
                <w:szCs w:val="18"/>
              </w:rPr>
              <w:t>0,000</w:t>
            </w:r>
          </w:p>
        </w:tc>
        <w:tc>
          <w:tcPr>
            <w:tcW w:w="709" w:type="dxa"/>
            <w:tcBorders>
              <w:top w:val="nil"/>
              <w:left w:val="single" w:sz="4" w:space="0" w:color="000000"/>
              <w:bottom w:val="single" w:sz="4" w:space="0" w:color="000000"/>
              <w:right w:val="single" w:sz="4" w:space="0" w:color="000000"/>
            </w:tcBorders>
            <w:vAlign w:val="center"/>
          </w:tcPr>
          <w:p w14:paraId="6D73827D" w14:textId="10716D51" w:rsidR="00DB108F" w:rsidRPr="006462C6" w:rsidRDefault="00DB108F" w:rsidP="00DB108F">
            <w:pPr>
              <w:jc w:val="center"/>
              <w:rPr>
                <w:color w:val="0070C0"/>
                <w:sz w:val="18"/>
                <w:szCs w:val="18"/>
              </w:rPr>
            </w:pPr>
            <w:r w:rsidRPr="006462C6">
              <w:rPr>
                <w:i/>
                <w:iCs/>
                <w:color w:val="00B050"/>
                <w:sz w:val="18"/>
                <w:szCs w:val="18"/>
              </w:rPr>
              <w:t>0,000</w:t>
            </w:r>
          </w:p>
        </w:tc>
        <w:tc>
          <w:tcPr>
            <w:tcW w:w="708"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2B0540CB" w14:textId="2BE43935" w:rsidR="00DB108F" w:rsidRPr="006462C6" w:rsidRDefault="00DB108F" w:rsidP="00DB108F">
            <w:pPr>
              <w:jc w:val="center"/>
              <w:rPr>
                <w:color w:val="0070C0"/>
                <w:sz w:val="18"/>
                <w:szCs w:val="18"/>
              </w:rPr>
            </w:pPr>
          </w:p>
        </w:tc>
        <w:tc>
          <w:tcPr>
            <w:tcW w:w="851" w:type="dxa"/>
            <w:tcBorders>
              <w:top w:val="nil"/>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03937E19" w14:textId="77777777" w:rsidR="00DB108F" w:rsidRPr="006462C6" w:rsidRDefault="00DB108F" w:rsidP="00DB108F">
            <w:pPr>
              <w:jc w:val="center"/>
              <w:rPr>
                <w:color w:val="0070C0"/>
                <w:sz w:val="18"/>
                <w:szCs w:val="18"/>
              </w:rPr>
            </w:pPr>
            <w:r w:rsidRPr="006462C6">
              <w:rPr>
                <w:i/>
                <w:iCs/>
                <w:color w:val="0070C0"/>
                <w:sz w:val="18"/>
                <w:szCs w:val="18"/>
              </w:rPr>
              <w:t>0,003</w:t>
            </w:r>
          </w:p>
        </w:tc>
        <w:tc>
          <w:tcPr>
            <w:tcW w:w="709" w:type="dxa"/>
            <w:tcBorders>
              <w:top w:val="nil"/>
              <w:left w:val="single" w:sz="4" w:space="0" w:color="000000"/>
              <w:bottom w:val="single" w:sz="4" w:space="0" w:color="000000"/>
              <w:right w:val="single" w:sz="4" w:space="0" w:color="000000"/>
            </w:tcBorders>
            <w:vAlign w:val="center"/>
          </w:tcPr>
          <w:p w14:paraId="63A5092C" w14:textId="259D557B" w:rsidR="00DB108F" w:rsidRPr="006462C6" w:rsidRDefault="006E0CCE" w:rsidP="006462C6">
            <w:pPr>
              <w:jc w:val="center"/>
              <w:rPr>
                <w:i/>
                <w:iCs/>
                <w:color w:val="0070C0"/>
                <w:sz w:val="18"/>
                <w:szCs w:val="18"/>
              </w:rPr>
            </w:pPr>
            <w:r w:rsidRPr="006462C6">
              <w:rPr>
                <w:i/>
                <w:iCs/>
                <w:color w:val="0070C0"/>
                <w:sz w:val="18"/>
                <w:szCs w:val="18"/>
              </w:rPr>
              <w:t>0,008</w:t>
            </w:r>
          </w:p>
        </w:tc>
      </w:tr>
    </w:tbl>
    <w:p w14:paraId="692A898F" w14:textId="5C9F30F7" w:rsidR="006C3686" w:rsidRPr="006C3686" w:rsidRDefault="006C3686" w:rsidP="00A6700C">
      <w:pPr>
        <w:pStyle w:val="pf0"/>
        <w:tabs>
          <w:tab w:val="left" w:pos="284"/>
        </w:tabs>
        <w:spacing w:before="40" w:beforeAutospacing="0" w:after="0" w:afterAutospacing="0"/>
        <w:jc w:val="both"/>
        <w:rPr>
          <w:rStyle w:val="cf01"/>
          <w:rFonts w:ascii="Times New Roman" w:hAnsi="Times New Roman" w:cs="Times New Roman"/>
          <w:i/>
          <w:iCs/>
          <w:sz w:val="16"/>
          <w:szCs w:val="16"/>
        </w:rPr>
      </w:pPr>
      <w:r>
        <w:rPr>
          <w:rStyle w:val="cf01"/>
          <w:rFonts w:ascii="Times New Roman" w:hAnsi="Times New Roman" w:cs="Times New Roman"/>
          <w:i/>
          <w:iCs/>
          <w:sz w:val="16"/>
          <w:szCs w:val="16"/>
          <w:vertAlign w:val="superscript"/>
        </w:rPr>
        <w:t>*</w:t>
      </w:r>
      <w:r w:rsidRPr="006C3686">
        <w:rPr>
          <w:rStyle w:val="cf01"/>
          <w:rFonts w:ascii="Times New Roman" w:hAnsi="Times New Roman" w:cs="Times New Roman"/>
          <w:i/>
          <w:iCs/>
          <w:sz w:val="16"/>
          <w:szCs w:val="16"/>
        </w:rPr>
        <w:t xml:space="preserve">Aprēķins par ietekmi </w:t>
      </w:r>
      <w:r>
        <w:rPr>
          <w:rStyle w:val="cf01"/>
          <w:rFonts w:ascii="Times New Roman" w:hAnsi="Times New Roman" w:cs="Times New Roman"/>
          <w:i/>
          <w:iCs/>
          <w:sz w:val="16"/>
          <w:szCs w:val="16"/>
        </w:rPr>
        <w:t xml:space="preserve">uz litru degvielas </w:t>
      </w:r>
      <w:r w:rsidR="0077419A" w:rsidRPr="00777F80">
        <w:rPr>
          <w:rStyle w:val="cf01"/>
          <w:rFonts w:ascii="Times New Roman" w:hAnsi="Times New Roman" w:cs="Times New Roman"/>
          <w:b/>
          <w:bCs/>
          <w:i/>
          <w:iCs/>
          <w:color w:val="C00000"/>
          <w:sz w:val="16"/>
          <w:szCs w:val="16"/>
        </w:rPr>
        <w:t>Latvijā</w:t>
      </w:r>
      <w:r w:rsidR="0077419A" w:rsidRPr="00777F80">
        <w:rPr>
          <w:rStyle w:val="cf01"/>
          <w:rFonts w:ascii="Times New Roman" w:hAnsi="Times New Roman" w:cs="Times New Roman"/>
          <w:i/>
          <w:iCs/>
          <w:color w:val="C00000"/>
          <w:sz w:val="16"/>
          <w:szCs w:val="16"/>
        </w:rPr>
        <w:t xml:space="preserve"> </w:t>
      </w:r>
      <w:r>
        <w:rPr>
          <w:rStyle w:val="cf01"/>
          <w:rFonts w:ascii="Times New Roman" w:hAnsi="Times New Roman" w:cs="Times New Roman"/>
          <w:i/>
          <w:iCs/>
          <w:sz w:val="16"/>
          <w:szCs w:val="16"/>
        </w:rPr>
        <w:t>ir veikts</w:t>
      </w:r>
      <w:r w:rsidR="00777F80">
        <w:rPr>
          <w:rStyle w:val="cf01"/>
          <w:rFonts w:ascii="Times New Roman" w:hAnsi="Times New Roman" w:cs="Times New Roman"/>
          <w:i/>
          <w:iCs/>
          <w:sz w:val="16"/>
          <w:szCs w:val="16"/>
        </w:rPr>
        <w:t>,</w:t>
      </w:r>
      <w:r>
        <w:rPr>
          <w:rStyle w:val="cf01"/>
          <w:rFonts w:ascii="Times New Roman" w:hAnsi="Times New Roman" w:cs="Times New Roman"/>
          <w:i/>
          <w:iCs/>
          <w:sz w:val="16"/>
          <w:szCs w:val="16"/>
        </w:rPr>
        <w:t xml:space="preserve"> pieņemot, ka naftas produktu drošības pakalpojuma maksa ir </w:t>
      </w:r>
      <w:r w:rsidRPr="00C217F4">
        <w:rPr>
          <w:rStyle w:val="cf01"/>
          <w:rFonts w:ascii="Times New Roman" w:hAnsi="Times New Roman" w:cs="Times New Roman"/>
          <w:b/>
          <w:bCs/>
          <w:i/>
          <w:iCs/>
          <w:color w:val="FF0000"/>
          <w:sz w:val="16"/>
          <w:szCs w:val="16"/>
        </w:rPr>
        <w:t>91,26</w:t>
      </w:r>
      <w:r w:rsidRPr="00C217F4">
        <w:rPr>
          <w:rStyle w:val="cf01"/>
          <w:rFonts w:ascii="Times New Roman" w:hAnsi="Times New Roman" w:cs="Times New Roman"/>
          <w:i/>
          <w:iCs/>
          <w:color w:val="FF0000"/>
          <w:sz w:val="16"/>
          <w:szCs w:val="16"/>
        </w:rPr>
        <w:t xml:space="preserve"> </w:t>
      </w:r>
      <w:r>
        <w:rPr>
          <w:rStyle w:val="cf01"/>
          <w:rFonts w:ascii="Times New Roman" w:hAnsi="Times New Roman" w:cs="Times New Roman"/>
          <w:i/>
          <w:iCs/>
          <w:sz w:val="16"/>
          <w:szCs w:val="16"/>
        </w:rPr>
        <w:t>euro par tonnu (MK 09.01.2024</w:t>
      </w:r>
      <w:r w:rsidR="00FA7FB6">
        <w:rPr>
          <w:rStyle w:val="cf01"/>
          <w:rFonts w:ascii="Times New Roman" w:hAnsi="Times New Roman" w:cs="Times New Roman"/>
          <w:i/>
          <w:iCs/>
          <w:sz w:val="16"/>
          <w:szCs w:val="16"/>
        </w:rPr>
        <w:t>.</w:t>
      </w:r>
      <w:r>
        <w:rPr>
          <w:rStyle w:val="cf01"/>
          <w:rFonts w:ascii="Times New Roman" w:hAnsi="Times New Roman" w:cs="Times New Roman"/>
          <w:i/>
          <w:iCs/>
          <w:sz w:val="16"/>
          <w:szCs w:val="16"/>
        </w:rPr>
        <w:t xml:space="preserve"> noteikumi Nr.29 spēkā no 2024.</w:t>
      </w:r>
      <w:r w:rsidR="00FA7FB6">
        <w:rPr>
          <w:rStyle w:val="cf01"/>
          <w:rFonts w:ascii="Times New Roman" w:hAnsi="Times New Roman" w:cs="Times New Roman"/>
          <w:i/>
          <w:iCs/>
          <w:sz w:val="16"/>
          <w:szCs w:val="16"/>
        </w:rPr>
        <w:t> </w:t>
      </w:r>
      <w:r>
        <w:rPr>
          <w:rStyle w:val="cf01"/>
          <w:rFonts w:ascii="Times New Roman" w:hAnsi="Times New Roman" w:cs="Times New Roman"/>
          <w:i/>
          <w:iCs/>
          <w:sz w:val="16"/>
          <w:szCs w:val="16"/>
        </w:rPr>
        <w:t>gada 1.</w:t>
      </w:r>
      <w:r w:rsidR="00FA7FB6">
        <w:rPr>
          <w:rStyle w:val="cf01"/>
          <w:rFonts w:ascii="Times New Roman" w:hAnsi="Times New Roman" w:cs="Times New Roman"/>
          <w:i/>
          <w:iCs/>
          <w:sz w:val="16"/>
          <w:szCs w:val="16"/>
        </w:rPr>
        <w:t> </w:t>
      </w:r>
      <w:r>
        <w:rPr>
          <w:rStyle w:val="cf01"/>
          <w:rFonts w:ascii="Times New Roman" w:hAnsi="Times New Roman" w:cs="Times New Roman"/>
          <w:i/>
          <w:iCs/>
          <w:sz w:val="16"/>
          <w:szCs w:val="16"/>
        </w:rPr>
        <w:t>janvāra)</w:t>
      </w:r>
      <w:r w:rsidR="003D117E">
        <w:rPr>
          <w:rStyle w:val="cf01"/>
          <w:rFonts w:ascii="Times New Roman" w:hAnsi="Times New Roman" w:cs="Times New Roman"/>
          <w:i/>
          <w:iCs/>
          <w:sz w:val="16"/>
          <w:szCs w:val="16"/>
        </w:rPr>
        <w:t xml:space="preserve">. </w:t>
      </w:r>
      <w:r w:rsidR="003D117E" w:rsidRPr="00777F80">
        <w:rPr>
          <w:rStyle w:val="cf01"/>
          <w:rFonts w:ascii="Times New Roman" w:hAnsi="Times New Roman" w:cs="Times New Roman"/>
          <w:b/>
          <w:bCs/>
          <w:i/>
          <w:iCs/>
          <w:color w:val="00B050"/>
          <w:sz w:val="16"/>
          <w:szCs w:val="16"/>
        </w:rPr>
        <w:t>Lietuvā</w:t>
      </w:r>
      <w:r w:rsidR="003D117E" w:rsidRPr="00777F80">
        <w:rPr>
          <w:rStyle w:val="cf01"/>
          <w:rFonts w:ascii="Times New Roman" w:hAnsi="Times New Roman" w:cs="Times New Roman"/>
          <w:i/>
          <w:iCs/>
          <w:color w:val="00B050"/>
          <w:sz w:val="16"/>
          <w:szCs w:val="16"/>
        </w:rPr>
        <w:t xml:space="preserve"> </w:t>
      </w:r>
      <w:r w:rsidR="003D117E">
        <w:rPr>
          <w:rStyle w:val="cf01"/>
          <w:rFonts w:ascii="Times New Roman" w:hAnsi="Times New Roman" w:cs="Times New Roman"/>
          <w:i/>
          <w:iCs/>
          <w:sz w:val="16"/>
          <w:szCs w:val="16"/>
        </w:rPr>
        <w:t xml:space="preserve">naftas produktu rezervēm maksu nepiemēro, jo naftas produktu rezerves nodrošina krājumi Mažeiku naftas pārstrādes rūpnīcā. </w:t>
      </w:r>
      <w:r w:rsidR="003D117E" w:rsidRPr="00777F80">
        <w:rPr>
          <w:rStyle w:val="cf01"/>
          <w:rFonts w:ascii="Times New Roman" w:hAnsi="Times New Roman" w:cs="Times New Roman"/>
          <w:b/>
          <w:bCs/>
          <w:i/>
          <w:iCs/>
          <w:color w:val="0070C0"/>
          <w:sz w:val="16"/>
          <w:szCs w:val="16"/>
        </w:rPr>
        <w:t>Igaunijā</w:t>
      </w:r>
      <w:r w:rsidR="003D117E" w:rsidRPr="00777F80">
        <w:rPr>
          <w:rStyle w:val="cf01"/>
          <w:rFonts w:ascii="Times New Roman" w:hAnsi="Times New Roman" w:cs="Times New Roman"/>
          <w:i/>
          <w:iCs/>
          <w:color w:val="0070C0"/>
          <w:sz w:val="16"/>
          <w:szCs w:val="16"/>
        </w:rPr>
        <w:t xml:space="preserve"> </w:t>
      </w:r>
      <w:r w:rsidR="003D117E">
        <w:rPr>
          <w:rStyle w:val="cf01"/>
          <w:rFonts w:ascii="Times New Roman" w:hAnsi="Times New Roman" w:cs="Times New Roman"/>
          <w:i/>
          <w:iCs/>
          <w:sz w:val="16"/>
          <w:szCs w:val="16"/>
        </w:rPr>
        <w:t>naftas produktu rezervju maksu nepiemēro naftas gāzēm.</w:t>
      </w:r>
    </w:p>
    <w:p w14:paraId="5CB99B29" w14:textId="1626EC40" w:rsidR="00075E5A" w:rsidRPr="00075E5A" w:rsidRDefault="00075E5A" w:rsidP="00075E5A">
      <w:pPr>
        <w:pStyle w:val="pf0"/>
        <w:tabs>
          <w:tab w:val="left" w:pos="284"/>
        </w:tabs>
        <w:spacing w:before="40" w:beforeAutospacing="0" w:after="0" w:afterAutospacing="0"/>
        <w:rPr>
          <w:i/>
          <w:iCs/>
          <w:sz w:val="16"/>
          <w:szCs w:val="16"/>
        </w:rPr>
      </w:pPr>
      <w:r w:rsidRPr="00075E5A">
        <w:rPr>
          <w:rStyle w:val="cf01"/>
          <w:rFonts w:ascii="Times New Roman" w:hAnsi="Times New Roman" w:cs="Times New Roman"/>
          <w:i/>
          <w:iCs/>
          <w:sz w:val="16"/>
          <w:szCs w:val="16"/>
          <w:vertAlign w:val="superscript"/>
        </w:rPr>
        <w:t>*</w:t>
      </w:r>
      <w:r w:rsidR="006C3686">
        <w:rPr>
          <w:rStyle w:val="cf01"/>
          <w:rFonts w:ascii="Times New Roman" w:hAnsi="Times New Roman" w:cs="Times New Roman"/>
          <w:i/>
          <w:iCs/>
          <w:sz w:val="16"/>
          <w:szCs w:val="16"/>
          <w:vertAlign w:val="superscript"/>
        </w:rPr>
        <w:t>*</w:t>
      </w:r>
      <w:r>
        <w:rPr>
          <w:rStyle w:val="cf01"/>
          <w:rFonts w:ascii="Times New Roman" w:hAnsi="Times New Roman" w:cs="Times New Roman"/>
          <w:i/>
          <w:iCs/>
          <w:sz w:val="16"/>
          <w:szCs w:val="16"/>
        </w:rPr>
        <w:tab/>
      </w:r>
      <w:r w:rsidRPr="00075E5A">
        <w:rPr>
          <w:rStyle w:val="cf01"/>
          <w:rFonts w:ascii="Times New Roman" w:hAnsi="Times New Roman" w:cs="Times New Roman"/>
          <w:i/>
          <w:iCs/>
          <w:sz w:val="16"/>
          <w:szCs w:val="16"/>
        </w:rPr>
        <w:t>Ietekmes aprēķinā uz cenu par 2026.</w:t>
      </w:r>
      <w:r w:rsidR="00FA7FB6">
        <w:rPr>
          <w:rStyle w:val="cf01"/>
          <w:rFonts w:ascii="Times New Roman" w:hAnsi="Times New Roman" w:cs="Times New Roman"/>
          <w:i/>
          <w:iCs/>
          <w:sz w:val="16"/>
          <w:szCs w:val="16"/>
        </w:rPr>
        <w:t> </w:t>
      </w:r>
      <w:r w:rsidRPr="00075E5A">
        <w:rPr>
          <w:rStyle w:val="cf01"/>
          <w:rFonts w:ascii="Times New Roman" w:hAnsi="Times New Roman" w:cs="Times New Roman"/>
          <w:i/>
          <w:iCs/>
          <w:sz w:val="16"/>
          <w:szCs w:val="16"/>
        </w:rPr>
        <w:t xml:space="preserve">gadu </w:t>
      </w:r>
      <w:r w:rsidRPr="00075E5A">
        <w:rPr>
          <w:rStyle w:val="cf01"/>
          <w:rFonts w:ascii="Times New Roman" w:hAnsi="Times New Roman" w:cs="Times New Roman"/>
          <w:b/>
          <w:bCs/>
          <w:i/>
          <w:iCs/>
          <w:color w:val="0070C0"/>
          <w:sz w:val="16"/>
          <w:szCs w:val="16"/>
        </w:rPr>
        <w:t>Igaunijā</w:t>
      </w:r>
      <w:r w:rsidRPr="00075E5A">
        <w:rPr>
          <w:rStyle w:val="cf01"/>
          <w:rFonts w:ascii="Times New Roman" w:hAnsi="Times New Roman" w:cs="Times New Roman"/>
          <w:i/>
          <w:iCs/>
          <w:color w:val="0070C0"/>
          <w:sz w:val="16"/>
          <w:szCs w:val="16"/>
        </w:rPr>
        <w:t xml:space="preserve"> </w:t>
      </w:r>
      <w:r w:rsidRPr="00075E5A">
        <w:rPr>
          <w:rStyle w:val="cf01"/>
          <w:rFonts w:ascii="Times New Roman" w:hAnsi="Times New Roman" w:cs="Times New Roman"/>
          <w:i/>
          <w:iCs/>
          <w:sz w:val="16"/>
          <w:szCs w:val="16"/>
        </w:rPr>
        <w:t xml:space="preserve">ir ņemts vērā, ka PVN likme būs </w:t>
      </w:r>
      <w:r w:rsidRPr="00075E5A">
        <w:rPr>
          <w:rStyle w:val="cf01"/>
          <w:rFonts w:ascii="Times New Roman" w:hAnsi="Times New Roman" w:cs="Times New Roman"/>
          <w:b/>
          <w:bCs/>
          <w:i/>
          <w:iCs/>
          <w:color w:val="0070C0"/>
          <w:sz w:val="16"/>
          <w:szCs w:val="16"/>
        </w:rPr>
        <w:t>24%</w:t>
      </w:r>
      <w:r w:rsidRPr="00075E5A">
        <w:rPr>
          <w:rStyle w:val="cf01"/>
          <w:rFonts w:ascii="Times New Roman" w:hAnsi="Times New Roman" w:cs="Times New Roman"/>
          <w:i/>
          <w:iCs/>
          <w:sz w:val="16"/>
          <w:szCs w:val="16"/>
        </w:rPr>
        <w:t>.</w:t>
      </w:r>
    </w:p>
    <w:p w14:paraId="3D11726C" w14:textId="77777777" w:rsidR="00CB1CDF" w:rsidRDefault="00CB1CDF" w:rsidP="00CB1CDF">
      <w:pPr>
        <w:spacing w:after="120"/>
        <w:jc w:val="center"/>
        <w:rPr>
          <w:rFonts w:cs="Times New Roman"/>
          <w:sz w:val="20"/>
          <w:highlight w:val="yellow"/>
        </w:rPr>
      </w:pPr>
    </w:p>
    <w:p w14:paraId="02A17BD8" w14:textId="09ED759F" w:rsidR="00CB1CDF" w:rsidRPr="002E0A09" w:rsidRDefault="00725CD9" w:rsidP="00CB1CDF">
      <w:pPr>
        <w:spacing w:after="120"/>
        <w:jc w:val="center"/>
        <w:rPr>
          <w:rFonts w:cs="Times New Roman"/>
          <w:sz w:val="20"/>
        </w:rPr>
      </w:pPr>
      <w:bookmarkStart w:id="48" w:name="_Hlk176794323"/>
      <w:r>
        <w:rPr>
          <w:rFonts w:cs="Times New Roman"/>
          <w:sz w:val="20"/>
        </w:rPr>
        <w:t>19</w:t>
      </w:r>
      <w:r w:rsidR="00CB1CDF" w:rsidRPr="006F5E64">
        <w:rPr>
          <w:rFonts w:cs="Times New Roman"/>
          <w:sz w:val="20"/>
        </w:rPr>
        <w:t>.</w:t>
      </w:r>
      <w:r w:rsidR="00CB1CDF" w:rsidRPr="002E0A09">
        <w:rPr>
          <w:rFonts w:cs="Times New Roman"/>
          <w:sz w:val="20"/>
        </w:rPr>
        <w:t>tab</w:t>
      </w:r>
      <w:r w:rsidR="00CB1CDF" w:rsidRPr="002E0A09">
        <w:rPr>
          <w:rFonts w:cs="Times New Roman"/>
          <w:bCs/>
          <w:sz w:val="20"/>
        </w:rPr>
        <w:t>.</w:t>
      </w:r>
      <w:r w:rsidR="00CB1CDF" w:rsidRPr="002E0A09">
        <w:rPr>
          <w:rFonts w:cs="Times New Roman"/>
          <w:b/>
          <w:sz w:val="20"/>
        </w:rPr>
        <w:t xml:space="preserve"> Priekšlikuma indikatīva fiskālā ietekme</w:t>
      </w:r>
      <w:bookmarkEnd w:id="48"/>
      <w:r w:rsidR="00CB1CDF" w:rsidRPr="002E0A09">
        <w:rPr>
          <w:rFonts w:cs="Times New Roman"/>
          <w:bCs/>
          <w:sz w:val="20"/>
        </w:rPr>
        <w:t>,</w:t>
      </w:r>
      <w:r w:rsidR="00CB1CDF" w:rsidRPr="002E0A09">
        <w:rPr>
          <w:rFonts w:cs="Times New Roman"/>
          <w:bCs/>
          <w:i/>
          <w:iCs/>
          <w:sz w:val="20"/>
        </w:rPr>
        <w:t> euro</w:t>
      </w:r>
    </w:p>
    <w:tbl>
      <w:tblPr>
        <w:tblStyle w:val="TableGrid"/>
        <w:tblW w:w="9067" w:type="dxa"/>
        <w:tblInd w:w="5" w:type="dxa"/>
        <w:tblLook w:val="04A0" w:firstRow="1" w:lastRow="0" w:firstColumn="1" w:lastColumn="0" w:noHBand="0" w:noVBand="1"/>
      </w:tblPr>
      <w:tblGrid>
        <w:gridCol w:w="3672"/>
        <w:gridCol w:w="1376"/>
        <w:gridCol w:w="1375"/>
        <w:gridCol w:w="1375"/>
        <w:gridCol w:w="1269"/>
      </w:tblGrid>
      <w:tr w:rsidR="00CB1CDF" w:rsidRPr="00D738ED" w14:paraId="1E08AF85" w14:textId="77777777" w:rsidTr="00850F47">
        <w:tc>
          <w:tcPr>
            <w:tcW w:w="3672" w:type="dxa"/>
            <w:tcBorders>
              <w:top w:val="nil"/>
              <w:left w:val="nil"/>
              <w:bottom w:val="single" w:sz="8" w:space="0" w:color="auto"/>
              <w:right w:val="nil"/>
            </w:tcBorders>
            <w:shd w:val="clear" w:color="auto" w:fill="FFFFFF" w:themeFill="background1"/>
          </w:tcPr>
          <w:p w14:paraId="0818BCFA" w14:textId="77777777" w:rsidR="00CB1CDF" w:rsidRPr="00C11875" w:rsidRDefault="00CB1CDF" w:rsidP="00005BE2">
            <w:pPr>
              <w:pStyle w:val="ListParagraph"/>
              <w:ind w:left="0"/>
              <w:contextualSpacing w:val="0"/>
              <w:jc w:val="center"/>
              <w:rPr>
                <w:b/>
                <w:bCs/>
                <w:sz w:val="20"/>
                <w:szCs w:val="20"/>
              </w:rPr>
            </w:pPr>
          </w:p>
        </w:tc>
        <w:tc>
          <w:tcPr>
            <w:tcW w:w="1376" w:type="dxa"/>
            <w:tcBorders>
              <w:top w:val="nil"/>
              <w:left w:val="nil"/>
              <w:bottom w:val="single" w:sz="8" w:space="0" w:color="auto"/>
              <w:right w:val="nil"/>
            </w:tcBorders>
            <w:shd w:val="clear" w:color="auto" w:fill="FFFFFF" w:themeFill="background1"/>
            <w:vAlign w:val="bottom"/>
          </w:tcPr>
          <w:p w14:paraId="38167C71" w14:textId="77777777" w:rsidR="00CB1CDF" w:rsidRPr="00C11875" w:rsidRDefault="00CB1CDF" w:rsidP="00005BE2">
            <w:pPr>
              <w:pStyle w:val="ListParagraph"/>
              <w:ind w:left="0"/>
              <w:contextualSpacing w:val="0"/>
              <w:jc w:val="center"/>
              <w:rPr>
                <w:b/>
                <w:bCs/>
                <w:sz w:val="20"/>
                <w:szCs w:val="20"/>
              </w:rPr>
            </w:pPr>
            <w:r w:rsidRPr="00C11875">
              <w:rPr>
                <w:b/>
                <w:bCs/>
                <w:sz w:val="20"/>
                <w:szCs w:val="20"/>
              </w:rPr>
              <w:t>2025</w:t>
            </w:r>
          </w:p>
        </w:tc>
        <w:tc>
          <w:tcPr>
            <w:tcW w:w="1375" w:type="dxa"/>
            <w:tcBorders>
              <w:top w:val="nil"/>
              <w:left w:val="nil"/>
              <w:bottom w:val="single" w:sz="8" w:space="0" w:color="auto"/>
              <w:right w:val="nil"/>
            </w:tcBorders>
            <w:shd w:val="clear" w:color="auto" w:fill="FFFFFF" w:themeFill="background1"/>
            <w:vAlign w:val="bottom"/>
          </w:tcPr>
          <w:p w14:paraId="51B0DFAB" w14:textId="77777777" w:rsidR="00CB1CDF" w:rsidRPr="00C11875" w:rsidRDefault="00CB1CDF" w:rsidP="00005BE2">
            <w:pPr>
              <w:pStyle w:val="ListParagraph"/>
              <w:ind w:left="0"/>
              <w:contextualSpacing w:val="0"/>
              <w:jc w:val="center"/>
              <w:rPr>
                <w:b/>
                <w:bCs/>
                <w:sz w:val="20"/>
                <w:szCs w:val="20"/>
              </w:rPr>
            </w:pPr>
            <w:r w:rsidRPr="00C11875">
              <w:rPr>
                <w:b/>
                <w:bCs/>
                <w:sz w:val="20"/>
                <w:szCs w:val="20"/>
              </w:rPr>
              <w:t>2026</w:t>
            </w:r>
          </w:p>
        </w:tc>
        <w:tc>
          <w:tcPr>
            <w:tcW w:w="1375" w:type="dxa"/>
            <w:tcBorders>
              <w:top w:val="nil"/>
              <w:left w:val="nil"/>
              <w:bottom w:val="single" w:sz="8" w:space="0" w:color="auto"/>
              <w:right w:val="nil"/>
            </w:tcBorders>
            <w:shd w:val="clear" w:color="auto" w:fill="FFFFFF" w:themeFill="background1"/>
            <w:vAlign w:val="bottom"/>
          </w:tcPr>
          <w:p w14:paraId="098191DE" w14:textId="77777777" w:rsidR="00CB1CDF" w:rsidRPr="00C11875" w:rsidRDefault="00CB1CDF" w:rsidP="00005BE2">
            <w:pPr>
              <w:pStyle w:val="ListParagraph"/>
              <w:ind w:left="0"/>
              <w:contextualSpacing w:val="0"/>
              <w:jc w:val="center"/>
              <w:rPr>
                <w:b/>
                <w:bCs/>
                <w:sz w:val="20"/>
                <w:szCs w:val="20"/>
              </w:rPr>
            </w:pPr>
            <w:r w:rsidRPr="00C11875">
              <w:rPr>
                <w:b/>
                <w:bCs/>
                <w:sz w:val="20"/>
                <w:szCs w:val="20"/>
              </w:rPr>
              <w:t>2027</w:t>
            </w:r>
          </w:p>
        </w:tc>
        <w:tc>
          <w:tcPr>
            <w:tcW w:w="1269" w:type="dxa"/>
            <w:tcBorders>
              <w:top w:val="nil"/>
              <w:left w:val="nil"/>
              <w:bottom w:val="single" w:sz="8" w:space="0" w:color="auto"/>
              <w:right w:val="nil"/>
            </w:tcBorders>
            <w:shd w:val="clear" w:color="auto" w:fill="FFFFFF" w:themeFill="background1"/>
          </w:tcPr>
          <w:p w14:paraId="4AC5B6F5" w14:textId="77777777" w:rsidR="00CB1CDF" w:rsidRPr="00C11875" w:rsidRDefault="00CB1CDF" w:rsidP="00005BE2">
            <w:pPr>
              <w:pStyle w:val="ListParagraph"/>
              <w:ind w:left="0"/>
              <w:contextualSpacing w:val="0"/>
              <w:jc w:val="center"/>
              <w:rPr>
                <w:b/>
                <w:bCs/>
                <w:sz w:val="20"/>
                <w:szCs w:val="20"/>
              </w:rPr>
            </w:pPr>
            <w:r w:rsidRPr="00C11875">
              <w:rPr>
                <w:b/>
                <w:bCs/>
                <w:sz w:val="20"/>
                <w:szCs w:val="20"/>
              </w:rPr>
              <w:t>2028</w:t>
            </w:r>
          </w:p>
        </w:tc>
      </w:tr>
      <w:tr w:rsidR="00BE652E" w:rsidRPr="00F53BA5" w14:paraId="72AE5CBA" w14:textId="77777777" w:rsidTr="00540FCB">
        <w:tc>
          <w:tcPr>
            <w:tcW w:w="3672" w:type="dxa"/>
            <w:tcBorders>
              <w:top w:val="single" w:sz="8" w:space="0" w:color="auto"/>
              <w:left w:val="nil"/>
              <w:bottom w:val="single" w:sz="4" w:space="0" w:color="auto"/>
            </w:tcBorders>
            <w:shd w:val="clear" w:color="auto" w:fill="FFFFFF" w:themeFill="background1"/>
            <w:vAlign w:val="center"/>
          </w:tcPr>
          <w:p w14:paraId="4E4244FA" w14:textId="6D06A0DE" w:rsidR="00BE652E" w:rsidRPr="002B6702" w:rsidRDefault="00BE652E" w:rsidP="00BE652E">
            <w:pPr>
              <w:pStyle w:val="ListParagraph"/>
              <w:ind w:left="0"/>
              <w:contextualSpacing w:val="0"/>
              <w:jc w:val="left"/>
              <w:rPr>
                <w:sz w:val="20"/>
                <w:szCs w:val="20"/>
              </w:rPr>
            </w:pPr>
            <w:r w:rsidRPr="002B6702">
              <w:rPr>
                <w:sz w:val="20"/>
                <w:szCs w:val="20"/>
              </w:rPr>
              <w:t>AN ieņēmumi</w:t>
            </w:r>
          </w:p>
        </w:tc>
        <w:tc>
          <w:tcPr>
            <w:tcW w:w="1376" w:type="dxa"/>
            <w:tcBorders>
              <w:top w:val="single" w:sz="8" w:space="0" w:color="auto"/>
              <w:bottom w:val="single" w:sz="4" w:space="0" w:color="auto"/>
            </w:tcBorders>
            <w:shd w:val="clear" w:color="auto" w:fill="FFFFFF" w:themeFill="background1"/>
          </w:tcPr>
          <w:p w14:paraId="5F5D057B" w14:textId="1ED8E98C" w:rsidR="00BE652E" w:rsidRPr="00BE652E" w:rsidRDefault="00194F94" w:rsidP="00BE652E">
            <w:pPr>
              <w:pStyle w:val="ListParagraph"/>
              <w:ind w:left="0"/>
              <w:contextualSpacing w:val="0"/>
              <w:jc w:val="center"/>
              <w:rPr>
                <w:color w:val="00B050"/>
                <w:sz w:val="20"/>
                <w:szCs w:val="20"/>
              </w:rPr>
            </w:pPr>
            <w:r>
              <w:rPr>
                <w:color w:val="00B050"/>
                <w:sz w:val="20"/>
                <w:szCs w:val="20"/>
              </w:rPr>
              <w:t>+</w:t>
            </w:r>
            <w:r w:rsidR="00BE652E" w:rsidRPr="00BE652E">
              <w:rPr>
                <w:color w:val="00B050"/>
                <w:sz w:val="20"/>
                <w:szCs w:val="20"/>
              </w:rPr>
              <w:t>27</w:t>
            </w:r>
            <w:r w:rsidR="00221DAF">
              <w:rPr>
                <w:color w:val="00B050"/>
                <w:sz w:val="20"/>
                <w:szCs w:val="20"/>
              </w:rPr>
              <w:t> </w:t>
            </w:r>
            <w:r w:rsidR="00BE652E" w:rsidRPr="00BE652E">
              <w:rPr>
                <w:color w:val="00B050"/>
                <w:sz w:val="20"/>
                <w:szCs w:val="20"/>
              </w:rPr>
              <w:t>266</w:t>
            </w:r>
            <w:r w:rsidR="00221DAF">
              <w:rPr>
                <w:color w:val="00B050"/>
                <w:sz w:val="20"/>
                <w:szCs w:val="20"/>
              </w:rPr>
              <w:t xml:space="preserve"> 000</w:t>
            </w:r>
          </w:p>
        </w:tc>
        <w:tc>
          <w:tcPr>
            <w:tcW w:w="1375" w:type="dxa"/>
            <w:tcBorders>
              <w:top w:val="single" w:sz="8" w:space="0" w:color="auto"/>
              <w:bottom w:val="single" w:sz="4" w:space="0" w:color="auto"/>
            </w:tcBorders>
            <w:shd w:val="clear" w:color="auto" w:fill="FFFFFF" w:themeFill="background1"/>
          </w:tcPr>
          <w:p w14:paraId="0EA837A6" w14:textId="3E6F3B85" w:rsidR="00BE652E" w:rsidRPr="00BE652E" w:rsidRDefault="00194F94" w:rsidP="00BE652E">
            <w:pPr>
              <w:pStyle w:val="ListParagraph"/>
              <w:ind w:left="0"/>
              <w:contextualSpacing w:val="0"/>
              <w:jc w:val="center"/>
              <w:rPr>
                <w:color w:val="00B050"/>
                <w:sz w:val="20"/>
                <w:szCs w:val="20"/>
              </w:rPr>
            </w:pPr>
            <w:r>
              <w:rPr>
                <w:color w:val="00B050"/>
                <w:sz w:val="20"/>
                <w:szCs w:val="20"/>
              </w:rPr>
              <w:t>+</w:t>
            </w:r>
            <w:r w:rsidR="00BE652E" w:rsidRPr="00BE652E">
              <w:rPr>
                <w:color w:val="00B050"/>
                <w:sz w:val="20"/>
                <w:szCs w:val="20"/>
              </w:rPr>
              <w:t>51</w:t>
            </w:r>
            <w:r w:rsidR="00221DAF">
              <w:rPr>
                <w:color w:val="00B050"/>
                <w:sz w:val="20"/>
                <w:szCs w:val="20"/>
              </w:rPr>
              <w:t> </w:t>
            </w:r>
            <w:r w:rsidR="00BE652E" w:rsidRPr="00BE652E">
              <w:rPr>
                <w:color w:val="00B050"/>
                <w:sz w:val="20"/>
                <w:szCs w:val="20"/>
              </w:rPr>
              <w:t>658</w:t>
            </w:r>
            <w:r w:rsidR="00221DAF">
              <w:rPr>
                <w:color w:val="00B050"/>
                <w:sz w:val="20"/>
                <w:szCs w:val="20"/>
              </w:rPr>
              <w:t xml:space="preserve"> 000</w:t>
            </w:r>
          </w:p>
        </w:tc>
        <w:tc>
          <w:tcPr>
            <w:tcW w:w="1375" w:type="dxa"/>
            <w:tcBorders>
              <w:top w:val="single" w:sz="8" w:space="0" w:color="auto"/>
              <w:bottom w:val="single" w:sz="4" w:space="0" w:color="auto"/>
            </w:tcBorders>
            <w:shd w:val="clear" w:color="auto" w:fill="FFFFFF" w:themeFill="background1"/>
          </w:tcPr>
          <w:p w14:paraId="666B875C" w14:textId="7799B274" w:rsidR="00BE652E" w:rsidRPr="009D6055" w:rsidRDefault="00422B4D" w:rsidP="00BE652E">
            <w:pPr>
              <w:pStyle w:val="ListParagraph"/>
              <w:ind w:left="0"/>
              <w:contextualSpacing w:val="0"/>
              <w:jc w:val="center"/>
              <w:rPr>
                <w:color w:val="00B050"/>
                <w:sz w:val="20"/>
                <w:szCs w:val="20"/>
              </w:rPr>
            </w:pPr>
            <w:r>
              <w:rPr>
                <w:color w:val="00B050"/>
                <w:sz w:val="20"/>
                <w:szCs w:val="20"/>
              </w:rPr>
              <w:t>+4</w:t>
            </w:r>
            <w:r w:rsidR="00221DAF">
              <w:rPr>
                <w:color w:val="00B050"/>
                <w:sz w:val="20"/>
                <w:szCs w:val="20"/>
              </w:rPr>
              <w:t> </w:t>
            </w:r>
            <w:r>
              <w:rPr>
                <w:color w:val="00B050"/>
                <w:sz w:val="20"/>
                <w:szCs w:val="20"/>
              </w:rPr>
              <w:t>837</w:t>
            </w:r>
            <w:r w:rsidR="00221DAF">
              <w:rPr>
                <w:color w:val="00B050"/>
                <w:sz w:val="20"/>
                <w:szCs w:val="20"/>
              </w:rPr>
              <w:t xml:space="preserve"> 000</w:t>
            </w:r>
          </w:p>
        </w:tc>
        <w:tc>
          <w:tcPr>
            <w:tcW w:w="1269" w:type="dxa"/>
            <w:tcBorders>
              <w:top w:val="single" w:sz="8" w:space="0" w:color="auto"/>
              <w:bottom w:val="single" w:sz="4" w:space="0" w:color="auto"/>
              <w:right w:val="nil"/>
            </w:tcBorders>
            <w:shd w:val="clear" w:color="auto" w:fill="FFFFFF" w:themeFill="background1"/>
          </w:tcPr>
          <w:p w14:paraId="4634CD22" w14:textId="4AF7E92A" w:rsidR="00BE652E" w:rsidRPr="00777F80" w:rsidRDefault="00777F80" w:rsidP="00BE652E">
            <w:pPr>
              <w:pStyle w:val="ListParagraph"/>
              <w:ind w:left="0"/>
              <w:contextualSpacing w:val="0"/>
              <w:jc w:val="center"/>
              <w:rPr>
                <w:sz w:val="20"/>
                <w:szCs w:val="20"/>
              </w:rPr>
            </w:pPr>
            <w:r w:rsidRPr="00777F80">
              <w:rPr>
                <w:sz w:val="20"/>
                <w:szCs w:val="20"/>
              </w:rPr>
              <w:t>-</w:t>
            </w:r>
          </w:p>
        </w:tc>
      </w:tr>
      <w:tr w:rsidR="00BE652E" w:rsidRPr="00F53BA5" w14:paraId="7B1467D8" w14:textId="77777777" w:rsidTr="00540FCB">
        <w:tc>
          <w:tcPr>
            <w:tcW w:w="3672" w:type="dxa"/>
            <w:tcBorders>
              <w:top w:val="single" w:sz="4" w:space="0" w:color="auto"/>
              <w:left w:val="nil"/>
              <w:bottom w:val="single" w:sz="4" w:space="0" w:color="auto"/>
            </w:tcBorders>
            <w:shd w:val="clear" w:color="auto" w:fill="FFFFFF" w:themeFill="background1"/>
            <w:vAlign w:val="center"/>
          </w:tcPr>
          <w:p w14:paraId="29147FC5" w14:textId="3256691F" w:rsidR="00BE652E" w:rsidRPr="002B6702" w:rsidRDefault="00BE652E" w:rsidP="00BE652E">
            <w:pPr>
              <w:pStyle w:val="ListParagraph"/>
              <w:ind w:left="0"/>
              <w:contextualSpacing w:val="0"/>
              <w:jc w:val="left"/>
              <w:rPr>
                <w:sz w:val="20"/>
                <w:szCs w:val="20"/>
              </w:rPr>
            </w:pPr>
            <w:r w:rsidRPr="002B6702">
              <w:rPr>
                <w:sz w:val="20"/>
                <w:szCs w:val="20"/>
              </w:rPr>
              <w:t>PVN ieņēmumi</w:t>
            </w:r>
          </w:p>
        </w:tc>
        <w:tc>
          <w:tcPr>
            <w:tcW w:w="1376" w:type="dxa"/>
            <w:tcBorders>
              <w:top w:val="single" w:sz="4" w:space="0" w:color="auto"/>
              <w:bottom w:val="single" w:sz="4" w:space="0" w:color="auto"/>
            </w:tcBorders>
            <w:shd w:val="clear" w:color="auto" w:fill="FFFFFF" w:themeFill="background1"/>
          </w:tcPr>
          <w:p w14:paraId="12766F27" w14:textId="4EAE1C5C" w:rsidR="00BE652E" w:rsidRPr="00BE652E" w:rsidRDefault="00194F94" w:rsidP="00BE652E">
            <w:pPr>
              <w:pStyle w:val="ListParagraph"/>
              <w:ind w:left="0"/>
              <w:contextualSpacing w:val="0"/>
              <w:jc w:val="center"/>
              <w:rPr>
                <w:color w:val="00B050"/>
                <w:sz w:val="20"/>
                <w:szCs w:val="20"/>
              </w:rPr>
            </w:pPr>
            <w:r>
              <w:rPr>
                <w:color w:val="00B050"/>
                <w:sz w:val="20"/>
                <w:szCs w:val="20"/>
              </w:rPr>
              <w:t>+</w:t>
            </w:r>
            <w:r w:rsidR="00BE652E" w:rsidRPr="00BE652E">
              <w:rPr>
                <w:color w:val="00B050"/>
                <w:sz w:val="20"/>
                <w:szCs w:val="20"/>
              </w:rPr>
              <w:t>5</w:t>
            </w:r>
            <w:r w:rsidR="00221DAF">
              <w:rPr>
                <w:color w:val="00B050"/>
                <w:sz w:val="20"/>
                <w:szCs w:val="20"/>
              </w:rPr>
              <w:t> </w:t>
            </w:r>
            <w:r w:rsidR="00BE652E" w:rsidRPr="00BE652E">
              <w:rPr>
                <w:color w:val="00B050"/>
                <w:sz w:val="20"/>
                <w:szCs w:val="20"/>
              </w:rPr>
              <w:t>726</w:t>
            </w:r>
            <w:r w:rsidR="00221DAF">
              <w:rPr>
                <w:color w:val="00B050"/>
                <w:sz w:val="20"/>
                <w:szCs w:val="20"/>
              </w:rPr>
              <w:t xml:space="preserve"> 000</w:t>
            </w:r>
          </w:p>
        </w:tc>
        <w:tc>
          <w:tcPr>
            <w:tcW w:w="1375" w:type="dxa"/>
            <w:tcBorders>
              <w:top w:val="single" w:sz="4" w:space="0" w:color="auto"/>
              <w:bottom w:val="single" w:sz="4" w:space="0" w:color="auto"/>
            </w:tcBorders>
            <w:shd w:val="clear" w:color="auto" w:fill="FFFFFF" w:themeFill="background1"/>
          </w:tcPr>
          <w:p w14:paraId="6492E2B0" w14:textId="7762598B" w:rsidR="00BE652E" w:rsidRPr="00BE652E" w:rsidRDefault="00194F94" w:rsidP="00BE652E">
            <w:pPr>
              <w:pStyle w:val="ListParagraph"/>
              <w:ind w:left="0"/>
              <w:contextualSpacing w:val="0"/>
              <w:jc w:val="center"/>
              <w:rPr>
                <w:color w:val="00B050"/>
                <w:sz w:val="20"/>
                <w:szCs w:val="20"/>
              </w:rPr>
            </w:pPr>
            <w:r>
              <w:rPr>
                <w:color w:val="00B050"/>
                <w:sz w:val="20"/>
                <w:szCs w:val="20"/>
              </w:rPr>
              <w:t>+</w:t>
            </w:r>
            <w:r w:rsidR="00BE652E" w:rsidRPr="00BE652E">
              <w:rPr>
                <w:color w:val="00B050"/>
                <w:sz w:val="20"/>
                <w:szCs w:val="20"/>
              </w:rPr>
              <w:t>10</w:t>
            </w:r>
            <w:r w:rsidR="00221DAF">
              <w:rPr>
                <w:color w:val="00B050"/>
                <w:sz w:val="20"/>
                <w:szCs w:val="20"/>
              </w:rPr>
              <w:t xml:space="preserve"> </w:t>
            </w:r>
            <w:r w:rsidR="00BE652E" w:rsidRPr="00BE652E">
              <w:rPr>
                <w:color w:val="00B050"/>
                <w:sz w:val="20"/>
                <w:szCs w:val="20"/>
              </w:rPr>
              <w:t>847</w:t>
            </w:r>
            <w:r w:rsidR="00221DAF">
              <w:rPr>
                <w:color w:val="00B050"/>
                <w:sz w:val="20"/>
                <w:szCs w:val="20"/>
              </w:rPr>
              <w:t xml:space="preserve"> 000</w:t>
            </w:r>
          </w:p>
        </w:tc>
        <w:tc>
          <w:tcPr>
            <w:tcW w:w="1375" w:type="dxa"/>
            <w:tcBorders>
              <w:top w:val="single" w:sz="4" w:space="0" w:color="auto"/>
              <w:bottom w:val="single" w:sz="4" w:space="0" w:color="auto"/>
            </w:tcBorders>
            <w:shd w:val="clear" w:color="auto" w:fill="FFFFFF" w:themeFill="background1"/>
          </w:tcPr>
          <w:p w14:paraId="720F6AA0" w14:textId="1A50AD77" w:rsidR="00BE652E" w:rsidRPr="009D6055" w:rsidRDefault="00422B4D" w:rsidP="00BE652E">
            <w:pPr>
              <w:pStyle w:val="ListParagraph"/>
              <w:ind w:left="0"/>
              <w:contextualSpacing w:val="0"/>
              <w:jc w:val="center"/>
              <w:rPr>
                <w:color w:val="00B050"/>
                <w:sz w:val="20"/>
                <w:szCs w:val="20"/>
              </w:rPr>
            </w:pPr>
            <w:r>
              <w:rPr>
                <w:color w:val="00B050"/>
                <w:sz w:val="20"/>
                <w:szCs w:val="20"/>
              </w:rPr>
              <w:t>+2</w:t>
            </w:r>
            <w:r w:rsidR="00221DAF">
              <w:rPr>
                <w:color w:val="00B050"/>
                <w:sz w:val="20"/>
                <w:szCs w:val="20"/>
              </w:rPr>
              <w:t> </w:t>
            </w:r>
            <w:r>
              <w:rPr>
                <w:color w:val="00B050"/>
                <w:sz w:val="20"/>
                <w:szCs w:val="20"/>
              </w:rPr>
              <w:t>137</w:t>
            </w:r>
            <w:r w:rsidR="00221DAF">
              <w:rPr>
                <w:color w:val="00B050"/>
                <w:sz w:val="20"/>
                <w:szCs w:val="20"/>
              </w:rPr>
              <w:t xml:space="preserve"> 000</w:t>
            </w:r>
          </w:p>
        </w:tc>
        <w:tc>
          <w:tcPr>
            <w:tcW w:w="1269" w:type="dxa"/>
            <w:tcBorders>
              <w:top w:val="single" w:sz="4" w:space="0" w:color="auto"/>
              <w:bottom w:val="single" w:sz="4" w:space="0" w:color="auto"/>
              <w:right w:val="nil"/>
            </w:tcBorders>
            <w:shd w:val="clear" w:color="auto" w:fill="FFFFFF" w:themeFill="background1"/>
          </w:tcPr>
          <w:p w14:paraId="547A8385" w14:textId="23B8DEA1" w:rsidR="00BE652E" w:rsidRPr="00777F80" w:rsidRDefault="00777F80" w:rsidP="00BE652E">
            <w:pPr>
              <w:pStyle w:val="ListParagraph"/>
              <w:ind w:left="0"/>
              <w:contextualSpacing w:val="0"/>
              <w:jc w:val="center"/>
              <w:rPr>
                <w:sz w:val="20"/>
                <w:szCs w:val="20"/>
              </w:rPr>
            </w:pPr>
            <w:r w:rsidRPr="00777F80">
              <w:rPr>
                <w:sz w:val="20"/>
                <w:szCs w:val="20"/>
              </w:rPr>
              <w:t>-</w:t>
            </w:r>
          </w:p>
        </w:tc>
      </w:tr>
      <w:tr w:rsidR="00850F47" w:rsidRPr="002B6702" w14:paraId="778F1DE8" w14:textId="77777777" w:rsidTr="00850F47">
        <w:tc>
          <w:tcPr>
            <w:tcW w:w="3672" w:type="dxa"/>
            <w:tcBorders>
              <w:left w:val="nil"/>
              <w:bottom w:val="nil"/>
            </w:tcBorders>
            <w:shd w:val="clear" w:color="auto" w:fill="F2F2F2" w:themeFill="background1" w:themeFillShade="F2"/>
            <w:vAlign w:val="center"/>
          </w:tcPr>
          <w:p w14:paraId="609473AD" w14:textId="004DBD02" w:rsidR="00850F47" w:rsidRPr="002B6702" w:rsidRDefault="00850F47" w:rsidP="00850F47">
            <w:pPr>
              <w:rPr>
                <w:i/>
                <w:iCs/>
                <w:sz w:val="20"/>
                <w:szCs w:val="20"/>
              </w:rPr>
            </w:pPr>
            <w:r w:rsidRPr="002B6702">
              <w:rPr>
                <w:b/>
                <w:bCs/>
                <w:sz w:val="20"/>
                <w:szCs w:val="20"/>
              </w:rPr>
              <w:t>KOPĀ</w:t>
            </w:r>
            <w:r w:rsidRPr="002B6702">
              <w:rPr>
                <w:i/>
                <w:iCs/>
                <w:sz w:val="20"/>
                <w:szCs w:val="20"/>
              </w:rPr>
              <w:t>, no tā:</w:t>
            </w:r>
          </w:p>
        </w:tc>
        <w:tc>
          <w:tcPr>
            <w:tcW w:w="1376" w:type="dxa"/>
            <w:tcBorders>
              <w:bottom w:val="nil"/>
            </w:tcBorders>
            <w:shd w:val="clear" w:color="auto" w:fill="F2F2F2" w:themeFill="background1" w:themeFillShade="F2"/>
            <w:vAlign w:val="center"/>
          </w:tcPr>
          <w:p w14:paraId="3A269E79" w14:textId="3F0D6362" w:rsidR="00850F47" w:rsidRPr="002B6702" w:rsidRDefault="00850F47" w:rsidP="00850F47">
            <w:pPr>
              <w:pStyle w:val="ListParagraph"/>
              <w:ind w:left="0"/>
              <w:contextualSpacing w:val="0"/>
              <w:jc w:val="center"/>
              <w:rPr>
                <w:i/>
                <w:iCs/>
                <w:color w:val="00B050"/>
                <w:sz w:val="20"/>
                <w:szCs w:val="20"/>
              </w:rPr>
            </w:pPr>
            <w:r w:rsidRPr="002B6702">
              <w:rPr>
                <w:b/>
                <w:bCs/>
                <w:color w:val="00B050"/>
                <w:sz w:val="20"/>
                <w:szCs w:val="20"/>
              </w:rPr>
              <w:t>+3</w:t>
            </w:r>
            <w:r w:rsidR="000605CD">
              <w:rPr>
                <w:b/>
                <w:bCs/>
                <w:color w:val="00B050"/>
                <w:sz w:val="20"/>
                <w:szCs w:val="20"/>
              </w:rPr>
              <w:t>2</w:t>
            </w:r>
            <w:r w:rsidR="00221DAF">
              <w:rPr>
                <w:b/>
                <w:bCs/>
                <w:color w:val="00B050"/>
                <w:sz w:val="20"/>
                <w:szCs w:val="20"/>
              </w:rPr>
              <w:t xml:space="preserve"> </w:t>
            </w:r>
            <w:r w:rsidR="000605CD">
              <w:rPr>
                <w:b/>
                <w:bCs/>
                <w:color w:val="00B050"/>
                <w:sz w:val="20"/>
                <w:szCs w:val="20"/>
              </w:rPr>
              <w:t>992</w:t>
            </w:r>
            <w:r w:rsidR="00221DAF">
              <w:rPr>
                <w:b/>
                <w:bCs/>
                <w:color w:val="00B050"/>
                <w:sz w:val="20"/>
                <w:szCs w:val="20"/>
              </w:rPr>
              <w:t xml:space="preserve"> 000</w:t>
            </w:r>
          </w:p>
        </w:tc>
        <w:tc>
          <w:tcPr>
            <w:tcW w:w="1375" w:type="dxa"/>
            <w:tcBorders>
              <w:bottom w:val="nil"/>
            </w:tcBorders>
            <w:shd w:val="clear" w:color="auto" w:fill="F2F2F2" w:themeFill="background1" w:themeFillShade="F2"/>
            <w:vAlign w:val="center"/>
          </w:tcPr>
          <w:p w14:paraId="769A4DA3" w14:textId="342A35F4" w:rsidR="00850F47" w:rsidRPr="002B6702" w:rsidRDefault="00850F47" w:rsidP="00850F47">
            <w:pPr>
              <w:pStyle w:val="ListParagraph"/>
              <w:ind w:left="0"/>
              <w:contextualSpacing w:val="0"/>
              <w:jc w:val="center"/>
              <w:rPr>
                <w:i/>
                <w:iCs/>
                <w:color w:val="00B050"/>
                <w:sz w:val="20"/>
                <w:szCs w:val="20"/>
              </w:rPr>
            </w:pPr>
            <w:r w:rsidRPr="002B6702">
              <w:rPr>
                <w:b/>
                <w:bCs/>
                <w:color w:val="00B050"/>
                <w:sz w:val="20"/>
                <w:szCs w:val="20"/>
              </w:rPr>
              <w:t>+62</w:t>
            </w:r>
            <w:r w:rsidR="00221DAF">
              <w:rPr>
                <w:b/>
                <w:bCs/>
                <w:color w:val="00B050"/>
                <w:sz w:val="20"/>
                <w:szCs w:val="20"/>
              </w:rPr>
              <w:t> </w:t>
            </w:r>
            <w:r w:rsidRPr="002B6702">
              <w:rPr>
                <w:b/>
                <w:bCs/>
                <w:color w:val="00B050"/>
                <w:sz w:val="20"/>
                <w:szCs w:val="20"/>
              </w:rPr>
              <w:t>5</w:t>
            </w:r>
            <w:r w:rsidR="000605CD">
              <w:rPr>
                <w:b/>
                <w:bCs/>
                <w:color w:val="00B050"/>
                <w:sz w:val="20"/>
                <w:szCs w:val="20"/>
              </w:rPr>
              <w:t>05</w:t>
            </w:r>
            <w:r w:rsidR="00221DAF">
              <w:rPr>
                <w:b/>
                <w:bCs/>
                <w:color w:val="00B050"/>
                <w:sz w:val="20"/>
                <w:szCs w:val="20"/>
              </w:rPr>
              <w:t xml:space="preserve"> 000</w:t>
            </w:r>
          </w:p>
        </w:tc>
        <w:tc>
          <w:tcPr>
            <w:tcW w:w="1375" w:type="dxa"/>
            <w:tcBorders>
              <w:bottom w:val="nil"/>
            </w:tcBorders>
            <w:shd w:val="clear" w:color="auto" w:fill="F2F2F2" w:themeFill="background1" w:themeFillShade="F2"/>
            <w:vAlign w:val="center"/>
          </w:tcPr>
          <w:p w14:paraId="18A16393" w14:textId="45D53369" w:rsidR="00850F47" w:rsidRPr="009D6055" w:rsidRDefault="009D6055" w:rsidP="00850F47">
            <w:pPr>
              <w:pStyle w:val="ListParagraph"/>
              <w:ind w:left="0"/>
              <w:contextualSpacing w:val="0"/>
              <w:jc w:val="center"/>
              <w:rPr>
                <w:i/>
                <w:iCs/>
                <w:color w:val="00B050"/>
                <w:sz w:val="20"/>
                <w:szCs w:val="20"/>
              </w:rPr>
            </w:pPr>
            <w:r w:rsidRPr="009D6055">
              <w:rPr>
                <w:b/>
                <w:bCs/>
                <w:color w:val="00B050"/>
                <w:sz w:val="20"/>
                <w:szCs w:val="20"/>
              </w:rPr>
              <w:t>+6</w:t>
            </w:r>
            <w:r w:rsidR="00221DAF">
              <w:rPr>
                <w:b/>
                <w:bCs/>
                <w:color w:val="00B050"/>
                <w:sz w:val="20"/>
                <w:szCs w:val="20"/>
              </w:rPr>
              <w:t> </w:t>
            </w:r>
            <w:r w:rsidRPr="009D6055">
              <w:rPr>
                <w:b/>
                <w:bCs/>
                <w:color w:val="00B050"/>
                <w:sz w:val="20"/>
                <w:szCs w:val="20"/>
              </w:rPr>
              <w:t>974</w:t>
            </w:r>
            <w:r w:rsidR="00221DAF">
              <w:rPr>
                <w:b/>
                <w:bCs/>
                <w:color w:val="00B050"/>
                <w:sz w:val="20"/>
                <w:szCs w:val="20"/>
              </w:rPr>
              <w:t xml:space="preserve"> 000</w:t>
            </w:r>
          </w:p>
        </w:tc>
        <w:tc>
          <w:tcPr>
            <w:tcW w:w="1269" w:type="dxa"/>
            <w:tcBorders>
              <w:bottom w:val="nil"/>
              <w:right w:val="nil"/>
            </w:tcBorders>
            <w:shd w:val="clear" w:color="auto" w:fill="F2F2F2" w:themeFill="background1" w:themeFillShade="F2"/>
            <w:vAlign w:val="center"/>
          </w:tcPr>
          <w:p w14:paraId="0275AD89" w14:textId="06418F53" w:rsidR="00850F47" w:rsidRPr="00777F80" w:rsidRDefault="00777F80" w:rsidP="00850F47">
            <w:pPr>
              <w:pStyle w:val="ListParagraph"/>
              <w:ind w:left="0"/>
              <w:contextualSpacing w:val="0"/>
              <w:jc w:val="center"/>
              <w:rPr>
                <w:i/>
                <w:iCs/>
                <w:sz w:val="20"/>
                <w:szCs w:val="20"/>
              </w:rPr>
            </w:pPr>
            <w:r w:rsidRPr="00777F80">
              <w:rPr>
                <w:i/>
                <w:iCs/>
                <w:sz w:val="20"/>
                <w:szCs w:val="20"/>
              </w:rPr>
              <w:t>-</w:t>
            </w:r>
          </w:p>
        </w:tc>
      </w:tr>
      <w:tr w:rsidR="00850F47" w:rsidRPr="002B6702" w14:paraId="0E6457FB" w14:textId="77777777" w:rsidTr="00005BE2">
        <w:tc>
          <w:tcPr>
            <w:tcW w:w="3672" w:type="dxa"/>
            <w:tcBorders>
              <w:left w:val="nil"/>
              <w:bottom w:val="nil"/>
            </w:tcBorders>
            <w:shd w:val="clear" w:color="auto" w:fill="FFFFFF" w:themeFill="background1"/>
            <w:vAlign w:val="center"/>
          </w:tcPr>
          <w:p w14:paraId="2628416F" w14:textId="77777777" w:rsidR="00850F47" w:rsidRPr="002B6702" w:rsidRDefault="00850F47" w:rsidP="00850F47">
            <w:pPr>
              <w:pStyle w:val="ListParagraph"/>
              <w:numPr>
                <w:ilvl w:val="0"/>
                <w:numId w:val="9"/>
              </w:numPr>
              <w:tabs>
                <w:tab w:val="clear" w:pos="720"/>
                <w:tab w:val="num" w:pos="306"/>
              </w:tabs>
              <w:ind w:hanging="698"/>
              <w:contextualSpacing w:val="0"/>
              <w:jc w:val="left"/>
              <w:rPr>
                <w:i/>
                <w:iCs/>
                <w:sz w:val="20"/>
                <w:szCs w:val="20"/>
              </w:rPr>
            </w:pPr>
            <w:r w:rsidRPr="002B6702">
              <w:rPr>
                <w:i/>
                <w:iCs/>
                <w:sz w:val="20"/>
                <w:szCs w:val="20"/>
              </w:rPr>
              <w:t>valsts pamatbudžetā</w:t>
            </w:r>
          </w:p>
        </w:tc>
        <w:tc>
          <w:tcPr>
            <w:tcW w:w="1376" w:type="dxa"/>
            <w:tcBorders>
              <w:bottom w:val="nil"/>
            </w:tcBorders>
            <w:shd w:val="clear" w:color="auto" w:fill="FFFFFF" w:themeFill="background1"/>
            <w:vAlign w:val="center"/>
          </w:tcPr>
          <w:p w14:paraId="71630E85" w14:textId="4BF43660" w:rsidR="00850F47" w:rsidRPr="002B6702" w:rsidRDefault="00850F47" w:rsidP="00850F47">
            <w:pPr>
              <w:pStyle w:val="ListParagraph"/>
              <w:ind w:left="0"/>
              <w:contextualSpacing w:val="0"/>
              <w:jc w:val="center"/>
              <w:rPr>
                <w:i/>
                <w:iCs/>
                <w:color w:val="00B050"/>
                <w:sz w:val="20"/>
                <w:szCs w:val="20"/>
              </w:rPr>
            </w:pPr>
            <w:r w:rsidRPr="002B6702">
              <w:rPr>
                <w:i/>
                <w:iCs/>
                <w:color w:val="00B050"/>
                <w:sz w:val="20"/>
                <w:szCs w:val="20"/>
              </w:rPr>
              <w:t>+</w:t>
            </w:r>
            <w:r w:rsidR="000605CD" w:rsidRPr="000605CD">
              <w:rPr>
                <w:i/>
                <w:iCs/>
                <w:color w:val="00B050"/>
                <w:sz w:val="20"/>
                <w:szCs w:val="20"/>
              </w:rPr>
              <w:t>32</w:t>
            </w:r>
            <w:r w:rsidR="00221DAF">
              <w:rPr>
                <w:i/>
                <w:iCs/>
                <w:color w:val="00B050"/>
                <w:sz w:val="20"/>
                <w:szCs w:val="20"/>
              </w:rPr>
              <w:t xml:space="preserve"> </w:t>
            </w:r>
            <w:r w:rsidR="000605CD" w:rsidRPr="000605CD">
              <w:rPr>
                <w:i/>
                <w:iCs/>
                <w:color w:val="00B050"/>
                <w:sz w:val="20"/>
                <w:szCs w:val="20"/>
              </w:rPr>
              <w:t>992</w:t>
            </w:r>
            <w:r w:rsidR="00221DAF">
              <w:rPr>
                <w:i/>
                <w:iCs/>
                <w:color w:val="00B050"/>
                <w:sz w:val="20"/>
                <w:szCs w:val="20"/>
              </w:rPr>
              <w:t xml:space="preserve"> 000</w:t>
            </w:r>
          </w:p>
        </w:tc>
        <w:tc>
          <w:tcPr>
            <w:tcW w:w="1375" w:type="dxa"/>
            <w:tcBorders>
              <w:bottom w:val="nil"/>
            </w:tcBorders>
            <w:shd w:val="clear" w:color="auto" w:fill="FFFFFF" w:themeFill="background1"/>
            <w:vAlign w:val="center"/>
          </w:tcPr>
          <w:p w14:paraId="0031044C" w14:textId="37D50B5E" w:rsidR="00850F47" w:rsidRPr="002B6702" w:rsidRDefault="00850F47" w:rsidP="00850F47">
            <w:pPr>
              <w:pStyle w:val="ListParagraph"/>
              <w:ind w:left="0"/>
              <w:contextualSpacing w:val="0"/>
              <w:jc w:val="center"/>
              <w:rPr>
                <w:i/>
                <w:iCs/>
                <w:color w:val="00B050"/>
                <w:sz w:val="20"/>
                <w:szCs w:val="20"/>
              </w:rPr>
            </w:pPr>
            <w:r w:rsidRPr="002B6702">
              <w:rPr>
                <w:i/>
                <w:iCs/>
                <w:color w:val="00B050"/>
                <w:sz w:val="20"/>
                <w:szCs w:val="20"/>
              </w:rPr>
              <w:t>+62</w:t>
            </w:r>
            <w:r w:rsidR="00221DAF">
              <w:rPr>
                <w:i/>
                <w:iCs/>
                <w:color w:val="00B050"/>
                <w:sz w:val="20"/>
                <w:szCs w:val="20"/>
              </w:rPr>
              <w:t xml:space="preserve"> </w:t>
            </w:r>
            <w:r w:rsidRPr="002B6702">
              <w:rPr>
                <w:i/>
                <w:iCs/>
                <w:color w:val="00B050"/>
                <w:sz w:val="20"/>
                <w:szCs w:val="20"/>
              </w:rPr>
              <w:t>5</w:t>
            </w:r>
            <w:r w:rsidR="000605CD">
              <w:rPr>
                <w:i/>
                <w:iCs/>
                <w:color w:val="00B050"/>
                <w:sz w:val="20"/>
                <w:szCs w:val="20"/>
              </w:rPr>
              <w:t>05</w:t>
            </w:r>
            <w:r w:rsidR="00221DAF">
              <w:rPr>
                <w:i/>
                <w:iCs/>
                <w:color w:val="00B050"/>
                <w:sz w:val="20"/>
                <w:szCs w:val="20"/>
              </w:rPr>
              <w:t xml:space="preserve"> 000</w:t>
            </w:r>
          </w:p>
        </w:tc>
        <w:tc>
          <w:tcPr>
            <w:tcW w:w="1375" w:type="dxa"/>
            <w:tcBorders>
              <w:bottom w:val="nil"/>
            </w:tcBorders>
            <w:shd w:val="clear" w:color="auto" w:fill="FFFFFF" w:themeFill="background1"/>
            <w:vAlign w:val="center"/>
          </w:tcPr>
          <w:p w14:paraId="737E9460" w14:textId="62AE9DC6" w:rsidR="00850F47" w:rsidRPr="009D6055" w:rsidRDefault="009D6055" w:rsidP="00850F47">
            <w:pPr>
              <w:pStyle w:val="ListParagraph"/>
              <w:ind w:left="0"/>
              <w:contextualSpacing w:val="0"/>
              <w:jc w:val="center"/>
              <w:rPr>
                <w:i/>
                <w:iCs/>
                <w:color w:val="00B050"/>
                <w:sz w:val="20"/>
                <w:szCs w:val="20"/>
              </w:rPr>
            </w:pPr>
            <w:r w:rsidRPr="009D6055">
              <w:rPr>
                <w:i/>
                <w:iCs/>
                <w:color w:val="00B050"/>
                <w:sz w:val="20"/>
                <w:szCs w:val="20"/>
              </w:rPr>
              <w:t>+6</w:t>
            </w:r>
            <w:r w:rsidR="00221DAF">
              <w:rPr>
                <w:i/>
                <w:iCs/>
                <w:color w:val="00B050"/>
                <w:sz w:val="20"/>
                <w:szCs w:val="20"/>
              </w:rPr>
              <w:t> </w:t>
            </w:r>
            <w:r w:rsidRPr="009D6055">
              <w:rPr>
                <w:i/>
                <w:iCs/>
                <w:color w:val="00B050"/>
                <w:sz w:val="20"/>
                <w:szCs w:val="20"/>
              </w:rPr>
              <w:t>974</w:t>
            </w:r>
            <w:r w:rsidR="00221DAF">
              <w:rPr>
                <w:i/>
                <w:iCs/>
                <w:color w:val="00B050"/>
                <w:sz w:val="20"/>
                <w:szCs w:val="20"/>
              </w:rPr>
              <w:t xml:space="preserve"> 000</w:t>
            </w:r>
          </w:p>
        </w:tc>
        <w:tc>
          <w:tcPr>
            <w:tcW w:w="1269" w:type="dxa"/>
            <w:tcBorders>
              <w:bottom w:val="nil"/>
              <w:right w:val="nil"/>
            </w:tcBorders>
            <w:shd w:val="clear" w:color="auto" w:fill="FFFFFF" w:themeFill="background1"/>
            <w:vAlign w:val="center"/>
          </w:tcPr>
          <w:p w14:paraId="5A0F0CA1" w14:textId="1C24058C" w:rsidR="00850F47" w:rsidRPr="00777F80" w:rsidRDefault="00777F80" w:rsidP="00850F47">
            <w:pPr>
              <w:pStyle w:val="ListParagraph"/>
              <w:ind w:left="0"/>
              <w:contextualSpacing w:val="0"/>
              <w:jc w:val="center"/>
              <w:rPr>
                <w:i/>
                <w:iCs/>
                <w:sz w:val="20"/>
                <w:szCs w:val="20"/>
              </w:rPr>
            </w:pPr>
            <w:r w:rsidRPr="00777F80">
              <w:rPr>
                <w:i/>
                <w:iCs/>
                <w:sz w:val="20"/>
                <w:szCs w:val="20"/>
              </w:rPr>
              <w:t>-</w:t>
            </w:r>
          </w:p>
        </w:tc>
      </w:tr>
    </w:tbl>
    <w:p w14:paraId="1B2EBD94" w14:textId="77777777" w:rsidR="00FA7FB6" w:rsidRPr="000203BA" w:rsidRDefault="00FA7FB6" w:rsidP="00FA7FB6">
      <w:pPr>
        <w:tabs>
          <w:tab w:val="left" w:pos="426"/>
        </w:tabs>
        <w:spacing w:before="120" w:after="120"/>
        <w:rPr>
          <w:rFonts w:cs="Times New Roman"/>
          <w:i/>
          <w:sz w:val="18"/>
        </w:rPr>
      </w:pPr>
      <w:r w:rsidRPr="000203BA">
        <w:rPr>
          <w:rFonts w:cs="Times New Roman"/>
          <w:b/>
          <w:bCs/>
          <w:i/>
          <w:sz w:val="18"/>
        </w:rPr>
        <w:t>Avots</w:t>
      </w:r>
      <w:r w:rsidRPr="000203BA">
        <w:rPr>
          <w:rFonts w:cs="Times New Roman"/>
          <w:i/>
          <w:sz w:val="18"/>
        </w:rPr>
        <w:t>: FM aprēķini.</w:t>
      </w:r>
    </w:p>
    <w:p w14:paraId="3F75CA1F" w14:textId="77777777" w:rsidR="00F51111" w:rsidRDefault="00F51111" w:rsidP="00F51111">
      <w:pPr>
        <w:pStyle w:val="ListParagraph"/>
        <w:spacing w:before="120" w:after="120"/>
        <w:ind w:left="1066"/>
        <w:rPr>
          <w:b/>
          <w:bCs/>
          <w:sz w:val="12"/>
          <w:szCs w:val="12"/>
        </w:rPr>
      </w:pPr>
    </w:p>
    <w:p w14:paraId="6B822BFC" w14:textId="431352F7" w:rsidR="00CD1EC4" w:rsidRPr="00CD1EC4" w:rsidRDefault="00CD1EC4" w:rsidP="00FF31ED">
      <w:pPr>
        <w:pStyle w:val="Heading2"/>
        <w:numPr>
          <w:ilvl w:val="1"/>
          <w:numId w:val="12"/>
        </w:numPr>
        <w:ind w:left="567" w:hanging="567"/>
        <w:rPr>
          <w:rFonts w:eastAsia="Calibri"/>
        </w:rPr>
      </w:pPr>
      <w:bookmarkStart w:id="49" w:name="_Toc177627713"/>
      <w:r w:rsidRPr="00CD1EC4">
        <w:rPr>
          <w:rFonts w:eastAsia="Calibri"/>
        </w:rPr>
        <w:t>A</w:t>
      </w:r>
      <w:r w:rsidR="000C6E7C">
        <w:rPr>
          <w:rFonts w:eastAsia="Calibri"/>
        </w:rPr>
        <w:t xml:space="preserve">kcīzes nodokļa </w:t>
      </w:r>
      <w:r w:rsidRPr="00CD1EC4">
        <w:rPr>
          <w:rFonts w:eastAsia="Calibri"/>
        </w:rPr>
        <w:t>likm</w:t>
      </w:r>
      <w:r w:rsidR="00850F47">
        <w:rPr>
          <w:rFonts w:eastAsia="Calibri"/>
        </w:rPr>
        <w:t>ju</w:t>
      </w:r>
      <w:r w:rsidRPr="00CD1EC4">
        <w:rPr>
          <w:rFonts w:eastAsia="Calibri"/>
        </w:rPr>
        <w:t xml:space="preserve"> </w:t>
      </w:r>
      <w:r w:rsidR="00850F47" w:rsidRPr="00CD1EC4">
        <w:rPr>
          <w:rFonts w:eastAsia="Calibri"/>
        </w:rPr>
        <w:t xml:space="preserve">pakāpeniska paaugstināšana </w:t>
      </w:r>
      <w:r w:rsidRPr="00CD1EC4">
        <w:rPr>
          <w:rFonts w:eastAsia="Calibri"/>
        </w:rPr>
        <w:t>degvielai, dabasgāzei un naftas gāzēm, ko izmanto par kurināmo</w:t>
      </w:r>
      <w:bookmarkEnd w:id="49"/>
    </w:p>
    <w:p w14:paraId="56744CB3" w14:textId="0E3A7953" w:rsidR="004F37DD" w:rsidRDefault="00CD1EC4" w:rsidP="00AB5793">
      <w:pPr>
        <w:ind w:firstLine="567"/>
        <w:jc w:val="both"/>
        <w:rPr>
          <w:bCs/>
          <w:szCs w:val="24"/>
        </w:rPr>
      </w:pPr>
      <w:r w:rsidRPr="00CD1EC4">
        <w:rPr>
          <w:szCs w:val="24"/>
        </w:rPr>
        <w:t>T</w:t>
      </w:r>
      <w:r w:rsidR="004F37DD" w:rsidRPr="00CD1EC4">
        <w:rPr>
          <w:szCs w:val="24"/>
        </w:rPr>
        <w:t>ā kā AN likmes kurināmajam nav pārskatītas</w:t>
      </w:r>
      <w:r w:rsidR="00BD5560">
        <w:rPr>
          <w:szCs w:val="24"/>
        </w:rPr>
        <w:t xml:space="preserve"> kopš 2021.</w:t>
      </w:r>
      <w:r w:rsidR="00FA7FB6">
        <w:rPr>
          <w:szCs w:val="24"/>
        </w:rPr>
        <w:t> </w:t>
      </w:r>
      <w:r w:rsidR="00BD5560">
        <w:rPr>
          <w:szCs w:val="24"/>
        </w:rPr>
        <w:t>gada</w:t>
      </w:r>
      <w:r w:rsidR="00756AF0">
        <w:rPr>
          <w:szCs w:val="24"/>
        </w:rPr>
        <w:t xml:space="preserve"> un,</w:t>
      </w:r>
      <w:r w:rsidR="004F37DD" w:rsidRPr="00CD1EC4">
        <w:rPr>
          <w:szCs w:val="24"/>
        </w:rPr>
        <w:t xml:space="preserve"> </w:t>
      </w:r>
      <w:r w:rsidR="00756AF0" w:rsidRPr="002C23D0">
        <w:rPr>
          <w:szCs w:val="24"/>
        </w:rPr>
        <w:t>lai novērstu strauju vienreizēju AN likmju kāpumu 2027.</w:t>
      </w:r>
      <w:r w:rsidR="00756AF0">
        <w:rPr>
          <w:szCs w:val="24"/>
        </w:rPr>
        <w:t> </w:t>
      </w:r>
      <w:r w:rsidR="00756AF0" w:rsidRPr="002C23D0">
        <w:rPr>
          <w:szCs w:val="24"/>
        </w:rPr>
        <w:t>gadā, ieviešot ETS2</w:t>
      </w:r>
      <w:r w:rsidR="00756AF0">
        <w:rPr>
          <w:szCs w:val="24"/>
        </w:rPr>
        <w:t xml:space="preserve">, </w:t>
      </w:r>
      <w:r w:rsidR="008643DF">
        <w:rPr>
          <w:szCs w:val="24"/>
        </w:rPr>
        <w:t>plānots</w:t>
      </w:r>
      <w:r w:rsidR="002C23D0" w:rsidRPr="002C23D0">
        <w:rPr>
          <w:szCs w:val="24"/>
        </w:rPr>
        <w:t xml:space="preserve"> pakāpeniski paaugstināt AN likmes </w:t>
      </w:r>
      <w:r w:rsidRPr="00CD1EC4">
        <w:rPr>
          <w:bCs/>
        </w:rPr>
        <w:t>degvielai, dabasgāzei un naftas gāzēm, ko izmanto par kurināmo</w:t>
      </w:r>
      <w:r w:rsidRPr="00CD1EC4">
        <w:rPr>
          <w:bCs/>
          <w:szCs w:val="24"/>
        </w:rPr>
        <w:t>.</w:t>
      </w:r>
    </w:p>
    <w:p w14:paraId="1E05FD74" w14:textId="77777777" w:rsidR="00DA2A6D" w:rsidRPr="005C339D" w:rsidRDefault="00DA2A6D" w:rsidP="00501035">
      <w:pPr>
        <w:ind w:firstLine="567"/>
        <w:jc w:val="both"/>
        <w:rPr>
          <w:bCs/>
          <w:sz w:val="16"/>
          <w:szCs w:val="16"/>
        </w:rPr>
      </w:pPr>
    </w:p>
    <w:p w14:paraId="71791FF8" w14:textId="77777777" w:rsidR="00962F7B" w:rsidRDefault="00962F7B" w:rsidP="00DA2A6D">
      <w:pPr>
        <w:spacing w:after="120"/>
        <w:jc w:val="center"/>
        <w:rPr>
          <w:rFonts w:cs="Times New Roman"/>
          <w:sz w:val="20"/>
        </w:rPr>
      </w:pPr>
      <w:bookmarkStart w:id="50" w:name="_Toc175221515"/>
    </w:p>
    <w:p w14:paraId="13DD2A89" w14:textId="77777777" w:rsidR="00962F7B" w:rsidRDefault="00962F7B" w:rsidP="00DA2A6D">
      <w:pPr>
        <w:spacing w:after="120"/>
        <w:jc w:val="center"/>
        <w:rPr>
          <w:rFonts w:cs="Times New Roman"/>
          <w:sz w:val="20"/>
        </w:rPr>
      </w:pPr>
    </w:p>
    <w:p w14:paraId="1AD7D3F8" w14:textId="77777777" w:rsidR="00962F7B" w:rsidRDefault="00962F7B" w:rsidP="00DA2A6D">
      <w:pPr>
        <w:spacing w:after="120"/>
        <w:jc w:val="center"/>
        <w:rPr>
          <w:rFonts w:cs="Times New Roman"/>
          <w:sz w:val="20"/>
        </w:rPr>
      </w:pPr>
    </w:p>
    <w:p w14:paraId="3A1E88A7" w14:textId="77777777" w:rsidR="00962F7B" w:rsidRDefault="00962F7B" w:rsidP="00DA2A6D">
      <w:pPr>
        <w:spacing w:after="120"/>
        <w:jc w:val="center"/>
        <w:rPr>
          <w:rFonts w:cs="Times New Roman"/>
          <w:sz w:val="20"/>
        </w:rPr>
      </w:pPr>
    </w:p>
    <w:p w14:paraId="39362F69" w14:textId="77777777" w:rsidR="00962F7B" w:rsidRDefault="00962F7B" w:rsidP="00DA2A6D">
      <w:pPr>
        <w:spacing w:after="120"/>
        <w:jc w:val="center"/>
        <w:rPr>
          <w:rFonts w:cs="Times New Roman"/>
          <w:sz w:val="20"/>
        </w:rPr>
      </w:pPr>
    </w:p>
    <w:p w14:paraId="2FFEFC93" w14:textId="77777777" w:rsidR="00962F7B" w:rsidRDefault="00962F7B" w:rsidP="00DA2A6D">
      <w:pPr>
        <w:spacing w:after="120"/>
        <w:jc w:val="center"/>
        <w:rPr>
          <w:rFonts w:cs="Times New Roman"/>
          <w:sz w:val="20"/>
        </w:rPr>
      </w:pPr>
    </w:p>
    <w:p w14:paraId="1442D969" w14:textId="77777777" w:rsidR="00962F7B" w:rsidRDefault="00962F7B" w:rsidP="00DA2A6D">
      <w:pPr>
        <w:spacing w:after="120"/>
        <w:jc w:val="center"/>
        <w:rPr>
          <w:rFonts w:cs="Times New Roman"/>
          <w:sz w:val="20"/>
        </w:rPr>
      </w:pPr>
    </w:p>
    <w:p w14:paraId="57061509" w14:textId="77777777" w:rsidR="00962F7B" w:rsidRDefault="00962F7B" w:rsidP="00DA2A6D">
      <w:pPr>
        <w:spacing w:after="120"/>
        <w:jc w:val="center"/>
        <w:rPr>
          <w:rFonts w:cs="Times New Roman"/>
          <w:sz w:val="20"/>
        </w:rPr>
      </w:pPr>
    </w:p>
    <w:p w14:paraId="0901719A" w14:textId="77777777" w:rsidR="00962F7B" w:rsidRDefault="00962F7B" w:rsidP="00DA2A6D">
      <w:pPr>
        <w:spacing w:after="120"/>
        <w:jc w:val="center"/>
        <w:rPr>
          <w:rFonts w:cs="Times New Roman"/>
          <w:sz w:val="20"/>
        </w:rPr>
      </w:pPr>
    </w:p>
    <w:p w14:paraId="3B262306" w14:textId="77777777" w:rsidR="00962F7B" w:rsidRDefault="00962F7B" w:rsidP="00DA2A6D">
      <w:pPr>
        <w:spacing w:after="120"/>
        <w:jc w:val="center"/>
        <w:rPr>
          <w:rFonts w:cs="Times New Roman"/>
          <w:sz w:val="20"/>
        </w:rPr>
      </w:pPr>
    </w:p>
    <w:p w14:paraId="2E6ED6D6" w14:textId="77777777" w:rsidR="00962F7B" w:rsidRDefault="00962F7B" w:rsidP="00DA2A6D">
      <w:pPr>
        <w:spacing w:after="120"/>
        <w:jc w:val="center"/>
        <w:rPr>
          <w:rFonts w:cs="Times New Roman"/>
          <w:sz w:val="20"/>
        </w:rPr>
      </w:pPr>
    </w:p>
    <w:p w14:paraId="15F3667B" w14:textId="77777777" w:rsidR="00962F7B" w:rsidRDefault="00962F7B" w:rsidP="00DA2A6D">
      <w:pPr>
        <w:spacing w:after="120"/>
        <w:jc w:val="center"/>
        <w:rPr>
          <w:rFonts w:cs="Times New Roman"/>
          <w:sz w:val="20"/>
        </w:rPr>
      </w:pPr>
    </w:p>
    <w:p w14:paraId="1CB4E81F" w14:textId="77777777" w:rsidR="00962F7B" w:rsidRDefault="00962F7B" w:rsidP="00DA2A6D">
      <w:pPr>
        <w:spacing w:after="120"/>
        <w:jc w:val="center"/>
        <w:rPr>
          <w:rFonts w:cs="Times New Roman"/>
          <w:sz w:val="20"/>
        </w:rPr>
      </w:pPr>
    </w:p>
    <w:p w14:paraId="367071F8" w14:textId="77777777" w:rsidR="00962F7B" w:rsidRDefault="00962F7B" w:rsidP="00DA2A6D">
      <w:pPr>
        <w:spacing w:after="120"/>
        <w:jc w:val="center"/>
        <w:rPr>
          <w:rFonts w:cs="Times New Roman"/>
          <w:sz w:val="20"/>
        </w:rPr>
      </w:pPr>
    </w:p>
    <w:p w14:paraId="77FC8415" w14:textId="77777777" w:rsidR="00962F7B" w:rsidRDefault="00962F7B" w:rsidP="00DA2A6D">
      <w:pPr>
        <w:spacing w:after="120"/>
        <w:jc w:val="center"/>
        <w:rPr>
          <w:rFonts w:cs="Times New Roman"/>
          <w:sz w:val="20"/>
        </w:rPr>
      </w:pPr>
    </w:p>
    <w:p w14:paraId="36AA8CA7" w14:textId="488D4576" w:rsidR="00CD1EC4" w:rsidRPr="00DA2A6D" w:rsidRDefault="002111E5" w:rsidP="00DA2A6D">
      <w:pPr>
        <w:spacing w:after="120"/>
        <w:jc w:val="center"/>
        <w:rPr>
          <w:sz w:val="20"/>
          <w:szCs w:val="20"/>
        </w:rPr>
      </w:pPr>
      <w:r>
        <w:rPr>
          <w:rFonts w:cs="Times New Roman"/>
          <w:sz w:val="20"/>
        </w:rPr>
        <w:lastRenderedPageBreak/>
        <w:t>2</w:t>
      </w:r>
      <w:r w:rsidR="00725CD9">
        <w:rPr>
          <w:rFonts w:cs="Times New Roman"/>
          <w:sz w:val="20"/>
        </w:rPr>
        <w:t>0</w:t>
      </w:r>
      <w:r w:rsidR="00CD1EC4" w:rsidRPr="00DA2A6D">
        <w:rPr>
          <w:sz w:val="20"/>
          <w:szCs w:val="20"/>
        </w:rPr>
        <w:t xml:space="preserve">.tab. </w:t>
      </w:r>
      <w:r w:rsidR="00CD1EC4" w:rsidRPr="00DA2A6D">
        <w:rPr>
          <w:b/>
          <w:bCs/>
          <w:sz w:val="20"/>
          <w:szCs w:val="20"/>
        </w:rPr>
        <w:t>AN degvielai, dabasgāzei un naftas gāzēm, ko izmanto par kurināmo, pakāpeniska paaugstināšana, ņemot vērā minimālo līmeni visiem fosilajiem kurināmajiem</w:t>
      </w:r>
      <w:bookmarkEnd w:id="50"/>
    </w:p>
    <w:tbl>
      <w:tblPr>
        <w:tblStyle w:val="TableGrid"/>
        <w:tblW w:w="10207" w:type="dxa"/>
        <w:tblInd w:w="-289" w:type="dxa"/>
        <w:tblLayout w:type="fixed"/>
        <w:tblLook w:val="04A0" w:firstRow="1" w:lastRow="0" w:firstColumn="1" w:lastColumn="0" w:noHBand="0" w:noVBand="1"/>
      </w:tblPr>
      <w:tblGrid>
        <w:gridCol w:w="3545"/>
        <w:gridCol w:w="708"/>
        <w:gridCol w:w="709"/>
        <w:gridCol w:w="709"/>
        <w:gridCol w:w="709"/>
        <w:gridCol w:w="850"/>
        <w:gridCol w:w="851"/>
        <w:gridCol w:w="708"/>
        <w:gridCol w:w="709"/>
        <w:gridCol w:w="709"/>
      </w:tblGrid>
      <w:tr w:rsidR="0054058E" w:rsidRPr="00EE7219" w14:paraId="026A98B1" w14:textId="57AA98D2" w:rsidTr="00AB5793">
        <w:trPr>
          <w:trHeight w:val="85"/>
        </w:trPr>
        <w:tc>
          <w:tcPr>
            <w:tcW w:w="3545" w:type="dxa"/>
            <w:vMerge w:val="restart"/>
            <w:tcBorders>
              <w:top w:val="single" w:sz="4" w:space="0" w:color="auto"/>
              <w:bottom w:val="single" w:sz="4" w:space="0" w:color="FFFFFF" w:themeColor="background1"/>
              <w:right w:val="single" w:sz="4" w:space="0" w:color="FFFFFF" w:themeColor="background1"/>
            </w:tcBorders>
            <w:shd w:val="clear" w:color="auto" w:fill="002060"/>
            <w:vAlign w:val="center"/>
          </w:tcPr>
          <w:p w14:paraId="16CCBB1D" w14:textId="77777777" w:rsidR="0054058E" w:rsidRPr="005C1FD5" w:rsidRDefault="0054058E" w:rsidP="00195D54">
            <w:pPr>
              <w:contextualSpacing/>
              <w:jc w:val="center"/>
              <w:rPr>
                <w:b/>
                <w:bCs/>
                <w:color w:val="FFFFFF" w:themeColor="background1"/>
                <w:sz w:val="20"/>
                <w:szCs w:val="20"/>
              </w:rPr>
            </w:pPr>
            <w:r w:rsidRPr="005C1FD5">
              <w:rPr>
                <w:rFonts w:cstheme="minorHAnsi"/>
                <w:b/>
                <w:color w:val="FFFFFF" w:themeColor="background1"/>
                <w:sz w:val="20"/>
                <w:szCs w:val="20"/>
              </w:rPr>
              <w:t>AN likmes</w:t>
            </w:r>
          </w:p>
        </w:tc>
        <w:tc>
          <w:tcPr>
            <w:tcW w:w="2126"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47330C05" w14:textId="77777777" w:rsidR="0054058E" w:rsidRPr="005C1FD5" w:rsidRDefault="0054058E" w:rsidP="00195D54">
            <w:pPr>
              <w:contextualSpacing/>
              <w:jc w:val="center"/>
              <w:rPr>
                <w:b/>
                <w:bCs/>
                <w:color w:val="FFFFFF" w:themeColor="background1"/>
                <w:sz w:val="20"/>
                <w:szCs w:val="20"/>
              </w:rPr>
            </w:pPr>
            <w:r w:rsidRPr="005C1FD5">
              <w:rPr>
                <w:rFonts w:cstheme="minorHAnsi"/>
                <w:b/>
                <w:color w:val="FFFFFF" w:themeColor="background1"/>
                <w:sz w:val="20"/>
                <w:szCs w:val="20"/>
              </w:rPr>
              <w:t>Latvija</w:t>
            </w:r>
          </w:p>
        </w:tc>
        <w:tc>
          <w:tcPr>
            <w:tcW w:w="2410"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989D8A5" w14:textId="78B3C4A5" w:rsidR="0054058E" w:rsidRPr="005C1FD5" w:rsidRDefault="0054058E" w:rsidP="00195D54">
            <w:pPr>
              <w:contextualSpacing/>
              <w:jc w:val="center"/>
              <w:rPr>
                <w:rFonts w:cstheme="minorHAnsi"/>
                <w:b/>
                <w:color w:val="FFFFFF" w:themeColor="background1"/>
                <w:sz w:val="20"/>
                <w:szCs w:val="20"/>
              </w:rPr>
            </w:pPr>
            <w:r w:rsidRPr="005C1FD5">
              <w:rPr>
                <w:rFonts w:cstheme="minorHAnsi"/>
                <w:b/>
                <w:color w:val="FFFFFF" w:themeColor="background1"/>
                <w:sz w:val="20"/>
                <w:szCs w:val="20"/>
              </w:rPr>
              <w:t>Lietuva</w:t>
            </w:r>
          </w:p>
        </w:tc>
        <w:tc>
          <w:tcPr>
            <w:tcW w:w="2126" w:type="dxa"/>
            <w:gridSpan w:val="3"/>
            <w:tcBorders>
              <w:top w:val="single" w:sz="4" w:space="0" w:color="auto"/>
              <w:left w:val="single" w:sz="4" w:space="0" w:color="FFFFFF" w:themeColor="background1"/>
              <w:bottom w:val="single" w:sz="4" w:space="0" w:color="FFFFFF" w:themeColor="background1"/>
            </w:tcBorders>
            <w:shd w:val="clear" w:color="auto" w:fill="002060"/>
            <w:vAlign w:val="center"/>
          </w:tcPr>
          <w:p w14:paraId="46B59F42" w14:textId="6B5D5FF8" w:rsidR="0054058E" w:rsidRPr="005C1FD5" w:rsidRDefault="0054058E" w:rsidP="00195D54">
            <w:pPr>
              <w:contextualSpacing/>
              <w:jc w:val="center"/>
              <w:rPr>
                <w:rFonts w:cstheme="minorHAnsi"/>
                <w:b/>
                <w:color w:val="FFFFFF" w:themeColor="background1"/>
                <w:sz w:val="20"/>
                <w:szCs w:val="20"/>
              </w:rPr>
            </w:pPr>
            <w:r w:rsidRPr="005C1FD5">
              <w:rPr>
                <w:rFonts w:cstheme="minorHAnsi"/>
                <w:b/>
                <w:color w:val="FFFFFF" w:themeColor="background1"/>
                <w:sz w:val="20"/>
                <w:szCs w:val="20"/>
              </w:rPr>
              <w:t>Igaunija</w:t>
            </w:r>
          </w:p>
        </w:tc>
      </w:tr>
      <w:tr w:rsidR="0054058E" w:rsidRPr="00EE7219" w14:paraId="04B4AF2C" w14:textId="40AB8131" w:rsidTr="00AB5793">
        <w:trPr>
          <w:trHeight w:val="85"/>
        </w:trPr>
        <w:tc>
          <w:tcPr>
            <w:tcW w:w="3545" w:type="dxa"/>
            <w:vMerge/>
            <w:tcBorders>
              <w:top w:val="single" w:sz="4" w:space="0" w:color="FFFFFF" w:themeColor="background1"/>
              <w:bottom w:val="nil"/>
              <w:right w:val="single" w:sz="4" w:space="0" w:color="FFFFFF" w:themeColor="background1"/>
            </w:tcBorders>
            <w:shd w:val="clear" w:color="auto" w:fill="002060"/>
            <w:vAlign w:val="center"/>
          </w:tcPr>
          <w:p w14:paraId="4E7069FC" w14:textId="77777777" w:rsidR="0054058E" w:rsidRPr="005C1FD5" w:rsidRDefault="0054058E" w:rsidP="00195D54">
            <w:pPr>
              <w:contextualSpacing/>
              <w:rPr>
                <w:b/>
                <w:bCs/>
                <w:color w:val="FFFFFF" w:themeColor="background1"/>
                <w:sz w:val="20"/>
                <w:szCs w:val="20"/>
              </w:rPr>
            </w:pPr>
          </w:p>
        </w:tc>
        <w:tc>
          <w:tcPr>
            <w:tcW w:w="708" w:type="dxa"/>
            <w:tcBorders>
              <w:top w:val="single" w:sz="4" w:space="0" w:color="FFFFFF" w:themeColor="background1"/>
              <w:left w:val="single" w:sz="4" w:space="0" w:color="FFFFFF" w:themeColor="background1"/>
              <w:bottom w:val="nil"/>
              <w:right w:val="single" w:sz="4" w:space="0" w:color="FFFFFF" w:themeColor="background1"/>
            </w:tcBorders>
            <w:shd w:val="clear" w:color="auto" w:fill="002060"/>
            <w:vAlign w:val="center"/>
          </w:tcPr>
          <w:p w14:paraId="499EBE6B" w14:textId="77777777" w:rsidR="0054058E" w:rsidRPr="005C1FD5" w:rsidRDefault="0054058E" w:rsidP="00195D54">
            <w:pPr>
              <w:contextualSpacing/>
              <w:jc w:val="center"/>
              <w:rPr>
                <w:b/>
                <w:bCs/>
                <w:color w:val="FFFFFF" w:themeColor="background1"/>
                <w:sz w:val="20"/>
                <w:szCs w:val="20"/>
              </w:rPr>
            </w:pPr>
            <w:r w:rsidRPr="005C1FD5">
              <w:rPr>
                <w:rFonts w:cstheme="minorHAnsi"/>
                <w:b/>
                <w:color w:val="FFFFFF" w:themeColor="background1"/>
                <w:sz w:val="20"/>
                <w:szCs w:val="20"/>
              </w:rPr>
              <w:t>2024</w:t>
            </w:r>
          </w:p>
        </w:tc>
        <w:tc>
          <w:tcPr>
            <w:tcW w:w="709" w:type="dxa"/>
            <w:tcBorders>
              <w:top w:val="single" w:sz="4" w:space="0" w:color="FFFFFF" w:themeColor="background1"/>
              <w:left w:val="single" w:sz="4" w:space="0" w:color="FFFFFF" w:themeColor="background1"/>
              <w:bottom w:val="nil"/>
              <w:right w:val="single" w:sz="4" w:space="0" w:color="FFFFFF" w:themeColor="background1"/>
            </w:tcBorders>
            <w:shd w:val="clear" w:color="auto" w:fill="002060"/>
            <w:vAlign w:val="center"/>
          </w:tcPr>
          <w:p w14:paraId="69FBDF7E" w14:textId="77777777" w:rsidR="0054058E" w:rsidRPr="005C1FD5" w:rsidRDefault="0054058E" w:rsidP="00195D54">
            <w:pPr>
              <w:contextualSpacing/>
              <w:jc w:val="center"/>
              <w:rPr>
                <w:b/>
                <w:bCs/>
                <w:color w:val="FFFFFF" w:themeColor="background1"/>
                <w:sz w:val="20"/>
                <w:szCs w:val="20"/>
              </w:rPr>
            </w:pPr>
            <w:r w:rsidRPr="005C1FD5">
              <w:rPr>
                <w:rFonts w:cstheme="minorHAnsi"/>
                <w:b/>
                <w:color w:val="FFFFFF" w:themeColor="background1"/>
                <w:sz w:val="20"/>
                <w:szCs w:val="20"/>
              </w:rPr>
              <w:t>2025</w:t>
            </w:r>
          </w:p>
        </w:tc>
        <w:tc>
          <w:tcPr>
            <w:tcW w:w="709" w:type="dxa"/>
            <w:tcBorders>
              <w:top w:val="single" w:sz="4" w:space="0" w:color="FFFFFF" w:themeColor="background1"/>
              <w:left w:val="single" w:sz="4" w:space="0" w:color="FFFFFF" w:themeColor="background1"/>
              <w:bottom w:val="nil"/>
              <w:right w:val="single" w:sz="4" w:space="0" w:color="FFFFFF" w:themeColor="background1"/>
            </w:tcBorders>
            <w:shd w:val="clear" w:color="auto" w:fill="002060"/>
            <w:vAlign w:val="center"/>
          </w:tcPr>
          <w:p w14:paraId="7EB9CFB1" w14:textId="77777777" w:rsidR="0054058E" w:rsidRPr="005C1FD5" w:rsidRDefault="0054058E" w:rsidP="00195D54">
            <w:pPr>
              <w:contextualSpacing/>
              <w:jc w:val="center"/>
              <w:rPr>
                <w:b/>
                <w:bCs/>
                <w:color w:val="FFFFFF" w:themeColor="background1"/>
                <w:sz w:val="20"/>
                <w:szCs w:val="20"/>
              </w:rPr>
            </w:pPr>
            <w:r w:rsidRPr="005C1FD5">
              <w:rPr>
                <w:rFonts w:cstheme="minorHAnsi"/>
                <w:b/>
                <w:color w:val="FFFFFF" w:themeColor="background1"/>
                <w:sz w:val="20"/>
                <w:szCs w:val="20"/>
              </w:rPr>
              <w:t>2026</w:t>
            </w:r>
          </w:p>
        </w:tc>
        <w:tc>
          <w:tcPr>
            <w:tcW w:w="709" w:type="dxa"/>
            <w:tcBorders>
              <w:top w:val="single" w:sz="4" w:space="0" w:color="FFFFFF" w:themeColor="background1"/>
              <w:left w:val="single" w:sz="4" w:space="0" w:color="FFFFFF" w:themeColor="background1"/>
              <w:bottom w:val="nil"/>
              <w:right w:val="single" w:sz="4" w:space="0" w:color="FFFFFF" w:themeColor="background1"/>
            </w:tcBorders>
            <w:shd w:val="clear" w:color="auto" w:fill="002060"/>
          </w:tcPr>
          <w:p w14:paraId="3961C139" w14:textId="400027FD" w:rsidR="0054058E" w:rsidRPr="005C1FD5" w:rsidRDefault="0054058E" w:rsidP="00195D54">
            <w:pPr>
              <w:contextualSpacing/>
              <w:jc w:val="center"/>
              <w:rPr>
                <w:b/>
                <w:bCs/>
                <w:color w:val="FFFFFF" w:themeColor="background1"/>
                <w:sz w:val="20"/>
                <w:szCs w:val="20"/>
              </w:rPr>
            </w:pPr>
            <w:r w:rsidRPr="005C1FD5">
              <w:rPr>
                <w:rFonts w:cstheme="minorHAnsi"/>
                <w:b/>
                <w:color w:val="FFFFFF" w:themeColor="background1"/>
                <w:sz w:val="20"/>
                <w:szCs w:val="20"/>
              </w:rPr>
              <w:t>202</w:t>
            </w:r>
            <w:r>
              <w:rPr>
                <w:rFonts w:cstheme="minorHAnsi"/>
                <w:b/>
                <w:color w:val="FFFFFF" w:themeColor="background1"/>
                <w:sz w:val="20"/>
                <w:szCs w:val="20"/>
              </w:rPr>
              <w:t>4</w:t>
            </w:r>
          </w:p>
        </w:tc>
        <w:tc>
          <w:tcPr>
            <w:tcW w:w="850" w:type="dxa"/>
            <w:tcBorders>
              <w:top w:val="single" w:sz="4" w:space="0" w:color="FFFFFF" w:themeColor="background1"/>
              <w:left w:val="single" w:sz="4" w:space="0" w:color="FFFFFF" w:themeColor="background1"/>
              <w:bottom w:val="nil"/>
              <w:right w:val="single" w:sz="4" w:space="0" w:color="FFFFFF" w:themeColor="background1"/>
            </w:tcBorders>
            <w:shd w:val="clear" w:color="auto" w:fill="002060"/>
          </w:tcPr>
          <w:p w14:paraId="763E6E5D" w14:textId="0234C4FC" w:rsidR="0054058E" w:rsidRPr="005C1FD5" w:rsidRDefault="0054058E" w:rsidP="00195D54">
            <w:pPr>
              <w:contextualSpacing/>
              <w:jc w:val="center"/>
              <w:rPr>
                <w:b/>
                <w:bCs/>
                <w:color w:val="FFFFFF" w:themeColor="background1"/>
                <w:sz w:val="20"/>
                <w:szCs w:val="20"/>
              </w:rPr>
            </w:pPr>
            <w:r w:rsidRPr="005C1FD5">
              <w:rPr>
                <w:rFonts w:cstheme="minorHAnsi"/>
                <w:b/>
                <w:color w:val="FFFFFF" w:themeColor="background1"/>
                <w:sz w:val="20"/>
                <w:szCs w:val="20"/>
              </w:rPr>
              <w:t>202</w:t>
            </w:r>
            <w:r>
              <w:rPr>
                <w:rFonts w:cstheme="minorHAnsi"/>
                <w:b/>
                <w:color w:val="FFFFFF" w:themeColor="background1"/>
                <w:sz w:val="20"/>
                <w:szCs w:val="20"/>
              </w:rPr>
              <w:t>5</w:t>
            </w:r>
          </w:p>
        </w:tc>
        <w:tc>
          <w:tcPr>
            <w:tcW w:w="851" w:type="dxa"/>
            <w:tcBorders>
              <w:top w:val="single" w:sz="4" w:space="0" w:color="FFFFFF" w:themeColor="background1"/>
              <w:left w:val="single" w:sz="4" w:space="0" w:color="FFFFFF" w:themeColor="background1"/>
              <w:bottom w:val="nil"/>
              <w:right w:val="single" w:sz="4" w:space="0" w:color="FFFFFF" w:themeColor="background1"/>
            </w:tcBorders>
            <w:shd w:val="clear" w:color="auto" w:fill="002060"/>
          </w:tcPr>
          <w:p w14:paraId="47E24BF9" w14:textId="2A7FA25F" w:rsidR="0054058E" w:rsidRPr="005C1FD5" w:rsidRDefault="0054058E" w:rsidP="00195D54">
            <w:pPr>
              <w:contextualSpacing/>
              <w:jc w:val="center"/>
              <w:rPr>
                <w:rFonts w:cstheme="minorHAnsi"/>
                <w:b/>
                <w:color w:val="FFFFFF" w:themeColor="background1"/>
                <w:sz w:val="20"/>
                <w:szCs w:val="20"/>
              </w:rPr>
            </w:pPr>
            <w:r>
              <w:rPr>
                <w:rFonts w:cstheme="minorHAnsi"/>
                <w:b/>
                <w:color w:val="FFFFFF" w:themeColor="background1"/>
                <w:sz w:val="20"/>
                <w:szCs w:val="20"/>
              </w:rPr>
              <w:t>2026</w:t>
            </w:r>
          </w:p>
        </w:tc>
        <w:tc>
          <w:tcPr>
            <w:tcW w:w="708" w:type="dxa"/>
            <w:tcBorders>
              <w:top w:val="single" w:sz="4" w:space="0" w:color="FFFFFF" w:themeColor="background1"/>
              <w:left w:val="single" w:sz="4" w:space="0" w:color="FFFFFF" w:themeColor="background1"/>
              <w:bottom w:val="nil"/>
              <w:right w:val="single" w:sz="4" w:space="0" w:color="FFFFFF" w:themeColor="background1"/>
            </w:tcBorders>
            <w:shd w:val="clear" w:color="auto" w:fill="002060"/>
          </w:tcPr>
          <w:p w14:paraId="541CCAA3" w14:textId="18491CCB" w:rsidR="0054058E" w:rsidRPr="005C1FD5" w:rsidRDefault="0054058E" w:rsidP="00195D54">
            <w:pPr>
              <w:contextualSpacing/>
              <w:jc w:val="center"/>
              <w:rPr>
                <w:b/>
                <w:bCs/>
                <w:color w:val="FFFFFF" w:themeColor="background1"/>
                <w:sz w:val="20"/>
                <w:szCs w:val="20"/>
              </w:rPr>
            </w:pPr>
            <w:r w:rsidRPr="005C1FD5">
              <w:rPr>
                <w:rFonts w:cstheme="minorHAnsi"/>
                <w:b/>
                <w:color w:val="FFFFFF" w:themeColor="background1"/>
                <w:sz w:val="20"/>
                <w:szCs w:val="20"/>
              </w:rPr>
              <w:t>2024</w:t>
            </w:r>
          </w:p>
        </w:tc>
        <w:tc>
          <w:tcPr>
            <w:tcW w:w="709" w:type="dxa"/>
            <w:tcBorders>
              <w:top w:val="single" w:sz="4" w:space="0" w:color="FFFFFF" w:themeColor="background1"/>
              <w:left w:val="single" w:sz="4" w:space="0" w:color="FFFFFF" w:themeColor="background1"/>
              <w:bottom w:val="nil"/>
            </w:tcBorders>
            <w:shd w:val="clear" w:color="auto" w:fill="002060"/>
            <w:vAlign w:val="center"/>
          </w:tcPr>
          <w:p w14:paraId="6F96BBEF" w14:textId="77777777" w:rsidR="0054058E" w:rsidRPr="005C1FD5" w:rsidRDefault="0054058E" w:rsidP="00195D54">
            <w:pPr>
              <w:contextualSpacing/>
              <w:jc w:val="center"/>
              <w:rPr>
                <w:b/>
                <w:bCs/>
                <w:color w:val="FFFFFF" w:themeColor="background1"/>
                <w:sz w:val="20"/>
                <w:szCs w:val="20"/>
              </w:rPr>
            </w:pPr>
            <w:r w:rsidRPr="005C1FD5">
              <w:rPr>
                <w:rFonts w:cstheme="minorHAnsi"/>
                <w:b/>
                <w:color w:val="FFFFFF" w:themeColor="background1"/>
                <w:sz w:val="20"/>
                <w:szCs w:val="20"/>
              </w:rPr>
              <w:t>2025</w:t>
            </w:r>
          </w:p>
        </w:tc>
        <w:tc>
          <w:tcPr>
            <w:tcW w:w="709" w:type="dxa"/>
            <w:tcBorders>
              <w:top w:val="single" w:sz="4" w:space="0" w:color="FFFFFF" w:themeColor="background1"/>
              <w:left w:val="single" w:sz="4" w:space="0" w:color="FFFFFF" w:themeColor="background1"/>
              <w:bottom w:val="nil"/>
            </w:tcBorders>
            <w:shd w:val="clear" w:color="auto" w:fill="002060"/>
          </w:tcPr>
          <w:p w14:paraId="0E8802F4" w14:textId="34DBE4E9" w:rsidR="0054058E" w:rsidRPr="005C1FD5" w:rsidRDefault="0054058E" w:rsidP="00195D54">
            <w:pPr>
              <w:contextualSpacing/>
              <w:jc w:val="center"/>
              <w:rPr>
                <w:rFonts w:cstheme="minorHAnsi"/>
                <w:b/>
                <w:color w:val="FFFFFF" w:themeColor="background1"/>
                <w:sz w:val="20"/>
                <w:szCs w:val="20"/>
              </w:rPr>
            </w:pPr>
            <w:r>
              <w:rPr>
                <w:rFonts w:cstheme="minorHAnsi"/>
                <w:b/>
                <w:color w:val="FFFFFF" w:themeColor="background1"/>
                <w:sz w:val="20"/>
                <w:szCs w:val="20"/>
              </w:rPr>
              <w:t>2026</w:t>
            </w:r>
          </w:p>
        </w:tc>
      </w:tr>
      <w:tr w:rsidR="0054058E" w:rsidRPr="00EE7219" w14:paraId="15724FEA" w14:textId="12E60F6E" w:rsidTr="00AB5793">
        <w:trPr>
          <w:trHeight w:val="85"/>
        </w:trPr>
        <w:tc>
          <w:tcPr>
            <w:tcW w:w="3545" w:type="dxa"/>
            <w:tcBorders>
              <w:top w:val="nil"/>
              <w:bottom w:val="single" w:sz="4" w:space="0" w:color="A6A6A6" w:themeColor="background1" w:themeShade="A6"/>
            </w:tcBorders>
            <w:shd w:val="clear" w:color="auto" w:fill="auto"/>
            <w:vAlign w:val="center"/>
          </w:tcPr>
          <w:p w14:paraId="22B0DB77" w14:textId="7C1AF206" w:rsidR="0054058E" w:rsidRPr="00EE7219" w:rsidRDefault="0054058E" w:rsidP="00195D54">
            <w:pPr>
              <w:contextualSpacing/>
              <w:rPr>
                <w:b/>
                <w:bCs/>
                <w:sz w:val="20"/>
                <w:szCs w:val="20"/>
              </w:rPr>
            </w:pPr>
            <w:r w:rsidRPr="00641ACD">
              <w:rPr>
                <w:b/>
                <w:bCs/>
                <w:color w:val="000000"/>
                <w:sz w:val="20"/>
                <w:szCs w:val="20"/>
              </w:rPr>
              <w:t>Dīzeļdegviela, degvieleļļa un petroleja</w:t>
            </w:r>
            <w:r w:rsidRPr="00126954">
              <w:rPr>
                <w:b/>
                <w:bCs/>
                <w:sz w:val="20"/>
                <w:szCs w:val="20"/>
              </w:rPr>
              <w:t>, ko izmanto par kurināmo</w:t>
            </w:r>
            <w:r w:rsidRPr="00EE7219">
              <w:rPr>
                <w:i/>
                <w:iCs/>
                <w:sz w:val="20"/>
                <w:szCs w:val="20"/>
              </w:rPr>
              <w:t>, e</w:t>
            </w:r>
            <w:r>
              <w:rPr>
                <w:i/>
                <w:iCs/>
                <w:sz w:val="20"/>
                <w:szCs w:val="20"/>
              </w:rPr>
              <w:t>u</w:t>
            </w:r>
            <w:r w:rsidRPr="00EE7219">
              <w:rPr>
                <w:i/>
                <w:iCs/>
                <w:sz w:val="20"/>
                <w:szCs w:val="20"/>
              </w:rPr>
              <w:t xml:space="preserve">ro par </w:t>
            </w:r>
            <w:r w:rsidRPr="00097D61">
              <w:rPr>
                <w:i/>
                <w:iCs/>
                <w:sz w:val="20"/>
                <w:szCs w:val="20"/>
              </w:rPr>
              <w:t>1000 litriem</w:t>
            </w:r>
          </w:p>
        </w:tc>
        <w:tc>
          <w:tcPr>
            <w:tcW w:w="708" w:type="dxa"/>
            <w:tcBorders>
              <w:top w:val="nil"/>
              <w:bottom w:val="single" w:sz="4" w:space="0" w:color="A6A6A6" w:themeColor="background1" w:themeShade="A6"/>
            </w:tcBorders>
            <w:shd w:val="clear" w:color="auto" w:fill="F2F2F2" w:themeFill="background1" w:themeFillShade="F2"/>
            <w:vAlign w:val="center"/>
          </w:tcPr>
          <w:p w14:paraId="75E02BB6" w14:textId="77777777" w:rsidR="0054058E" w:rsidRPr="00EE7219" w:rsidRDefault="0054058E" w:rsidP="00195D54">
            <w:pPr>
              <w:contextualSpacing/>
              <w:jc w:val="center"/>
              <w:rPr>
                <w:b/>
                <w:bCs/>
                <w:sz w:val="20"/>
                <w:szCs w:val="20"/>
              </w:rPr>
            </w:pPr>
            <w:r>
              <w:rPr>
                <w:b/>
                <w:bCs/>
                <w:sz w:val="20"/>
                <w:szCs w:val="20"/>
              </w:rPr>
              <w:t>60</w:t>
            </w:r>
          </w:p>
        </w:tc>
        <w:tc>
          <w:tcPr>
            <w:tcW w:w="709" w:type="dxa"/>
            <w:tcBorders>
              <w:top w:val="nil"/>
              <w:bottom w:val="single" w:sz="4" w:space="0" w:color="A6A6A6" w:themeColor="background1" w:themeShade="A6"/>
            </w:tcBorders>
            <w:vAlign w:val="center"/>
          </w:tcPr>
          <w:p w14:paraId="33F9C9E6" w14:textId="77777777" w:rsidR="0054058E" w:rsidRPr="00EE7219" w:rsidRDefault="0054058E" w:rsidP="00195D54">
            <w:pPr>
              <w:contextualSpacing/>
              <w:jc w:val="center"/>
              <w:rPr>
                <w:b/>
                <w:bCs/>
                <w:color w:val="C00000"/>
                <w:sz w:val="20"/>
                <w:szCs w:val="20"/>
              </w:rPr>
            </w:pPr>
            <w:r>
              <w:rPr>
                <w:b/>
                <w:bCs/>
                <w:color w:val="C00000"/>
                <w:sz w:val="20"/>
                <w:szCs w:val="20"/>
              </w:rPr>
              <w:t>108,3</w:t>
            </w:r>
          </w:p>
        </w:tc>
        <w:tc>
          <w:tcPr>
            <w:tcW w:w="709" w:type="dxa"/>
            <w:tcBorders>
              <w:top w:val="nil"/>
              <w:bottom w:val="single" w:sz="4" w:space="0" w:color="A6A6A6" w:themeColor="background1" w:themeShade="A6"/>
            </w:tcBorders>
            <w:vAlign w:val="center"/>
          </w:tcPr>
          <w:p w14:paraId="10C33BDF" w14:textId="77777777" w:rsidR="0054058E" w:rsidRPr="00EE7219" w:rsidRDefault="0054058E" w:rsidP="00195D54">
            <w:pPr>
              <w:contextualSpacing/>
              <w:jc w:val="center"/>
              <w:rPr>
                <w:b/>
                <w:bCs/>
                <w:color w:val="C00000"/>
                <w:sz w:val="20"/>
                <w:szCs w:val="20"/>
              </w:rPr>
            </w:pPr>
            <w:r>
              <w:rPr>
                <w:b/>
                <w:bCs/>
                <w:color w:val="C00000"/>
                <w:sz w:val="20"/>
                <w:szCs w:val="20"/>
              </w:rPr>
              <w:t>134,6</w:t>
            </w:r>
          </w:p>
        </w:tc>
        <w:tc>
          <w:tcPr>
            <w:tcW w:w="709" w:type="dxa"/>
            <w:vMerge w:val="restart"/>
            <w:tcBorders>
              <w:top w:val="nil"/>
            </w:tcBorders>
            <w:shd w:val="clear" w:color="auto" w:fill="FFFFFF" w:themeFill="background1"/>
            <w:vAlign w:val="center"/>
          </w:tcPr>
          <w:p w14:paraId="2CDCA025" w14:textId="77777777" w:rsidR="0054058E" w:rsidRPr="0085728F" w:rsidRDefault="0054058E" w:rsidP="00195D54">
            <w:pPr>
              <w:contextualSpacing/>
              <w:jc w:val="center"/>
              <w:rPr>
                <w:b/>
                <w:bCs/>
                <w:color w:val="00B050"/>
                <w:sz w:val="20"/>
                <w:szCs w:val="20"/>
              </w:rPr>
            </w:pPr>
            <w:r w:rsidRPr="0085728F">
              <w:rPr>
                <w:b/>
                <w:bCs/>
                <w:color w:val="00B050"/>
                <w:sz w:val="20"/>
                <w:szCs w:val="20"/>
              </w:rPr>
              <w:t>60</w:t>
            </w:r>
          </w:p>
        </w:tc>
        <w:tc>
          <w:tcPr>
            <w:tcW w:w="850" w:type="dxa"/>
            <w:vMerge w:val="restart"/>
            <w:tcBorders>
              <w:top w:val="nil"/>
            </w:tcBorders>
            <w:shd w:val="clear" w:color="auto" w:fill="FFFFFF" w:themeFill="background1"/>
            <w:vAlign w:val="center"/>
          </w:tcPr>
          <w:p w14:paraId="26F885E2" w14:textId="77777777" w:rsidR="0054058E" w:rsidRPr="006462C6" w:rsidRDefault="0054058E" w:rsidP="00195D54">
            <w:pPr>
              <w:contextualSpacing/>
              <w:jc w:val="center"/>
              <w:rPr>
                <w:b/>
                <w:bCs/>
                <w:color w:val="92D050"/>
                <w:sz w:val="20"/>
                <w:szCs w:val="20"/>
              </w:rPr>
            </w:pPr>
            <w:r w:rsidRPr="006462C6">
              <w:rPr>
                <w:rFonts w:eastAsia="Calibri" w:cstheme="minorHAnsi"/>
                <w:b/>
                <w:bCs/>
                <w:color w:val="00B050"/>
                <w:sz w:val="20"/>
                <w:szCs w:val="20"/>
              </w:rPr>
              <w:t>113,6</w:t>
            </w:r>
          </w:p>
        </w:tc>
        <w:tc>
          <w:tcPr>
            <w:tcW w:w="851" w:type="dxa"/>
            <w:vMerge w:val="restart"/>
            <w:tcBorders>
              <w:top w:val="nil"/>
            </w:tcBorders>
            <w:shd w:val="clear" w:color="auto" w:fill="FFFFFF" w:themeFill="background1"/>
            <w:vAlign w:val="center"/>
          </w:tcPr>
          <w:p w14:paraId="6351D488" w14:textId="62EABAF1" w:rsidR="0054058E" w:rsidRPr="006462C6" w:rsidRDefault="006E0CCE" w:rsidP="0054058E">
            <w:pPr>
              <w:contextualSpacing/>
              <w:jc w:val="center"/>
              <w:rPr>
                <w:b/>
                <w:bCs/>
                <w:color w:val="00B050"/>
                <w:sz w:val="20"/>
                <w:szCs w:val="20"/>
              </w:rPr>
            </w:pPr>
            <w:r w:rsidRPr="006462C6">
              <w:rPr>
                <w:b/>
                <w:bCs/>
                <w:color w:val="00B050"/>
                <w:sz w:val="20"/>
                <w:szCs w:val="20"/>
              </w:rPr>
              <w:t>164,8</w:t>
            </w:r>
          </w:p>
        </w:tc>
        <w:tc>
          <w:tcPr>
            <w:tcW w:w="708" w:type="dxa"/>
            <w:vMerge w:val="restart"/>
            <w:tcBorders>
              <w:top w:val="nil"/>
            </w:tcBorders>
            <w:shd w:val="clear" w:color="auto" w:fill="FFFFFF" w:themeFill="background1"/>
            <w:vAlign w:val="center"/>
          </w:tcPr>
          <w:p w14:paraId="2734EBCC" w14:textId="4F895A16" w:rsidR="0054058E" w:rsidRDefault="0054058E" w:rsidP="00195D54">
            <w:pPr>
              <w:contextualSpacing/>
              <w:jc w:val="center"/>
              <w:rPr>
                <w:b/>
                <w:bCs/>
                <w:color w:val="0070C0"/>
                <w:sz w:val="20"/>
                <w:szCs w:val="20"/>
              </w:rPr>
            </w:pPr>
            <w:r w:rsidRPr="005B6D8D">
              <w:rPr>
                <w:b/>
                <w:bCs/>
                <w:color w:val="0070C0"/>
                <w:sz w:val="20"/>
                <w:szCs w:val="20"/>
              </w:rPr>
              <w:t>399</w:t>
            </w:r>
            <w:r>
              <w:rPr>
                <w:sz w:val="20"/>
                <w:szCs w:val="20"/>
                <w:vertAlign w:val="superscript"/>
              </w:rPr>
              <w:t>1</w:t>
            </w:r>
          </w:p>
          <w:p w14:paraId="3446A988" w14:textId="77777777" w:rsidR="0054058E" w:rsidRPr="005B6D8D" w:rsidRDefault="0054058E" w:rsidP="00195D54">
            <w:pPr>
              <w:contextualSpacing/>
              <w:jc w:val="center"/>
              <w:rPr>
                <w:b/>
                <w:bCs/>
                <w:color w:val="0070C0"/>
                <w:sz w:val="20"/>
                <w:szCs w:val="20"/>
              </w:rPr>
            </w:pPr>
            <w:r w:rsidRPr="00FE35AA">
              <w:rPr>
                <w:sz w:val="10"/>
                <w:szCs w:val="10"/>
              </w:rPr>
              <w:t>(no 01.05.)</w:t>
            </w:r>
          </w:p>
        </w:tc>
        <w:tc>
          <w:tcPr>
            <w:tcW w:w="709" w:type="dxa"/>
            <w:vMerge w:val="restart"/>
            <w:tcBorders>
              <w:top w:val="nil"/>
            </w:tcBorders>
            <w:shd w:val="clear" w:color="auto" w:fill="FFFFFF" w:themeFill="background1"/>
            <w:vAlign w:val="center"/>
          </w:tcPr>
          <w:p w14:paraId="15E297A2" w14:textId="646002DD" w:rsidR="0054058E" w:rsidRPr="00FE35AA" w:rsidRDefault="0054058E" w:rsidP="00195D54">
            <w:pPr>
              <w:contextualSpacing/>
              <w:jc w:val="center"/>
              <w:rPr>
                <w:b/>
                <w:bCs/>
                <w:color w:val="0070C0"/>
                <w:sz w:val="20"/>
                <w:szCs w:val="20"/>
              </w:rPr>
            </w:pPr>
            <w:r w:rsidRPr="00FE35AA">
              <w:rPr>
                <w:b/>
                <w:bCs/>
                <w:color w:val="0070C0"/>
                <w:sz w:val="20"/>
                <w:szCs w:val="20"/>
              </w:rPr>
              <w:t>428</w:t>
            </w:r>
            <w:r>
              <w:rPr>
                <w:sz w:val="20"/>
                <w:szCs w:val="20"/>
                <w:vertAlign w:val="superscript"/>
              </w:rPr>
              <w:t>1</w:t>
            </w:r>
          </w:p>
          <w:p w14:paraId="30DFD16F" w14:textId="77777777" w:rsidR="0054058E" w:rsidRPr="005B6D8D" w:rsidRDefault="0054058E" w:rsidP="00195D54">
            <w:pPr>
              <w:contextualSpacing/>
              <w:jc w:val="center"/>
              <w:rPr>
                <w:b/>
                <w:bCs/>
                <w:color w:val="0070C0"/>
                <w:sz w:val="20"/>
                <w:szCs w:val="20"/>
              </w:rPr>
            </w:pPr>
            <w:r w:rsidRPr="00FE35AA">
              <w:rPr>
                <w:sz w:val="10"/>
                <w:szCs w:val="10"/>
              </w:rPr>
              <w:t>(no 01.05.)</w:t>
            </w:r>
          </w:p>
        </w:tc>
        <w:tc>
          <w:tcPr>
            <w:tcW w:w="709" w:type="dxa"/>
            <w:vMerge w:val="restart"/>
            <w:tcBorders>
              <w:top w:val="nil"/>
            </w:tcBorders>
            <w:shd w:val="clear" w:color="auto" w:fill="FFFFFF" w:themeFill="background1"/>
            <w:vAlign w:val="center"/>
          </w:tcPr>
          <w:p w14:paraId="5F660D2B" w14:textId="742B2BB4" w:rsidR="006E0CCE" w:rsidRPr="00FE35AA" w:rsidRDefault="006E0CCE" w:rsidP="006E0CCE">
            <w:pPr>
              <w:contextualSpacing/>
              <w:jc w:val="center"/>
              <w:rPr>
                <w:b/>
                <w:bCs/>
                <w:color w:val="0070C0"/>
                <w:sz w:val="20"/>
                <w:szCs w:val="20"/>
              </w:rPr>
            </w:pPr>
            <w:r w:rsidRPr="00FE35AA">
              <w:rPr>
                <w:b/>
                <w:bCs/>
                <w:color w:val="0070C0"/>
                <w:sz w:val="20"/>
                <w:szCs w:val="20"/>
              </w:rPr>
              <w:t>4</w:t>
            </w:r>
            <w:r>
              <w:rPr>
                <w:b/>
                <w:bCs/>
                <w:color w:val="0070C0"/>
                <w:sz w:val="20"/>
                <w:szCs w:val="20"/>
              </w:rPr>
              <w:t>59</w:t>
            </w:r>
            <w:r>
              <w:rPr>
                <w:sz w:val="20"/>
                <w:szCs w:val="20"/>
                <w:vertAlign w:val="superscript"/>
              </w:rPr>
              <w:t>1</w:t>
            </w:r>
          </w:p>
          <w:p w14:paraId="1EEA98B3" w14:textId="69140DF9" w:rsidR="0054058E" w:rsidRPr="00FE35AA" w:rsidRDefault="006E0CCE" w:rsidP="006E0CCE">
            <w:pPr>
              <w:contextualSpacing/>
              <w:jc w:val="center"/>
              <w:rPr>
                <w:b/>
                <w:bCs/>
                <w:color w:val="0070C0"/>
                <w:sz w:val="20"/>
                <w:szCs w:val="20"/>
              </w:rPr>
            </w:pPr>
            <w:r w:rsidRPr="00FE35AA">
              <w:rPr>
                <w:sz w:val="10"/>
                <w:szCs w:val="10"/>
              </w:rPr>
              <w:t>(no 01.05.)</w:t>
            </w:r>
          </w:p>
        </w:tc>
      </w:tr>
      <w:tr w:rsidR="0054058E" w:rsidRPr="00EE7219" w14:paraId="2CA420B6" w14:textId="28F0C52C" w:rsidTr="006462C6">
        <w:trPr>
          <w:trHeight w:val="85"/>
        </w:trPr>
        <w:tc>
          <w:tcPr>
            <w:tcW w:w="3545" w:type="dxa"/>
            <w:tcBorders>
              <w:top w:val="single" w:sz="4" w:space="0" w:color="A6A6A6" w:themeColor="background1" w:themeShade="A6"/>
              <w:bottom w:val="single" w:sz="4" w:space="0" w:color="A6A6A6" w:themeColor="background1" w:themeShade="A6"/>
            </w:tcBorders>
            <w:shd w:val="clear" w:color="auto" w:fill="auto"/>
            <w:vAlign w:val="center"/>
          </w:tcPr>
          <w:p w14:paraId="5D708D83" w14:textId="77777777" w:rsidR="0054058E" w:rsidRPr="00676C02" w:rsidRDefault="0054058E" w:rsidP="00195D54">
            <w:pPr>
              <w:contextualSpacing/>
              <w:jc w:val="right"/>
              <w:rPr>
                <w:i/>
                <w:iCs/>
                <w:color w:val="000000"/>
                <w:sz w:val="16"/>
                <w:szCs w:val="16"/>
              </w:rPr>
            </w:pPr>
            <w:r w:rsidRPr="00676C02">
              <w:rPr>
                <w:i/>
                <w:iCs/>
                <w:color w:val="000000"/>
                <w:sz w:val="16"/>
                <w:szCs w:val="16"/>
              </w:rPr>
              <w:t>Izmaiņas</w:t>
            </w:r>
            <w:r w:rsidRPr="00676C02">
              <w:rPr>
                <w:b/>
                <w:bCs/>
                <w:i/>
                <w:iCs/>
                <w:color w:val="000000"/>
                <w:sz w:val="16"/>
                <w:szCs w:val="16"/>
              </w:rPr>
              <w:t xml:space="preserve"> </w:t>
            </w:r>
            <w:r w:rsidRPr="00676C02">
              <w:rPr>
                <w:i/>
                <w:iCs/>
                <w:color w:val="000000"/>
                <w:sz w:val="16"/>
                <w:szCs w:val="16"/>
              </w:rPr>
              <w:t>kurināmajam</w:t>
            </w:r>
          </w:p>
        </w:tc>
        <w:tc>
          <w:tcPr>
            <w:tcW w:w="708"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41F1BBB2" w14:textId="77777777" w:rsidR="0054058E" w:rsidRPr="006462C6" w:rsidRDefault="0054058E" w:rsidP="00195D54">
            <w:pPr>
              <w:contextualSpacing/>
              <w:jc w:val="center"/>
              <w:rPr>
                <w:b/>
                <w:bCs/>
                <w:sz w:val="18"/>
                <w:szCs w:val="18"/>
              </w:rPr>
            </w:pPr>
          </w:p>
        </w:tc>
        <w:tc>
          <w:tcPr>
            <w:tcW w:w="709" w:type="dxa"/>
            <w:tcBorders>
              <w:top w:val="single" w:sz="4" w:space="0" w:color="A6A6A6" w:themeColor="background1" w:themeShade="A6"/>
              <w:bottom w:val="single" w:sz="4" w:space="0" w:color="A6A6A6" w:themeColor="background1" w:themeShade="A6"/>
            </w:tcBorders>
            <w:vAlign w:val="center"/>
          </w:tcPr>
          <w:p w14:paraId="71BA8516" w14:textId="77777777" w:rsidR="0054058E" w:rsidRPr="00AB5793" w:rsidRDefault="0054058E" w:rsidP="00195D54">
            <w:pPr>
              <w:contextualSpacing/>
              <w:jc w:val="right"/>
              <w:rPr>
                <w:i/>
                <w:iCs/>
                <w:color w:val="C00000"/>
                <w:sz w:val="16"/>
                <w:szCs w:val="16"/>
              </w:rPr>
            </w:pPr>
            <w:r w:rsidRPr="00AB5793">
              <w:rPr>
                <w:i/>
                <w:iCs/>
                <w:color w:val="C00000"/>
                <w:sz w:val="16"/>
                <w:szCs w:val="16"/>
              </w:rPr>
              <w:t>+22,0</w:t>
            </w:r>
          </w:p>
        </w:tc>
        <w:tc>
          <w:tcPr>
            <w:tcW w:w="709" w:type="dxa"/>
            <w:tcBorders>
              <w:top w:val="single" w:sz="4" w:space="0" w:color="A6A6A6" w:themeColor="background1" w:themeShade="A6"/>
              <w:bottom w:val="single" w:sz="4" w:space="0" w:color="A6A6A6" w:themeColor="background1" w:themeShade="A6"/>
            </w:tcBorders>
            <w:vAlign w:val="center"/>
          </w:tcPr>
          <w:p w14:paraId="1B908CA3" w14:textId="77777777" w:rsidR="0054058E" w:rsidRPr="00AB5793" w:rsidRDefault="0054058E" w:rsidP="00AB5793">
            <w:pPr>
              <w:contextualSpacing/>
              <w:jc w:val="center"/>
              <w:rPr>
                <w:i/>
                <w:iCs/>
                <w:color w:val="C00000"/>
                <w:sz w:val="16"/>
                <w:szCs w:val="16"/>
              </w:rPr>
            </w:pPr>
            <w:r w:rsidRPr="00AB5793">
              <w:rPr>
                <w:i/>
                <w:iCs/>
                <w:color w:val="C00000"/>
                <w:sz w:val="16"/>
                <w:szCs w:val="16"/>
              </w:rPr>
              <w:t>-</w:t>
            </w:r>
          </w:p>
        </w:tc>
        <w:tc>
          <w:tcPr>
            <w:tcW w:w="709" w:type="dxa"/>
            <w:vMerge/>
            <w:shd w:val="clear" w:color="auto" w:fill="FFFFFF" w:themeFill="background1"/>
          </w:tcPr>
          <w:p w14:paraId="13701592" w14:textId="77777777" w:rsidR="0054058E" w:rsidRPr="0085728F" w:rsidRDefault="0054058E" w:rsidP="00195D54">
            <w:pPr>
              <w:contextualSpacing/>
              <w:jc w:val="center"/>
              <w:rPr>
                <w:b/>
                <w:bCs/>
                <w:color w:val="00B050"/>
                <w:sz w:val="20"/>
                <w:szCs w:val="20"/>
              </w:rPr>
            </w:pPr>
          </w:p>
        </w:tc>
        <w:tc>
          <w:tcPr>
            <w:tcW w:w="850" w:type="dxa"/>
            <w:vMerge/>
            <w:shd w:val="clear" w:color="auto" w:fill="FFFFFF" w:themeFill="background1"/>
          </w:tcPr>
          <w:p w14:paraId="4DF83909" w14:textId="77777777" w:rsidR="0054058E" w:rsidRPr="006462C6" w:rsidRDefault="0054058E" w:rsidP="00195D54">
            <w:pPr>
              <w:contextualSpacing/>
              <w:jc w:val="center"/>
              <w:rPr>
                <w:b/>
                <w:bCs/>
                <w:color w:val="92D050"/>
                <w:sz w:val="20"/>
                <w:szCs w:val="20"/>
              </w:rPr>
            </w:pPr>
          </w:p>
        </w:tc>
        <w:tc>
          <w:tcPr>
            <w:tcW w:w="851" w:type="dxa"/>
            <w:vMerge/>
            <w:shd w:val="clear" w:color="auto" w:fill="FFFFFF" w:themeFill="background1"/>
          </w:tcPr>
          <w:p w14:paraId="7A4010EB" w14:textId="77777777" w:rsidR="0054058E" w:rsidRPr="006462C6" w:rsidRDefault="0054058E" w:rsidP="00195D54">
            <w:pPr>
              <w:contextualSpacing/>
              <w:jc w:val="center"/>
              <w:rPr>
                <w:b/>
                <w:bCs/>
                <w:color w:val="00B050"/>
                <w:sz w:val="20"/>
                <w:szCs w:val="20"/>
              </w:rPr>
            </w:pPr>
          </w:p>
        </w:tc>
        <w:tc>
          <w:tcPr>
            <w:tcW w:w="708" w:type="dxa"/>
            <w:vMerge/>
            <w:shd w:val="clear" w:color="auto" w:fill="FFFFFF" w:themeFill="background1"/>
          </w:tcPr>
          <w:p w14:paraId="46B0F48C" w14:textId="55535DBD" w:rsidR="0054058E" w:rsidRPr="00EE7219" w:rsidRDefault="0054058E" w:rsidP="00195D54">
            <w:pPr>
              <w:contextualSpacing/>
              <w:jc w:val="center"/>
              <w:rPr>
                <w:b/>
                <w:bCs/>
                <w:color w:val="C00000"/>
                <w:sz w:val="20"/>
                <w:szCs w:val="20"/>
              </w:rPr>
            </w:pPr>
          </w:p>
        </w:tc>
        <w:tc>
          <w:tcPr>
            <w:tcW w:w="709" w:type="dxa"/>
            <w:vMerge/>
            <w:shd w:val="clear" w:color="auto" w:fill="FFFFFF" w:themeFill="background1"/>
          </w:tcPr>
          <w:p w14:paraId="0DA27661" w14:textId="77777777" w:rsidR="0054058E" w:rsidRPr="00EE7219" w:rsidRDefault="0054058E" w:rsidP="00195D54">
            <w:pPr>
              <w:contextualSpacing/>
              <w:jc w:val="center"/>
              <w:rPr>
                <w:b/>
                <w:bCs/>
                <w:color w:val="C00000"/>
                <w:sz w:val="20"/>
                <w:szCs w:val="20"/>
              </w:rPr>
            </w:pPr>
          </w:p>
        </w:tc>
        <w:tc>
          <w:tcPr>
            <w:tcW w:w="709" w:type="dxa"/>
            <w:vMerge/>
            <w:shd w:val="clear" w:color="auto" w:fill="FFFFFF" w:themeFill="background1"/>
          </w:tcPr>
          <w:p w14:paraId="37C90107" w14:textId="77777777" w:rsidR="0054058E" w:rsidRPr="00EE7219" w:rsidRDefault="0054058E" w:rsidP="00195D54">
            <w:pPr>
              <w:contextualSpacing/>
              <w:jc w:val="center"/>
              <w:rPr>
                <w:b/>
                <w:bCs/>
                <w:color w:val="C00000"/>
                <w:sz w:val="20"/>
                <w:szCs w:val="20"/>
              </w:rPr>
            </w:pPr>
          </w:p>
        </w:tc>
      </w:tr>
      <w:tr w:rsidR="0054058E" w:rsidRPr="00EE7219" w14:paraId="1B0650B4" w14:textId="35392D6E" w:rsidTr="006462C6">
        <w:trPr>
          <w:trHeight w:val="85"/>
        </w:trPr>
        <w:tc>
          <w:tcPr>
            <w:tcW w:w="3545" w:type="dxa"/>
            <w:tcBorders>
              <w:top w:val="single" w:sz="4" w:space="0" w:color="A6A6A6" w:themeColor="background1" w:themeShade="A6"/>
              <w:bottom w:val="single" w:sz="4" w:space="0" w:color="A6A6A6" w:themeColor="background1" w:themeShade="A6"/>
            </w:tcBorders>
            <w:shd w:val="clear" w:color="auto" w:fill="auto"/>
            <w:vAlign w:val="center"/>
          </w:tcPr>
          <w:p w14:paraId="2F87A5CF" w14:textId="77777777" w:rsidR="0054058E" w:rsidRPr="00676C02" w:rsidRDefault="0054058E" w:rsidP="00195D54">
            <w:pPr>
              <w:contextualSpacing/>
              <w:jc w:val="right"/>
              <w:rPr>
                <w:color w:val="000000"/>
                <w:sz w:val="16"/>
                <w:szCs w:val="16"/>
              </w:rPr>
            </w:pPr>
            <w:r w:rsidRPr="00676C02">
              <w:rPr>
                <w:i/>
                <w:iCs/>
                <w:color w:val="000000"/>
                <w:sz w:val="16"/>
                <w:szCs w:val="16"/>
              </w:rPr>
              <w:t>Izmaiņas</w:t>
            </w:r>
            <w:r w:rsidRPr="00676C02">
              <w:rPr>
                <w:b/>
                <w:bCs/>
                <w:i/>
                <w:iCs/>
                <w:color w:val="000000"/>
                <w:sz w:val="16"/>
                <w:szCs w:val="16"/>
              </w:rPr>
              <w:t xml:space="preserve"> </w:t>
            </w:r>
            <w:r w:rsidRPr="00676C02">
              <w:rPr>
                <w:i/>
                <w:iCs/>
                <w:color w:val="000000"/>
                <w:sz w:val="16"/>
                <w:szCs w:val="16"/>
              </w:rPr>
              <w:t>sakarā ar  ETS2 ieviešanu</w:t>
            </w:r>
          </w:p>
        </w:tc>
        <w:tc>
          <w:tcPr>
            <w:tcW w:w="708"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01F0B8D1" w14:textId="77777777" w:rsidR="0054058E" w:rsidRPr="006462C6" w:rsidRDefault="0054058E" w:rsidP="00195D54">
            <w:pPr>
              <w:contextualSpacing/>
              <w:jc w:val="center"/>
              <w:rPr>
                <w:b/>
                <w:bCs/>
                <w:sz w:val="18"/>
                <w:szCs w:val="18"/>
              </w:rPr>
            </w:pPr>
          </w:p>
        </w:tc>
        <w:tc>
          <w:tcPr>
            <w:tcW w:w="709" w:type="dxa"/>
            <w:tcBorders>
              <w:top w:val="single" w:sz="4" w:space="0" w:color="A6A6A6" w:themeColor="background1" w:themeShade="A6"/>
              <w:bottom w:val="single" w:sz="4" w:space="0" w:color="A6A6A6" w:themeColor="background1" w:themeShade="A6"/>
            </w:tcBorders>
            <w:vAlign w:val="center"/>
          </w:tcPr>
          <w:p w14:paraId="0AEEC966" w14:textId="77777777" w:rsidR="0054058E" w:rsidRPr="00AB5793" w:rsidRDefault="0054058E" w:rsidP="00195D54">
            <w:pPr>
              <w:contextualSpacing/>
              <w:jc w:val="right"/>
              <w:rPr>
                <w:b/>
                <w:bCs/>
                <w:color w:val="C00000"/>
                <w:sz w:val="16"/>
                <w:szCs w:val="16"/>
              </w:rPr>
            </w:pPr>
            <w:r w:rsidRPr="00AB5793">
              <w:rPr>
                <w:i/>
                <w:iCs/>
                <w:color w:val="C00000"/>
                <w:sz w:val="16"/>
                <w:szCs w:val="16"/>
              </w:rPr>
              <w:t>+26,3</w:t>
            </w:r>
          </w:p>
        </w:tc>
        <w:tc>
          <w:tcPr>
            <w:tcW w:w="709" w:type="dxa"/>
            <w:tcBorders>
              <w:top w:val="single" w:sz="4" w:space="0" w:color="A6A6A6" w:themeColor="background1" w:themeShade="A6"/>
              <w:bottom w:val="single" w:sz="4" w:space="0" w:color="A6A6A6" w:themeColor="background1" w:themeShade="A6"/>
            </w:tcBorders>
            <w:vAlign w:val="center"/>
          </w:tcPr>
          <w:p w14:paraId="05B10CA0" w14:textId="77777777" w:rsidR="0054058E" w:rsidRPr="00AB5793" w:rsidRDefault="0054058E" w:rsidP="00195D54">
            <w:pPr>
              <w:contextualSpacing/>
              <w:jc w:val="right"/>
              <w:rPr>
                <w:b/>
                <w:bCs/>
                <w:color w:val="C00000"/>
                <w:sz w:val="16"/>
                <w:szCs w:val="16"/>
              </w:rPr>
            </w:pPr>
            <w:r w:rsidRPr="00AB5793">
              <w:rPr>
                <w:i/>
                <w:iCs/>
                <w:color w:val="C00000"/>
                <w:sz w:val="16"/>
                <w:szCs w:val="16"/>
              </w:rPr>
              <w:t>+26,3</w:t>
            </w:r>
          </w:p>
        </w:tc>
        <w:tc>
          <w:tcPr>
            <w:tcW w:w="709" w:type="dxa"/>
            <w:vMerge/>
            <w:shd w:val="clear" w:color="auto" w:fill="FFFFFF" w:themeFill="background1"/>
          </w:tcPr>
          <w:p w14:paraId="743E13EE" w14:textId="77777777" w:rsidR="0054058E" w:rsidRPr="0085728F" w:rsidRDefault="0054058E" w:rsidP="00195D54">
            <w:pPr>
              <w:contextualSpacing/>
              <w:jc w:val="center"/>
              <w:rPr>
                <w:b/>
                <w:bCs/>
                <w:color w:val="00B050"/>
                <w:sz w:val="20"/>
                <w:szCs w:val="20"/>
              </w:rPr>
            </w:pPr>
          </w:p>
        </w:tc>
        <w:tc>
          <w:tcPr>
            <w:tcW w:w="850" w:type="dxa"/>
            <w:vMerge/>
            <w:shd w:val="clear" w:color="auto" w:fill="FFFFFF" w:themeFill="background1"/>
          </w:tcPr>
          <w:p w14:paraId="0C8F7CCA" w14:textId="77777777" w:rsidR="0054058E" w:rsidRPr="006462C6" w:rsidRDefault="0054058E" w:rsidP="00195D54">
            <w:pPr>
              <w:contextualSpacing/>
              <w:jc w:val="center"/>
              <w:rPr>
                <w:b/>
                <w:bCs/>
                <w:color w:val="92D050"/>
                <w:sz w:val="20"/>
                <w:szCs w:val="20"/>
              </w:rPr>
            </w:pPr>
          </w:p>
        </w:tc>
        <w:tc>
          <w:tcPr>
            <w:tcW w:w="851" w:type="dxa"/>
            <w:vMerge/>
            <w:shd w:val="clear" w:color="auto" w:fill="FFFFFF" w:themeFill="background1"/>
          </w:tcPr>
          <w:p w14:paraId="5D77325B" w14:textId="77777777" w:rsidR="0054058E" w:rsidRPr="006462C6" w:rsidRDefault="0054058E" w:rsidP="00195D54">
            <w:pPr>
              <w:contextualSpacing/>
              <w:jc w:val="center"/>
              <w:rPr>
                <w:b/>
                <w:bCs/>
                <w:color w:val="00B050"/>
                <w:sz w:val="20"/>
                <w:szCs w:val="20"/>
              </w:rPr>
            </w:pPr>
          </w:p>
        </w:tc>
        <w:tc>
          <w:tcPr>
            <w:tcW w:w="708" w:type="dxa"/>
            <w:vMerge/>
            <w:shd w:val="clear" w:color="auto" w:fill="FFFFFF" w:themeFill="background1"/>
          </w:tcPr>
          <w:p w14:paraId="77B3108B" w14:textId="06D611D8" w:rsidR="0054058E" w:rsidRPr="00EE7219" w:rsidRDefault="0054058E" w:rsidP="00195D54">
            <w:pPr>
              <w:contextualSpacing/>
              <w:jc w:val="center"/>
              <w:rPr>
                <w:b/>
                <w:bCs/>
                <w:color w:val="C00000"/>
                <w:sz w:val="20"/>
                <w:szCs w:val="20"/>
              </w:rPr>
            </w:pPr>
          </w:p>
        </w:tc>
        <w:tc>
          <w:tcPr>
            <w:tcW w:w="709" w:type="dxa"/>
            <w:vMerge/>
            <w:shd w:val="clear" w:color="auto" w:fill="FFFFFF" w:themeFill="background1"/>
          </w:tcPr>
          <w:p w14:paraId="2B8EA96C" w14:textId="77777777" w:rsidR="0054058E" w:rsidRPr="00EE7219" w:rsidRDefault="0054058E" w:rsidP="00195D54">
            <w:pPr>
              <w:contextualSpacing/>
              <w:jc w:val="center"/>
              <w:rPr>
                <w:b/>
                <w:bCs/>
                <w:color w:val="C00000"/>
                <w:sz w:val="20"/>
                <w:szCs w:val="20"/>
              </w:rPr>
            </w:pPr>
          </w:p>
        </w:tc>
        <w:tc>
          <w:tcPr>
            <w:tcW w:w="709" w:type="dxa"/>
            <w:vMerge/>
            <w:shd w:val="clear" w:color="auto" w:fill="FFFFFF" w:themeFill="background1"/>
          </w:tcPr>
          <w:p w14:paraId="6D909E2A" w14:textId="77777777" w:rsidR="0054058E" w:rsidRPr="00EE7219" w:rsidRDefault="0054058E" w:rsidP="00195D54">
            <w:pPr>
              <w:contextualSpacing/>
              <w:jc w:val="center"/>
              <w:rPr>
                <w:b/>
                <w:bCs/>
                <w:color w:val="C00000"/>
                <w:sz w:val="20"/>
                <w:szCs w:val="20"/>
              </w:rPr>
            </w:pPr>
          </w:p>
        </w:tc>
      </w:tr>
      <w:tr w:rsidR="006E0CCE" w:rsidRPr="00097D61" w14:paraId="209D75D4" w14:textId="60109CDA" w:rsidTr="006462C6">
        <w:trPr>
          <w:trHeight w:val="85"/>
        </w:trPr>
        <w:tc>
          <w:tcPr>
            <w:tcW w:w="3545" w:type="dxa"/>
            <w:tcBorders>
              <w:top w:val="single" w:sz="4" w:space="0" w:color="000000"/>
              <w:bottom w:val="single" w:sz="4" w:space="0" w:color="A6A6A6" w:themeColor="background1" w:themeShade="A6"/>
            </w:tcBorders>
            <w:shd w:val="clear" w:color="auto" w:fill="auto"/>
            <w:vAlign w:val="center"/>
          </w:tcPr>
          <w:p w14:paraId="5C52D345" w14:textId="77777777" w:rsidR="006E0CCE" w:rsidRPr="00041711" w:rsidRDefault="006E0CCE" w:rsidP="00195D54">
            <w:pPr>
              <w:contextualSpacing/>
              <w:rPr>
                <w:sz w:val="20"/>
                <w:szCs w:val="20"/>
              </w:rPr>
            </w:pPr>
            <w:r w:rsidRPr="00126954">
              <w:rPr>
                <w:b/>
                <w:bCs/>
                <w:sz w:val="20"/>
                <w:szCs w:val="20"/>
              </w:rPr>
              <w:t>Mazuts (smagā degvieleļļa)</w:t>
            </w:r>
            <w:r w:rsidRPr="00C666EF">
              <w:rPr>
                <w:sz w:val="20"/>
                <w:szCs w:val="20"/>
              </w:rPr>
              <w:t xml:space="preserve">, </w:t>
            </w:r>
            <w:r w:rsidRPr="00097D61">
              <w:rPr>
                <w:i/>
                <w:iCs/>
                <w:sz w:val="20"/>
                <w:szCs w:val="20"/>
              </w:rPr>
              <w:t>euro par 1000 kg</w:t>
            </w:r>
            <w:r>
              <w:rPr>
                <w:i/>
                <w:iCs/>
                <w:sz w:val="20"/>
                <w:szCs w:val="20"/>
              </w:rPr>
              <w:t>.</w:t>
            </w:r>
          </w:p>
        </w:tc>
        <w:tc>
          <w:tcPr>
            <w:tcW w:w="708" w:type="dxa"/>
            <w:tcBorders>
              <w:top w:val="single" w:sz="4" w:space="0" w:color="000000"/>
              <w:bottom w:val="single" w:sz="4" w:space="0" w:color="A6A6A6" w:themeColor="background1" w:themeShade="A6"/>
            </w:tcBorders>
            <w:shd w:val="clear" w:color="auto" w:fill="F2F2F2" w:themeFill="background1" w:themeFillShade="F2"/>
            <w:vAlign w:val="center"/>
          </w:tcPr>
          <w:p w14:paraId="707FDBA6" w14:textId="77777777" w:rsidR="006E0CCE" w:rsidRPr="00041711" w:rsidRDefault="006E0CCE" w:rsidP="00195D54">
            <w:pPr>
              <w:contextualSpacing/>
              <w:jc w:val="center"/>
              <w:rPr>
                <w:b/>
                <w:bCs/>
                <w:sz w:val="20"/>
                <w:szCs w:val="20"/>
              </w:rPr>
            </w:pPr>
            <w:r w:rsidRPr="00097D61">
              <w:rPr>
                <w:b/>
                <w:bCs/>
                <w:sz w:val="20"/>
                <w:szCs w:val="20"/>
              </w:rPr>
              <w:t>15,65</w:t>
            </w:r>
          </w:p>
        </w:tc>
        <w:tc>
          <w:tcPr>
            <w:tcW w:w="709" w:type="dxa"/>
            <w:tcBorders>
              <w:top w:val="single" w:sz="4" w:space="0" w:color="000000"/>
              <w:bottom w:val="single" w:sz="4" w:space="0" w:color="A6A6A6" w:themeColor="background1" w:themeShade="A6"/>
            </w:tcBorders>
            <w:vAlign w:val="center"/>
          </w:tcPr>
          <w:p w14:paraId="741A6A7C" w14:textId="77777777" w:rsidR="006E0CCE" w:rsidRPr="00125329" w:rsidRDefault="006E0CCE" w:rsidP="00195D54">
            <w:pPr>
              <w:contextualSpacing/>
              <w:jc w:val="center"/>
              <w:rPr>
                <w:b/>
                <w:bCs/>
                <w:color w:val="C00000"/>
                <w:sz w:val="20"/>
                <w:szCs w:val="20"/>
              </w:rPr>
            </w:pPr>
            <w:r w:rsidRPr="00125329">
              <w:rPr>
                <w:b/>
                <w:bCs/>
                <w:color w:val="C00000"/>
                <w:sz w:val="20"/>
                <w:szCs w:val="20"/>
              </w:rPr>
              <w:t>6</w:t>
            </w:r>
            <w:r>
              <w:rPr>
                <w:b/>
                <w:bCs/>
                <w:color w:val="C00000"/>
                <w:sz w:val="20"/>
                <w:szCs w:val="20"/>
              </w:rPr>
              <w:t>7</w:t>
            </w:r>
            <w:r w:rsidRPr="00125329">
              <w:rPr>
                <w:b/>
                <w:bCs/>
                <w:color w:val="C00000"/>
                <w:sz w:val="20"/>
                <w:szCs w:val="20"/>
              </w:rPr>
              <w:t>,3</w:t>
            </w:r>
          </w:p>
        </w:tc>
        <w:tc>
          <w:tcPr>
            <w:tcW w:w="709" w:type="dxa"/>
            <w:tcBorders>
              <w:top w:val="single" w:sz="4" w:space="0" w:color="000000"/>
              <w:bottom w:val="single" w:sz="4" w:space="0" w:color="A6A6A6" w:themeColor="background1" w:themeShade="A6"/>
            </w:tcBorders>
            <w:vAlign w:val="center"/>
          </w:tcPr>
          <w:p w14:paraId="34740890" w14:textId="77777777" w:rsidR="006E0CCE" w:rsidRPr="00125329" w:rsidRDefault="006E0CCE" w:rsidP="00195D54">
            <w:pPr>
              <w:contextualSpacing/>
              <w:jc w:val="center"/>
              <w:rPr>
                <w:b/>
                <w:bCs/>
                <w:color w:val="C00000"/>
                <w:sz w:val="20"/>
                <w:szCs w:val="20"/>
              </w:rPr>
            </w:pPr>
            <w:r w:rsidRPr="00125329">
              <w:rPr>
                <w:b/>
                <w:bCs/>
                <w:color w:val="C00000"/>
                <w:sz w:val="20"/>
                <w:szCs w:val="20"/>
              </w:rPr>
              <w:t>10</w:t>
            </w:r>
            <w:r>
              <w:rPr>
                <w:b/>
                <w:bCs/>
                <w:color w:val="C00000"/>
                <w:sz w:val="20"/>
                <w:szCs w:val="20"/>
              </w:rPr>
              <w:t>8</w:t>
            </w:r>
            <w:r w:rsidRPr="00125329">
              <w:rPr>
                <w:b/>
                <w:bCs/>
                <w:color w:val="C00000"/>
                <w:sz w:val="20"/>
                <w:szCs w:val="20"/>
              </w:rPr>
              <w:t>,6</w:t>
            </w:r>
          </w:p>
        </w:tc>
        <w:tc>
          <w:tcPr>
            <w:tcW w:w="709" w:type="dxa"/>
            <w:vMerge w:val="restart"/>
            <w:shd w:val="clear" w:color="auto" w:fill="FFFFFF" w:themeFill="background1"/>
            <w:vAlign w:val="center"/>
          </w:tcPr>
          <w:p w14:paraId="62795D58" w14:textId="77777777" w:rsidR="006E0CCE" w:rsidRPr="00057801" w:rsidRDefault="006E0CCE" w:rsidP="00195D54">
            <w:pPr>
              <w:jc w:val="center"/>
              <w:rPr>
                <w:b/>
                <w:bCs/>
                <w:sz w:val="20"/>
                <w:szCs w:val="20"/>
                <w:lang w:eastAsia="lv-LV"/>
              </w:rPr>
            </w:pPr>
            <w:r w:rsidRPr="00057801">
              <w:rPr>
                <w:b/>
                <w:bCs/>
                <w:color w:val="00B050"/>
                <w:sz w:val="20"/>
                <w:szCs w:val="20"/>
              </w:rPr>
              <w:t>15,06</w:t>
            </w:r>
          </w:p>
        </w:tc>
        <w:tc>
          <w:tcPr>
            <w:tcW w:w="850" w:type="dxa"/>
            <w:vMerge w:val="restart"/>
            <w:shd w:val="clear" w:color="auto" w:fill="FFFFFF" w:themeFill="background1"/>
            <w:vAlign w:val="center"/>
          </w:tcPr>
          <w:p w14:paraId="64FEDB6C" w14:textId="77777777" w:rsidR="006E0CCE" w:rsidRPr="006462C6" w:rsidRDefault="006E0CCE" w:rsidP="00195D54">
            <w:pPr>
              <w:contextualSpacing/>
              <w:jc w:val="center"/>
              <w:rPr>
                <w:b/>
                <w:bCs/>
                <w:color w:val="92D050"/>
                <w:sz w:val="20"/>
                <w:szCs w:val="20"/>
              </w:rPr>
            </w:pPr>
            <w:r w:rsidRPr="006462C6">
              <w:rPr>
                <w:rFonts w:eastAsia="Calibri" w:cstheme="minorHAnsi"/>
                <w:b/>
                <w:bCs/>
                <w:color w:val="00B050"/>
                <w:sz w:val="20"/>
                <w:szCs w:val="20"/>
              </w:rPr>
              <w:t>83,66</w:t>
            </w:r>
          </w:p>
        </w:tc>
        <w:tc>
          <w:tcPr>
            <w:tcW w:w="851" w:type="dxa"/>
            <w:vMerge w:val="restart"/>
            <w:shd w:val="clear" w:color="auto" w:fill="FFFFFF" w:themeFill="background1"/>
            <w:vAlign w:val="center"/>
          </w:tcPr>
          <w:p w14:paraId="14462541" w14:textId="5A199999" w:rsidR="006E0CCE" w:rsidRPr="006462C6" w:rsidRDefault="006E0CCE" w:rsidP="0054058E">
            <w:pPr>
              <w:contextualSpacing/>
              <w:jc w:val="center"/>
              <w:rPr>
                <w:b/>
                <w:bCs/>
                <w:color w:val="00B050"/>
                <w:sz w:val="20"/>
                <w:szCs w:val="20"/>
              </w:rPr>
            </w:pPr>
            <w:r w:rsidRPr="006462C6">
              <w:rPr>
                <w:b/>
                <w:bCs/>
                <w:color w:val="00B050"/>
                <w:sz w:val="20"/>
                <w:szCs w:val="20"/>
              </w:rPr>
              <w:t>139,86</w:t>
            </w:r>
          </w:p>
        </w:tc>
        <w:tc>
          <w:tcPr>
            <w:tcW w:w="2126" w:type="dxa"/>
            <w:gridSpan w:val="3"/>
            <w:vMerge w:val="restart"/>
            <w:shd w:val="clear" w:color="auto" w:fill="FFFFFF" w:themeFill="background1"/>
            <w:vAlign w:val="center"/>
          </w:tcPr>
          <w:p w14:paraId="785E511A" w14:textId="08F68503" w:rsidR="006E0CCE" w:rsidRPr="00057801" w:rsidRDefault="006E0CCE" w:rsidP="0054058E">
            <w:pPr>
              <w:contextualSpacing/>
              <w:jc w:val="center"/>
              <w:rPr>
                <w:b/>
                <w:bCs/>
                <w:color w:val="0070C0"/>
                <w:sz w:val="20"/>
                <w:szCs w:val="20"/>
              </w:rPr>
            </w:pPr>
            <w:r w:rsidRPr="00057801">
              <w:rPr>
                <w:b/>
                <w:bCs/>
                <w:color w:val="0070C0"/>
                <w:sz w:val="20"/>
                <w:szCs w:val="20"/>
              </w:rPr>
              <w:t>58 </w:t>
            </w:r>
          </w:p>
        </w:tc>
      </w:tr>
      <w:tr w:rsidR="006E0CCE" w:rsidRPr="00097D61" w14:paraId="6B3B3A71" w14:textId="555A4097" w:rsidTr="006462C6">
        <w:trPr>
          <w:trHeight w:val="85"/>
        </w:trPr>
        <w:tc>
          <w:tcPr>
            <w:tcW w:w="3545" w:type="dxa"/>
            <w:tcBorders>
              <w:top w:val="single" w:sz="4" w:space="0" w:color="A6A6A6" w:themeColor="background1" w:themeShade="A6"/>
              <w:bottom w:val="single" w:sz="4" w:space="0" w:color="A6A6A6" w:themeColor="background1" w:themeShade="A6"/>
            </w:tcBorders>
            <w:shd w:val="clear" w:color="auto" w:fill="auto"/>
            <w:vAlign w:val="center"/>
          </w:tcPr>
          <w:p w14:paraId="53BE18F6" w14:textId="77777777" w:rsidR="006E0CCE" w:rsidRPr="00676C02" w:rsidRDefault="006E0CCE" w:rsidP="00195D54">
            <w:pPr>
              <w:contextualSpacing/>
              <w:jc w:val="right"/>
              <w:rPr>
                <w:i/>
                <w:iCs/>
                <w:color w:val="000000"/>
                <w:sz w:val="16"/>
                <w:szCs w:val="16"/>
              </w:rPr>
            </w:pPr>
            <w:r w:rsidRPr="00676C02">
              <w:rPr>
                <w:i/>
                <w:iCs/>
                <w:color w:val="000000"/>
                <w:sz w:val="16"/>
                <w:szCs w:val="16"/>
              </w:rPr>
              <w:t>Izmaiņas</w:t>
            </w:r>
            <w:r w:rsidRPr="00676C02">
              <w:rPr>
                <w:b/>
                <w:bCs/>
                <w:i/>
                <w:iCs/>
                <w:color w:val="000000"/>
                <w:sz w:val="16"/>
                <w:szCs w:val="16"/>
              </w:rPr>
              <w:t xml:space="preserve"> </w:t>
            </w:r>
            <w:r w:rsidRPr="00676C02">
              <w:rPr>
                <w:i/>
                <w:iCs/>
                <w:color w:val="000000"/>
                <w:sz w:val="16"/>
                <w:szCs w:val="16"/>
              </w:rPr>
              <w:t>kurināmajam</w:t>
            </w:r>
          </w:p>
        </w:tc>
        <w:tc>
          <w:tcPr>
            <w:tcW w:w="708"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3ED07221" w14:textId="77777777" w:rsidR="006E0CCE" w:rsidRPr="00041711" w:rsidRDefault="006E0CCE" w:rsidP="00195D54">
            <w:pPr>
              <w:contextualSpacing/>
              <w:jc w:val="center"/>
              <w:rPr>
                <w:b/>
                <w:bCs/>
                <w:sz w:val="20"/>
                <w:szCs w:val="20"/>
              </w:rPr>
            </w:pPr>
          </w:p>
        </w:tc>
        <w:tc>
          <w:tcPr>
            <w:tcW w:w="709" w:type="dxa"/>
            <w:tcBorders>
              <w:top w:val="single" w:sz="4" w:space="0" w:color="A6A6A6" w:themeColor="background1" w:themeShade="A6"/>
              <w:bottom w:val="single" w:sz="4" w:space="0" w:color="A6A6A6" w:themeColor="background1" w:themeShade="A6"/>
            </w:tcBorders>
            <w:vAlign w:val="center"/>
          </w:tcPr>
          <w:p w14:paraId="5DB730E1" w14:textId="77777777" w:rsidR="006E0CCE" w:rsidRPr="00AB5793" w:rsidRDefault="006E0CCE" w:rsidP="00AB5793">
            <w:pPr>
              <w:contextualSpacing/>
              <w:jc w:val="right"/>
              <w:rPr>
                <w:i/>
                <w:iCs/>
                <w:color w:val="C00000"/>
                <w:sz w:val="16"/>
                <w:szCs w:val="16"/>
              </w:rPr>
            </w:pPr>
            <w:r w:rsidRPr="00AB5793">
              <w:rPr>
                <w:i/>
                <w:iCs/>
                <w:color w:val="C00000"/>
                <w:sz w:val="16"/>
                <w:szCs w:val="16"/>
              </w:rPr>
              <w:t>+20,35</w:t>
            </w:r>
          </w:p>
        </w:tc>
        <w:tc>
          <w:tcPr>
            <w:tcW w:w="709" w:type="dxa"/>
            <w:tcBorders>
              <w:top w:val="single" w:sz="4" w:space="0" w:color="A6A6A6" w:themeColor="background1" w:themeShade="A6"/>
              <w:bottom w:val="single" w:sz="4" w:space="0" w:color="A6A6A6" w:themeColor="background1" w:themeShade="A6"/>
            </w:tcBorders>
            <w:vAlign w:val="center"/>
          </w:tcPr>
          <w:p w14:paraId="57DB2039" w14:textId="77777777" w:rsidR="006E0CCE" w:rsidRPr="00AB5793" w:rsidRDefault="006E0CCE" w:rsidP="00195D54">
            <w:pPr>
              <w:contextualSpacing/>
              <w:jc w:val="right"/>
              <w:rPr>
                <w:i/>
                <w:iCs/>
                <w:color w:val="C00000"/>
                <w:sz w:val="16"/>
                <w:szCs w:val="16"/>
              </w:rPr>
            </w:pPr>
            <w:r w:rsidRPr="00AB5793">
              <w:rPr>
                <w:i/>
                <w:iCs/>
                <w:color w:val="C00000"/>
                <w:sz w:val="16"/>
                <w:szCs w:val="16"/>
              </w:rPr>
              <w:t>+10,0</w:t>
            </w:r>
          </w:p>
        </w:tc>
        <w:tc>
          <w:tcPr>
            <w:tcW w:w="709" w:type="dxa"/>
            <w:vMerge/>
            <w:shd w:val="clear" w:color="auto" w:fill="FFFFFF" w:themeFill="background1"/>
            <w:vAlign w:val="center"/>
          </w:tcPr>
          <w:p w14:paraId="0C70078C" w14:textId="77777777" w:rsidR="006E0CCE" w:rsidRPr="00041711" w:rsidRDefault="006E0CCE" w:rsidP="00195D54">
            <w:pPr>
              <w:contextualSpacing/>
              <w:jc w:val="center"/>
              <w:rPr>
                <w:b/>
                <w:bCs/>
                <w:color w:val="00B050"/>
                <w:sz w:val="20"/>
                <w:szCs w:val="20"/>
              </w:rPr>
            </w:pPr>
          </w:p>
        </w:tc>
        <w:tc>
          <w:tcPr>
            <w:tcW w:w="850" w:type="dxa"/>
            <w:vMerge/>
            <w:shd w:val="clear" w:color="auto" w:fill="FFFFFF" w:themeFill="background1"/>
          </w:tcPr>
          <w:p w14:paraId="40DE3B5C" w14:textId="77777777" w:rsidR="006E0CCE" w:rsidRPr="00FE35AA" w:rsidRDefault="006E0CCE" w:rsidP="00195D54">
            <w:pPr>
              <w:contextualSpacing/>
              <w:jc w:val="center"/>
              <w:rPr>
                <w:b/>
                <w:bCs/>
                <w:color w:val="92D050"/>
                <w:sz w:val="20"/>
                <w:szCs w:val="20"/>
              </w:rPr>
            </w:pPr>
          </w:p>
        </w:tc>
        <w:tc>
          <w:tcPr>
            <w:tcW w:w="851" w:type="dxa"/>
            <w:vMerge/>
            <w:shd w:val="clear" w:color="auto" w:fill="FFFFFF" w:themeFill="background1"/>
          </w:tcPr>
          <w:p w14:paraId="16B4BA48" w14:textId="77777777" w:rsidR="006E0CCE" w:rsidRPr="00041711" w:rsidRDefault="006E0CCE" w:rsidP="00195D54">
            <w:pPr>
              <w:contextualSpacing/>
              <w:jc w:val="center"/>
              <w:rPr>
                <w:b/>
                <w:bCs/>
                <w:color w:val="0070C0"/>
                <w:sz w:val="20"/>
                <w:szCs w:val="20"/>
              </w:rPr>
            </w:pPr>
          </w:p>
        </w:tc>
        <w:tc>
          <w:tcPr>
            <w:tcW w:w="2126" w:type="dxa"/>
            <w:gridSpan w:val="3"/>
            <w:vMerge/>
            <w:shd w:val="clear" w:color="auto" w:fill="FFFFFF" w:themeFill="background1"/>
            <w:vAlign w:val="center"/>
          </w:tcPr>
          <w:p w14:paraId="026CBB4C" w14:textId="77777777" w:rsidR="006E0CCE" w:rsidRPr="00041711" w:rsidRDefault="006E0CCE" w:rsidP="00195D54">
            <w:pPr>
              <w:contextualSpacing/>
              <w:jc w:val="center"/>
              <w:rPr>
                <w:b/>
                <w:bCs/>
                <w:color w:val="0070C0"/>
                <w:sz w:val="20"/>
                <w:szCs w:val="20"/>
              </w:rPr>
            </w:pPr>
          </w:p>
        </w:tc>
      </w:tr>
      <w:tr w:rsidR="006E0CCE" w:rsidRPr="00097D61" w14:paraId="0AC4946F" w14:textId="205A0F4E" w:rsidTr="006462C6">
        <w:trPr>
          <w:trHeight w:val="85"/>
        </w:trPr>
        <w:tc>
          <w:tcPr>
            <w:tcW w:w="3545" w:type="dxa"/>
            <w:tcBorders>
              <w:top w:val="single" w:sz="4" w:space="0" w:color="A6A6A6" w:themeColor="background1" w:themeShade="A6"/>
              <w:bottom w:val="single" w:sz="4" w:space="0" w:color="A6A6A6" w:themeColor="background1" w:themeShade="A6"/>
            </w:tcBorders>
            <w:shd w:val="clear" w:color="auto" w:fill="auto"/>
            <w:vAlign w:val="center"/>
          </w:tcPr>
          <w:p w14:paraId="5A3DFFC1" w14:textId="77777777" w:rsidR="006E0CCE" w:rsidRPr="00676C02" w:rsidRDefault="006E0CCE" w:rsidP="00195D54">
            <w:pPr>
              <w:contextualSpacing/>
              <w:jc w:val="right"/>
              <w:rPr>
                <w:sz w:val="16"/>
                <w:szCs w:val="16"/>
              </w:rPr>
            </w:pPr>
            <w:r w:rsidRPr="00676C02">
              <w:rPr>
                <w:i/>
                <w:iCs/>
                <w:color w:val="000000"/>
                <w:sz w:val="16"/>
                <w:szCs w:val="16"/>
              </w:rPr>
              <w:t>Izmaiņas</w:t>
            </w:r>
            <w:r w:rsidRPr="00676C02">
              <w:rPr>
                <w:b/>
                <w:bCs/>
                <w:i/>
                <w:iCs/>
                <w:color w:val="000000"/>
                <w:sz w:val="16"/>
                <w:szCs w:val="16"/>
              </w:rPr>
              <w:t xml:space="preserve"> </w:t>
            </w:r>
            <w:r w:rsidRPr="00676C02">
              <w:rPr>
                <w:i/>
                <w:iCs/>
                <w:color w:val="000000"/>
                <w:sz w:val="16"/>
                <w:szCs w:val="16"/>
              </w:rPr>
              <w:t>sakarā ar  ETS2 ieviešanu</w:t>
            </w:r>
          </w:p>
        </w:tc>
        <w:tc>
          <w:tcPr>
            <w:tcW w:w="708"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17896EF3" w14:textId="77777777" w:rsidR="006E0CCE" w:rsidRPr="00041711" w:rsidRDefault="006E0CCE" w:rsidP="00195D54">
            <w:pPr>
              <w:contextualSpacing/>
              <w:jc w:val="center"/>
              <w:rPr>
                <w:b/>
                <w:bCs/>
                <w:sz w:val="20"/>
                <w:szCs w:val="20"/>
              </w:rPr>
            </w:pPr>
          </w:p>
        </w:tc>
        <w:tc>
          <w:tcPr>
            <w:tcW w:w="709" w:type="dxa"/>
            <w:tcBorders>
              <w:top w:val="single" w:sz="4" w:space="0" w:color="A6A6A6" w:themeColor="background1" w:themeShade="A6"/>
              <w:bottom w:val="single" w:sz="4" w:space="0" w:color="A6A6A6" w:themeColor="background1" w:themeShade="A6"/>
            </w:tcBorders>
            <w:vAlign w:val="center"/>
          </w:tcPr>
          <w:p w14:paraId="0E721FF8" w14:textId="77777777" w:rsidR="006E0CCE" w:rsidRPr="00AB5793" w:rsidRDefault="006E0CCE" w:rsidP="00195D54">
            <w:pPr>
              <w:contextualSpacing/>
              <w:jc w:val="right"/>
              <w:rPr>
                <w:b/>
                <w:bCs/>
                <w:i/>
                <w:iCs/>
                <w:color w:val="C00000"/>
                <w:sz w:val="16"/>
                <w:szCs w:val="16"/>
              </w:rPr>
            </w:pPr>
            <w:r w:rsidRPr="00AB5793">
              <w:rPr>
                <w:i/>
                <w:iCs/>
                <w:color w:val="C00000"/>
                <w:sz w:val="16"/>
                <w:szCs w:val="16"/>
              </w:rPr>
              <w:t>+31,3</w:t>
            </w:r>
          </w:p>
        </w:tc>
        <w:tc>
          <w:tcPr>
            <w:tcW w:w="709" w:type="dxa"/>
            <w:tcBorders>
              <w:top w:val="single" w:sz="4" w:space="0" w:color="A6A6A6" w:themeColor="background1" w:themeShade="A6"/>
              <w:bottom w:val="single" w:sz="4" w:space="0" w:color="A6A6A6" w:themeColor="background1" w:themeShade="A6"/>
            </w:tcBorders>
            <w:vAlign w:val="center"/>
          </w:tcPr>
          <w:p w14:paraId="4B412FB4" w14:textId="77777777" w:rsidR="006E0CCE" w:rsidRPr="00AB5793" w:rsidRDefault="006E0CCE" w:rsidP="00195D54">
            <w:pPr>
              <w:contextualSpacing/>
              <w:jc w:val="right"/>
              <w:rPr>
                <w:b/>
                <w:bCs/>
                <w:i/>
                <w:iCs/>
                <w:color w:val="C00000"/>
                <w:sz w:val="16"/>
                <w:szCs w:val="16"/>
              </w:rPr>
            </w:pPr>
            <w:r w:rsidRPr="00AB5793">
              <w:rPr>
                <w:i/>
                <w:iCs/>
                <w:color w:val="C00000"/>
                <w:sz w:val="16"/>
                <w:szCs w:val="16"/>
              </w:rPr>
              <w:t>+31,3</w:t>
            </w:r>
          </w:p>
        </w:tc>
        <w:tc>
          <w:tcPr>
            <w:tcW w:w="709" w:type="dxa"/>
            <w:vMerge/>
            <w:shd w:val="clear" w:color="auto" w:fill="FFFFFF" w:themeFill="background1"/>
            <w:vAlign w:val="center"/>
          </w:tcPr>
          <w:p w14:paraId="1ECFF897" w14:textId="77777777" w:rsidR="006E0CCE" w:rsidRPr="00041711" w:rsidRDefault="006E0CCE" w:rsidP="00195D54">
            <w:pPr>
              <w:contextualSpacing/>
              <w:jc w:val="center"/>
              <w:rPr>
                <w:b/>
                <w:bCs/>
                <w:color w:val="00B050"/>
                <w:sz w:val="20"/>
                <w:szCs w:val="20"/>
              </w:rPr>
            </w:pPr>
          </w:p>
        </w:tc>
        <w:tc>
          <w:tcPr>
            <w:tcW w:w="850" w:type="dxa"/>
            <w:vMerge/>
            <w:shd w:val="clear" w:color="auto" w:fill="FFFFFF" w:themeFill="background1"/>
          </w:tcPr>
          <w:p w14:paraId="2B80776C" w14:textId="77777777" w:rsidR="006E0CCE" w:rsidRPr="00FE35AA" w:rsidRDefault="006E0CCE" w:rsidP="00195D54">
            <w:pPr>
              <w:contextualSpacing/>
              <w:jc w:val="center"/>
              <w:rPr>
                <w:b/>
                <w:bCs/>
                <w:color w:val="92D050"/>
                <w:sz w:val="20"/>
                <w:szCs w:val="20"/>
              </w:rPr>
            </w:pPr>
          </w:p>
        </w:tc>
        <w:tc>
          <w:tcPr>
            <w:tcW w:w="851" w:type="dxa"/>
            <w:vMerge/>
            <w:shd w:val="clear" w:color="auto" w:fill="FFFFFF" w:themeFill="background1"/>
          </w:tcPr>
          <w:p w14:paraId="75B8B3ED" w14:textId="77777777" w:rsidR="006E0CCE" w:rsidRPr="00041711" w:rsidRDefault="006E0CCE" w:rsidP="00195D54">
            <w:pPr>
              <w:contextualSpacing/>
              <w:jc w:val="center"/>
              <w:rPr>
                <w:b/>
                <w:bCs/>
                <w:color w:val="0070C0"/>
                <w:sz w:val="20"/>
                <w:szCs w:val="20"/>
              </w:rPr>
            </w:pPr>
          </w:p>
        </w:tc>
        <w:tc>
          <w:tcPr>
            <w:tcW w:w="2126" w:type="dxa"/>
            <w:gridSpan w:val="3"/>
            <w:vMerge/>
            <w:shd w:val="clear" w:color="auto" w:fill="FFFFFF" w:themeFill="background1"/>
            <w:vAlign w:val="center"/>
          </w:tcPr>
          <w:p w14:paraId="3A09DBC3" w14:textId="77777777" w:rsidR="006E0CCE" w:rsidRPr="00041711" w:rsidRDefault="006E0CCE" w:rsidP="00195D54">
            <w:pPr>
              <w:contextualSpacing/>
              <w:jc w:val="center"/>
              <w:rPr>
                <w:b/>
                <w:bCs/>
                <w:color w:val="0070C0"/>
                <w:sz w:val="20"/>
                <w:szCs w:val="20"/>
              </w:rPr>
            </w:pPr>
          </w:p>
        </w:tc>
      </w:tr>
      <w:tr w:rsidR="006E0CCE" w:rsidRPr="00DB6653" w14:paraId="5E32BF32" w14:textId="274089B4" w:rsidTr="006462C6">
        <w:trPr>
          <w:trHeight w:val="85"/>
        </w:trPr>
        <w:tc>
          <w:tcPr>
            <w:tcW w:w="3545" w:type="dxa"/>
            <w:tcBorders>
              <w:top w:val="single" w:sz="4" w:space="0" w:color="000000"/>
              <w:bottom w:val="single" w:sz="4" w:space="0" w:color="A6A6A6" w:themeColor="background1" w:themeShade="A6"/>
            </w:tcBorders>
            <w:shd w:val="clear" w:color="auto" w:fill="auto"/>
            <w:vAlign w:val="center"/>
          </w:tcPr>
          <w:p w14:paraId="327F1F59" w14:textId="77777777" w:rsidR="006E0CCE" w:rsidRPr="00DB6653" w:rsidRDefault="006E0CCE" w:rsidP="006E0CCE">
            <w:pPr>
              <w:contextualSpacing/>
              <w:rPr>
                <w:b/>
                <w:bCs/>
                <w:sz w:val="20"/>
                <w:szCs w:val="20"/>
              </w:rPr>
            </w:pPr>
            <w:r w:rsidRPr="00126954">
              <w:rPr>
                <w:b/>
                <w:bCs/>
                <w:sz w:val="20"/>
                <w:szCs w:val="20"/>
              </w:rPr>
              <w:t>Naftas gāze, ko izmanto par kurināmo</w:t>
            </w:r>
            <w:r w:rsidRPr="00097D61">
              <w:rPr>
                <w:sz w:val="20"/>
                <w:szCs w:val="20"/>
              </w:rPr>
              <w:t xml:space="preserve">, </w:t>
            </w:r>
            <w:r w:rsidRPr="00097D61">
              <w:rPr>
                <w:i/>
                <w:iCs/>
                <w:sz w:val="20"/>
                <w:szCs w:val="20"/>
              </w:rPr>
              <w:t>euro par 1000 kg</w:t>
            </w:r>
            <w:r>
              <w:rPr>
                <w:i/>
                <w:iCs/>
                <w:sz w:val="20"/>
                <w:szCs w:val="20"/>
              </w:rPr>
              <w:t>.</w:t>
            </w:r>
          </w:p>
        </w:tc>
        <w:tc>
          <w:tcPr>
            <w:tcW w:w="708" w:type="dxa"/>
            <w:tcBorders>
              <w:top w:val="single" w:sz="4" w:space="0" w:color="000000"/>
              <w:bottom w:val="single" w:sz="4" w:space="0" w:color="A6A6A6" w:themeColor="background1" w:themeShade="A6"/>
            </w:tcBorders>
            <w:shd w:val="clear" w:color="auto" w:fill="F2F2F2" w:themeFill="background1" w:themeFillShade="F2"/>
            <w:vAlign w:val="center"/>
          </w:tcPr>
          <w:p w14:paraId="51E25593" w14:textId="77777777" w:rsidR="006E0CCE" w:rsidRPr="00DB6653" w:rsidRDefault="006E0CCE" w:rsidP="006E0CCE">
            <w:pPr>
              <w:contextualSpacing/>
              <w:jc w:val="center"/>
              <w:rPr>
                <w:b/>
                <w:bCs/>
                <w:sz w:val="20"/>
                <w:szCs w:val="20"/>
              </w:rPr>
            </w:pPr>
            <w:r>
              <w:rPr>
                <w:b/>
                <w:bCs/>
                <w:sz w:val="20"/>
                <w:szCs w:val="20"/>
              </w:rPr>
              <w:t>0</w:t>
            </w:r>
          </w:p>
        </w:tc>
        <w:tc>
          <w:tcPr>
            <w:tcW w:w="709" w:type="dxa"/>
            <w:tcBorders>
              <w:top w:val="single" w:sz="4" w:space="0" w:color="000000"/>
              <w:bottom w:val="single" w:sz="4" w:space="0" w:color="A6A6A6" w:themeColor="background1" w:themeShade="A6"/>
            </w:tcBorders>
            <w:vAlign w:val="center"/>
          </w:tcPr>
          <w:p w14:paraId="72F9C3BD" w14:textId="77777777" w:rsidR="006E0CCE" w:rsidRPr="00F813D1" w:rsidRDefault="006E0CCE" w:rsidP="006E0CCE">
            <w:pPr>
              <w:contextualSpacing/>
              <w:jc w:val="center"/>
              <w:rPr>
                <w:b/>
                <w:bCs/>
                <w:color w:val="C00000"/>
                <w:sz w:val="20"/>
                <w:szCs w:val="20"/>
              </w:rPr>
            </w:pPr>
            <w:r>
              <w:rPr>
                <w:b/>
                <w:bCs/>
                <w:color w:val="C00000"/>
                <w:sz w:val="20"/>
                <w:szCs w:val="20"/>
              </w:rPr>
              <w:t>44</w:t>
            </w:r>
            <w:r w:rsidRPr="00F813D1">
              <w:rPr>
                <w:b/>
                <w:bCs/>
                <w:color w:val="C00000"/>
                <w:sz w:val="20"/>
                <w:szCs w:val="20"/>
              </w:rPr>
              <w:t>,0</w:t>
            </w:r>
          </w:p>
        </w:tc>
        <w:tc>
          <w:tcPr>
            <w:tcW w:w="709" w:type="dxa"/>
            <w:tcBorders>
              <w:top w:val="single" w:sz="4" w:space="0" w:color="000000"/>
              <w:bottom w:val="single" w:sz="4" w:space="0" w:color="A6A6A6" w:themeColor="background1" w:themeShade="A6"/>
            </w:tcBorders>
            <w:vAlign w:val="center"/>
          </w:tcPr>
          <w:p w14:paraId="72D7139B" w14:textId="77777777" w:rsidR="006E0CCE" w:rsidRPr="00F813D1" w:rsidRDefault="006E0CCE" w:rsidP="006E0CCE">
            <w:pPr>
              <w:contextualSpacing/>
              <w:jc w:val="center"/>
              <w:rPr>
                <w:b/>
                <w:bCs/>
                <w:color w:val="C00000"/>
                <w:sz w:val="20"/>
                <w:szCs w:val="20"/>
              </w:rPr>
            </w:pPr>
            <w:r>
              <w:rPr>
                <w:b/>
                <w:bCs/>
                <w:color w:val="C00000"/>
                <w:sz w:val="20"/>
                <w:szCs w:val="20"/>
              </w:rPr>
              <w:t>8</w:t>
            </w:r>
            <w:r w:rsidRPr="00AC2ACE">
              <w:rPr>
                <w:b/>
                <w:bCs/>
                <w:color w:val="C00000"/>
                <w:sz w:val="20"/>
                <w:szCs w:val="20"/>
              </w:rPr>
              <w:t>8,0</w:t>
            </w:r>
          </w:p>
        </w:tc>
        <w:tc>
          <w:tcPr>
            <w:tcW w:w="709" w:type="dxa"/>
            <w:vMerge w:val="restart"/>
            <w:tcBorders>
              <w:top w:val="single" w:sz="4" w:space="0" w:color="000000"/>
            </w:tcBorders>
            <w:shd w:val="clear" w:color="auto" w:fill="FFFFFF" w:themeFill="background1"/>
            <w:vAlign w:val="center"/>
          </w:tcPr>
          <w:p w14:paraId="40181B84" w14:textId="77777777" w:rsidR="006E0CCE" w:rsidRPr="00DB6653" w:rsidRDefault="006E0CCE" w:rsidP="006E0CCE">
            <w:pPr>
              <w:contextualSpacing/>
              <w:jc w:val="center"/>
              <w:rPr>
                <w:b/>
                <w:bCs/>
                <w:color w:val="C00000"/>
                <w:sz w:val="20"/>
                <w:szCs w:val="20"/>
              </w:rPr>
            </w:pPr>
            <w:r w:rsidRPr="00893225">
              <w:rPr>
                <w:b/>
                <w:bCs/>
                <w:color w:val="00B050"/>
                <w:sz w:val="20"/>
                <w:szCs w:val="20"/>
              </w:rPr>
              <w:t>13</w:t>
            </w:r>
          </w:p>
        </w:tc>
        <w:tc>
          <w:tcPr>
            <w:tcW w:w="850" w:type="dxa"/>
            <w:vMerge w:val="restart"/>
            <w:tcBorders>
              <w:top w:val="single" w:sz="4" w:space="0" w:color="000000"/>
            </w:tcBorders>
            <w:shd w:val="clear" w:color="auto" w:fill="FFFFFF" w:themeFill="background1"/>
            <w:vAlign w:val="center"/>
          </w:tcPr>
          <w:p w14:paraId="77E47AAE" w14:textId="77777777" w:rsidR="006E0CCE" w:rsidRPr="006462C6" w:rsidRDefault="006E0CCE" w:rsidP="006E0CCE">
            <w:pPr>
              <w:pStyle w:val="ListParagraph"/>
              <w:tabs>
                <w:tab w:val="left" w:pos="284"/>
              </w:tabs>
              <w:ind w:left="284" w:hanging="284"/>
              <w:jc w:val="center"/>
              <w:rPr>
                <w:rFonts w:cstheme="minorHAnsi"/>
                <w:b/>
                <w:bCs/>
                <w:sz w:val="20"/>
                <w:szCs w:val="20"/>
              </w:rPr>
            </w:pPr>
            <w:r w:rsidRPr="006462C6">
              <w:rPr>
                <w:rFonts w:cstheme="minorHAnsi"/>
                <w:b/>
                <w:bCs/>
                <w:color w:val="00B050"/>
                <w:sz w:val="20"/>
                <w:szCs w:val="20"/>
              </w:rPr>
              <w:t>13</w:t>
            </w:r>
          </w:p>
          <w:p w14:paraId="13435C5A" w14:textId="2EB1F160" w:rsidR="006E0CCE" w:rsidRPr="006C0DA8" w:rsidRDefault="006E0CCE" w:rsidP="006462C6">
            <w:pPr>
              <w:pStyle w:val="ListParagraph"/>
              <w:ind w:left="0"/>
              <w:jc w:val="center"/>
              <w:rPr>
                <w:rFonts w:cstheme="minorHAnsi"/>
                <w:bCs/>
                <w:sz w:val="12"/>
                <w:szCs w:val="12"/>
              </w:rPr>
            </w:pPr>
            <w:r w:rsidRPr="006C0DA8">
              <w:rPr>
                <w:rFonts w:cstheme="minorHAnsi"/>
                <w:bCs/>
                <w:sz w:val="12"/>
                <w:szCs w:val="12"/>
              </w:rPr>
              <w:t>(</w:t>
            </w:r>
            <w:proofErr w:type="spellStart"/>
            <w:r w:rsidRPr="006C0DA8">
              <w:rPr>
                <w:rFonts w:cstheme="minorHAnsi"/>
                <w:bCs/>
                <w:sz w:val="12"/>
                <w:szCs w:val="12"/>
              </w:rPr>
              <w:t>mājs</w:t>
            </w:r>
            <w:proofErr w:type="spellEnd"/>
            <w:r w:rsidRPr="006C0DA8">
              <w:rPr>
                <w:rFonts w:cstheme="minorHAnsi"/>
                <w:bCs/>
                <w:sz w:val="12"/>
                <w:szCs w:val="12"/>
              </w:rPr>
              <w:t>.)</w:t>
            </w:r>
          </w:p>
          <w:p w14:paraId="1A3A94FB" w14:textId="77777777" w:rsidR="006E0CCE" w:rsidRPr="006462C6" w:rsidRDefault="006E0CCE" w:rsidP="006E0CCE">
            <w:pPr>
              <w:pStyle w:val="ListParagraph"/>
              <w:tabs>
                <w:tab w:val="left" w:pos="284"/>
              </w:tabs>
              <w:ind w:left="284" w:hanging="284"/>
              <w:jc w:val="center"/>
              <w:rPr>
                <w:rFonts w:cstheme="minorHAnsi"/>
                <w:b/>
                <w:bCs/>
                <w:color w:val="00B050"/>
                <w:sz w:val="20"/>
                <w:szCs w:val="20"/>
              </w:rPr>
            </w:pPr>
            <w:r w:rsidRPr="006462C6">
              <w:rPr>
                <w:rFonts w:cstheme="minorHAnsi"/>
                <w:b/>
                <w:bCs/>
                <w:color w:val="00B050"/>
                <w:sz w:val="20"/>
                <w:szCs w:val="20"/>
              </w:rPr>
              <w:t>79,8</w:t>
            </w:r>
          </w:p>
          <w:p w14:paraId="54722212" w14:textId="77777777" w:rsidR="006E0CCE" w:rsidRPr="00AB408D" w:rsidRDefault="006E0CCE" w:rsidP="006462C6">
            <w:pPr>
              <w:pStyle w:val="ListParagraph"/>
              <w:ind w:left="0"/>
              <w:jc w:val="center"/>
              <w:rPr>
                <w:rFonts w:cstheme="minorHAnsi"/>
                <w:bCs/>
                <w:sz w:val="10"/>
                <w:szCs w:val="10"/>
              </w:rPr>
            </w:pPr>
            <w:r w:rsidRPr="006C0DA8">
              <w:rPr>
                <w:rFonts w:cstheme="minorHAnsi"/>
                <w:bCs/>
                <w:sz w:val="10"/>
                <w:szCs w:val="10"/>
              </w:rPr>
              <w:t>(citi</w:t>
            </w:r>
            <w:r w:rsidRPr="00AB408D">
              <w:rPr>
                <w:rFonts w:cstheme="minorHAnsi"/>
                <w:bCs/>
                <w:sz w:val="10"/>
                <w:szCs w:val="10"/>
              </w:rPr>
              <w:t xml:space="preserve"> </w:t>
            </w:r>
            <w:r w:rsidRPr="006C0DA8">
              <w:rPr>
                <w:rFonts w:cstheme="minorHAnsi"/>
                <w:bCs/>
                <w:sz w:val="10"/>
                <w:szCs w:val="10"/>
              </w:rPr>
              <w:t>pat</w:t>
            </w:r>
            <w:r w:rsidRPr="00AB408D">
              <w:rPr>
                <w:rFonts w:cstheme="minorHAnsi"/>
                <w:bCs/>
                <w:sz w:val="10"/>
                <w:szCs w:val="10"/>
              </w:rPr>
              <w:t>ē</w:t>
            </w:r>
            <w:r w:rsidRPr="006C0DA8">
              <w:rPr>
                <w:rFonts w:cstheme="minorHAnsi"/>
                <w:bCs/>
                <w:sz w:val="10"/>
                <w:szCs w:val="10"/>
              </w:rPr>
              <w:t>rētāji)</w:t>
            </w:r>
          </w:p>
        </w:tc>
        <w:tc>
          <w:tcPr>
            <w:tcW w:w="851" w:type="dxa"/>
            <w:vMerge w:val="restart"/>
            <w:tcBorders>
              <w:top w:val="single" w:sz="4" w:space="0" w:color="000000"/>
            </w:tcBorders>
            <w:shd w:val="clear" w:color="auto" w:fill="FFFFFF" w:themeFill="background1"/>
            <w:vAlign w:val="center"/>
          </w:tcPr>
          <w:p w14:paraId="60E518A3" w14:textId="77777777" w:rsidR="006E0CCE" w:rsidRPr="006462C6" w:rsidRDefault="006E0CCE" w:rsidP="006E0CCE">
            <w:pPr>
              <w:pStyle w:val="ListParagraph"/>
              <w:tabs>
                <w:tab w:val="left" w:pos="284"/>
              </w:tabs>
              <w:ind w:left="284" w:hanging="284"/>
              <w:jc w:val="center"/>
              <w:rPr>
                <w:rFonts w:cstheme="minorHAnsi"/>
                <w:b/>
                <w:bCs/>
                <w:sz w:val="20"/>
                <w:szCs w:val="20"/>
              </w:rPr>
            </w:pPr>
            <w:r w:rsidRPr="006462C6">
              <w:rPr>
                <w:rFonts w:cstheme="minorHAnsi"/>
                <w:b/>
                <w:bCs/>
                <w:color w:val="00B050"/>
                <w:sz w:val="20"/>
                <w:szCs w:val="20"/>
              </w:rPr>
              <w:t>13</w:t>
            </w:r>
          </w:p>
          <w:p w14:paraId="4FEF0892" w14:textId="77777777" w:rsidR="006E0CCE" w:rsidRPr="006C0DA8" w:rsidRDefault="006E0CCE" w:rsidP="006462C6">
            <w:pPr>
              <w:pStyle w:val="ListParagraph"/>
              <w:ind w:left="0"/>
              <w:jc w:val="center"/>
              <w:rPr>
                <w:rFonts w:cstheme="minorHAnsi"/>
                <w:bCs/>
                <w:sz w:val="12"/>
                <w:szCs w:val="12"/>
              </w:rPr>
            </w:pPr>
            <w:r w:rsidRPr="006C0DA8">
              <w:rPr>
                <w:rFonts w:cstheme="minorHAnsi"/>
                <w:bCs/>
                <w:sz w:val="12"/>
                <w:szCs w:val="12"/>
              </w:rPr>
              <w:t>(</w:t>
            </w:r>
            <w:proofErr w:type="spellStart"/>
            <w:r w:rsidRPr="006C0DA8">
              <w:rPr>
                <w:rFonts w:cstheme="minorHAnsi"/>
                <w:bCs/>
                <w:sz w:val="12"/>
                <w:szCs w:val="12"/>
              </w:rPr>
              <w:t>mājs</w:t>
            </w:r>
            <w:proofErr w:type="spellEnd"/>
            <w:r w:rsidRPr="006C0DA8">
              <w:rPr>
                <w:rFonts w:cstheme="minorHAnsi"/>
                <w:bCs/>
                <w:sz w:val="12"/>
                <w:szCs w:val="12"/>
              </w:rPr>
              <w:t>.)</w:t>
            </w:r>
          </w:p>
          <w:p w14:paraId="20289D56" w14:textId="40F0E401" w:rsidR="006E0CCE" w:rsidRPr="006462C6" w:rsidRDefault="006E0CCE" w:rsidP="006E0CCE">
            <w:pPr>
              <w:pStyle w:val="ListParagraph"/>
              <w:tabs>
                <w:tab w:val="left" w:pos="284"/>
              </w:tabs>
              <w:ind w:left="284" w:hanging="284"/>
              <w:jc w:val="center"/>
              <w:rPr>
                <w:rFonts w:cstheme="minorHAnsi"/>
                <w:b/>
                <w:bCs/>
                <w:color w:val="00B050"/>
                <w:sz w:val="20"/>
                <w:szCs w:val="20"/>
              </w:rPr>
            </w:pPr>
            <w:r w:rsidRPr="006462C6">
              <w:rPr>
                <w:rFonts w:cstheme="minorHAnsi"/>
                <w:b/>
                <w:bCs/>
                <w:color w:val="00B050"/>
                <w:sz w:val="20"/>
                <w:szCs w:val="20"/>
              </w:rPr>
              <w:t>135,4</w:t>
            </w:r>
          </w:p>
          <w:p w14:paraId="0650BC97" w14:textId="5128ACFB" w:rsidR="006E0CCE" w:rsidRPr="00893225" w:rsidRDefault="006E0CCE" w:rsidP="006E0CCE">
            <w:pPr>
              <w:contextualSpacing/>
              <w:jc w:val="center"/>
              <w:rPr>
                <w:b/>
                <w:bCs/>
                <w:color w:val="0070C0"/>
                <w:sz w:val="20"/>
                <w:szCs w:val="20"/>
              </w:rPr>
            </w:pPr>
            <w:r w:rsidRPr="006C0DA8">
              <w:rPr>
                <w:rFonts w:cstheme="minorHAnsi"/>
                <w:bCs/>
                <w:sz w:val="10"/>
                <w:szCs w:val="10"/>
              </w:rPr>
              <w:t>(citi</w:t>
            </w:r>
            <w:r w:rsidRPr="00AB408D">
              <w:rPr>
                <w:rFonts w:cstheme="minorHAnsi"/>
                <w:bCs/>
                <w:sz w:val="10"/>
                <w:szCs w:val="10"/>
              </w:rPr>
              <w:t xml:space="preserve"> </w:t>
            </w:r>
            <w:r w:rsidRPr="006C0DA8">
              <w:rPr>
                <w:rFonts w:cstheme="minorHAnsi"/>
                <w:bCs/>
                <w:sz w:val="10"/>
                <w:szCs w:val="10"/>
              </w:rPr>
              <w:t>pat</w:t>
            </w:r>
            <w:r w:rsidRPr="00AB408D">
              <w:rPr>
                <w:rFonts w:cstheme="minorHAnsi"/>
                <w:bCs/>
                <w:sz w:val="10"/>
                <w:szCs w:val="10"/>
              </w:rPr>
              <w:t>ē</w:t>
            </w:r>
            <w:r w:rsidRPr="006C0DA8">
              <w:rPr>
                <w:rFonts w:cstheme="minorHAnsi"/>
                <w:bCs/>
                <w:sz w:val="10"/>
                <w:szCs w:val="10"/>
              </w:rPr>
              <w:t>rētāji)</w:t>
            </w:r>
          </w:p>
        </w:tc>
        <w:tc>
          <w:tcPr>
            <w:tcW w:w="708" w:type="dxa"/>
            <w:vMerge w:val="restart"/>
            <w:tcBorders>
              <w:top w:val="single" w:sz="4" w:space="0" w:color="000000"/>
            </w:tcBorders>
            <w:shd w:val="clear" w:color="auto" w:fill="FFFFFF" w:themeFill="background1"/>
            <w:vAlign w:val="center"/>
          </w:tcPr>
          <w:p w14:paraId="3991F1EB" w14:textId="49DB8A2D" w:rsidR="006E0CCE" w:rsidRPr="005D6D45" w:rsidRDefault="006E0CCE" w:rsidP="006E0CCE">
            <w:pPr>
              <w:contextualSpacing/>
              <w:jc w:val="center"/>
              <w:rPr>
                <w:b/>
                <w:bCs/>
                <w:color w:val="0070C0"/>
                <w:sz w:val="20"/>
                <w:szCs w:val="20"/>
              </w:rPr>
            </w:pPr>
            <w:r w:rsidRPr="00893225">
              <w:rPr>
                <w:b/>
                <w:bCs/>
                <w:color w:val="0070C0"/>
                <w:sz w:val="20"/>
                <w:szCs w:val="20"/>
              </w:rPr>
              <w:t>65,01</w:t>
            </w:r>
            <w:r>
              <w:rPr>
                <w:b/>
                <w:bCs/>
                <w:color w:val="0070C0"/>
                <w:sz w:val="20"/>
                <w:szCs w:val="20"/>
              </w:rPr>
              <w:t xml:space="preserve"> </w:t>
            </w:r>
            <w:r w:rsidRPr="00FE35AA">
              <w:rPr>
                <w:sz w:val="10"/>
                <w:szCs w:val="10"/>
              </w:rPr>
              <w:t>(no 01.05.)</w:t>
            </w:r>
          </w:p>
        </w:tc>
        <w:tc>
          <w:tcPr>
            <w:tcW w:w="709" w:type="dxa"/>
            <w:vMerge w:val="restart"/>
            <w:tcBorders>
              <w:top w:val="single" w:sz="4" w:space="0" w:color="000000"/>
            </w:tcBorders>
            <w:shd w:val="clear" w:color="auto" w:fill="FFFFFF" w:themeFill="background1"/>
            <w:vAlign w:val="center"/>
          </w:tcPr>
          <w:p w14:paraId="2EFA94FF" w14:textId="77777777" w:rsidR="006E0CCE" w:rsidRPr="00893225" w:rsidRDefault="006E0CCE" w:rsidP="006E0CCE">
            <w:pPr>
              <w:contextualSpacing/>
              <w:jc w:val="center"/>
              <w:rPr>
                <w:b/>
                <w:bCs/>
                <w:color w:val="0070C0"/>
                <w:sz w:val="20"/>
                <w:szCs w:val="20"/>
              </w:rPr>
            </w:pPr>
            <w:r w:rsidRPr="000D3D63">
              <w:rPr>
                <w:b/>
                <w:bCs/>
                <w:color w:val="0070C0"/>
                <w:sz w:val="20"/>
                <w:szCs w:val="20"/>
              </w:rPr>
              <w:t>79,91</w:t>
            </w:r>
            <w:r>
              <w:t xml:space="preserve"> </w:t>
            </w:r>
            <w:r w:rsidRPr="00FE35AA">
              <w:rPr>
                <w:sz w:val="10"/>
                <w:szCs w:val="10"/>
              </w:rPr>
              <w:t>(no 01.05.)</w:t>
            </w:r>
          </w:p>
        </w:tc>
        <w:tc>
          <w:tcPr>
            <w:tcW w:w="709" w:type="dxa"/>
            <w:vMerge w:val="restart"/>
            <w:tcBorders>
              <w:top w:val="single" w:sz="4" w:space="0" w:color="000000"/>
            </w:tcBorders>
            <w:shd w:val="clear" w:color="auto" w:fill="FFFFFF" w:themeFill="background1"/>
            <w:vAlign w:val="center"/>
          </w:tcPr>
          <w:p w14:paraId="71EF8B44" w14:textId="737D3602" w:rsidR="006E0CCE" w:rsidRPr="000D3D63" w:rsidRDefault="006E0CCE" w:rsidP="006E0CCE">
            <w:pPr>
              <w:contextualSpacing/>
              <w:jc w:val="center"/>
              <w:rPr>
                <w:b/>
                <w:bCs/>
                <w:color w:val="0070C0"/>
                <w:sz w:val="20"/>
                <w:szCs w:val="20"/>
              </w:rPr>
            </w:pPr>
            <w:r>
              <w:rPr>
                <w:b/>
                <w:bCs/>
                <w:color w:val="0070C0"/>
                <w:sz w:val="20"/>
                <w:szCs w:val="20"/>
              </w:rPr>
              <w:t>90,98</w:t>
            </w:r>
          </w:p>
        </w:tc>
      </w:tr>
      <w:tr w:rsidR="006E0CCE" w:rsidRPr="00DB6653" w14:paraId="2846171F" w14:textId="0DBE977B" w:rsidTr="006462C6">
        <w:trPr>
          <w:trHeight w:val="85"/>
        </w:trPr>
        <w:tc>
          <w:tcPr>
            <w:tcW w:w="3545" w:type="dxa"/>
            <w:tcBorders>
              <w:top w:val="single" w:sz="4" w:space="0" w:color="A6A6A6" w:themeColor="background1" w:themeShade="A6"/>
              <w:bottom w:val="single" w:sz="4" w:space="0" w:color="A6A6A6" w:themeColor="background1" w:themeShade="A6"/>
            </w:tcBorders>
            <w:shd w:val="clear" w:color="auto" w:fill="auto"/>
            <w:vAlign w:val="center"/>
          </w:tcPr>
          <w:p w14:paraId="5BDDC2B8" w14:textId="77777777" w:rsidR="006E0CCE" w:rsidRPr="00676C02" w:rsidRDefault="006E0CCE" w:rsidP="006E0CCE">
            <w:pPr>
              <w:contextualSpacing/>
              <w:jc w:val="right"/>
              <w:rPr>
                <w:i/>
                <w:iCs/>
                <w:color w:val="000000"/>
                <w:sz w:val="16"/>
                <w:szCs w:val="16"/>
              </w:rPr>
            </w:pPr>
            <w:r w:rsidRPr="00676C02">
              <w:rPr>
                <w:i/>
                <w:iCs/>
                <w:color w:val="000000"/>
                <w:sz w:val="16"/>
                <w:szCs w:val="16"/>
              </w:rPr>
              <w:t>Izmaiņas</w:t>
            </w:r>
            <w:r w:rsidRPr="00676C02">
              <w:rPr>
                <w:b/>
                <w:bCs/>
                <w:i/>
                <w:iCs/>
                <w:color w:val="000000"/>
                <w:sz w:val="16"/>
                <w:szCs w:val="16"/>
              </w:rPr>
              <w:t xml:space="preserve"> </w:t>
            </w:r>
            <w:r w:rsidRPr="00676C02">
              <w:rPr>
                <w:i/>
                <w:iCs/>
                <w:color w:val="000000"/>
                <w:sz w:val="16"/>
                <w:szCs w:val="16"/>
              </w:rPr>
              <w:t>kurināmajam</w:t>
            </w:r>
          </w:p>
        </w:tc>
        <w:tc>
          <w:tcPr>
            <w:tcW w:w="708"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6583F9B6" w14:textId="77777777" w:rsidR="006E0CCE" w:rsidRPr="00B125E0" w:rsidRDefault="006E0CCE" w:rsidP="006E0CCE">
            <w:pPr>
              <w:contextualSpacing/>
              <w:jc w:val="center"/>
              <w:rPr>
                <w:i/>
                <w:iCs/>
                <w:color w:val="C00000"/>
                <w:sz w:val="18"/>
                <w:szCs w:val="18"/>
              </w:rPr>
            </w:pPr>
          </w:p>
        </w:tc>
        <w:tc>
          <w:tcPr>
            <w:tcW w:w="709" w:type="dxa"/>
            <w:tcBorders>
              <w:top w:val="single" w:sz="4" w:space="0" w:color="A6A6A6" w:themeColor="background1" w:themeShade="A6"/>
              <w:bottom w:val="single" w:sz="4" w:space="0" w:color="A6A6A6" w:themeColor="background1" w:themeShade="A6"/>
            </w:tcBorders>
            <w:vAlign w:val="center"/>
          </w:tcPr>
          <w:p w14:paraId="130FB866" w14:textId="77777777" w:rsidR="006E0CCE" w:rsidRPr="00AB5793" w:rsidRDefault="006E0CCE" w:rsidP="006E0CCE">
            <w:pPr>
              <w:contextualSpacing/>
              <w:jc w:val="right"/>
              <w:rPr>
                <w:i/>
                <w:iCs/>
                <w:color w:val="C00000"/>
                <w:sz w:val="16"/>
                <w:szCs w:val="16"/>
              </w:rPr>
            </w:pPr>
            <w:r w:rsidRPr="00AB5793">
              <w:rPr>
                <w:i/>
                <w:iCs/>
                <w:color w:val="C00000"/>
                <w:sz w:val="16"/>
                <w:szCs w:val="16"/>
              </w:rPr>
              <w:t>+15,0</w:t>
            </w:r>
          </w:p>
        </w:tc>
        <w:tc>
          <w:tcPr>
            <w:tcW w:w="709" w:type="dxa"/>
            <w:tcBorders>
              <w:top w:val="single" w:sz="4" w:space="0" w:color="A6A6A6" w:themeColor="background1" w:themeShade="A6"/>
              <w:bottom w:val="single" w:sz="4" w:space="0" w:color="A6A6A6" w:themeColor="background1" w:themeShade="A6"/>
            </w:tcBorders>
            <w:vAlign w:val="center"/>
          </w:tcPr>
          <w:p w14:paraId="5D21EF81" w14:textId="77777777" w:rsidR="006E0CCE" w:rsidRPr="00AB5793" w:rsidRDefault="006E0CCE" w:rsidP="006E0CCE">
            <w:pPr>
              <w:contextualSpacing/>
              <w:jc w:val="right"/>
              <w:rPr>
                <w:i/>
                <w:iCs/>
                <w:color w:val="C00000"/>
                <w:sz w:val="16"/>
                <w:szCs w:val="16"/>
              </w:rPr>
            </w:pPr>
            <w:r w:rsidRPr="00AB5793">
              <w:rPr>
                <w:i/>
                <w:iCs/>
                <w:color w:val="C00000"/>
                <w:sz w:val="16"/>
                <w:szCs w:val="16"/>
              </w:rPr>
              <w:t>+15,0</w:t>
            </w:r>
          </w:p>
        </w:tc>
        <w:tc>
          <w:tcPr>
            <w:tcW w:w="709" w:type="dxa"/>
            <w:vMerge/>
            <w:shd w:val="clear" w:color="auto" w:fill="FFFFFF" w:themeFill="background1"/>
            <w:vAlign w:val="center"/>
          </w:tcPr>
          <w:p w14:paraId="79EE0884" w14:textId="77777777" w:rsidR="006E0CCE" w:rsidRDefault="006E0CCE" w:rsidP="006E0CCE">
            <w:pPr>
              <w:contextualSpacing/>
              <w:jc w:val="center"/>
              <w:rPr>
                <w:b/>
                <w:bCs/>
                <w:color w:val="00B050"/>
                <w:sz w:val="20"/>
                <w:szCs w:val="20"/>
              </w:rPr>
            </w:pPr>
          </w:p>
        </w:tc>
        <w:tc>
          <w:tcPr>
            <w:tcW w:w="850" w:type="dxa"/>
            <w:vMerge/>
            <w:shd w:val="clear" w:color="auto" w:fill="FFFFFF" w:themeFill="background1"/>
          </w:tcPr>
          <w:p w14:paraId="3BC9BC4B" w14:textId="77777777" w:rsidR="006E0CCE" w:rsidRPr="00FE35AA" w:rsidRDefault="006E0CCE" w:rsidP="006E0CCE">
            <w:pPr>
              <w:contextualSpacing/>
              <w:jc w:val="center"/>
              <w:rPr>
                <w:b/>
                <w:bCs/>
                <w:color w:val="92D050"/>
                <w:sz w:val="20"/>
                <w:szCs w:val="20"/>
              </w:rPr>
            </w:pPr>
          </w:p>
        </w:tc>
        <w:tc>
          <w:tcPr>
            <w:tcW w:w="851" w:type="dxa"/>
            <w:vMerge/>
            <w:shd w:val="clear" w:color="auto" w:fill="FFFFFF" w:themeFill="background1"/>
          </w:tcPr>
          <w:p w14:paraId="07496911" w14:textId="77777777" w:rsidR="006E0CCE" w:rsidRPr="00893225" w:rsidRDefault="006E0CCE" w:rsidP="006E0CCE">
            <w:pPr>
              <w:contextualSpacing/>
              <w:jc w:val="center"/>
              <w:rPr>
                <w:b/>
                <w:bCs/>
                <w:color w:val="0070C0"/>
                <w:sz w:val="20"/>
                <w:szCs w:val="20"/>
              </w:rPr>
            </w:pPr>
          </w:p>
        </w:tc>
        <w:tc>
          <w:tcPr>
            <w:tcW w:w="708" w:type="dxa"/>
            <w:vMerge/>
            <w:shd w:val="clear" w:color="auto" w:fill="FFFFFF" w:themeFill="background1"/>
            <w:vAlign w:val="center"/>
          </w:tcPr>
          <w:p w14:paraId="45496B54" w14:textId="625F90F8" w:rsidR="006E0CCE" w:rsidRPr="00893225" w:rsidRDefault="006E0CCE" w:rsidP="006E0CCE">
            <w:pPr>
              <w:contextualSpacing/>
              <w:jc w:val="center"/>
              <w:rPr>
                <w:b/>
                <w:bCs/>
                <w:color w:val="0070C0"/>
                <w:sz w:val="20"/>
                <w:szCs w:val="20"/>
              </w:rPr>
            </w:pPr>
          </w:p>
        </w:tc>
        <w:tc>
          <w:tcPr>
            <w:tcW w:w="709" w:type="dxa"/>
            <w:vMerge/>
            <w:shd w:val="clear" w:color="auto" w:fill="FFFFFF" w:themeFill="background1"/>
          </w:tcPr>
          <w:p w14:paraId="2CA74671" w14:textId="77777777" w:rsidR="006E0CCE" w:rsidRPr="00893225" w:rsidRDefault="006E0CCE" w:rsidP="006E0CCE">
            <w:pPr>
              <w:contextualSpacing/>
              <w:jc w:val="center"/>
              <w:rPr>
                <w:b/>
                <w:bCs/>
                <w:color w:val="0070C0"/>
                <w:sz w:val="20"/>
                <w:szCs w:val="20"/>
              </w:rPr>
            </w:pPr>
          </w:p>
        </w:tc>
        <w:tc>
          <w:tcPr>
            <w:tcW w:w="709" w:type="dxa"/>
            <w:vMerge/>
            <w:shd w:val="clear" w:color="auto" w:fill="FFFFFF" w:themeFill="background1"/>
          </w:tcPr>
          <w:p w14:paraId="63C61330" w14:textId="77777777" w:rsidR="006E0CCE" w:rsidRPr="00893225" w:rsidRDefault="006E0CCE" w:rsidP="006E0CCE">
            <w:pPr>
              <w:contextualSpacing/>
              <w:jc w:val="center"/>
              <w:rPr>
                <w:b/>
                <w:bCs/>
                <w:color w:val="0070C0"/>
                <w:sz w:val="20"/>
                <w:szCs w:val="20"/>
              </w:rPr>
            </w:pPr>
          </w:p>
        </w:tc>
      </w:tr>
      <w:tr w:rsidR="006E0CCE" w:rsidRPr="00DB6653" w14:paraId="7BD468B0" w14:textId="40DAF98B" w:rsidTr="006462C6">
        <w:trPr>
          <w:trHeight w:val="85"/>
        </w:trPr>
        <w:tc>
          <w:tcPr>
            <w:tcW w:w="3545" w:type="dxa"/>
            <w:tcBorders>
              <w:top w:val="single" w:sz="4" w:space="0" w:color="A6A6A6" w:themeColor="background1" w:themeShade="A6"/>
              <w:bottom w:val="single" w:sz="4" w:space="0" w:color="A6A6A6" w:themeColor="background1" w:themeShade="A6"/>
            </w:tcBorders>
            <w:shd w:val="clear" w:color="auto" w:fill="auto"/>
            <w:vAlign w:val="center"/>
          </w:tcPr>
          <w:p w14:paraId="23F1D156" w14:textId="77777777" w:rsidR="006E0CCE" w:rsidRPr="00676C02" w:rsidRDefault="006E0CCE" w:rsidP="006E0CCE">
            <w:pPr>
              <w:contextualSpacing/>
              <w:jc w:val="right"/>
              <w:rPr>
                <w:sz w:val="16"/>
                <w:szCs w:val="16"/>
              </w:rPr>
            </w:pPr>
            <w:r w:rsidRPr="00676C02">
              <w:rPr>
                <w:i/>
                <w:iCs/>
                <w:color w:val="000000"/>
                <w:sz w:val="16"/>
                <w:szCs w:val="16"/>
              </w:rPr>
              <w:t>Izmaiņas</w:t>
            </w:r>
            <w:r w:rsidRPr="00676C02">
              <w:rPr>
                <w:b/>
                <w:bCs/>
                <w:i/>
                <w:iCs/>
                <w:color w:val="000000"/>
                <w:sz w:val="16"/>
                <w:szCs w:val="16"/>
              </w:rPr>
              <w:t xml:space="preserve"> </w:t>
            </w:r>
            <w:r w:rsidRPr="00676C02">
              <w:rPr>
                <w:i/>
                <w:iCs/>
                <w:color w:val="000000"/>
                <w:sz w:val="16"/>
                <w:szCs w:val="16"/>
              </w:rPr>
              <w:t>sakarā ar  ETS2 ieviešanu</w:t>
            </w:r>
          </w:p>
        </w:tc>
        <w:tc>
          <w:tcPr>
            <w:tcW w:w="708"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0EF89840" w14:textId="77777777" w:rsidR="006E0CCE" w:rsidRPr="00B125E0" w:rsidRDefault="006E0CCE" w:rsidP="006E0CCE">
            <w:pPr>
              <w:contextualSpacing/>
              <w:jc w:val="center"/>
              <w:rPr>
                <w:i/>
                <w:iCs/>
                <w:color w:val="C00000"/>
                <w:sz w:val="18"/>
                <w:szCs w:val="18"/>
              </w:rPr>
            </w:pPr>
          </w:p>
        </w:tc>
        <w:tc>
          <w:tcPr>
            <w:tcW w:w="709" w:type="dxa"/>
            <w:tcBorders>
              <w:top w:val="single" w:sz="4" w:space="0" w:color="A6A6A6" w:themeColor="background1" w:themeShade="A6"/>
              <w:bottom w:val="single" w:sz="4" w:space="0" w:color="A6A6A6" w:themeColor="background1" w:themeShade="A6"/>
            </w:tcBorders>
            <w:vAlign w:val="center"/>
          </w:tcPr>
          <w:p w14:paraId="71F59814" w14:textId="77777777" w:rsidR="006E0CCE" w:rsidRPr="00AB5793" w:rsidRDefault="006E0CCE" w:rsidP="006E0CCE">
            <w:pPr>
              <w:contextualSpacing/>
              <w:jc w:val="right"/>
              <w:rPr>
                <w:i/>
                <w:iCs/>
                <w:color w:val="C00000"/>
                <w:sz w:val="16"/>
                <w:szCs w:val="16"/>
              </w:rPr>
            </w:pPr>
            <w:r w:rsidRPr="00AB5793">
              <w:rPr>
                <w:i/>
                <w:iCs/>
                <w:color w:val="C00000"/>
                <w:sz w:val="16"/>
                <w:szCs w:val="16"/>
              </w:rPr>
              <w:t>+29,0</w:t>
            </w:r>
          </w:p>
        </w:tc>
        <w:tc>
          <w:tcPr>
            <w:tcW w:w="709" w:type="dxa"/>
            <w:tcBorders>
              <w:top w:val="single" w:sz="4" w:space="0" w:color="A6A6A6" w:themeColor="background1" w:themeShade="A6"/>
              <w:bottom w:val="single" w:sz="4" w:space="0" w:color="A6A6A6" w:themeColor="background1" w:themeShade="A6"/>
            </w:tcBorders>
            <w:vAlign w:val="center"/>
          </w:tcPr>
          <w:p w14:paraId="75D82662" w14:textId="77777777" w:rsidR="006E0CCE" w:rsidRPr="00AB5793" w:rsidRDefault="006E0CCE" w:rsidP="006E0CCE">
            <w:pPr>
              <w:contextualSpacing/>
              <w:jc w:val="right"/>
              <w:rPr>
                <w:i/>
                <w:iCs/>
                <w:color w:val="C00000"/>
                <w:sz w:val="16"/>
                <w:szCs w:val="16"/>
              </w:rPr>
            </w:pPr>
            <w:r w:rsidRPr="00AB5793">
              <w:rPr>
                <w:i/>
                <w:iCs/>
                <w:color w:val="C00000"/>
                <w:sz w:val="16"/>
                <w:szCs w:val="16"/>
              </w:rPr>
              <w:t>+29,0</w:t>
            </w:r>
          </w:p>
        </w:tc>
        <w:tc>
          <w:tcPr>
            <w:tcW w:w="709" w:type="dxa"/>
            <w:vMerge/>
            <w:shd w:val="clear" w:color="auto" w:fill="FFFFFF" w:themeFill="background1"/>
            <w:vAlign w:val="center"/>
          </w:tcPr>
          <w:p w14:paraId="004565D5" w14:textId="77777777" w:rsidR="006E0CCE" w:rsidRDefault="006E0CCE" w:rsidP="006E0CCE">
            <w:pPr>
              <w:contextualSpacing/>
              <w:jc w:val="center"/>
              <w:rPr>
                <w:b/>
                <w:bCs/>
                <w:color w:val="00B050"/>
                <w:sz w:val="20"/>
                <w:szCs w:val="20"/>
              </w:rPr>
            </w:pPr>
          </w:p>
        </w:tc>
        <w:tc>
          <w:tcPr>
            <w:tcW w:w="850" w:type="dxa"/>
            <w:vMerge/>
            <w:shd w:val="clear" w:color="auto" w:fill="FFFFFF" w:themeFill="background1"/>
          </w:tcPr>
          <w:p w14:paraId="016042F9" w14:textId="77777777" w:rsidR="006E0CCE" w:rsidRPr="00FE35AA" w:rsidRDefault="006E0CCE" w:rsidP="006E0CCE">
            <w:pPr>
              <w:contextualSpacing/>
              <w:jc w:val="center"/>
              <w:rPr>
                <w:b/>
                <w:bCs/>
                <w:color w:val="92D050"/>
                <w:sz w:val="20"/>
                <w:szCs w:val="20"/>
              </w:rPr>
            </w:pPr>
          </w:p>
        </w:tc>
        <w:tc>
          <w:tcPr>
            <w:tcW w:w="851" w:type="dxa"/>
            <w:vMerge/>
            <w:shd w:val="clear" w:color="auto" w:fill="FFFFFF" w:themeFill="background1"/>
          </w:tcPr>
          <w:p w14:paraId="75408BB1" w14:textId="77777777" w:rsidR="006E0CCE" w:rsidRPr="00893225" w:rsidRDefault="006E0CCE" w:rsidP="006E0CCE">
            <w:pPr>
              <w:contextualSpacing/>
              <w:jc w:val="center"/>
              <w:rPr>
                <w:b/>
                <w:bCs/>
                <w:color w:val="0070C0"/>
                <w:sz w:val="20"/>
                <w:szCs w:val="20"/>
              </w:rPr>
            </w:pPr>
          </w:p>
        </w:tc>
        <w:tc>
          <w:tcPr>
            <w:tcW w:w="708" w:type="dxa"/>
            <w:vMerge/>
            <w:shd w:val="clear" w:color="auto" w:fill="FFFFFF" w:themeFill="background1"/>
            <w:vAlign w:val="center"/>
          </w:tcPr>
          <w:p w14:paraId="64F5EC79" w14:textId="26506507" w:rsidR="006E0CCE" w:rsidRPr="00893225" w:rsidRDefault="006E0CCE" w:rsidP="006E0CCE">
            <w:pPr>
              <w:contextualSpacing/>
              <w:jc w:val="center"/>
              <w:rPr>
                <w:b/>
                <w:bCs/>
                <w:color w:val="0070C0"/>
                <w:sz w:val="20"/>
                <w:szCs w:val="20"/>
              </w:rPr>
            </w:pPr>
          </w:p>
        </w:tc>
        <w:tc>
          <w:tcPr>
            <w:tcW w:w="709" w:type="dxa"/>
            <w:vMerge/>
            <w:shd w:val="clear" w:color="auto" w:fill="FFFFFF" w:themeFill="background1"/>
          </w:tcPr>
          <w:p w14:paraId="497DD801" w14:textId="77777777" w:rsidR="006E0CCE" w:rsidRPr="00893225" w:rsidRDefault="006E0CCE" w:rsidP="006E0CCE">
            <w:pPr>
              <w:contextualSpacing/>
              <w:jc w:val="center"/>
              <w:rPr>
                <w:b/>
                <w:bCs/>
                <w:color w:val="0070C0"/>
                <w:sz w:val="20"/>
                <w:szCs w:val="20"/>
              </w:rPr>
            </w:pPr>
          </w:p>
        </w:tc>
        <w:tc>
          <w:tcPr>
            <w:tcW w:w="709" w:type="dxa"/>
            <w:vMerge/>
            <w:shd w:val="clear" w:color="auto" w:fill="FFFFFF" w:themeFill="background1"/>
          </w:tcPr>
          <w:p w14:paraId="2BA432EC" w14:textId="77777777" w:rsidR="006E0CCE" w:rsidRPr="00893225" w:rsidRDefault="006E0CCE" w:rsidP="006E0CCE">
            <w:pPr>
              <w:contextualSpacing/>
              <w:jc w:val="center"/>
              <w:rPr>
                <w:b/>
                <w:bCs/>
                <w:color w:val="0070C0"/>
                <w:sz w:val="20"/>
                <w:szCs w:val="20"/>
              </w:rPr>
            </w:pPr>
          </w:p>
        </w:tc>
      </w:tr>
      <w:tr w:rsidR="00B81AB4" w:rsidRPr="00097D61" w14:paraId="51993441" w14:textId="55425103" w:rsidTr="006462C6">
        <w:trPr>
          <w:trHeight w:val="85"/>
        </w:trPr>
        <w:tc>
          <w:tcPr>
            <w:tcW w:w="3545" w:type="dxa"/>
            <w:tcBorders>
              <w:top w:val="single" w:sz="4" w:space="0" w:color="000000"/>
              <w:bottom w:val="single" w:sz="4" w:space="0" w:color="A6A6A6" w:themeColor="background1" w:themeShade="A6"/>
            </w:tcBorders>
            <w:shd w:val="clear" w:color="auto" w:fill="auto"/>
            <w:vAlign w:val="center"/>
          </w:tcPr>
          <w:p w14:paraId="1EC12F56" w14:textId="112F6A3C" w:rsidR="00B81AB4" w:rsidRPr="00DB6653" w:rsidRDefault="00B81AB4" w:rsidP="00115F03">
            <w:pPr>
              <w:contextualSpacing/>
              <w:rPr>
                <w:b/>
                <w:bCs/>
                <w:sz w:val="20"/>
                <w:szCs w:val="20"/>
              </w:rPr>
            </w:pPr>
            <w:r w:rsidRPr="00126954">
              <w:rPr>
                <w:b/>
                <w:bCs/>
                <w:sz w:val="20"/>
                <w:szCs w:val="20"/>
              </w:rPr>
              <w:t>Dabasgāze, ko izmanto par kurināmo</w:t>
            </w:r>
            <w:r>
              <w:rPr>
                <w:b/>
                <w:bCs/>
                <w:sz w:val="20"/>
                <w:szCs w:val="20"/>
              </w:rPr>
              <w:t xml:space="preserve"> </w:t>
            </w:r>
            <w:r w:rsidRPr="0054058E">
              <w:rPr>
                <w:b/>
                <w:bCs/>
                <w:sz w:val="18"/>
                <w:szCs w:val="18"/>
                <w:u w:val="single"/>
              </w:rPr>
              <w:t>visi citi patērētāji, ieskaitot mājsaimniecības</w:t>
            </w:r>
            <w:r w:rsidRPr="00DB6653">
              <w:rPr>
                <w:i/>
                <w:iCs/>
                <w:sz w:val="20"/>
                <w:szCs w:val="20"/>
              </w:rPr>
              <w:t>, euro par 1 MWh</w:t>
            </w:r>
          </w:p>
        </w:tc>
        <w:tc>
          <w:tcPr>
            <w:tcW w:w="708" w:type="dxa"/>
            <w:tcBorders>
              <w:top w:val="single" w:sz="4" w:space="0" w:color="000000"/>
              <w:bottom w:val="single" w:sz="4" w:space="0" w:color="A6A6A6" w:themeColor="background1" w:themeShade="A6"/>
            </w:tcBorders>
            <w:shd w:val="clear" w:color="auto" w:fill="F2F2F2" w:themeFill="background1" w:themeFillShade="F2"/>
            <w:vAlign w:val="center"/>
          </w:tcPr>
          <w:p w14:paraId="7441B268" w14:textId="77777777" w:rsidR="00B81AB4" w:rsidRPr="0058785F" w:rsidRDefault="00B81AB4" w:rsidP="00115F03">
            <w:pPr>
              <w:contextualSpacing/>
              <w:jc w:val="center"/>
              <w:rPr>
                <w:b/>
                <w:bCs/>
                <w:sz w:val="20"/>
                <w:szCs w:val="20"/>
              </w:rPr>
            </w:pPr>
            <w:r w:rsidRPr="0058785F">
              <w:rPr>
                <w:b/>
                <w:bCs/>
                <w:sz w:val="20"/>
                <w:szCs w:val="20"/>
              </w:rPr>
              <w:t>1,65</w:t>
            </w:r>
          </w:p>
        </w:tc>
        <w:tc>
          <w:tcPr>
            <w:tcW w:w="709" w:type="dxa"/>
            <w:tcBorders>
              <w:top w:val="single" w:sz="4" w:space="0" w:color="000000"/>
              <w:bottom w:val="single" w:sz="4" w:space="0" w:color="A6A6A6" w:themeColor="background1" w:themeShade="A6"/>
            </w:tcBorders>
            <w:vAlign w:val="center"/>
          </w:tcPr>
          <w:p w14:paraId="17663A84" w14:textId="027109ED" w:rsidR="00B81AB4" w:rsidRPr="0058785F" w:rsidRDefault="00B81AB4" w:rsidP="00115F03">
            <w:pPr>
              <w:contextualSpacing/>
              <w:jc w:val="center"/>
              <w:rPr>
                <w:b/>
                <w:bCs/>
                <w:color w:val="C00000"/>
                <w:sz w:val="20"/>
                <w:szCs w:val="20"/>
              </w:rPr>
            </w:pPr>
            <w:r w:rsidRPr="0058785F">
              <w:rPr>
                <w:b/>
                <w:bCs/>
                <w:color w:val="C00000"/>
                <w:sz w:val="20"/>
                <w:szCs w:val="20"/>
              </w:rPr>
              <w:t>3,80</w:t>
            </w:r>
          </w:p>
        </w:tc>
        <w:tc>
          <w:tcPr>
            <w:tcW w:w="709" w:type="dxa"/>
            <w:tcBorders>
              <w:top w:val="single" w:sz="4" w:space="0" w:color="000000"/>
              <w:bottom w:val="single" w:sz="4" w:space="0" w:color="A6A6A6" w:themeColor="background1" w:themeShade="A6"/>
            </w:tcBorders>
            <w:vAlign w:val="center"/>
          </w:tcPr>
          <w:p w14:paraId="47DFA1CF" w14:textId="459680FF" w:rsidR="00B81AB4" w:rsidRPr="0058785F" w:rsidRDefault="00B81AB4" w:rsidP="00115F03">
            <w:pPr>
              <w:contextualSpacing/>
              <w:jc w:val="center"/>
              <w:rPr>
                <w:b/>
                <w:bCs/>
                <w:color w:val="C00000"/>
                <w:sz w:val="20"/>
                <w:szCs w:val="20"/>
              </w:rPr>
            </w:pPr>
            <w:r w:rsidRPr="0058785F">
              <w:rPr>
                <w:b/>
                <w:bCs/>
                <w:color w:val="C00000"/>
                <w:sz w:val="20"/>
                <w:szCs w:val="20"/>
              </w:rPr>
              <w:t>5,95</w:t>
            </w:r>
          </w:p>
        </w:tc>
        <w:tc>
          <w:tcPr>
            <w:tcW w:w="1559" w:type="dxa"/>
            <w:gridSpan w:val="2"/>
            <w:vMerge w:val="restart"/>
            <w:shd w:val="clear" w:color="auto" w:fill="FFFFFF" w:themeFill="background1"/>
            <w:vAlign w:val="center"/>
          </w:tcPr>
          <w:p w14:paraId="694F6374" w14:textId="77777777" w:rsidR="00B81AB4" w:rsidRDefault="00B81AB4" w:rsidP="00115F03">
            <w:pPr>
              <w:contextualSpacing/>
              <w:jc w:val="center"/>
              <w:rPr>
                <w:b/>
                <w:bCs/>
                <w:color w:val="00B050"/>
                <w:sz w:val="20"/>
                <w:szCs w:val="20"/>
              </w:rPr>
            </w:pPr>
            <w:r w:rsidRPr="00021331">
              <w:rPr>
                <w:b/>
                <w:bCs/>
                <w:color w:val="00B050"/>
                <w:sz w:val="20"/>
                <w:szCs w:val="20"/>
              </w:rPr>
              <w:t>1,08</w:t>
            </w:r>
            <w:r w:rsidRPr="00021331">
              <w:rPr>
                <w:b/>
                <w:bCs/>
                <w:sz w:val="20"/>
                <w:szCs w:val="20"/>
              </w:rPr>
              <w:t>/</w:t>
            </w:r>
          </w:p>
          <w:p w14:paraId="25A75081" w14:textId="2464A0DF" w:rsidR="00B81AB4" w:rsidRPr="00115F03" w:rsidRDefault="00B81AB4" w:rsidP="00115F03">
            <w:pPr>
              <w:contextualSpacing/>
              <w:jc w:val="center"/>
              <w:rPr>
                <w:b/>
                <w:bCs/>
                <w:color w:val="92D050"/>
                <w:sz w:val="20"/>
                <w:szCs w:val="20"/>
              </w:rPr>
            </w:pPr>
            <w:r w:rsidRPr="00B81AB4">
              <w:rPr>
                <w:b/>
                <w:bCs/>
                <w:color w:val="00B050"/>
                <w:sz w:val="20"/>
                <w:szCs w:val="20"/>
              </w:rPr>
              <w:t>0,0</w:t>
            </w:r>
            <w:r>
              <w:rPr>
                <w:sz w:val="20"/>
                <w:szCs w:val="20"/>
                <w:vertAlign w:val="superscript"/>
              </w:rPr>
              <w:t>2</w:t>
            </w:r>
          </w:p>
        </w:tc>
        <w:tc>
          <w:tcPr>
            <w:tcW w:w="851" w:type="dxa"/>
            <w:vMerge w:val="restart"/>
            <w:shd w:val="clear" w:color="auto" w:fill="FFFFFF" w:themeFill="background1"/>
            <w:vAlign w:val="center"/>
          </w:tcPr>
          <w:p w14:paraId="443484A8" w14:textId="77777777" w:rsidR="00B81AB4" w:rsidRPr="006462C6" w:rsidRDefault="00B81AB4" w:rsidP="00115F03">
            <w:pPr>
              <w:contextualSpacing/>
              <w:jc w:val="center"/>
              <w:rPr>
                <w:b/>
                <w:bCs/>
                <w:color w:val="00B050"/>
                <w:sz w:val="20"/>
                <w:szCs w:val="20"/>
              </w:rPr>
            </w:pPr>
            <w:r w:rsidRPr="006462C6">
              <w:rPr>
                <w:b/>
                <w:bCs/>
                <w:color w:val="00B050"/>
                <w:sz w:val="20"/>
                <w:szCs w:val="20"/>
              </w:rPr>
              <w:t>1,5</w:t>
            </w:r>
            <w:r w:rsidRPr="006462C6">
              <w:rPr>
                <w:b/>
                <w:bCs/>
                <w:sz w:val="20"/>
                <w:szCs w:val="20"/>
              </w:rPr>
              <w:t>/</w:t>
            </w:r>
          </w:p>
          <w:p w14:paraId="3E843C07" w14:textId="52C8A3B2" w:rsidR="00B81AB4" w:rsidRPr="00EF404E" w:rsidRDefault="00B81AB4" w:rsidP="00115F03">
            <w:pPr>
              <w:contextualSpacing/>
              <w:jc w:val="center"/>
              <w:rPr>
                <w:b/>
                <w:bCs/>
                <w:color w:val="0070C0"/>
                <w:sz w:val="20"/>
                <w:szCs w:val="20"/>
              </w:rPr>
            </w:pPr>
            <w:r w:rsidRPr="006462C6">
              <w:rPr>
                <w:b/>
                <w:bCs/>
                <w:color w:val="00B050"/>
                <w:sz w:val="20"/>
                <w:szCs w:val="20"/>
              </w:rPr>
              <w:t>0,5</w:t>
            </w:r>
            <w:r w:rsidR="00B014E6">
              <w:rPr>
                <w:sz w:val="20"/>
                <w:szCs w:val="20"/>
                <w:vertAlign w:val="superscript"/>
              </w:rPr>
              <w:t>2</w:t>
            </w:r>
          </w:p>
        </w:tc>
        <w:tc>
          <w:tcPr>
            <w:tcW w:w="708" w:type="dxa"/>
            <w:vMerge w:val="restart"/>
            <w:shd w:val="clear" w:color="auto" w:fill="FFFFFF" w:themeFill="background1"/>
            <w:vAlign w:val="center"/>
          </w:tcPr>
          <w:p w14:paraId="44FAA886" w14:textId="77777777" w:rsidR="00B81AB4" w:rsidRDefault="00B81AB4" w:rsidP="00115F03">
            <w:pPr>
              <w:contextualSpacing/>
              <w:jc w:val="center"/>
              <w:rPr>
                <w:b/>
                <w:bCs/>
                <w:color w:val="0070C0"/>
                <w:sz w:val="20"/>
                <w:szCs w:val="20"/>
              </w:rPr>
            </w:pPr>
            <w:bookmarkStart w:id="51" w:name="_Hlk168581707"/>
            <w:r w:rsidRPr="00EF404E">
              <w:rPr>
                <w:b/>
                <w:bCs/>
                <w:color w:val="0070C0"/>
                <w:sz w:val="20"/>
                <w:szCs w:val="20"/>
              </w:rPr>
              <w:t>4,</w:t>
            </w:r>
            <w:r>
              <w:rPr>
                <w:b/>
                <w:bCs/>
                <w:color w:val="0070C0"/>
                <w:sz w:val="20"/>
                <w:szCs w:val="20"/>
              </w:rPr>
              <w:t>60</w:t>
            </w:r>
            <w:r>
              <w:rPr>
                <w:sz w:val="18"/>
                <w:szCs w:val="18"/>
                <w:vertAlign w:val="superscript"/>
              </w:rPr>
              <w:t>3</w:t>
            </w:r>
          </w:p>
          <w:p w14:paraId="5F1FE968" w14:textId="77777777" w:rsidR="00B81AB4" w:rsidRDefault="00B81AB4" w:rsidP="00115F03">
            <w:pPr>
              <w:contextualSpacing/>
              <w:jc w:val="center"/>
              <w:rPr>
                <w:b/>
                <w:bCs/>
                <w:color w:val="0070C0"/>
                <w:sz w:val="20"/>
                <w:szCs w:val="20"/>
              </w:rPr>
            </w:pPr>
            <w:r w:rsidRPr="00FE35AA">
              <w:rPr>
                <w:sz w:val="10"/>
                <w:szCs w:val="10"/>
              </w:rPr>
              <w:t>(no 01.05.)</w:t>
            </w:r>
            <w:bookmarkEnd w:id="51"/>
            <w:r w:rsidRPr="00842FF1">
              <w:rPr>
                <w:b/>
                <w:bCs/>
                <w:sz w:val="18"/>
                <w:szCs w:val="18"/>
              </w:rPr>
              <w:t>/</w:t>
            </w:r>
          </w:p>
          <w:p w14:paraId="7F62DBDE" w14:textId="664A149E" w:rsidR="00B81AB4" w:rsidRPr="00021331" w:rsidRDefault="00B81AB4" w:rsidP="00115F03">
            <w:pPr>
              <w:contextualSpacing/>
              <w:jc w:val="center"/>
              <w:rPr>
                <w:b/>
                <w:bCs/>
                <w:color w:val="C00000"/>
                <w:sz w:val="20"/>
                <w:szCs w:val="20"/>
              </w:rPr>
            </w:pPr>
            <w:r w:rsidRPr="00EF404E">
              <w:rPr>
                <w:b/>
                <w:bCs/>
                <w:color w:val="0070C0"/>
                <w:sz w:val="20"/>
                <w:szCs w:val="20"/>
              </w:rPr>
              <w:t>1,0</w:t>
            </w:r>
            <w:r>
              <w:rPr>
                <w:b/>
                <w:bCs/>
                <w:color w:val="0070C0"/>
                <w:sz w:val="20"/>
                <w:szCs w:val="20"/>
              </w:rPr>
              <w:t>9</w:t>
            </w:r>
            <w:r w:rsidRPr="00B81AB4">
              <w:rPr>
                <w:sz w:val="20"/>
                <w:szCs w:val="20"/>
                <w:vertAlign w:val="superscript"/>
              </w:rPr>
              <w:t>4</w:t>
            </w:r>
          </w:p>
        </w:tc>
        <w:tc>
          <w:tcPr>
            <w:tcW w:w="709" w:type="dxa"/>
            <w:vMerge w:val="restart"/>
            <w:shd w:val="clear" w:color="auto" w:fill="FFFFFF" w:themeFill="background1"/>
            <w:vAlign w:val="center"/>
          </w:tcPr>
          <w:p w14:paraId="2CCB5836" w14:textId="77777777" w:rsidR="00B81AB4" w:rsidRDefault="00B81AB4" w:rsidP="00115F03">
            <w:pPr>
              <w:contextualSpacing/>
              <w:jc w:val="center"/>
              <w:rPr>
                <w:b/>
                <w:bCs/>
                <w:color w:val="0070C0"/>
                <w:sz w:val="20"/>
                <w:szCs w:val="20"/>
              </w:rPr>
            </w:pPr>
            <w:r>
              <w:rPr>
                <w:b/>
                <w:bCs/>
                <w:color w:val="0070C0"/>
                <w:sz w:val="20"/>
                <w:szCs w:val="20"/>
              </w:rPr>
              <w:t>5,43</w:t>
            </w:r>
            <w:r>
              <w:rPr>
                <w:sz w:val="20"/>
                <w:szCs w:val="20"/>
                <w:vertAlign w:val="superscript"/>
              </w:rPr>
              <w:t>3</w:t>
            </w:r>
          </w:p>
          <w:p w14:paraId="3BC36227" w14:textId="1003CE30" w:rsidR="00B81AB4" w:rsidRPr="000D3D63" w:rsidRDefault="00B81AB4" w:rsidP="00115F03">
            <w:pPr>
              <w:contextualSpacing/>
              <w:jc w:val="center"/>
              <w:rPr>
                <w:b/>
                <w:bCs/>
                <w:color w:val="0070C0"/>
                <w:sz w:val="20"/>
                <w:szCs w:val="20"/>
              </w:rPr>
            </w:pPr>
            <w:r w:rsidRPr="00FE35AA">
              <w:rPr>
                <w:sz w:val="10"/>
                <w:szCs w:val="10"/>
              </w:rPr>
              <w:t>(no 01.05.)</w:t>
            </w:r>
            <w:r w:rsidRPr="00842FF1">
              <w:rPr>
                <w:sz w:val="18"/>
                <w:szCs w:val="18"/>
              </w:rPr>
              <w:t>/</w:t>
            </w:r>
            <w:r w:rsidRPr="00EF404E">
              <w:rPr>
                <w:b/>
                <w:bCs/>
                <w:color w:val="0070C0"/>
                <w:sz w:val="20"/>
                <w:szCs w:val="20"/>
              </w:rPr>
              <w:t xml:space="preserve"> 1,0</w:t>
            </w:r>
            <w:r>
              <w:rPr>
                <w:b/>
                <w:bCs/>
                <w:color w:val="0070C0"/>
                <w:sz w:val="20"/>
                <w:szCs w:val="20"/>
              </w:rPr>
              <w:t>9</w:t>
            </w:r>
            <w:r w:rsidRPr="00B81AB4">
              <w:rPr>
                <w:sz w:val="20"/>
                <w:szCs w:val="20"/>
                <w:vertAlign w:val="superscript"/>
              </w:rPr>
              <w:t>4</w:t>
            </w:r>
          </w:p>
        </w:tc>
        <w:tc>
          <w:tcPr>
            <w:tcW w:w="709" w:type="dxa"/>
            <w:vMerge w:val="restart"/>
            <w:shd w:val="clear" w:color="auto" w:fill="FFFFFF" w:themeFill="background1"/>
            <w:vAlign w:val="center"/>
          </w:tcPr>
          <w:p w14:paraId="423F4E13" w14:textId="77777777" w:rsidR="00B81AB4" w:rsidRDefault="00B81AB4" w:rsidP="00115F03">
            <w:pPr>
              <w:contextualSpacing/>
              <w:jc w:val="center"/>
              <w:rPr>
                <w:b/>
                <w:bCs/>
                <w:color w:val="0070C0"/>
                <w:sz w:val="20"/>
                <w:szCs w:val="20"/>
              </w:rPr>
            </w:pPr>
            <w:r>
              <w:rPr>
                <w:b/>
                <w:bCs/>
                <w:color w:val="0070C0"/>
                <w:sz w:val="20"/>
                <w:szCs w:val="20"/>
              </w:rPr>
              <w:t>6,41</w:t>
            </w:r>
            <w:r>
              <w:rPr>
                <w:sz w:val="20"/>
                <w:szCs w:val="20"/>
                <w:vertAlign w:val="superscript"/>
              </w:rPr>
              <w:t>3</w:t>
            </w:r>
          </w:p>
          <w:p w14:paraId="11A2F7F6" w14:textId="77777777" w:rsidR="00B81AB4" w:rsidRDefault="00B81AB4" w:rsidP="00115F03">
            <w:pPr>
              <w:contextualSpacing/>
              <w:jc w:val="center"/>
              <w:rPr>
                <w:b/>
                <w:bCs/>
                <w:color w:val="0070C0"/>
                <w:sz w:val="20"/>
                <w:szCs w:val="20"/>
              </w:rPr>
            </w:pPr>
            <w:r w:rsidRPr="00FE35AA">
              <w:rPr>
                <w:sz w:val="10"/>
                <w:szCs w:val="10"/>
              </w:rPr>
              <w:t>(no 01.05.)</w:t>
            </w:r>
            <w:r w:rsidRPr="00842FF1">
              <w:rPr>
                <w:b/>
                <w:bCs/>
                <w:sz w:val="18"/>
                <w:szCs w:val="18"/>
              </w:rPr>
              <w:t>/</w:t>
            </w:r>
          </w:p>
          <w:p w14:paraId="6C2AD2A7" w14:textId="340F4FAA" w:rsidR="00B81AB4" w:rsidRPr="000D3D63" w:rsidRDefault="00B81AB4" w:rsidP="00115F03">
            <w:pPr>
              <w:contextualSpacing/>
              <w:jc w:val="center"/>
              <w:rPr>
                <w:b/>
                <w:bCs/>
                <w:color w:val="0070C0"/>
                <w:sz w:val="20"/>
                <w:szCs w:val="20"/>
              </w:rPr>
            </w:pPr>
            <w:r w:rsidRPr="00EF404E">
              <w:rPr>
                <w:b/>
                <w:bCs/>
                <w:color w:val="0070C0"/>
                <w:sz w:val="20"/>
                <w:szCs w:val="20"/>
              </w:rPr>
              <w:t>1,0</w:t>
            </w:r>
            <w:r>
              <w:rPr>
                <w:b/>
                <w:bCs/>
                <w:color w:val="0070C0"/>
                <w:sz w:val="20"/>
                <w:szCs w:val="20"/>
              </w:rPr>
              <w:t>9</w:t>
            </w:r>
            <w:r w:rsidRPr="00B81AB4">
              <w:rPr>
                <w:sz w:val="20"/>
                <w:szCs w:val="20"/>
                <w:vertAlign w:val="superscript"/>
              </w:rPr>
              <w:t>4</w:t>
            </w:r>
          </w:p>
        </w:tc>
      </w:tr>
      <w:tr w:rsidR="00B81AB4" w:rsidRPr="00EE7219" w14:paraId="173EBF3D" w14:textId="41E04675" w:rsidTr="006462C6">
        <w:trPr>
          <w:trHeight w:val="85"/>
        </w:trPr>
        <w:tc>
          <w:tcPr>
            <w:tcW w:w="3545" w:type="dxa"/>
            <w:tcBorders>
              <w:top w:val="single" w:sz="4" w:space="0" w:color="A6A6A6" w:themeColor="background1" w:themeShade="A6"/>
              <w:bottom w:val="single" w:sz="4" w:space="0" w:color="A6A6A6" w:themeColor="background1" w:themeShade="A6"/>
            </w:tcBorders>
            <w:shd w:val="clear" w:color="auto" w:fill="auto"/>
            <w:vAlign w:val="center"/>
          </w:tcPr>
          <w:p w14:paraId="7D768364" w14:textId="77777777" w:rsidR="00B81AB4" w:rsidRPr="00676C02" w:rsidRDefault="00B81AB4" w:rsidP="006E0CCE">
            <w:pPr>
              <w:contextualSpacing/>
              <w:jc w:val="right"/>
              <w:rPr>
                <w:i/>
                <w:iCs/>
                <w:color w:val="000000"/>
                <w:sz w:val="16"/>
                <w:szCs w:val="16"/>
              </w:rPr>
            </w:pPr>
            <w:r w:rsidRPr="00676C02">
              <w:rPr>
                <w:i/>
                <w:iCs/>
                <w:color w:val="000000"/>
                <w:sz w:val="16"/>
                <w:szCs w:val="16"/>
              </w:rPr>
              <w:t>Izmaiņas</w:t>
            </w:r>
            <w:r w:rsidRPr="00676C02">
              <w:rPr>
                <w:b/>
                <w:bCs/>
                <w:i/>
                <w:iCs/>
                <w:color w:val="000000"/>
                <w:sz w:val="16"/>
                <w:szCs w:val="16"/>
              </w:rPr>
              <w:t xml:space="preserve"> </w:t>
            </w:r>
            <w:r w:rsidRPr="00676C02">
              <w:rPr>
                <w:i/>
                <w:iCs/>
                <w:color w:val="000000"/>
                <w:sz w:val="16"/>
                <w:szCs w:val="16"/>
              </w:rPr>
              <w:t>kurināmajam</w:t>
            </w:r>
          </w:p>
        </w:tc>
        <w:tc>
          <w:tcPr>
            <w:tcW w:w="708"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469B951B" w14:textId="77777777" w:rsidR="00B81AB4" w:rsidRPr="0058785F" w:rsidRDefault="00B81AB4" w:rsidP="006E0CCE">
            <w:pPr>
              <w:contextualSpacing/>
              <w:jc w:val="center"/>
              <w:rPr>
                <w:b/>
                <w:bCs/>
                <w:sz w:val="20"/>
                <w:szCs w:val="20"/>
              </w:rPr>
            </w:pPr>
          </w:p>
        </w:tc>
        <w:tc>
          <w:tcPr>
            <w:tcW w:w="709" w:type="dxa"/>
            <w:tcBorders>
              <w:top w:val="single" w:sz="4" w:space="0" w:color="A6A6A6" w:themeColor="background1" w:themeShade="A6"/>
              <w:bottom w:val="single" w:sz="4" w:space="0" w:color="A6A6A6" w:themeColor="background1" w:themeShade="A6"/>
            </w:tcBorders>
            <w:vAlign w:val="center"/>
          </w:tcPr>
          <w:p w14:paraId="59B3F75C" w14:textId="77777777" w:rsidR="00B81AB4" w:rsidRPr="00AB5793" w:rsidRDefault="00B81AB4" w:rsidP="006E0CCE">
            <w:pPr>
              <w:contextualSpacing/>
              <w:jc w:val="center"/>
              <w:rPr>
                <w:i/>
                <w:iCs/>
                <w:color w:val="C00000"/>
                <w:sz w:val="16"/>
                <w:szCs w:val="16"/>
              </w:rPr>
            </w:pPr>
            <w:r w:rsidRPr="00AB5793">
              <w:rPr>
                <w:i/>
                <w:iCs/>
                <w:color w:val="C00000"/>
                <w:sz w:val="16"/>
                <w:szCs w:val="16"/>
              </w:rPr>
              <w:t>+0,43</w:t>
            </w:r>
          </w:p>
        </w:tc>
        <w:tc>
          <w:tcPr>
            <w:tcW w:w="709" w:type="dxa"/>
            <w:tcBorders>
              <w:top w:val="single" w:sz="4" w:space="0" w:color="A6A6A6" w:themeColor="background1" w:themeShade="A6"/>
              <w:bottom w:val="single" w:sz="4" w:space="0" w:color="A6A6A6" w:themeColor="background1" w:themeShade="A6"/>
            </w:tcBorders>
            <w:vAlign w:val="center"/>
          </w:tcPr>
          <w:p w14:paraId="68257A5B" w14:textId="77777777" w:rsidR="00B81AB4" w:rsidRPr="00AB5793" w:rsidRDefault="00B81AB4" w:rsidP="006E0CCE">
            <w:pPr>
              <w:contextualSpacing/>
              <w:jc w:val="center"/>
              <w:rPr>
                <w:i/>
                <w:iCs/>
                <w:color w:val="C00000"/>
                <w:sz w:val="16"/>
                <w:szCs w:val="16"/>
              </w:rPr>
            </w:pPr>
            <w:r w:rsidRPr="00AB5793">
              <w:rPr>
                <w:i/>
                <w:iCs/>
                <w:color w:val="C00000"/>
                <w:sz w:val="16"/>
                <w:szCs w:val="16"/>
              </w:rPr>
              <w:t>+0,43</w:t>
            </w:r>
          </w:p>
        </w:tc>
        <w:tc>
          <w:tcPr>
            <w:tcW w:w="1559" w:type="dxa"/>
            <w:gridSpan w:val="2"/>
            <w:vMerge/>
            <w:shd w:val="clear" w:color="auto" w:fill="FFFFFF" w:themeFill="background1"/>
          </w:tcPr>
          <w:p w14:paraId="00D3F185" w14:textId="77777777" w:rsidR="00B81AB4" w:rsidRPr="00FE35AA" w:rsidRDefault="00B81AB4" w:rsidP="006E0CCE">
            <w:pPr>
              <w:contextualSpacing/>
              <w:jc w:val="center"/>
              <w:rPr>
                <w:b/>
                <w:bCs/>
                <w:color w:val="92D050"/>
                <w:sz w:val="20"/>
                <w:szCs w:val="20"/>
              </w:rPr>
            </w:pPr>
          </w:p>
        </w:tc>
        <w:tc>
          <w:tcPr>
            <w:tcW w:w="851" w:type="dxa"/>
            <w:vMerge/>
            <w:shd w:val="clear" w:color="auto" w:fill="FFFFFF" w:themeFill="background1"/>
          </w:tcPr>
          <w:p w14:paraId="76C1E9EC" w14:textId="77777777" w:rsidR="00B81AB4" w:rsidRPr="00EE7219" w:rsidRDefault="00B81AB4" w:rsidP="006E0CCE">
            <w:pPr>
              <w:contextualSpacing/>
              <w:jc w:val="center"/>
              <w:rPr>
                <w:b/>
                <w:bCs/>
                <w:color w:val="C00000"/>
                <w:sz w:val="20"/>
                <w:szCs w:val="20"/>
              </w:rPr>
            </w:pPr>
          </w:p>
        </w:tc>
        <w:tc>
          <w:tcPr>
            <w:tcW w:w="708" w:type="dxa"/>
            <w:vMerge/>
            <w:shd w:val="clear" w:color="auto" w:fill="FFFFFF" w:themeFill="background1"/>
          </w:tcPr>
          <w:p w14:paraId="5DE5237A" w14:textId="4002C2DF" w:rsidR="00B81AB4" w:rsidRPr="00EE7219" w:rsidRDefault="00B81AB4" w:rsidP="00115F03">
            <w:pPr>
              <w:contextualSpacing/>
              <w:jc w:val="center"/>
              <w:rPr>
                <w:b/>
                <w:bCs/>
                <w:color w:val="C00000"/>
                <w:sz w:val="20"/>
                <w:szCs w:val="20"/>
              </w:rPr>
            </w:pPr>
          </w:p>
        </w:tc>
        <w:tc>
          <w:tcPr>
            <w:tcW w:w="709" w:type="dxa"/>
            <w:vMerge/>
            <w:shd w:val="clear" w:color="auto" w:fill="FFFFFF" w:themeFill="background1"/>
          </w:tcPr>
          <w:p w14:paraId="3A8EE6F3" w14:textId="461EF5DF" w:rsidR="00B81AB4" w:rsidRPr="00EE7219" w:rsidRDefault="00B81AB4" w:rsidP="00115F03">
            <w:pPr>
              <w:contextualSpacing/>
              <w:jc w:val="center"/>
              <w:rPr>
                <w:b/>
                <w:bCs/>
                <w:color w:val="C00000"/>
                <w:sz w:val="20"/>
                <w:szCs w:val="20"/>
              </w:rPr>
            </w:pPr>
          </w:p>
        </w:tc>
        <w:tc>
          <w:tcPr>
            <w:tcW w:w="709" w:type="dxa"/>
            <w:vMerge/>
            <w:shd w:val="clear" w:color="auto" w:fill="FFFFFF" w:themeFill="background1"/>
          </w:tcPr>
          <w:p w14:paraId="53FBBEA9" w14:textId="6285CE11" w:rsidR="00B81AB4" w:rsidRPr="00EE7219" w:rsidRDefault="00B81AB4" w:rsidP="00115F03">
            <w:pPr>
              <w:contextualSpacing/>
              <w:jc w:val="center"/>
              <w:rPr>
                <w:b/>
                <w:bCs/>
                <w:color w:val="C00000"/>
                <w:sz w:val="20"/>
                <w:szCs w:val="20"/>
              </w:rPr>
            </w:pPr>
          </w:p>
        </w:tc>
      </w:tr>
      <w:tr w:rsidR="00B81AB4" w:rsidRPr="00EE7219" w14:paraId="1D5ED806" w14:textId="7BCE3028" w:rsidTr="006462C6">
        <w:trPr>
          <w:trHeight w:val="85"/>
        </w:trPr>
        <w:tc>
          <w:tcPr>
            <w:tcW w:w="3545" w:type="dxa"/>
            <w:tcBorders>
              <w:top w:val="single" w:sz="4" w:space="0" w:color="A6A6A6" w:themeColor="background1" w:themeShade="A6"/>
              <w:bottom w:val="single" w:sz="4" w:space="0" w:color="A6A6A6" w:themeColor="background1" w:themeShade="A6"/>
            </w:tcBorders>
            <w:shd w:val="clear" w:color="auto" w:fill="auto"/>
            <w:vAlign w:val="center"/>
          </w:tcPr>
          <w:p w14:paraId="5D3B3B29" w14:textId="77777777" w:rsidR="00B81AB4" w:rsidRPr="00676C02" w:rsidRDefault="00B81AB4" w:rsidP="006E0CCE">
            <w:pPr>
              <w:contextualSpacing/>
              <w:jc w:val="right"/>
              <w:rPr>
                <w:color w:val="000000"/>
                <w:sz w:val="16"/>
                <w:szCs w:val="16"/>
              </w:rPr>
            </w:pPr>
            <w:r w:rsidRPr="00676C02">
              <w:rPr>
                <w:i/>
                <w:iCs/>
                <w:color w:val="000000"/>
                <w:sz w:val="16"/>
                <w:szCs w:val="16"/>
              </w:rPr>
              <w:t>Izmaiņas</w:t>
            </w:r>
            <w:r w:rsidRPr="00676C02">
              <w:rPr>
                <w:b/>
                <w:bCs/>
                <w:i/>
                <w:iCs/>
                <w:color w:val="000000"/>
                <w:sz w:val="16"/>
                <w:szCs w:val="16"/>
              </w:rPr>
              <w:t xml:space="preserve"> </w:t>
            </w:r>
            <w:r w:rsidRPr="00676C02">
              <w:rPr>
                <w:i/>
                <w:iCs/>
                <w:color w:val="000000"/>
                <w:sz w:val="16"/>
                <w:szCs w:val="16"/>
              </w:rPr>
              <w:t>sakarā ar  ETS2 ieviešanu</w:t>
            </w:r>
          </w:p>
        </w:tc>
        <w:tc>
          <w:tcPr>
            <w:tcW w:w="708"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44596FFB" w14:textId="77777777" w:rsidR="00B81AB4" w:rsidRPr="0058785F" w:rsidRDefault="00B81AB4" w:rsidP="006E0CCE">
            <w:pPr>
              <w:contextualSpacing/>
              <w:jc w:val="center"/>
              <w:rPr>
                <w:b/>
                <w:bCs/>
                <w:sz w:val="20"/>
                <w:szCs w:val="20"/>
              </w:rPr>
            </w:pPr>
          </w:p>
        </w:tc>
        <w:tc>
          <w:tcPr>
            <w:tcW w:w="709" w:type="dxa"/>
            <w:tcBorders>
              <w:top w:val="single" w:sz="4" w:space="0" w:color="A6A6A6" w:themeColor="background1" w:themeShade="A6"/>
              <w:bottom w:val="single" w:sz="4" w:space="0" w:color="A6A6A6" w:themeColor="background1" w:themeShade="A6"/>
            </w:tcBorders>
            <w:vAlign w:val="center"/>
          </w:tcPr>
          <w:p w14:paraId="3629D317" w14:textId="77777777" w:rsidR="00B81AB4" w:rsidRPr="00676C02" w:rsidRDefault="00B81AB4" w:rsidP="006E0CCE">
            <w:pPr>
              <w:contextualSpacing/>
              <w:jc w:val="center"/>
              <w:rPr>
                <w:b/>
                <w:bCs/>
                <w:i/>
                <w:iCs/>
                <w:color w:val="C00000"/>
                <w:sz w:val="16"/>
                <w:szCs w:val="16"/>
              </w:rPr>
            </w:pPr>
            <w:r w:rsidRPr="00676C02">
              <w:rPr>
                <w:i/>
                <w:iCs/>
                <w:color w:val="C00000"/>
                <w:sz w:val="16"/>
                <w:szCs w:val="16"/>
              </w:rPr>
              <w:t>+1,72</w:t>
            </w:r>
          </w:p>
        </w:tc>
        <w:tc>
          <w:tcPr>
            <w:tcW w:w="709" w:type="dxa"/>
            <w:tcBorders>
              <w:top w:val="single" w:sz="4" w:space="0" w:color="A6A6A6" w:themeColor="background1" w:themeShade="A6"/>
              <w:bottom w:val="single" w:sz="4" w:space="0" w:color="A6A6A6" w:themeColor="background1" w:themeShade="A6"/>
            </w:tcBorders>
            <w:vAlign w:val="center"/>
          </w:tcPr>
          <w:p w14:paraId="7D93EA33" w14:textId="77777777" w:rsidR="00B81AB4" w:rsidRPr="00676C02" w:rsidRDefault="00B81AB4" w:rsidP="006E0CCE">
            <w:pPr>
              <w:contextualSpacing/>
              <w:jc w:val="center"/>
              <w:rPr>
                <w:b/>
                <w:bCs/>
                <w:i/>
                <w:iCs/>
                <w:color w:val="C00000"/>
                <w:sz w:val="16"/>
                <w:szCs w:val="16"/>
              </w:rPr>
            </w:pPr>
            <w:r w:rsidRPr="00676C02">
              <w:rPr>
                <w:i/>
                <w:iCs/>
                <w:color w:val="C00000"/>
                <w:sz w:val="16"/>
                <w:szCs w:val="16"/>
              </w:rPr>
              <w:t>+1,72</w:t>
            </w:r>
          </w:p>
        </w:tc>
        <w:tc>
          <w:tcPr>
            <w:tcW w:w="1559" w:type="dxa"/>
            <w:gridSpan w:val="2"/>
            <w:vMerge/>
            <w:shd w:val="clear" w:color="auto" w:fill="FFFFFF" w:themeFill="background1"/>
          </w:tcPr>
          <w:p w14:paraId="2E8CA65B" w14:textId="77777777" w:rsidR="00B81AB4" w:rsidRPr="00FE35AA" w:rsidRDefault="00B81AB4" w:rsidP="006E0CCE">
            <w:pPr>
              <w:contextualSpacing/>
              <w:jc w:val="center"/>
              <w:rPr>
                <w:b/>
                <w:bCs/>
                <w:color w:val="92D050"/>
                <w:sz w:val="20"/>
                <w:szCs w:val="20"/>
              </w:rPr>
            </w:pPr>
          </w:p>
        </w:tc>
        <w:tc>
          <w:tcPr>
            <w:tcW w:w="851" w:type="dxa"/>
            <w:vMerge/>
            <w:shd w:val="clear" w:color="auto" w:fill="FFFFFF" w:themeFill="background1"/>
          </w:tcPr>
          <w:p w14:paraId="64AAE767" w14:textId="77777777" w:rsidR="00B81AB4" w:rsidRPr="00EE7219" w:rsidRDefault="00B81AB4" w:rsidP="006E0CCE">
            <w:pPr>
              <w:contextualSpacing/>
              <w:jc w:val="center"/>
              <w:rPr>
                <w:b/>
                <w:bCs/>
                <w:color w:val="C00000"/>
                <w:sz w:val="20"/>
                <w:szCs w:val="20"/>
              </w:rPr>
            </w:pPr>
          </w:p>
        </w:tc>
        <w:tc>
          <w:tcPr>
            <w:tcW w:w="708" w:type="dxa"/>
            <w:vMerge/>
            <w:shd w:val="clear" w:color="auto" w:fill="FFFFFF" w:themeFill="background1"/>
          </w:tcPr>
          <w:p w14:paraId="64D6C666" w14:textId="56C95506" w:rsidR="00B81AB4" w:rsidRPr="00EE7219" w:rsidRDefault="00B81AB4" w:rsidP="00115F03">
            <w:pPr>
              <w:contextualSpacing/>
              <w:jc w:val="center"/>
              <w:rPr>
                <w:b/>
                <w:bCs/>
                <w:color w:val="C00000"/>
                <w:sz w:val="20"/>
                <w:szCs w:val="20"/>
              </w:rPr>
            </w:pPr>
          </w:p>
        </w:tc>
        <w:tc>
          <w:tcPr>
            <w:tcW w:w="709" w:type="dxa"/>
            <w:vMerge/>
            <w:shd w:val="clear" w:color="auto" w:fill="FFFFFF" w:themeFill="background1"/>
          </w:tcPr>
          <w:p w14:paraId="1E8632FD" w14:textId="6F52AC31" w:rsidR="00B81AB4" w:rsidRPr="00EE7219" w:rsidRDefault="00B81AB4" w:rsidP="00115F03">
            <w:pPr>
              <w:contextualSpacing/>
              <w:jc w:val="center"/>
              <w:rPr>
                <w:b/>
                <w:bCs/>
                <w:color w:val="C00000"/>
                <w:sz w:val="20"/>
                <w:szCs w:val="20"/>
              </w:rPr>
            </w:pPr>
          </w:p>
        </w:tc>
        <w:tc>
          <w:tcPr>
            <w:tcW w:w="709" w:type="dxa"/>
            <w:vMerge/>
            <w:shd w:val="clear" w:color="auto" w:fill="FFFFFF" w:themeFill="background1"/>
          </w:tcPr>
          <w:p w14:paraId="301A7BC6" w14:textId="73D18DF0" w:rsidR="00B81AB4" w:rsidRPr="00EE7219" w:rsidRDefault="00B81AB4" w:rsidP="00115F03">
            <w:pPr>
              <w:contextualSpacing/>
              <w:jc w:val="center"/>
              <w:rPr>
                <w:b/>
                <w:bCs/>
                <w:color w:val="C00000"/>
                <w:sz w:val="20"/>
                <w:szCs w:val="20"/>
              </w:rPr>
            </w:pPr>
          </w:p>
        </w:tc>
      </w:tr>
      <w:tr w:rsidR="00B81AB4" w:rsidRPr="00EE7219" w14:paraId="2B6EEFB8" w14:textId="77777777" w:rsidTr="006462C6">
        <w:trPr>
          <w:trHeight w:val="85"/>
        </w:trPr>
        <w:tc>
          <w:tcPr>
            <w:tcW w:w="3545" w:type="dxa"/>
            <w:tcBorders>
              <w:top w:val="single" w:sz="4" w:space="0" w:color="A6A6A6" w:themeColor="background1" w:themeShade="A6"/>
              <w:bottom w:val="single" w:sz="4" w:space="0" w:color="A6A6A6" w:themeColor="background1" w:themeShade="A6"/>
            </w:tcBorders>
            <w:shd w:val="clear" w:color="auto" w:fill="auto"/>
            <w:vAlign w:val="center"/>
          </w:tcPr>
          <w:p w14:paraId="57013174" w14:textId="2AAFEE55" w:rsidR="00B81AB4" w:rsidRDefault="00B81AB4" w:rsidP="006E0CCE">
            <w:pPr>
              <w:contextualSpacing/>
              <w:rPr>
                <w:i/>
                <w:iCs/>
                <w:color w:val="000000"/>
                <w:sz w:val="18"/>
                <w:szCs w:val="18"/>
              </w:rPr>
            </w:pPr>
            <w:r w:rsidRPr="00126954">
              <w:rPr>
                <w:b/>
                <w:bCs/>
                <w:sz w:val="20"/>
                <w:szCs w:val="20"/>
              </w:rPr>
              <w:t>Dabasgāze, ko izmanto par kurināmo</w:t>
            </w:r>
            <w:r>
              <w:rPr>
                <w:b/>
                <w:bCs/>
                <w:sz w:val="20"/>
                <w:szCs w:val="20"/>
              </w:rPr>
              <w:t xml:space="preserve"> </w:t>
            </w:r>
            <w:r w:rsidRPr="0054058E">
              <w:rPr>
                <w:b/>
                <w:bCs/>
                <w:sz w:val="18"/>
                <w:szCs w:val="18"/>
                <w:u w:val="single"/>
              </w:rPr>
              <w:t>lielie patērētāji, kas piedalās jau ETS</w:t>
            </w:r>
            <w:r w:rsidRPr="00DB6653">
              <w:rPr>
                <w:i/>
                <w:iCs/>
                <w:sz w:val="20"/>
                <w:szCs w:val="20"/>
              </w:rPr>
              <w:t>, euro par 1 MWh</w:t>
            </w:r>
          </w:p>
        </w:tc>
        <w:tc>
          <w:tcPr>
            <w:tcW w:w="708"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63D307B4" w14:textId="754836CA" w:rsidR="00B81AB4" w:rsidRPr="0058785F" w:rsidRDefault="00B81AB4" w:rsidP="006E0CCE">
            <w:pPr>
              <w:contextualSpacing/>
              <w:jc w:val="center"/>
              <w:rPr>
                <w:b/>
                <w:bCs/>
                <w:sz w:val="20"/>
                <w:szCs w:val="20"/>
              </w:rPr>
            </w:pPr>
            <w:r w:rsidRPr="0058785F">
              <w:rPr>
                <w:b/>
                <w:bCs/>
                <w:sz w:val="20"/>
                <w:szCs w:val="20"/>
              </w:rPr>
              <w:t>1,65</w:t>
            </w:r>
          </w:p>
        </w:tc>
        <w:tc>
          <w:tcPr>
            <w:tcW w:w="709" w:type="dxa"/>
            <w:tcBorders>
              <w:top w:val="single" w:sz="4" w:space="0" w:color="A6A6A6" w:themeColor="background1" w:themeShade="A6"/>
              <w:bottom w:val="single" w:sz="4" w:space="0" w:color="A6A6A6" w:themeColor="background1" w:themeShade="A6"/>
            </w:tcBorders>
            <w:vAlign w:val="center"/>
          </w:tcPr>
          <w:p w14:paraId="31DB790E" w14:textId="79B4319C" w:rsidR="00B81AB4" w:rsidRPr="0058785F" w:rsidRDefault="00B81AB4" w:rsidP="006E0CCE">
            <w:pPr>
              <w:contextualSpacing/>
              <w:jc w:val="center"/>
              <w:rPr>
                <w:i/>
                <w:iCs/>
                <w:color w:val="C00000"/>
                <w:sz w:val="18"/>
                <w:szCs w:val="18"/>
              </w:rPr>
            </w:pPr>
            <w:r>
              <w:rPr>
                <w:b/>
                <w:bCs/>
                <w:color w:val="C00000"/>
                <w:sz w:val="20"/>
                <w:szCs w:val="20"/>
              </w:rPr>
              <w:t>2</w:t>
            </w:r>
            <w:r w:rsidRPr="0058785F">
              <w:rPr>
                <w:b/>
                <w:bCs/>
                <w:color w:val="C00000"/>
                <w:sz w:val="20"/>
                <w:szCs w:val="20"/>
              </w:rPr>
              <w:t>,0</w:t>
            </w:r>
            <w:r>
              <w:rPr>
                <w:b/>
                <w:bCs/>
                <w:color w:val="C00000"/>
                <w:sz w:val="20"/>
                <w:szCs w:val="20"/>
              </w:rPr>
              <w:t>8</w:t>
            </w:r>
          </w:p>
        </w:tc>
        <w:tc>
          <w:tcPr>
            <w:tcW w:w="709" w:type="dxa"/>
            <w:tcBorders>
              <w:top w:val="single" w:sz="4" w:space="0" w:color="A6A6A6" w:themeColor="background1" w:themeShade="A6"/>
              <w:bottom w:val="single" w:sz="4" w:space="0" w:color="A6A6A6" w:themeColor="background1" w:themeShade="A6"/>
            </w:tcBorders>
            <w:vAlign w:val="center"/>
          </w:tcPr>
          <w:p w14:paraId="4BBFE0CE" w14:textId="14D6003D" w:rsidR="00B81AB4" w:rsidRPr="0058785F" w:rsidRDefault="00B81AB4" w:rsidP="006E0CCE">
            <w:pPr>
              <w:contextualSpacing/>
              <w:jc w:val="center"/>
              <w:rPr>
                <w:i/>
                <w:iCs/>
                <w:color w:val="C00000"/>
                <w:sz w:val="18"/>
                <w:szCs w:val="18"/>
              </w:rPr>
            </w:pPr>
            <w:r>
              <w:rPr>
                <w:b/>
                <w:bCs/>
                <w:color w:val="C00000"/>
                <w:sz w:val="20"/>
                <w:szCs w:val="20"/>
              </w:rPr>
              <w:t>2</w:t>
            </w:r>
            <w:r w:rsidRPr="0058785F">
              <w:rPr>
                <w:b/>
                <w:bCs/>
                <w:color w:val="C00000"/>
                <w:sz w:val="20"/>
                <w:szCs w:val="20"/>
              </w:rPr>
              <w:t>,5</w:t>
            </w:r>
            <w:r>
              <w:rPr>
                <w:b/>
                <w:bCs/>
                <w:color w:val="C00000"/>
                <w:sz w:val="20"/>
                <w:szCs w:val="20"/>
              </w:rPr>
              <w:t>1</w:t>
            </w:r>
          </w:p>
        </w:tc>
        <w:tc>
          <w:tcPr>
            <w:tcW w:w="1559" w:type="dxa"/>
            <w:gridSpan w:val="2"/>
            <w:vMerge/>
            <w:shd w:val="clear" w:color="auto" w:fill="FFFFFF" w:themeFill="background1"/>
          </w:tcPr>
          <w:p w14:paraId="1B202D0F" w14:textId="77777777" w:rsidR="00B81AB4" w:rsidRPr="00FE35AA" w:rsidRDefault="00B81AB4" w:rsidP="006E0CCE">
            <w:pPr>
              <w:contextualSpacing/>
              <w:jc w:val="center"/>
              <w:rPr>
                <w:b/>
                <w:bCs/>
                <w:color w:val="92D050"/>
                <w:sz w:val="20"/>
                <w:szCs w:val="20"/>
              </w:rPr>
            </w:pPr>
          </w:p>
        </w:tc>
        <w:tc>
          <w:tcPr>
            <w:tcW w:w="851" w:type="dxa"/>
            <w:vMerge/>
            <w:shd w:val="clear" w:color="auto" w:fill="FFFFFF" w:themeFill="background1"/>
          </w:tcPr>
          <w:p w14:paraId="3C6D5358" w14:textId="77777777" w:rsidR="00B81AB4" w:rsidRPr="00EE7219" w:rsidRDefault="00B81AB4" w:rsidP="006E0CCE">
            <w:pPr>
              <w:contextualSpacing/>
              <w:jc w:val="center"/>
              <w:rPr>
                <w:b/>
                <w:bCs/>
                <w:color w:val="C00000"/>
                <w:sz w:val="20"/>
                <w:szCs w:val="20"/>
              </w:rPr>
            </w:pPr>
          </w:p>
        </w:tc>
        <w:tc>
          <w:tcPr>
            <w:tcW w:w="708" w:type="dxa"/>
            <w:vMerge/>
            <w:shd w:val="clear" w:color="auto" w:fill="FFFFFF" w:themeFill="background1"/>
          </w:tcPr>
          <w:p w14:paraId="492327F7" w14:textId="753C0D51" w:rsidR="00B81AB4" w:rsidRPr="00EE7219" w:rsidRDefault="00B81AB4" w:rsidP="00115F03">
            <w:pPr>
              <w:contextualSpacing/>
              <w:jc w:val="center"/>
              <w:rPr>
                <w:b/>
                <w:bCs/>
                <w:color w:val="C00000"/>
                <w:sz w:val="20"/>
                <w:szCs w:val="20"/>
              </w:rPr>
            </w:pPr>
          </w:p>
        </w:tc>
        <w:tc>
          <w:tcPr>
            <w:tcW w:w="709" w:type="dxa"/>
            <w:vMerge/>
            <w:shd w:val="clear" w:color="auto" w:fill="FFFFFF" w:themeFill="background1"/>
          </w:tcPr>
          <w:p w14:paraId="64C11621" w14:textId="5ECEFB3B" w:rsidR="00B81AB4" w:rsidRPr="00EE7219" w:rsidRDefault="00B81AB4" w:rsidP="00115F03">
            <w:pPr>
              <w:contextualSpacing/>
              <w:jc w:val="center"/>
              <w:rPr>
                <w:b/>
                <w:bCs/>
                <w:color w:val="C00000"/>
                <w:sz w:val="20"/>
                <w:szCs w:val="20"/>
              </w:rPr>
            </w:pPr>
          </w:p>
        </w:tc>
        <w:tc>
          <w:tcPr>
            <w:tcW w:w="709" w:type="dxa"/>
            <w:vMerge/>
            <w:shd w:val="clear" w:color="auto" w:fill="FFFFFF" w:themeFill="background1"/>
          </w:tcPr>
          <w:p w14:paraId="5E7AE34D" w14:textId="1A08EFB5" w:rsidR="00B81AB4" w:rsidRPr="00EE7219" w:rsidRDefault="00B81AB4" w:rsidP="00115F03">
            <w:pPr>
              <w:contextualSpacing/>
              <w:jc w:val="center"/>
              <w:rPr>
                <w:b/>
                <w:bCs/>
                <w:color w:val="C00000"/>
                <w:sz w:val="20"/>
                <w:szCs w:val="20"/>
              </w:rPr>
            </w:pPr>
          </w:p>
        </w:tc>
      </w:tr>
      <w:tr w:rsidR="00B81AB4" w:rsidRPr="00EE7219" w14:paraId="52A9B815" w14:textId="77777777" w:rsidTr="00D45FC0">
        <w:trPr>
          <w:trHeight w:val="85"/>
        </w:trPr>
        <w:tc>
          <w:tcPr>
            <w:tcW w:w="3545" w:type="dxa"/>
            <w:tcBorders>
              <w:top w:val="single" w:sz="4" w:space="0" w:color="A6A6A6" w:themeColor="background1" w:themeShade="A6"/>
              <w:bottom w:val="single" w:sz="4" w:space="0" w:color="auto"/>
            </w:tcBorders>
            <w:shd w:val="clear" w:color="auto" w:fill="auto"/>
            <w:vAlign w:val="center"/>
          </w:tcPr>
          <w:p w14:paraId="59EF2B27" w14:textId="572661BA" w:rsidR="00B81AB4" w:rsidRPr="00676C02" w:rsidRDefault="00B81AB4" w:rsidP="006E0CCE">
            <w:pPr>
              <w:contextualSpacing/>
              <w:jc w:val="right"/>
              <w:rPr>
                <w:i/>
                <w:iCs/>
                <w:color w:val="000000"/>
                <w:sz w:val="16"/>
                <w:szCs w:val="16"/>
              </w:rPr>
            </w:pPr>
            <w:r w:rsidRPr="00676C02">
              <w:rPr>
                <w:i/>
                <w:iCs/>
                <w:color w:val="000000"/>
                <w:sz w:val="16"/>
                <w:szCs w:val="16"/>
              </w:rPr>
              <w:t>Izmaiņas</w:t>
            </w:r>
            <w:r w:rsidRPr="00676C02">
              <w:rPr>
                <w:b/>
                <w:bCs/>
                <w:i/>
                <w:iCs/>
                <w:color w:val="000000"/>
                <w:sz w:val="16"/>
                <w:szCs w:val="16"/>
              </w:rPr>
              <w:t xml:space="preserve"> </w:t>
            </w:r>
            <w:r w:rsidRPr="00676C02">
              <w:rPr>
                <w:i/>
                <w:iCs/>
                <w:color w:val="000000"/>
                <w:sz w:val="16"/>
                <w:szCs w:val="16"/>
              </w:rPr>
              <w:t>kurināmajam</w:t>
            </w:r>
          </w:p>
        </w:tc>
        <w:tc>
          <w:tcPr>
            <w:tcW w:w="708" w:type="dxa"/>
            <w:tcBorders>
              <w:top w:val="single" w:sz="4" w:space="0" w:color="A6A6A6" w:themeColor="background1" w:themeShade="A6"/>
              <w:bottom w:val="single" w:sz="4" w:space="0" w:color="auto"/>
            </w:tcBorders>
            <w:shd w:val="clear" w:color="auto" w:fill="F2F2F2" w:themeFill="background1" w:themeFillShade="F2"/>
            <w:vAlign w:val="center"/>
          </w:tcPr>
          <w:p w14:paraId="475751AE" w14:textId="77777777" w:rsidR="00B81AB4" w:rsidRPr="0058785F" w:rsidRDefault="00B81AB4" w:rsidP="006E0CCE">
            <w:pPr>
              <w:contextualSpacing/>
              <w:jc w:val="center"/>
              <w:rPr>
                <w:b/>
                <w:bCs/>
                <w:sz w:val="20"/>
                <w:szCs w:val="20"/>
              </w:rPr>
            </w:pPr>
          </w:p>
        </w:tc>
        <w:tc>
          <w:tcPr>
            <w:tcW w:w="709" w:type="dxa"/>
            <w:tcBorders>
              <w:top w:val="single" w:sz="4" w:space="0" w:color="A6A6A6" w:themeColor="background1" w:themeShade="A6"/>
              <w:bottom w:val="single" w:sz="4" w:space="0" w:color="auto"/>
            </w:tcBorders>
            <w:vAlign w:val="center"/>
          </w:tcPr>
          <w:p w14:paraId="7BE56A3B" w14:textId="070F9F2F" w:rsidR="00B81AB4" w:rsidRPr="00676C02" w:rsidRDefault="00B81AB4" w:rsidP="006E0CCE">
            <w:pPr>
              <w:contextualSpacing/>
              <w:jc w:val="center"/>
              <w:rPr>
                <w:i/>
                <w:iCs/>
                <w:color w:val="C00000"/>
                <w:sz w:val="16"/>
                <w:szCs w:val="16"/>
              </w:rPr>
            </w:pPr>
            <w:r w:rsidRPr="00676C02">
              <w:rPr>
                <w:i/>
                <w:iCs/>
                <w:color w:val="C00000"/>
                <w:sz w:val="16"/>
                <w:szCs w:val="16"/>
              </w:rPr>
              <w:t>+0,43</w:t>
            </w:r>
          </w:p>
        </w:tc>
        <w:tc>
          <w:tcPr>
            <w:tcW w:w="709" w:type="dxa"/>
            <w:tcBorders>
              <w:top w:val="single" w:sz="4" w:space="0" w:color="A6A6A6" w:themeColor="background1" w:themeShade="A6"/>
              <w:bottom w:val="single" w:sz="4" w:space="0" w:color="auto"/>
            </w:tcBorders>
            <w:vAlign w:val="center"/>
          </w:tcPr>
          <w:p w14:paraId="2B295A76" w14:textId="155F41EE" w:rsidR="00B81AB4" w:rsidRPr="00676C02" w:rsidRDefault="00B81AB4" w:rsidP="006E0CCE">
            <w:pPr>
              <w:contextualSpacing/>
              <w:jc w:val="center"/>
              <w:rPr>
                <w:i/>
                <w:iCs/>
                <w:color w:val="C00000"/>
                <w:sz w:val="16"/>
                <w:szCs w:val="16"/>
              </w:rPr>
            </w:pPr>
            <w:r w:rsidRPr="00676C02">
              <w:rPr>
                <w:i/>
                <w:iCs/>
                <w:color w:val="C00000"/>
                <w:sz w:val="16"/>
                <w:szCs w:val="16"/>
              </w:rPr>
              <w:t>+0,43</w:t>
            </w:r>
          </w:p>
        </w:tc>
        <w:tc>
          <w:tcPr>
            <w:tcW w:w="1559" w:type="dxa"/>
            <w:gridSpan w:val="2"/>
            <w:vMerge/>
            <w:tcBorders>
              <w:bottom w:val="single" w:sz="4" w:space="0" w:color="auto"/>
            </w:tcBorders>
            <w:shd w:val="clear" w:color="auto" w:fill="FFFFFF" w:themeFill="background1"/>
          </w:tcPr>
          <w:p w14:paraId="6C80329D" w14:textId="77777777" w:rsidR="00B81AB4" w:rsidRPr="00FE35AA" w:rsidRDefault="00B81AB4" w:rsidP="006E0CCE">
            <w:pPr>
              <w:contextualSpacing/>
              <w:jc w:val="center"/>
              <w:rPr>
                <w:b/>
                <w:bCs/>
                <w:color w:val="92D050"/>
                <w:sz w:val="20"/>
                <w:szCs w:val="20"/>
              </w:rPr>
            </w:pPr>
          </w:p>
        </w:tc>
        <w:tc>
          <w:tcPr>
            <w:tcW w:w="851" w:type="dxa"/>
            <w:vMerge/>
            <w:tcBorders>
              <w:bottom w:val="single" w:sz="4" w:space="0" w:color="auto"/>
            </w:tcBorders>
            <w:shd w:val="clear" w:color="auto" w:fill="FFFFFF" w:themeFill="background1"/>
          </w:tcPr>
          <w:p w14:paraId="0D229165" w14:textId="77777777" w:rsidR="00B81AB4" w:rsidRPr="00EE7219" w:rsidRDefault="00B81AB4" w:rsidP="006E0CCE">
            <w:pPr>
              <w:contextualSpacing/>
              <w:jc w:val="center"/>
              <w:rPr>
                <w:b/>
                <w:bCs/>
                <w:color w:val="C00000"/>
                <w:sz w:val="20"/>
                <w:szCs w:val="20"/>
              </w:rPr>
            </w:pPr>
          </w:p>
        </w:tc>
        <w:tc>
          <w:tcPr>
            <w:tcW w:w="708" w:type="dxa"/>
            <w:vMerge/>
            <w:shd w:val="clear" w:color="auto" w:fill="FFFFFF" w:themeFill="background1"/>
          </w:tcPr>
          <w:p w14:paraId="023099F3" w14:textId="2AE6D5F3" w:rsidR="00B81AB4" w:rsidRPr="00EE7219" w:rsidRDefault="00B81AB4" w:rsidP="00115F03">
            <w:pPr>
              <w:contextualSpacing/>
              <w:jc w:val="center"/>
              <w:rPr>
                <w:b/>
                <w:bCs/>
                <w:color w:val="C00000"/>
                <w:sz w:val="20"/>
                <w:szCs w:val="20"/>
              </w:rPr>
            </w:pPr>
          </w:p>
        </w:tc>
        <w:tc>
          <w:tcPr>
            <w:tcW w:w="709" w:type="dxa"/>
            <w:vMerge/>
            <w:shd w:val="clear" w:color="auto" w:fill="FFFFFF" w:themeFill="background1"/>
          </w:tcPr>
          <w:p w14:paraId="1D8EB2FB" w14:textId="76F066C1" w:rsidR="00B81AB4" w:rsidRPr="00EE7219" w:rsidRDefault="00B81AB4" w:rsidP="00115F03">
            <w:pPr>
              <w:contextualSpacing/>
              <w:jc w:val="center"/>
              <w:rPr>
                <w:b/>
                <w:bCs/>
                <w:color w:val="C00000"/>
                <w:sz w:val="20"/>
                <w:szCs w:val="20"/>
              </w:rPr>
            </w:pPr>
          </w:p>
        </w:tc>
        <w:tc>
          <w:tcPr>
            <w:tcW w:w="709" w:type="dxa"/>
            <w:vMerge/>
            <w:shd w:val="clear" w:color="auto" w:fill="FFFFFF" w:themeFill="background1"/>
          </w:tcPr>
          <w:p w14:paraId="06750767" w14:textId="313EBF9A" w:rsidR="00B81AB4" w:rsidRPr="00EE7219" w:rsidRDefault="00B81AB4" w:rsidP="00115F03">
            <w:pPr>
              <w:contextualSpacing/>
              <w:jc w:val="center"/>
              <w:rPr>
                <w:b/>
                <w:bCs/>
                <w:color w:val="C00000"/>
                <w:sz w:val="20"/>
                <w:szCs w:val="20"/>
              </w:rPr>
            </w:pPr>
          </w:p>
        </w:tc>
      </w:tr>
      <w:tr w:rsidR="00B81AB4" w:rsidRPr="009C5FBC" w14:paraId="0C1992E8" w14:textId="77777777" w:rsidTr="006462C6">
        <w:trPr>
          <w:trHeight w:val="85"/>
        </w:trPr>
        <w:tc>
          <w:tcPr>
            <w:tcW w:w="3545" w:type="dxa"/>
            <w:tcBorders>
              <w:bottom w:val="single" w:sz="4" w:space="0" w:color="A6A6A6" w:themeColor="background1" w:themeShade="A6"/>
            </w:tcBorders>
            <w:shd w:val="clear" w:color="auto" w:fill="auto"/>
            <w:vAlign w:val="center"/>
          </w:tcPr>
          <w:p w14:paraId="119BF92C" w14:textId="609ECA69" w:rsidR="00B81AB4" w:rsidRPr="00126954" w:rsidRDefault="00B81AB4" w:rsidP="00115F03">
            <w:pPr>
              <w:contextualSpacing/>
              <w:rPr>
                <w:b/>
                <w:bCs/>
                <w:sz w:val="20"/>
                <w:szCs w:val="20"/>
              </w:rPr>
            </w:pPr>
            <w:bookmarkStart w:id="52" w:name="_Hlk168581667"/>
            <w:r w:rsidRPr="00126954">
              <w:rPr>
                <w:b/>
                <w:bCs/>
                <w:sz w:val="20"/>
                <w:szCs w:val="20"/>
              </w:rPr>
              <w:t xml:space="preserve">Dabasgāze, ko izmanto par kurināmo </w:t>
            </w:r>
            <w:r w:rsidRPr="006E36E5">
              <w:rPr>
                <w:b/>
                <w:bCs/>
                <w:sz w:val="18"/>
                <w:szCs w:val="18"/>
                <w:u w:val="single"/>
              </w:rPr>
              <w:t>rūpniecībā</w:t>
            </w:r>
            <w:r w:rsidRPr="00EE7219">
              <w:rPr>
                <w:i/>
                <w:iCs/>
                <w:sz w:val="20"/>
                <w:szCs w:val="20"/>
              </w:rPr>
              <w:t>, euro par 1 MWh</w:t>
            </w:r>
            <w:bookmarkEnd w:id="52"/>
          </w:p>
        </w:tc>
        <w:tc>
          <w:tcPr>
            <w:tcW w:w="708" w:type="dxa"/>
            <w:tcBorders>
              <w:bottom w:val="single" w:sz="4" w:space="0" w:color="A6A6A6" w:themeColor="background1" w:themeShade="A6"/>
            </w:tcBorders>
            <w:shd w:val="clear" w:color="auto" w:fill="F2F2F2" w:themeFill="background1" w:themeFillShade="F2"/>
            <w:vAlign w:val="center"/>
          </w:tcPr>
          <w:p w14:paraId="27B2B526" w14:textId="66552F35" w:rsidR="00B81AB4" w:rsidRPr="00EE7219" w:rsidRDefault="00B81AB4" w:rsidP="00115F03">
            <w:pPr>
              <w:contextualSpacing/>
              <w:jc w:val="center"/>
              <w:rPr>
                <w:b/>
                <w:bCs/>
                <w:sz w:val="20"/>
                <w:szCs w:val="20"/>
              </w:rPr>
            </w:pPr>
            <w:r w:rsidRPr="00EE7219">
              <w:rPr>
                <w:b/>
                <w:bCs/>
                <w:sz w:val="20"/>
                <w:szCs w:val="20"/>
              </w:rPr>
              <w:t>0,55</w:t>
            </w:r>
          </w:p>
        </w:tc>
        <w:tc>
          <w:tcPr>
            <w:tcW w:w="709" w:type="dxa"/>
            <w:tcBorders>
              <w:bottom w:val="single" w:sz="4" w:space="0" w:color="A6A6A6" w:themeColor="background1" w:themeShade="A6"/>
            </w:tcBorders>
            <w:vAlign w:val="center"/>
          </w:tcPr>
          <w:p w14:paraId="0DDC3412" w14:textId="0D713E55" w:rsidR="00B81AB4" w:rsidRPr="00EF404E" w:rsidRDefault="00B81AB4" w:rsidP="00115F03">
            <w:pPr>
              <w:contextualSpacing/>
              <w:jc w:val="center"/>
              <w:rPr>
                <w:b/>
                <w:bCs/>
                <w:color w:val="C00000"/>
                <w:sz w:val="20"/>
                <w:szCs w:val="20"/>
              </w:rPr>
            </w:pPr>
            <w:r w:rsidRPr="00EF404E">
              <w:rPr>
                <w:b/>
                <w:bCs/>
                <w:color w:val="C00000"/>
                <w:sz w:val="20"/>
                <w:szCs w:val="20"/>
              </w:rPr>
              <w:t>2,57</w:t>
            </w:r>
          </w:p>
        </w:tc>
        <w:tc>
          <w:tcPr>
            <w:tcW w:w="709" w:type="dxa"/>
            <w:tcBorders>
              <w:bottom w:val="single" w:sz="4" w:space="0" w:color="A6A6A6" w:themeColor="background1" w:themeShade="A6"/>
            </w:tcBorders>
            <w:vAlign w:val="center"/>
          </w:tcPr>
          <w:p w14:paraId="53C65208" w14:textId="4C70F2D6" w:rsidR="00B81AB4" w:rsidRPr="00EF404E" w:rsidRDefault="00B81AB4" w:rsidP="00115F03">
            <w:pPr>
              <w:contextualSpacing/>
              <w:jc w:val="center"/>
              <w:rPr>
                <w:b/>
                <w:bCs/>
                <w:color w:val="C00000"/>
                <w:sz w:val="20"/>
                <w:szCs w:val="20"/>
              </w:rPr>
            </w:pPr>
            <w:r w:rsidRPr="00EF404E">
              <w:rPr>
                <w:b/>
                <w:bCs/>
                <w:color w:val="C00000"/>
                <w:sz w:val="20"/>
                <w:szCs w:val="20"/>
              </w:rPr>
              <w:t>4,60</w:t>
            </w:r>
          </w:p>
        </w:tc>
        <w:tc>
          <w:tcPr>
            <w:tcW w:w="1559" w:type="dxa"/>
            <w:gridSpan w:val="2"/>
            <w:vMerge w:val="restart"/>
            <w:shd w:val="clear" w:color="auto" w:fill="FFFFFF" w:themeFill="background1"/>
            <w:vAlign w:val="center"/>
          </w:tcPr>
          <w:p w14:paraId="7A45DF49" w14:textId="543B57BB" w:rsidR="00B81AB4" w:rsidRPr="00EF404E" w:rsidRDefault="00B81AB4" w:rsidP="00115F03">
            <w:pPr>
              <w:contextualSpacing/>
              <w:jc w:val="center"/>
              <w:rPr>
                <w:b/>
                <w:bCs/>
                <w:color w:val="00B050"/>
                <w:sz w:val="20"/>
                <w:szCs w:val="20"/>
              </w:rPr>
            </w:pPr>
            <w:r w:rsidRPr="00EF404E">
              <w:rPr>
                <w:b/>
                <w:bCs/>
                <w:color w:val="00B050"/>
                <w:sz w:val="20"/>
                <w:szCs w:val="20"/>
              </w:rPr>
              <w:t>0,54</w:t>
            </w:r>
          </w:p>
        </w:tc>
        <w:tc>
          <w:tcPr>
            <w:tcW w:w="851" w:type="dxa"/>
            <w:vMerge w:val="restart"/>
            <w:shd w:val="clear" w:color="auto" w:fill="FFFFFF" w:themeFill="background1"/>
            <w:vAlign w:val="center"/>
          </w:tcPr>
          <w:p w14:paraId="6593E050" w14:textId="2FF2CB43" w:rsidR="00B81AB4" w:rsidRPr="00B81AB4" w:rsidRDefault="00B81AB4" w:rsidP="00115F03">
            <w:pPr>
              <w:contextualSpacing/>
              <w:jc w:val="center"/>
              <w:rPr>
                <w:b/>
                <w:bCs/>
                <w:color w:val="00B050"/>
                <w:sz w:val="20"/>
                <w:szCs w:val="20"/>
              </w:rPr>
            </w:pPr>
            <w:r w:rsidRPr="00B81AB4">
              <w:rPr>
                <w:b/>
                <w:bCs/>
                <w:color w:val="00B050"/>
                <w:sz w:val="20"/>
                <w:szCs w:val="20"/>
              </w:rPr>
              <w:t>1,0</w:t>
            </w:r>
          </w:p>
        </w:tc>
        <w:tc>
          <w:tcPr>
            <w:tcW w:w="708" w:type="dxa"/>
            <w:vMerge w:val="restart"/>
            <w:shd w:val="clear" w:color="auto" w:fill="FFFFFF" w:themeFill="background1"/>
            <w:vAlign w:val="center"/>
          </w:tcPr>
          <w:p w14:paraId="7511535F" w14:textId="2098A3A7" w:rsidR="00B81AB4" w:rsidRPr="00EF404E" w:rsidRDefault="00B81AB4" w:rsidP="00115F03">
            <w:pPr>
              <w:contextualSpacing/>
              <w:jc w:val="center"/>
              <w:rPr>
                <w:b/>
                <w:bCs/>
                <w:color w:val="0070C0"/>
                <w:sz w:val="20"/>
                <w:szCs w:val="20"/>
              </w:rPr>
            </w:pPr>
          </w:p>
        </w:tc>
        <w:tc>
          <w:tcPr>
            <w:tcW w:w="709" w:type="dxa"/>
            <w:vMerge w:val="restart"/>
            <w:shd w:val="clear" w:color="auto" w:fill="FFFFFF" w:themeFill="background1"/>
            <w:vAlign w:val="center"/>
          </w:tcPr>
          <w:p w14:paraId="34B85C72" w14:textId="7B6229D1" w:rsidR="00B81AB4" w:rsidRDefault="00B81AB4" w:rsidP="00115F03">
            <w:pPr>
              <w:contextualSpacing/>
              <w:jc w:val="center"/>
              <w:rPr>
                <w:b/>
                <w:bCs/>
                <w:color w:val="0070C0"/>
                <w:sz w:val="20"/>
                <w:szCs w:val="20"/>
              </w:rPr>
            </w:pPr>
          </w:p>
        </w:tc>
        <w:tc>
          <w:tcPr>
            <w:tcW w:w="709" w:type="dxa"/>
            <w:vMerge w:val="restart"/>
            <w:shd w:val="clear" w:color="auto" w:fill="FFFFFF" w:themeFill="background1"/>
            <w:vAlign w:val="center"/>
          </w:tcPr>
          <w:p w14:paraId="1FBF61D9" w14:textId="1685D3C4" w:rsidR="00B81AB4" w:rsidRDefault="00B81AB4" w:rsidP="00115F03">
            <w:pPr>
              <w:contextualSpacing/>
              <w:jc w:val="center"/>
              <w:rPr>
                <w:b/>
                <w:bCs/>
                <w:color w:val="0070C0"/>
                <w:sz w:val="20"/>
                <w:szCs w:val="20"/>
              </w:rPr>
            </w:pPr>
          </w:p>
        </w:tc>
      </w:tr>
      <w:tr w:rsidR="00B81AB4" w:rsidRPr="009C5FBC" w14:paraId="35D5E04C" w14:textId="77777777" w:rsidTr="006462C6">
        <w:trPr>
          <w:trHeight w:val="85"/>
        </w:trPr>
        <w:tc>
          <w:tcPr>
            <w:tcW w:w="3545" w:type="dxa"/>
            <w:tcBorders>
              <w:top w:val="single" w:sz="4" w:space="0" w:color="A6A6A6" w:themeColor="background1" w:themeShade="A6"/>
              <w:bottom w:val="single" w:sz="4" w:space="0" w:color="A6A6A6" w:themeColor="background1" w:themeShade="A6"/>
            </w:tcBorders>
            <w:shd w:val="clear" w:color="auto" w:fill="auto"/>
            <w:vAlign w:val="center"/>
          </w:tcPr>
          <w:p w14:paraId="11BB04E3" w14:textId="1C89A220" w:rsidR="00B81AB4" w:rsidRPr="00676C02" w:rsidRDefault="00B81AB4" w:rsidP="00676C02">
            <w:pPr>
              <w:contextualSpacing/>
              <w:jc w:val="right"/>
              <w:rPr>
                <w:b/>
                <w:bCs/>
                <w:sz w:val="16"/>
                <w:szCs w:val="16"/>
              </w:rPr>
            </w:pPr>
            <w:r w:rsidRPr="00676C02">
              <w:rPr>
                <w:i/>
                <w:iCs/>
                <w:color w:val="000000"/>
                <w:sz w:val="16"/>
                <w:szCs w:val="16"/>
              </w:rPr>
              <w:t>Izmaiņas</w:t>
            </w:r>
            <w:r w:rsidRPr="00676C02">
              <w:rPr>
                <w:b/>
                <w:bCs/>
                <w:i/>
                <w:iCs/>
                <w:color w:val="000000"/>
                <w:sz w:val="16"/>
                <w:szCs w:val="16"/>
              </w:rPr>
              <w:t xml:space="preserve"> </w:t>
            </w:r>
            <w:r w:rsidRPr="00676C02">
              <w:rPr>
                <w:i/>
                <w:iCs/>
                <w:color w:val="000000"/>
                <w:sz w:val="16"/>
                <w:szCs w:val="16"/>
              </w:rPr>
              <w:t>kurināmajam</w:t>
            </w:r>
          </w:p>
        </w:tc>
        <w:tc>
          <w:tcPr>
            <w:tcW w:w="708"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4EB72B6A" w14:textId="77777777" w:rsidR="00B81AB4" w:rsidRPr="00EE7219" w:rsidRDefault="00B81AB4" w:rsidP="00115F03">
            <w:pPr>
              <w:contextualSpacing/>
              <w:jc w:val="center"/>
              <w:rPr>
                <w:b/>
                <w:bCs/>
                <w:sz w:val="20"/>
                <w:szCs w:val="20"/>
              </w:rPr>
            </w:pPr>
          </w:p>
        </w:tc>
        <w:tc>
          <w:tcPr>
            <w:tcW w:w="709" w:type="dxa"/>
            <w:tcBorders>
              <w:top w:val="single" w:sz="4" w:space="0" w:color="A6A6A6" w:themeColor="background1" w:themeShade="A6"/>
              <w:bottom w:val="single" w:sz="4" w:space="0" w:color="A6A6A6" w:themeColor="background1" w:themeShade="A6"/>
            </w:tcBorders>
            <w:vAlign w:val="bottom"/>
          </w:tcPr>
          <w:p w14:paraId="64096F20" w14:textId="671D64DD" w:rsidR="00B81AB4" w:rsidRPr="00676C02" w:rsidRDefault="00B81AB4" w:rsidP="00115F03">
            <w:pPr>
              <w:contextualSpacing/>
              <w:jc w:val="center"/>
              <w:rPr>
                <w:b/>
                <w:bCs/>
                <w:color w:val="C00000"/>
                <w:sz w:val="16"/>
                <w:szCs w:val="16"/>
              </w:rPr>
            </w:pPr>
            <w:r w:rsidRPr="00676C02">
              <w:rPr>
                <w:i/>
                <w:iCs/>
                <w:color w:val="C00000"/>
                <w:sz w:val="16"/>
                <w:szCs w:val="16"/>
              </w:rPr>
              <w:t>+0,30</w:t>
            </w:r>
          </w:p>
        </w:tc>
        <w:tc>
          <w:tcPr>
            <w:tcW w:w="709" w:type="dxa"/>
            <w:tcBorders>
              <w:top w:val="single" w:sz="4" w:space="0" w:color="A6A6A6" w:themeColor="background1" w:themeShade="A6"/>
              <w:bottom w:val="single" w:sz="4" w:space="0" w:color="A6A6A6" w:themeColor="background1" w:themeShade="A6"/>
            </w:tcBorders>
            <w:vAlign w:val="bottom"/>
          </w:tcPr>
          <w:p w14:paraId="58F914DC" w14:textId="6DB357CF" w:rsidR="00B81AB4" w:rsidRPr="00676C02" w:rsidRDefault="00B81AB4" w:rsidP="00115F03">
            <w:pPr>
              <w:contextualSpacing/>
              <w:jc w:val="center"/>
              <w:rPr>
                <w:b/>
                <w:bCs/>
                <w:color w:val="C00000"/>
                <w:sz w:val="16"/>
                <w:szCs w:val="16"/>
              </w:rPr>
            </w:pPr>
            <w:r w:rsidRPr="00676C02">
              <w:rPr>
                <w:i/>
                <w:iCs/>
                <w:color w:val="C00000"/>
                <w:sz w:val="16"/>
                <w:szCs w:val="16"/>
              </w:rPr>
              <w:t>+0,31</w:t>
            </w:r>
          </w:p>
        </w:tc>
        <w:tc>
          <w:tcPr>
            <w:tcW w:w="1559" w:type="dxa"/>
            <w:gridSpan w:val="2"/>
            <w:vMerge/>
            <w:shd w:val="clear" w:color="auto" w:fill="FFFFFF" w:themeFill="background1"/>
            <w:vAlign w:val="center"/>
          </w:tcPr>
          <w:p w14:paraId="66A22DE3" w14:textId="77777777" w:rsidR="00B81AB4" w:rsidRPr="00EF404E" w:rsidRDefault="00B81AB4" w:rsidP="00115F03">
            <w:pPr>
              <w:contextualSpacing/>
              <w:jc w:val="center"/>
              <w:rPr>
                <w:b/>
                <w:bCs/>
                <w:color w:val="00B050"/>
                <w:sz w:val="20"/>
                <w:szCs w:val="20"/>
              </w:rPr>
            </w:pPr>
          </w:p>
        </w:tc>
        <w:tc>
          <w:tcPr>
            <w:tcW w:w="851" w:type="dxa"/>
            <w:vMerge/>
            <w:shd w:val="clear" w:color="auto" w:fill="FFFFFF" w:themeFill="background1"/>
            <w:vAlign w:val="center"/>
          </w:tcPr>
          <w:p w14:paraId="76C741DE" w14:textId="77777777" w:rsidR="00B81AB4" w:rsidRPr="00B81AB4" w:rsidRDefault="00B81AB4" w:rsidP="00115F03">
            <w:pPr>
              <w:contextualSpacing/>
              <w:jc w:val="center"/>
              <w:rPr>
                <w:b/>
                <w:bCs/>
                <w:color w:val="00B050"/>
                <w:sz w:val="20"/>
                <w:szCs w:val="20"/>
              </w:rPr>
            </w:pPr>
          </w:p>
        </w:tc>
        <w:tc>
          <w:tcPr>
            <w:tcW w:w="708" w:type="dxa"/>
            <w:vMerge/>
            <w:shd w:val="clear" w:color="auto" w:fill="FFFFFF" w:themeFill="background1"/>
            <w:vAlign w:val="center"/>
          </w:tcPr>
          <w:p w14:paraId="5536CAC6" w14:textId="77777777" w:rsidR="00B81AB4" w:rsidRPr="00EF404E" w:rsidRDefault="00B81AB4" w:rsidP="00115F03">
            <w:pPr>
              <w:contextualSpacing/>
              <w:jc w:val="center"/>
              <w:rPr>
                <w:b/>
                <w:bCs/>
                <w:color w:val="0070C0"/>
                <w:sz w:val="20"/>
                <w:szCs w:val="20"/>
              </w:rPr>
            </w:pPr>
          </w:p>
        </w:tc>
        <w:tc>
          <w:tcPr>
            <w:tcW w:w="709" w:type="dxa"/>
            <w:vMerge/>
            <w:shd w:val="clear" w:color="auto" w:fill="FFFFFF" w:themeFill="background1"/>
            <w:vAlign w:val="center"/>
          </w:tcPr>
          <w:p w14:paraId="320DE1C7" w14:textId="77777777" w:rsidR="00B81AB4" w:rsidRDefault="00B81AB4" w:rsidP="00115F03">
            <w:pPr>
              <w:contextualSpacing/>
              <w:jc w:val="center"/>
              <w:rPr>
                <w:b/>
                <w:bCs/>
                <w:color w:val="0070C0"/>
                <w:sz w:val="20"/>
                <w:szCs w:val="20"/>
              </w:rPr>
            </w:pPr>
          </w:p>
        </w:tc>
        <w:tc>
          <w:tcPr>
            <w:tcW w:w="709" w:type="dxa"/>
            <w:vMerge/>
            <w:shd w:val="clear" w:color="auto" w:fill="FFFFFF" w:themeFill="background1"/>
            <w:vAlign w:val="center"/>
          </w:tcPr>
          <w:p w14:paraId="599B4C95" w14:textId="77777777" w:rsidR="00B81AB4" w:rsidRDefault="00B81AB4" w:rsidP="00115F03">
            <w:pPr>
              <w:contextualSpacing/>
              <w:jc w:val="center"/>
              <w:rPr>
                <w:b/>
                <w:bCs/>
                <w:color w:val="0070C0"/>
                <w:sz w:val="20"/>
                <w:szCs w:val="20"/>
              </w:rPr>
            </w:pPr>
          </w:p>
        </w:tc>
      </w:tr>
      <w:tr w:rsidR="00B81AB4" w:rsidRPr="009C5FBC" w14:paraId="48732E90" w14:textId="77777777" w:rsidTr="0023680D">
        <w:trPr>
          <w:trHeight w:val="85"/>
        </w:trPr>
        <w:tc>
          <w:tcPr>
            <w:tcW w:w="3545" w:type="dxa"/>
            <w:tcBorders>
              <w:top w:val="single" w:sz="4" w:space="0" w:color="A6A6A6" w:themeColor="background1" w:themeShade="A6"/>
              <w:bottom w:val="single" w:sz="4" w:space="0" w:color="auto"/>
            </w:tcBorders>
            <w:shd w:val="clear" w:color="auto" w:fill="auto"/>
            <w:vAlign w:val="center"/>
          </w:tcPr>
          <w:p w14:paraId="62FB6EED" w14:textId="2C29AF9D" w:rsidR="00B81AB4" w:rsidRPr="00676C02" w:rsidRDefault="00B81AB4" w:rsidP="00676C02">
            <w:pPr>
              <w:contextualSpacing/>
              <w:jc w:val="right"/>
              <w:rPr>
                <w:b/>
                <w:bCs/>
                <w:sz w:val="16"/>
                <w:szCs w:val="16"/>
              </w:rPr>
            </w:pPr>
            <w:r w:rsidRPr="00676C02">
              <w:rPr>
                <w:i/>
                <w:iCs/>
                <w:color w:val="000000"/>
                <w:sz w:val="16"/>
                <w:szCs w:val="16"/>
              </w:rPr>
              <w:t>Izmaiņas</w:t>
            </w:r>
            <w:r w:rsidRPr="00676C02">
              <w:rPr>
                <w:b/>
                <w:bCs/>
                <w:i/>
                <w:iCs/>
                <w:color w:val="000000"/>
                <w:sz w:val="16"/>
                <w:szCs w:val="16"/>
              </w:rPr>
              <w:t xml:space="preserve"> </w:t>
            </w:r>
            <w:r w:rsidRPr="00676C02">
              <w:rPr>
                <w:i/>
                <w:iCs/>
                <w:color w:val="000000"/>
                <w:sz w:val="16"/>
                <w:szCs w:val="16"/>
              </w:rPr>
              <w:t>sakarā ar  ETS2 ieviešanu</w:t>
            </w:r>
          </w:p>
        </w:tc>
        <w:tc>
          <w:tcPr>
            <w:tcW w:w="708" w:type="dxa"/>
            <w:tcBorders>
              <w:top w:val="single" w:sz="4" w:space="0" w:color="A6A6A6" w:themeColor="background1" w:themeShade="A6"/>
              <w:bottom w:val="single" w:sz="4" w:space="0" w:color="auto"/>
            </w:tcBorders>
            <w:shd w:val="clear" w:color="auto" w:fill="F2F2F2" w:themeFill="background1" w:themeFillShade="F2"/>
            <w:vAlign w:val="center"/>
          </w:tcPr>
          <w:p w14:paraId="62DB597B" w14:textId="77777777" w:rsidR="00B81AB4" w:rsidRPr="00EE7219" w:rsidRDefault="00B81AB4" w:rsidP="00115F03">
            <w:pPr>
              <w:contextualSpacing/>
              <w:jc w:val="center"/>
              <w:rPr>
                <w:b/>
                <w:bCs/>
                <w:sz w:val="20"/>
                <w:szCs w:val="20"/>
              </w:rPr>
            </w:pPr>
          </w:p>
        </w:tc>
        <w:tc>
          <w:tcPr>
            <w:tcW w:w="709" w:type="dxa"/>
            <w:tcBorders>
              <w:top w:val="single" w:sz="4" w:space="0" w:color="A6A6A6" w:themeColor="background1" w:themeShade="A6"/>
              <w:bottom w:val="single" w:sz="4" w:space="0" w:color="auto"/>
            </w:tcBorders>
            <w:vAlign w:val="bottom"/>
          </w:tcPr>
          <w:p w14:paraId="1404A64B" w14:textId="58EF50F3" w:rsidR="00B81AB4" w:rsidRPr="00676C02" w:rsidRDefault="00B81AB4" w:rsidP="00115F03">
            <w:pPr>
              <w:contextualSpacing/>
              <w:jc w:val="center"/>
              <w:rPr>
                <w:b/>
                <w:bCs/>
                <w:color w:val="C00000"/>
                <w:sz w:val="16"/>
                <w:szCs w:val="16"/>
              </w:rPr>
            </w:pPr>
            <w:r w:rsidRPr="00676C02">
              <w:rPr>
                <w:i/>
                <w:iCs/>
                <w:color w:val="C00000"/>
                <w:sz w:val="16"/>
                <w:szCs w:val="16"/>
              </w:rPr>
              <w:t>+1,72</w:t>
            </w:r>
          </w:p>
        </w:tc>
        <w:tc>
          <w:tcPr>
            <w:tcW w:w="709" w:type="dxa"/>
            <w:tcBorders>
              <w:top w:val="single" w:sz="4" w:space="0" w:color="A6A6A6" w:themeColor="background1" w:themeShade="A6"/>
              <w:bottom w:val="single" w:sz="4" w:space="0" w:color="auto"/>
            </w:tcBorders>
            <w:vAlign w:val="bottom"/>
          </w:tcPr>
          <w:p w14:paraId="116C4039" w14:textId="700152D7" w:rsidR="00B81AB4" w:rsidRPr="00676C02" w:rsidRDefault="00B81AB4" w:rsidP="00115F03">
            <w:pPr>
              <w:contextualSpacing/>
              <w:jc w:val="center"/>
              <w:rPr>
                <w:b/>
                <w:bCs/>
                <w:color w:val="C00000"/>
                <w:sz w:val="16"/>
                <w:szCs w:val="16"/>
              </w:rPr>
            </w:pPr>
            <w:r w:rsidRPr="00676C02">
              <w:rPr>
                <w:i/>
                <w:iCs/>
                <w:color w:val="C00000"/>
                <w:sz w:val="16"/>
                <w:szCs w:val="16"/>
              </w:rPr>
              <w:t>+1,72</w:t>
            </w:r>
          </w:p>
        </w:tc>
        <w:tc>
          <w:tcPr>
            <w:tcW w:w="1559" w:type="dxa"/>
            <w:gridSpan w:val="2"/>
            <w:vMerge/>
            <w:shd w:val="clear" w:color="auto" w:fill="FFFFFF" w:themeFill="background1"/>
            <w:vAlign w:val="center"/>
          </w:tcPr>
          <w:p w14:paraId="00E88E4C" w14:textId="77777777" w:rsidR="00B81AB4" w:rsidRPr="00EF404E" w:rsidRDefault="00B81AB4" w:rsidP="00115F03">
            <w:pPr>
              <w:contextualSpacing/>
              <w:jc w:val="center"/>
              <w:rPr>
                <w:b/>
                <w:bCs/>
                <w:color w:val="00B050"/>
                <w:sz w:val="20"/>
                <w:szCs w:val="20"/>
              </w:rPr>
            </w:pPr>
          </w:p>
        </w:tc>
        <w:tc>
          <w:tcPr>
            <w:tcW w:w="851" w:type="dxa"/>
            <w:vMerge/>
            <w:shd w:val="clear" w:color="auto" w:fill="FFFFFF" w:themeFill="background1"/>
            <w:vAlign w:val="center"/>
          </w:tcPr>
          <w:p w14:paraId="74A7A6F0" w14:textId="77777777" w:rsidR="00B81AB4" w:rsidRPr="00B81AB4" w:rsidRDefault="00B81AB4" w:rsidP="00115F03">
            <w:pPr>
              <w:contextualSpacing/>
              <w:jc w:val="center"/>
              <w:rPr>
                <w:b/>
                <w:bCs/>
                <w:color w:val="00B050"/>
                <w:sz w:val="20"/>
                <w:szCs w:val="20"/>
              </w:rPr>
            </w:pPr>
          </w:p>
        </w:tc>
        <w:tc>
          <w:tcPr>
            <w:tcW w:w="708" w:type="dxa"/>
            <w:vMerge/>
            <w:shd w:val="clear" w:color="auto" w:fill="FFFFFF" w:themeFill="background1"/>
            <w:vAlign w:val="center"/>
          </w:tcPr>
          <w:p w14:paraId="5EBC4145" w14:textId="77777777" w:rsidR="00B81AB4" w:rsidRPr="00EF404E" w:rsidRDefault="00B81AB4" w:rsidP="00115F03">
            <w:pPr>
              <w:contextualSpacing/>
              <w:jc w:val="center"/>
              <w:rPr>
                <w:b/>
                <w:bCs/>
                <w:color w:val="0070C0"/>
                <w:sz w:val="20"/>
                <w:szCs w:val="20"/>
              </w:rPr>
            </w:pPr>
          </w:p>
        </w:tc>
        <w:tc>
          <w:tcPr>
            <w:tcW w:w="709" w:type="dxa"/>
            <w:vMerge/>
            <w:shd w:val="clear" w:color="auto" w:fill="FFFFFF" w:themeFill="background1"/>
            <w:vAlign w:val="center"/>
          </w:tcPr>
          <w:p w14:paraId="7720D1A6" w14:textId="77777777" w:rsidR="00B81AB4" w:rsidRDefault="00B81AB4" w:rsidP="00115F03">
            <w:pPr>
              <w:contextualSpacing/>
              <w:jc w:val="center"/>
              <w:rPr>
                <w:b/>
                <w:bCs/>
                <w:color w:val="0070C0"/>
                <w:sz w:val="20"/>
                <w:szCs w:val="20"/>
              </w:rPr>
            </w:pPr>
          </w:p>
        </w:tc>
        <w:tc>
          <w:tcPr>
            <w:tcW w:w="709" w:type="dxa"/>
            <w:vMerge/>
            <w:shd w:val="clear" w:color="auto" w:fill="FFFFFF" w:themeFill="background1"/>
            <w:vAlign w:val="center"/>
          </w:tcPr>
          <w:p w14:paraId="4117C87D" w14:textId="77777777" w:rsidR="00B81AB4" w:rsidRDefault="00B81AB4" w:rsidP="00115F03">
            <w:pPr>
              <w:contextualSpacing/>
              <w:jc w:val="center"/>
              <w:rPr>
                <w:b/>
                <w:bCs/>
                <w:color w:val="0070C0"/>
                <w:sz w:val="20"/>
                <w:szCs w:val="20"/>
              </w:rPr>
            </w:pPr>
          </w:p>
        </w:tc>
      </w:tr>
      <w:tr w:rsidR="00B81AB4" w:rsidRPr="009C5FBC" w14:paraId="1DCD24A2" w14:textId="77777777" w:rsidTr="0023680D">
        <w:trPr>
          <w:trHeight w:val="50"/>
        </w:trPr>
        <w:tc>
          <w:tcPr>
            <w:tcW w:w="3545" w:type="dxa"/>
            <w:tcBorders>
              <w:top w:val="single" w:sz="4" w:space="0" w:color="auto"/>
              <w:bottom w:val="single" w:sz="4" w:space="0" w:color="A6A6A6" w:themeColor="background1" w:themeShade="A6"/>
            </w:tcBorders>
            <w:shd w:val="clear" w:color="auto" w:fill="auto"/>
            <w:vAlign w:val="center"/>
          </w:tcPr>
          <w:p w14:paraId="13077E11" w14:textId="004922D4" w:rsidR="00B81AB4" w:rsidRPr="00126954" w:rsidRDefault="00B81AB4" w:rsidP="00115F03">
            <w:pPr>
              <w:contextualSpacing/>
              <w:rPr>
                <w:b/>
                <w:bCs/>
                <w:sz w:val="20"/>
                <w:szCs w:val="20"/>
              </w:rPr>
            </w:pPr>
            <w:r w:rsidRPr="00126954">
              <w:rPr>
                <w:b/>
                <w:bCs/>
                <w:sz w:val="20"/>
                <w:szCs w:val="20"/>
              </w:rPr>
              <w:t xml:space="preserve">Dabasgāze, ko izmanto par kurināmo </w:t>
            </w:r>
            <w:r w:rsidRPr="006E36E5">
              <w:rPr>
                <w:b/>
                <w:bCs/>
                <w:sz w:val="18"/>
                <w:szCs w:val="18"/>
                <w:u w:val="single"/>
              </w:rPr>
              <w:t>lauksaimniecībā</w:t>
            </w:r>
            <w:r w:rsidRPr="00EE7219">
              <w:rPr>
                <w:i/>
                <w:iCs/>
                <w:sz w:val="20"/>
                <w:szCs w:val="20"/>
              </w:rPr>
              <w:t>, euro par 1 MWh</w:t>
            </w:r>
          </w:p>
        </w:tc>
        <w:tc>
          <w:tcPr>
            <w:tcW w:w="708" w:type="dxa"/>
            <w:tcBorders>
              <w:top w:val="single" w:sz="4" w:space="0" w:color="auto"/>
              <w:bottom w:val="single" w:sz="4" w:space="0" w:color="A6A6A6" w:themeColor="background1" w:themeShade="A6"/>
            </w:tcBorders>
            <w:shd w:val="clear" w:color="auto" w:fill="F2F2F2" w:themeFill="background1" w:themeFillShade="F2"/>
            <w:vAlign w:val="center"/>
          </w:tcPr>
          <w:p w14:paraId="217C159D" w14:textId="4670ECCD" w:rsidR="00B81AB4" w:rsidRPr="00EE7219" w:rsidRDefault="00B81AB4" w:rsidP="00115F03">
            <w:pPr>
              <w:contextualSpacing/>
              <w:jc w:val="center"/>
              <w:rPr>
                <w:b/>
                <w:bCs/>
                <w:sz w:val="20"/>
                <w:szCs w:val="20"/>
              </w:rPr>
            </w:pPr>
            <w:r w:rsidRPr="00EE7219">
              <w:rPr>
                <w:b/>
                <w:bCs/>
                <w:sz w:val="20"/>
                <w:szCs w:val="20"/>
              </w:rPr>
              <w:t>0,55</w:t>
            </w:r>
          </w:p>
        </w:tc>
        <w:tc>
          <w:tcPr>
            <w:tcW w:w="709" w:type="dxa"/>
            <w:tcBorders>
              <w:top w:val="single" w:sz="4" w:space="0" w:color="auto"/>
              <w:bottom w:val="single" w:sz="4" w:space="0" w:color="A6A6A6" w:themeColor="background1" w:themeShade="A6"/>
            </w:tcBorders>
            <w:vAlign w:val="center"/>
          </w:tcPr>
          <w:p w14:paraId="3055EDCB" w14:textId="386E7DB6" w:rsidR="00B81AB4" w:rsidRPr="00EF404E" w:rsidRDefault="00B81AB4" w:rsidP="00115F03">
            <w:pPr>
              <w:contextualSpacing/>
              <w:jc w:val="center"/>
              <w:rPr>
                <w:b/>
                <w:bCs/>
                <w:color w:val="C00000"/>
                <w:sz w:val="20"/>
                <w:szCs w:val="20"/>
              </w:rPr>
            </w:pPr>
            <w:r>
              <w:rPr>
                <w:b/>
                <w:bCs/>
                <w:color w:val="C00000"/>
                <w:sz w:val="20"/>
                <w:szCs w:val="20"/>
              </w:rPr>
              <w:t>0</w:t>
            </w:r>
            <w:r w:rsidRPr="00EF404E">
              <w:rPr>
                <w:b/>
                <w:bCs/>
                <w:color w:val="C00000"/>
                <w:sz w:val="20"/>
                <w:szCs w:val="20"/>
              </w:rPr>
              <w:t>,</w:t>
            </w:r>
            <w:r>
              <w:rPr>
                <w:b/>
                <w:bCs/>
                <w:color w:val="C00000"/>
                <w:sz w:val="20"/>
                <w:szCs w:val="20"/>
              </w:rPr>
              <w:t>8</w:t>
            </w:r>
            <w:r w:rsidRPr="00EF404E">
              <w:rPr>
                <w:b/>
                <w:bCs/>
                <w:color w:val="C00000"/>
                <w:sz w:val="20"/>
                <w:szCs w:val="20"/>
              </w:rPr>
              <w:t>5</w:t>
            </w:r>
          </w:p>
        </w:tc>
        <w:tc>
          <w:tcPr>
            <w:tcW w:w="709" w:type="dxa"/>
            <w:tcBorders>
              <w:top w:val="single" w:sz="4" w:space="0" w:color="auto"/>
              <w:bottom w:val="single" w:sz="4" w:space="0" w:color="A6A6A6" w:themeColor="background1" w:themeShade="A6"/>
            </w:tcBorders>
            <w:vAlign w:val="center"/>
          </w:tcPr>
          <w:p w14:paraId="6B9062B4" w14:textId="01D96E83" w:rsidR="00B81AB4" w:rsidRPr="00EF404E" w:rsidRDefault="00B81AB4" w:rsidP="00115F03">
            <w:pPr>
              <w:contextualSpacing/>
              <w:jc w:val="center"/>
              <w:rPr>
                <w:b/>
                <w:bCs/>
                <w:color w:val="C00000"/>
                <w:sz w:val="20"/>
                <w:szCs w:val="20"/>
              </w:rPr>
            </w:pPr>
            <w:r>
              <w:rPr>
                <w:b/>
                <w:bCs/>
                <w:color w:val="C00000"/>
                <w:sz w:val="20"/>
                <w:szCs w:val="20"/>
              </w:rPr>
              <w:t>1</w:t>
            </w:r>
            <w:r w:rsidRPr="00EF404E">
              <w:rPr>
                <w:b/>
                <w:bCs/>
                <w:color w:val="C00000"/>
                <w:sz w:val="20"/>
                <w:szCs w:val="20"/>
              </w:rPr>
              <w:t>,</w:t>
            </w:r>
            <w:r>
              <w:rPr>
                <w:b/>
                <w:bCs/>
                <w:color w:val="C00000"/>
                <w:sz w:val="20"/>
                <w:szCs w:val="20"/>
              </w:rPr>
              <w:t>1</w:t>
            </w:r>
            <w:r w:rsidRPr="00EF404E">
              <w:rPr>
                <w:b/>
                <w:bCs/>
                <w:color w:val="C00000"/>
                <w:sz w:val="20"/>
                <w:szCs w:val="20"/>
              </w:rPr>
              <w:t>6</w:t>
            </w:r>
          </w:p>
        </w:tc>
        <w:tc>
          <w:tcPr>
            <w:tcW w:w="1559" w:type="dxa"/>
            <w:gridSpan w:val="2"/>
            <w:vMerge/>
            <w:shd w:val="clear" w:color="auto" w:fill="FFFFFF" w:themeFill="background1"/>
            <w:vAlign w:val="center"/>
          </w:tcPr>
          <w:p w14:paraId="1D278B0E" w14:textId="1D68FB89" w:rsidR="00B81AB4" w:rsidRPr="00EF404E" w:rsidRDefault="00B81AB4" w:rsidP="00115F03">
            <w:pPr>
              <w:contextualSpacing/>
              <w:jc w:val="center"/>
              <w:rPr>
                <w:b/>
                <w:bCs/>
                <w:color w:val="00B050"/>
                <w:sz w:val="20"/>
                <w:szCs w:val="20"/>
              </w:rPr>
            </w:pPr>
          </w:p>
        </w:tc>
        <w:tc>
          <w:tcPr>
            <w:tcW w:w="851" w:type="dxa"/>
            <w:vMerge/>
            <w:shd w:val="clear" w:color="auto" w:fill="FFFFFF" w:themeFill="background1"/>
            <w:vAlign w:val="center"/>
          </w:tcPr>
          <w:p w14:paraId="110E4EB6" w14:textId="3C72DBDA" w:rsidR="00B81AB4" w:rsidRPr="00B81AB4" w:rsidRDefault="00B81AB4" w:rsidP="00115F03">
            <w:pPr>
              <w:contextualSpacing/>
              <w:rPr>
                <w:b/>
                <w:bCs/>
                <w:color w:val="00B050"/>
                <w:sz w:val="20"/>
                <w:szCs w:val="20"/>
              </w:rPr>
            </w:pPr>
          </w:p>
        </w:tc>
        <w:tc>
          <w:tcPr>
            <w:tcW w:w="708" w:type="dxa"/>
            <w:vMerge/>
            <w:shd w:val="clear" w:color="auto" w:fill="FFFFFF" w:themeFill="background1"/>
            <w:vAlign w:val="center"/>
          </w:tcPr>
          <w:p w14:paraId="6CEE5F8D" w14:textId="201F6B26" w:rsidR="00B81AB4" w:rsidRPr="00EF404E" w:rsidRDefault="00B81AB4" w:rsidP="006462C6">
            <w:pPr>
              <w:contextualSpacing/>
              <w:jc w:val="center"/>
              <w:rPr>
                <w:b/>
                <w:bCs/>
                <w:color w:val="0070C0"/>
                <w:sz w:val="20"/>
                <w:szCs w:val="20"/>
              </w:rPr>
            </w:pPr>
          </w:p>
        </w:tc>
        <w:tc>
          <w:tcPr>
            <w:tcW w:w="709" w:type="dxa"/>
            <w:vMerge/>
            <w:shd w:val="clear" w:color="auto" w:fill="FFFFFF" w:themeFill="background1"/>
            <w:vAlign w:val="center"/>
          </w:tcPr>
          <w:p w14:paraId="0FD49059" w14:textId="234B7049" w:rsidR="00B81AB4" w:rsidRDefault="00B81AB4" w:rsidP="006462C6">
            <w:pPr>
              <w:contextualSpacing/>
              <w:jc w:val="center"/>
              <w:rPr>
                <w:b/>
                <w:bCs/>
                <w:color w:val="0070C0"/>
                <w:sz w:val="20"/>
                <w:szCs w:val="20"/>
              </w:rPr>
            </w:pPr>
          </w:p>
        </w:tc>
        <w:tc>
          <w:tcPr>
            <w:tcW w:w="709" w:type="dxa"/>
            <w:vMerge/>
            <w:shd w:val="clear" w:color="auto" w:fill="FFFFFF" w:themeFill="background1"/>
            <w:vAlign w:val="center"/>
          </w:tcPr>
          <w:p w14:paraId="68B25E00" w14:textId="3291ED5A" w:rsidR="00B81AB4" w:rsidRDefault="00B81AB4" w:rsidP="00115F03">
            <w:pPr>
              <w:contextualSpacing/>
              <w:rPr>
                <w:b/>
                <w:bCs/>
                <w:color w:val="0070C0"/>
                <w:sz w:val="20"/>
                <w:szCs w:val="20"/>
              </w:rPr>
            </w:pPr>
          </w:p>
        </w:tc>
      </w:tr>
      <w:tr w:rsidR="00B81AB4" w:rsidRPr="009C5FBC" w14:paraId="777DD217" w14:textId="030B1D8C" w:rsidTr="006462C6">
        <w:trPr>
          <w:trHeight w:val="192"/>
        </w:trPr>
        <w:tc>
          <w:tcPr>
            <w:tcW w:w="3545" w:type="dxa"/>
            <w:tcBorders>
              <w:top w:val="single" w:sz="4" w:space="0" w:color="A6A6A6" w:themeColor="background1" w:themeShade="A6"/>
              <w:bottom w:val="single" w:sz="4" w:space="0" w:color="auto"/>
            </w:tcBorders>
            <w:shd w:val="clear" w:color="auto" w:fill="auto"/>
            <w:vAlign w:val="center"/>
          </w:tcPr>
          <w:p w14:paraId="5A9215ED" w14:textId="013306D7" w:rsidR="00B81AB4" w:rsidRPr="00676C02" w:rsidRDefault="00B81AB4" w:rsidP="00676C02">
            <w:pPr>
              <w:contextualSpacing/>
              <w:jc w:val="right"/>
              <w:rPr>
                <w:b/>
                <w:bCs/>
                <w:sz w:val="16"/>
                <w:szCs w:val="16"/>
              </w:rPr>
            </w:pPr>
            <w:r w:rsidRPr="00676C02">
              <w:rPr>
                <w:i/>
                <w:iCs/>
                <w:color w:val="000000"/>
                <w:sz w:val="16"/>
                <w:szCs w:val="16"/>
              </w:rPr>
              <w:t>Izmaiņas</w:t>
            </w:r>
            <w:r w:rsidRPr="00676C02">
              <w:rPr>
                <w:b/>
                <w:bCs/>
                <w:i/>
                <w:iCs/>
                <w:color w:val="000000"/>
                <w:sz w:val="16"/>
                <w:szCs w:val="16"/>
              </w:rPr>
              <w:t xml:space="preserve"> </w:t>
            </w:r>
            <w:r w:rsidRPr="00676C02">
              <w:rPr>
                <w:i/>
                <w:iCs/>
                <w:color w:val="000000"/>
                <w:sz w:val="16"/>
                <w:szCs w:val="16"/>
              </w:rPr>
              <w:t>kurināmajam</w:t>
            </w:r>
          </w:p>
        </w:tc>
        <w:tc>
          <w:tcPr>
            <w:tcW w:w="708" w:type="dxa"/>
            <w:tcBorders>
              <w:top w:val="single" w:sz="4" w:space="0" w:color="A6A6A6" w:themeColor="background1" w:themeShade="A6"/>
              <w:bottom w:val="single" w:sz="4" w:space="0" w:color="auto"/>
            </w:tcBorders>
            <w:shd w:val="clear" w:color="auto" w:fill="F2F2F2" w:themeFill="background1" w:themeFillShade="F2"/>
            <w:vAlign w:val="center"/>
          </w:tcPr>
          <w:p w14:paraId="31600455" w14:textId="3C241991" w:rsidR="00B81AB4" w:rsidRPr="006E36E5" w:rsidRDefault="00B81AB4" w:rsidP="00115F03">
            <w:pPr>
              <w:contextualSpacing/>
              <w:rPr>
                <w:b/>
                <w:bCs/>
                <w:sz w:val="18"/>
                <w:szCs w:val="18"/>
              </w:rPr>
            </w:pPr>
          </w:p>
        </w:tc>
        <w:tc>
          <w:tcPr>
            <w:tcW w:w="709" w:type="dxa"/>
            <w:tcBorders>
              <w:top w:val="single" w:sz="4" w:space="0" w:color="A6A6A6" w:themeColor="background1" w:themeShade="A6"/>
              <w:bottom w:val="single" w:sz="4" w:space="0" w:color="auto"/>
            </w:tcBorders>
            <w:vAlign w:val="center"/>
          </w:tcPr>
          <w:p w14:paraId="4B93058C" w14:textId="1D9A21C0" w:rsidR="00B81AB4" w:rsidRPr="00676C02" w:rsidRDefault="00B81AB4" w:rsidP="00115F03">
            <w:pPr>
              <w:contextualSpacing/>
              <w:rPr>
                <w:b/>
                <w:bCs/>
                <w:color w:val="C00000"/>
                <w:sz w:val="16"/>
                <w:szCs w:val="16"/>
              </w:rPr>
            </w:pPr>
            <w:r w:rsidRPr="00676C02">
              <w:rPr>
                <w:i/>
                <w:iCs/>
                <w:color w:val="C00000"/>
                <w:sz w:val="16"/>
                <w:szCs w:val="16"/>
              </w:rPr>
              <w:t>+0,30</w:t>
            </w:r>
          </w:p>
        </w:tc>
        <w:tc>
          <w:tcPr>
            <w:tcW w:w="709" w:type="dxa"/>
            <w:tcBorders>
              <w:top w:val="single" w:sz="4" w:space="0" w:color="A6A6A6" w:themeColor="background1" w:themeShade="A6"/>
              <w:bottom w:val="single" w:sz="4" w:space="0" w:color="auto"/>
            </w:tcBorders>
            <w:vAlign w:val="center"/>
          </w:tcPr>
          <w:p w14:paraId="6248AF70" w14:textId="3D0D8CB5" w:rsidR="00B81AB4" w:rsidRPr="00676C02" w:rsidRDefault="00B81AB4" w:rsidP="00115F03">
            <w:pPr>
              <w:contextualSpacing/>
              <w:rPr>
                <w:b/>
                <w:bCs/>
                <w:color w:val="C00000"/>
                <w:sz w:val="16"/>
                <w:szCs w:val="16"/>
              </w:rPr>
            </w:pPr>
            <w:r w:rsidRPr="00676C02">
              <w:rPr>
                <w:i/>
                <w:iCs/>
                <w:color w:val="C00000"/>
                <w:sz w:val="16"/>
                <w:szCs w:val="16"/>
              </w:rPr>
              <w:t>+0,31</w:t>
            </w:r>
          </w:p>
        </w:tc>
        <w:tc>
          <w:tcPr>
            <w:tcW w:w="1559" w:type="dxa"/>
            <w:gridSpan w:val="2"/>
            <w:vMerge/>
            <w:tcBorders>
              <w:bottom w:val="single" w:sz="4" w:space="0" w:color="auto"/>
            </w:tcBorders>
            <w:shd w:val="clear" w:color="auto" w:fill="FFFFFF" w:themeFill="background1"/>
            <w:vAlign w:val="center"/>
          </w:tcPr>
          <w:p w14:paraId="197F44E4" w14:textId="01BBA3EB" w:rsidR="00B81AB4" w:rsidRPr="006E36E5" w:rsidRDefault="00B81AB4" w:rsidP="00115F03">
            <w:pPr>
              <w:contextualSpacing/>
              <w:rPr>
                <w:b/>
                <w:bCs/>
                <w:color w:val="92D050"/>
                <w:sz w:val="18"/>
                <w:szCs w:val="18"/>
              </w:rPr>
            </w:pPr>
          </w:p>
        </w:tc>
        <w:tc>
          <w:tcPr>
            <w:tcW w:w="851" w:type="dxa"/>
            <w:vMerge/>
            <w:tcBorders>
              <w:bottom w:val="single" w:sz="4" w:space="0" w:color="auto"/>
            </w:tcBorders>
            <w:shd w:val="clear" w:color="auto" w:fill="FFFFFF" w:themeFill="background1"/>
            <w:vAlign w:val="center"/>
          </w:tcPr>
          <w:p w14:paraId="3996DB00" w14:textId="1868BA1B" w:rsidR="00B81AB4" w:rsidRPr="006E36E5" w:rsidRDefault="00B81AB4" w:rsidP="00115F03">
            <w:pPr>
              <w:contextualSpacing/>
              <w:rPr>
                <w:b/>
                <w:bCs/>
                <w:color w:val="0070C0"/>
                <w:sz w:val="18"/>
                <w:szCs w:val="18"/>
              </w:rPr>
            </w:pPr>
          </w:p>
        </w:tc>
        <w:tc>
          <w:tcPr>
            <w:tcW w:w="708" w:type="dxa"/>
            <w:vMerge/>
            <w:tcBorders>
              <w:bottom w:val="single" w:sz="4" w:space="0" w:color="auto"/>
            </w:tcBorders>
            <w:shd w:val="clear" w:color="auto" w:fill="FFFFFF" w:themeFill="background1"/>
            <w:vAlign w:val="center"/>
          </w:tcPr>
          <w:p w14:paraId="4DDBF8CE" w14:textId="2E74EACC" w:rsidR="00B81AB4" w:rsidRPr="006E36E5" w:rsidRDefault="00B81AB4" w:rsidP="00115F03">
            <w:pPr>
              <w:contextualSpacing/>
              <w:rPr>
                <w:b/>
                <w:bCs/>
                <w:color w:val="C00000"/>
                <w:sz w:val="18"/>
                <w:szCs w:val="18"/>
              </w:rPr>
            </w:pPr>
          </w:p>
        </w:tc>
        <w:tc>
          <w:tcPr>
            <w:tcW w:w="709" w:type="dxa"/>
            <w:vMerge/>
            <w:tcBorders>
              <w:bottom w:val="single" w:sz="4" w:space="0" w:color="auto"/>
            </w:tcBorders>
            <w:shd w:val="clear" w:color="auto" w:fill="FFFFFF" w:themeFill="background1"/>
            <w:vAlign w:val="center"/>
          </w:tcPr>
          <w:p w14:paraId="06153ACF" w14:textId="489580EB" w:rsidR="00B81AB4" w:rsidRPr="006E36E5" w:rsidRDefault="00B81AB4" w:rsidP="00115F03">
            <w:pPr>
              <w:contextualSpacing/>
              <w:rPr>
                <w:b/>
                <w:bCs/>
                <w:color w:val="0070C0"/>
                <w:sz w:val="18"/>
                <w:szCs w:val="18"/>
              </w:rPr>
            </w:pPr>
          </w:p>
        </w:tc>
        <w:tc>
          <w:tcPr>
            <w:tcW w:w="709" w:type="dxa"/>
            <w:vMerge/>
            <w:tcBorders>
              <w:bottom w:val="single" w:sz="4" w:space="0" w:color="auto"/>
            </w:tcBorders>
            <w:shd w:val="clear" w:color="auto" w:fill="FFFFFF" w:themeFill="background1"/>
            <w:vAlign w:val="center"/>
          </w:tcPr>
          <w:p w14:paraId="5C792354" w14:textId="7DE3B467" w:rsidR="00B81AB4" w:rsidRPr="006E36E5" w:rsidRDefault="00B81AB4" w:rsidP="00115F03">
            <w:pPr>
              <w:contextualSpacing/>
              <w:rPr>
                <w:b/>
                <w:bCs/>
                <w:color w:val="0070C0"/>
                <w:sz w:val="18"/>
                <w:szCs w:val="18"/>
              </w:rPr>
            </w:pPr>
          </w:p>
        </w:tc>
      </w:tr>
    </w:tbl>
    <w:p w14:paraId="38F98743" w14:textId="77777777" w:rsidR="00B81AB4" w:rsidRDefault="00CD1EC4" w:rsidP="00FF31ED">
      <w:pPr>
        <w:pStyle w:val="ListParagraph"/>
        <w:numPr>
          <w:ilvl w:val="0"/>
          <w:numId w:val="15"/>
        </w:numPr>
        <w:tabs>
          <w:tab w:val="left" w:pos="284"/>
        </w:tabs>
        <w:spacing w:before="120"/>
        <w:ind w:left="284" w:hanging="284"/>
        <w:rPr>
          <w:bCs/>
          <w:sz w:val="16"/>
          <w:szCs w:val="16"/>
        </w:rPr>
      </w:pPr>
      <w:r w:rsidRPr="00B81AB4">
        <w:rPr>
          <w:b/>
          <w:color w:val="0070C0"/>
          <w:sz w:val="16"/>
          <w:szCs w:val="16"/>
        </w:rPr>
        <w:t>Igaunijā</w:t>
      </w:r>
      <w:r w:rsidRPr="00B81AB4">
        <w:rPr>
          <w:bCs/>
          <w:color w:val="0070C0"/>
          <w:sz w:val="16"/>
          <w:szCs w:val="16"/>
        </w:rPr>
        <w:t xml:space="preserve"> </w:t>
      </w:r>
      <w:r w:rsidRPr="00B81AB4">
        <w:rPr>
          <w:bCs/>
          <w:sz w:val="16"/>
          <w:szCs w:val="16"/>
        </w:rPr>
        <w:t>tikai dīzeļdegviela, kuru izmanto kā kurināmo.</w:t>
      </w:r>
    </w:p>
    <w:p w14:paraId="4DF239E0" w14:textId="398BF893" w:rsidR="00B81AB4" w:rsidRPr="00B81AB4" w:rsidRDefault="00CD1EC4" w:rsidP="00FF31ED">
      <w:pPr>
        <w:pStyle w:val="ListParagraph"/>
        <w:numPr>
          <w:ilvl w:val="0"/>
          <w:numId w:val="15"/>
        </w:numPr>
        <w:tabs>
          <w:tab w:val="left" w:pos="284"/>
        </w:tabs>
        <w:spacing w:before="120"/>
        <w:ind w:left="284" w:hanging="284"/>
        <w:rPr>
          <w:bCs/>
          <w:sz w:val="16"/>
          <w:szCs w:val="16"/>
        </w:rPr>
      </w:pPr>
      <w:r w:rsidRPr="00B81AB4">
        <w:rPr>
          <w:b/>
          <w:color w:val="00B050"/>
          <w:sz w:val="16"/>
          <w:szCs w:val="16"/>
        </w:rPr>
        <w:t>Lietuvā</w:t>
      </w:r>
      <w:r w:rsidRPr="00B81AB4">
        <w:rPr>
          <w:bCs/>
          <w:color w:val="00B050"/>
          <w:sz w:val="16"/>
          <w:szCs w:val="16"/>
        </w:rPr>
        <w:t xml:space="preserve"> </w:t>
      </w:r>
      <w:r w:rsidRPr="00B81AB4">
        <w:rPr>
          <w:sz w:val="16"/>
          <w:szCs w:val="16"/>
        </w:rPr>
        <w:t>dabasgāzei, ko izmanto par kurināmo</w:t>
      </w:r>
      <w:r w:rsidRPr="00B81AB4">
        <w:rPr>
          <w:i/>
          <w:iCs/>
          <w:sz w:val="16"/>
          <w:szCs w:val="16"/>
        </w:rPr>
        <w:t xml:space="preserve">, </w:t>
      </w:r>
      <w:r w:rsidRPr="00B81AB4">
        <w:rPr>
          <w:sz w:val="16"/>
          <w:szCs w:val="16"/>
        </w:rPr>
        <w:t>tiek piemērotas atšķirīgas AN likmes</w:t>
      </w:r>
      <w:r w:rsidR="00B81AB4">
        <w:rPr>
          <w:sz w:val="16"/>
          <w:szCs w:val="16"/>
        </w:rPr>
        <w:t xml:space="preserve"> 2024.</w:t>
      </w:r>
      <w:r w:rsidR="00221DAF">
        <w:rPr>
          <w:sz w:val="16"/>
          <w:szCs w:val="16"/>
        </w:rPr>
        <w:t> </w:t>
      </w:r>
      <w:r w:rsidR="00B81AB4">
        <w:rPr>
          <w:sz w:val="16"/>
          <w:szCs w:val="16"/>
        </w:rPr>
        <w:t>-</w:t>
      </w:r>
      <w:r w:rsidR="00221DAF">
        <w:rPr>
          <w:sz w:val="16"/>
          <w:szCs w:val="16"/>
        </w:rPr>
        <w:t> </w:t>
      </w:r>
      <w:r w:rsidR="00B81AB4">
        <w:rPr>
          <w:sz w:val="16"/>
          <w:szCs w:val="16"/>
        </w:rPr>
        <w:t>2025.</w:t>
      </w:r>
      <w:r w:rsidR="00FA7FB6">
        <w:rPr>
          <w:sz w:val="16"/>
          <w:szCs w:val="16"/>
        </w:rPr>
        <w:t> </w:t>
      </w:r>
      <w:r w:rsidR="00B81AB4">
        <w:rPr>
          <w:sz w:val="16"/>
          <w:szCs w:val="16"/>
        </w:rPr>
        <w:t>gadā</w:t>
      </w:r>
      <w:r w:rsidRPr="00B81AB4">
        <w:rPr>
          <w:sz w:val="16"/>
          <w:szCs w:val="16"/>
        </w:rPr>
        <w:t xml:space="preserve">: </w:t>
      </w:r>
      <w:r w:rsidR="00B81AB4" w:rsidRPr="00B81AB4">
        <w:rPr>
          <w:b/>
          <w:bCs/>
          <w:color w:val="00B050"/>
          <w:sz w:val="16"/>
          <w:szCs w:val="16"/>
        </w:rPr>
        <w:t>0,0</w:t>
      </w:r>
      <w:r w:rsidR="00B81AB4" w:rsidRPr="00B81AB4">
        <w:rPr>
          <w:i/>
          <w:iCs/>
          <w:color w:val="00B050"/>
          <w:sz w:val="16"/>
          <w:szCs w:val="16"/>
        </w:rPr>
        <w:t xml:space="preserve"> </w:t>
      </w:r>
      <w:r w:rsidR="00B81AB4" w:rsidRPr="00B81AB4">
        <w:rPr>
          <w:i/>
          <w:iCs/>
          <w:sz w:val="16"/>
          <w:szCs w:val="16"/>
        </w:rPr>
        <w:t xml:space="preserve">euro </w:t>
      </w:r>
      <w:r w:rsidR="00B81AB4" w:rsidRPr="00B81AB4">
        <w:rPr>
          <w:sz w:val="16"/>
          <w:szCs w:val="16"/>
        </w:rPr>
        <w:t>par 1 MWh mājsaimniecībām</w:t>
      </w:r>
      <w:r w:rsidR="00B81AB4">
        <w:rPr>
          <w:sz w:val="16"/>
          <w:szCs w:val="16"/>
        </w:rPr>
        <w:t>,</w:t>
      </w:r>
      <w:r w:rsidR="00B81AB4" w:rsidRPr="00B81AB4">
        <w:rPr>
          <w:sz w:val="16"/>
          <w:szCs w:val="16"/>
        </w:rPr>
        <w:t xml:space="preserve"> </w:t>
      </w:r>
      <w:r w:rsidR="00B81AB4" w:rsidRPr="00B81AB4">
        <w:rPr>
          <w:b/>
          <w:bCs/>
          <w:color w:val="00B050"/>
          <w:sz w:val="16"/>
          <w:szCs w:val="16"/>
        </w:rPr>
        <w:t>0,54</w:t>
      </w:r>
      <w:r w:rsidR="00B81AB4" w:rsidRPr="00B81AB4">
        <w:rPr>
          <w:i/>
          <w:iCs/>
          <w:sz w:val="16"/>
          <w:szCs w:val="16"/>
        </w:rPr>
        <w:t xml:space="preserve"> euro </w:t>
      </w:r>
      <w:r w:rsidR="00B81AB4" w:rsidRPr="00B81AB4">
        <w:rPr>
          <w:sz w:val="16"/>
          <w:szCs w:val="16"/>
        </w:rPr>
        <w:t>par 1 MWh uzņēmumiem</w:t>
      </w:r>
      <w:r w:rsidR="00B81AB4" w:rsidRPr="00B81AB4">
        <w:rPr>
          <w:b/>
          <w:bCs/>
          <w:color w:val="00B050"/>
          <w:sz w:val="16"/>
          <w:szCs w:val="16"/>
        </w:rPr>
        <w:t xml:space="preserve"> </w:t>
      </w:r>
      <w:r w:rsidR="00B81AB4">
        <w:rPr>
          <w:sz w:val="16"/>
          <w:szCs w:val="16"/>
        </w:rPr>
        <w:t>un</w:t>
      </w:r>
      <w:r w:rsidR="00B81AB4" w:rsidRPr="00B81AB4">
        <w:rPr>
          <w:b/>
          <w:bCs/>
          <w:color w:val="00B050"/>
          <w:sz w:val="16"/>
          <w:szCs w:val="16"/>
        </w:rPr>
        <w:t xml:space="preserve"> </w:t>
      </w:r>
      <w:r w:rsidRPr="00B81AB4">
        <w:rPr>
          <w:b/>
          <w:bCs/>
          <w:color w:val="00B050"/>
          <w:sz w:val="16"/>
          <w:szCs w:val="16"/>
        </w:rPr>
        <w:t>1,08</w:t>
      </w:r>
      <w:r w:rsidRPr="00B81AB4">
        <w:rPr>
          <w:i/>
          <w:iCs/>
          <w:color w:val="00B050"/>
          <w:sz w:val="16"/>
          <w:szCs w:val="16"/>
        </w:rPr>
        <w:t xml:space="preserve"> </w:t>
      </w:r>
      <w:r w:rsidRPr="00B81AB4">
        <w:rPr>
          <w:i/>
          <w:iCs/>
          <w:sz w:val="16"/>
          <w:szCs w:val="16"/>
        </w:rPr>
        <w:t xml:space="preserve">euro </w:t>
      </w:r>
      <w:r w:rsidRPr="00B81AB4">
        <w:rPr>
          <w:sz w:val="16"/>
          <w:szCs w:val="16"/>
        </w:rPr>
        <w:t>par 1 MWh</w:t>
      </w:r>
      <w:r w:rsidR="00115F03" w:rsidRPr="00B81AB4">
        <w:rPr>
          <w:sz w:val="16"/>
          <w:szCs w:val="16"/>
        </w:rPr>
        <w:t xml:space="preserve"> citi</w:t>
      </w:r>
      <w:r w:rsidR="00B81AB4">
        <w:rPr>
          <w:sz w:val="16"/>
          <w:szCs w:val="16"/>
        </w:rPr>
        <w:t>em</w:t>
      </w:r>
      <w:r w:rsidR="00115F03" w:rsidRPr="00B81AB4">
        <w:rPr>
          <w:sz w:val="16"/>
          <w:szCs w:val="16"/>
        </w:rPr>
        <w:t xml:space="preserve"> patērētāji</w:t>
      </w:r>
      <w:r w:rsidR="00B81AB4">
        <w:rPr>
          <w:sz w:val="16"/>
          <w:szCs w:val="16"/>
        </w:rPr>
        <w:t>em</w:t>
      </w:r>
      <w:r w:rsidR="00B81AB4" w:rsidRPr="00B81AB4">
        <w:rPr>
          <w:rStyle w:val="cf01"/>
          <w:rFonts w:ascii="Times New Roman" w:hAnsi="Times New Roman" w:cs="Times New Roman"/>
          <w:sz w:val="16"/>
          <w:szCs w:val="16"/>
        </w:rPr>
        <w:t>, kas nav iedzīvotāji</w:t>
      </w:r>
      <w:r w:rsidRPr="00B81AB4">
        <w:rPr>
          <w:sz w:val="16"/>
          <w:szCs w:val="16"/>
        </w:rPr>
        <w:t>.</w:t>
      </w:r>
      <w:r w:rsidR="00B81AB4" w:rsidRPr="00B81AB4">
        <w:rPr>
          <w:sz w:val="16"/>
          <w:szCs w:val="16"/>
        </w:rPr>
        <w:t xml:space="preserve"> </w:t>
      </w:r>
      <w:r w:rsidR="00B81AB4">
        <w:rPr>
          <w:sz w:val="16"/>
          <w:szCs w:val="16"/>
        </w:rPr>
        <w:t>No 2025.</w:t>
      </w:r>
      <w:r w:rsidR="00FA7FB6">
        <w:rPr>
          <w:sz w:val="16"/>
          <w:szCs w:val="16"/>
        </w:rPr>
        <w:t> </w:t>
      </w:r>
      <w:r w:rsidR="00B81AB4">
        <w:rPr>
          <w:sz w:val="16"/>
          <w:szCs w:val="16"/>
        </w:rPr>
        <w:t xml:space="preserve">gada </w:t>
      </w:r>
      <w:r w:rsidR="00B81AB4" w:rsidRPr="00B81AB4">
        <w:rPr>
          <w:sz w:val="16"/>
          <w:szCs w:val="16"/>
        </w:rPr>
        <w:t>AN likmes</w:t>
      </w:r>
      <w:r w:rsidR="00B81AB4">
        <w:rPr>
          <w:sz w:val="16"/>
          <w:szCs w:val="16"/>
        </w:rPr>
        <w:t xml:space="preserve"> </w:t>
      </w:r>
      <w:r w:rsidR="00B81AB4" w:rsidRPr="00B81AB4">
        <w:rPr>
          <w:sz w:val="16"/>
          <w:szCs w:val="16"/>
        </w:rPr>
        <w:t xml:space="preserve">dabasgāzei, ko izmanto par kurināmo: </w:t>
      </w:r>
      <w:r w:rsidR="00B81AB4" w:rsidRPr="00B81AB4">
        <w:rPr>
          <w:b/>
          <w:bCs/>
          <w:color w:val="00B050"/>
          <w:sz w:val="16"/>
          <w:szCs w:val="16"/>
        </w:rPr>
        <w:t>0,</w:t>
      </w:r>
      <w:r w:rsidR="00B81AB4">
        <w:rPr>
          <w:b/>
          <w:bCs/>
          <w:color w:val="00B050"/>
          <w:sz w:val="16"/>
          <w:szCs w:val="16"/>
        </w:rPr>
        <w:t>5</w:t>
      </w:r>
      <w:r w:rsidR="00B81AB4" w:rsidRPr="00B81AB4">
        <w:rPr>
          <w:i/>
          <w:iCs/>
          <w:color w:val="00B050"/>
          <w:sz w:val="16"/>
          <w:szCs w:val="16"/>
        </w:rPr>
        <w:t xml:space="preserve"> </w:t>
      </w:r>
      <w:r w:rsidR="00B81AB4" w:rsidRPr="00B81AB4">
        <w:rPr>
          <w:i/>
          <w:iCs/>
          <w:sz w:val="16"/>
          <w:szCs w:val="16"/>
        </w:rPr>
        <w:t xml:space="preserve">euro </w:t>
      </w:r>
      <w:r w:rsidR="00B81AB4" w:rsidRPr="00B81AB4">
        <w:rPr>
          <w:sz w:val="16"/>
          <w:szCs w:val="16"/>
        </w:rPr>
        <w:t>par 1 MWh mājsaimniecībām</w:t>
      </w:r>
      <w:r w:rsidR="00B81AB4">
        <w:rPr>
          <w:sz w:val="16"/>
          <w:szCs w:val="16"/>
        </w:rPr>
        <w:t>,</w:t>
      </w:r>
      <w:r w:rsidR="00B81AB4" w:rsidRPr="00B81AB4">
        <w:rPr>
          <w:sz w:val="16"/>
          <w:szCs w:val="16"/>
        </w:rPr>
        <w:t xml:space="preserve"> </w:t>
      </w:r>
      <w:r w:rsidR="00B81AB4">
        <w:rPr>
          <w:b/>
          <w:bCs/>
          <w:color w:val="00B050"/>
          <w:sz w:val="16"/>
          <w:szCs w:val="16"/>
        </w:rPr>
        <w:t>1,0</w:t>
      </w:r>
      <w:r w:rsidR="00B81AB4" w:rsidRPr="00B81AB4">
        <w:rPr>
          <w:i/>
          <w:iCs/>
          <w:sz w:val="16"/>
          <w:szCs w:val="16"/>
        </w:rPr>
        <w:t xml:space="preserve"> euro </w:t>
      </w:r>
      <w:r w:rsidR="00B81AB4" w:rsidRPr="00B81AB4">
        <w:rPr>
          <w:sz w:val="16"/>
          <w:szCs w:val="16"/>
        </w:rPr>
        <w:t>par 1 MWh uzņēmumiem</w:t>
      </w:r>
      <w:r w:rsidR="00B81AB4" w:rsidRPr="00B81AB4">
        <w:rPr>
          <w:b/>
          <w:bCs/>
          <w:color w:val="00B050"/>
          <w:sz w:val="16"/>
          <w:szCs w:val="16"/>
        </w:rPr>
        <w:t xml:space="preserve"> </w:t>
      </w:r>
      <w:r w:rsidR="00B81AB4">
        <w:rPr>
          <w:sz w:val="16"/>
          <w:szCs w:val="16"/>
        </w:rPr>
        <w:t>un</w:t>
      </w:r>
      <w:r w:rsidR="00B81AB4" w:rsidRPr="00B81AB4">
        <w:rPr>
          <w:b/>
          <w:bCs/>
          <w:color w:val="00B050"/>
          <w:sz w:val="16"/>
          <w:szCs w:val="16"/>
        </w:rPr>
        <w:t xml:space="preserve"> 1,</w:t>
      </w:r>
      <w:r w:rsidR="00B81AB4">
        <w:rPr>
          <w:b/>
          <w:bCs/>
          <w:color w:val="00B050"/>
          <w:sz w:val="16"/>
          <w:szCs w:val="16"/>
        </w:rPr>
        <w:t>5</w:t>
      </w:r>
      <w:r w:rsidR="00B81AB4" w:rsidRPr="00B81AB4">
        <w:rPr>
          <w:i/>
          <w:iCs/>
          <w:color w:val="00B050"/>
          <w:sz w:val="16"/>
          <w:szCs w:val="16"/>
        </w:rPr>
        <w:t xml:space="preserve"> </w:t>
      </w:r>
      <w:r w:rsidR="00B81AB4" w:rsidRPr="00B81AB4">
        <w:rPr>
          <w:i/>
          <w:iCs/>
          <w:sz w:val="16"/>
          <w:szCs w:val="16"/>
        </w:rPr>
        <w:t xml:space="preserve">euro </w:t>
      </w:r>
      <w:r w:rsidR="00B81AB4" w:rsidRPr="00B81AB4">
        <w:rPr>
          <w:sz w:val="16"/>
          <w:szCs w:val="16"/>
        </w:rPr>
        <w:t>par 1 MWh citi</w:t>
      </w:r>
      <w:r w:rsidR="00B81AB4">
        <w:rPr>
          <w:sz w:val="16"/>
          <w:szCs w:val="16"/>
        </w:rPr>
        <w:t>em</w:t>
      </w:r>
      <w:r w:rsidR="00B81AB4" w:rsidRPr="00B81AB4">
        <w:rPr>
          <w:sz w:val="16"/>
          <w:szCs w:val="16"/>
        </w:rPr>
        <w:t xml:space="preserve"> patērētāji</w:t>
      </w:r>
      <w:r w:rsidR="00B81AB4">
        <w:rPr>
          <w:sz w:val="16"/>
          <w:szCs w:val="16"/>
        </w:rPr>
        <w:t>em</w:t>
      </w:r>
      <w:r w:rsidR="00B81AB4" w:rsidRPr="00B81AB4">
        <w:rPr>
          <w:rStyle w:val="cf01"/>
          <w:rFonts w:ascii="Times New Roman" w:hAnsi="Times New Roman" w:cs="Times New Roman"/>
          <w:sz w:val="16"/>
          <w:szCs w:val="16"/>
        </w:rPr>
        <w:t>, kas nav iedzīvotāji</w:t>
      </w:r>
      <w:r w:rsidR="00B81AB4">
        <w:rPr>
          <w:rStyle w:val="cf01"/>
          <w:rFonts w:ascii="Times New Roman" w:hAnsi="Times New Roman" w:cs="Times New Roman"/>
          <w:sz w:val="16"/>
          <w:szCs w:val="16"/>
        </w:rPr>
        <w:t xml:space="preserve">. </w:t>
      </w:r>
    </w:p>
    <w:p w14:paraId="2640A08C" w14:textId="77777777" w:rsidR="00B81AB4" w:rsidRPr="00B81AB4" w:rsidRDefault="00CD1EC4" w:rsidP="00FF31ED">
      <w:pPr>
        <w:pStyle w:val="ListParagraph"/>
        <w:numPr>
          <w:ilvl w:val="0"/>
          <w:numId w:val="5"/>
        </w:numPr>
        <w:tabs>
          <w:tab w:val="left" w:pos="284"/>
        </w:tabs>
        <w:spacing w:before="40"/>
        <w:ind w:left="284" w:hanging="284"/>
        <w:rPr>
          <w:bCs/>
          <w:sz w:val="16"/>
          <w:szCs w:val="16"/>
          <w:vertAlign w:val="superscript"/>
        </w:rPr>
      </w:pPr>
      <w:r w:rsidRPr="00B81AB4">
        <w:rPr>
          <w:b/>
          <w:color w:val="0070C0"/>
          <w:sz w:val="16"/>
          <w:szCs w:val="16"/>
        </w:rPr>
        <w:t>Igaunijā</w:t>
      </w:r>
      <w:r w:rsidRPr="00B81AB4">
        <w:rPr>
          <w:bCs/>
          <w:sz w:val="16"/>
          <w:szCs w:val="16"/>
        </w:rPr>
        <w:t xml:space="preserve"> dabasgāzei likmes tiek piemērotas </w:t>
      </w:r>
      <w:r w:rsidRPr="00B81AB4">
        <w:rPr>
          <w:bCs/>
          <w:i/>
          <w:iCs/>
          <w:sz w:val="16"/>
          <w:szCs w:val="16"/>
        </w:rPr>
        <w:t>euro</w:t>
      </w:r>
      <w:r w:rsidRPr="00B81AB4">
        <w:rPr>
          <w:bCs/>
          <w:sz w:val="16"/>
          <w:szCs w:val="16"/>
        </w:rPr>
        <w:t xml:space="preserve"> par 1000 m</w:t>
      </w:r>
      <w:r w:rsidRPr="00B81AB4">
        <w:rPr>
          <w:bCs/>
          <w:sz w:val="16"/>
          <w:szCs w:val="16"/>
          <w:vertAlign w:val="superscript"/>
        </w:rPr>
        <w:t>3</w:t>
      </w:r>
      <w:r w:rsidRPr="00B81AB4">
        <w:rPr>
          <w:bCs/>
          <w:sz w:val="16"/>
          <w:szCs w:val="16"/>
        </w:rPr>
        <w:t xml:space="preserve">. Lai likmes būtu salīdzināmas valstu starpā, Igaunijas likmes tiek pārrēķinātas uz MWh atbilstoši Igaunijas publicētajām likmēm par </w:t>
      </w:r>
      <w:proofErr w:type="spellStart"/>
      <w:r w:rsidRPr="00B81AB4">
        <w:rPr>
          <w:bCs/>
          <w:sz w:val="16"/>
          <w:szCs w:val="16"/>
        </w:rPr>
        <w:t>gigadžoulu</w:t>
      </w:r>
      <w:proofErr w:type="spellEnd"/>
      <w:r w:rsidRPr="00B81AB4">
        <w:rPr>
          <w:bCs/>
          <w:sz w:val="16"/>
          <w:szCs w:val="16"/>
        </w:rPr>
        <w:t xml:space="preserve"> </w:t>
      </w:r>
      <w:hyperlink r:id="rId17" w:anchor="/tax-details?taxId=4069&amp;versionDate=1704063600&amp;isEuro=true&amp;taxType=EDU_ENERGY" w:history="1">
        <w:r w:rsidRPr="00B81AB4">
          <w:rPr>
            <w:rStyle w:val="Hyperlink"/>
            <w:bCs/>
            <w:sz w:val="16"/>
            <w:szCs w:val="16"/>
          </w:rPr>
          <w:t xml:space="preserve">Eiropas </w:t>
        </w:r>
        <w:r w:rsidR="00297592" w:rsidRPr="00B81AB4">
          <w:rPr>
            <w:rStyle w:val="Hyperlink"/>
            <w:bCs/>
            <w:sz w:val="16"/>
            <w:szCs w:val="16"/>
          </w:rPr>
          <w:t>K</w:t>
        </w:r>
        <w:r w:rsidRPr="00B81AB4">
          <w:rPr>
            <w:rStyle w:val="Hyperlink"/>
            <w:bCs/>
            <w:sz w:val="16"/>
            <w:szCs w:val="16"/>
          </w:rPr>
          <w:t>omisijas nodokļu datubāzē</w:t>
        </w:r>
      </w:hyperlink>
      <w:r w:rsidRPr="00B81AB4">
        <w:rPr>
          <w:bCs/>
          <w:sz w:val="16"/>
          <w:szCs w:val="16"/>
        </w:rPr>
        <w:t>.</w:t>
      </w:r>
    </w:p>
    <w:p w14:paraId="7367D773" w14:textId="388F89AB" w:rsidR="00B81AB4" w:rsidRPr="00B81AB4" w:rsidRDefault="00B81AB4" w:rsidP="00FF31ED">
      <w:pPr>
        <w:pStyle w:val="ListParagraph"/>
        <w:numPr>
          <w:ilvl w:val="0"/>
          <w:numId w:val="5"/>
        </w:numPr>
        <w:tabs>
          <w:tab w:val="left" w:pos="284"/>
        </w:tabs>
        <w:spacing w:before="40"/>
        <w:ind w:left="284" w:hanging="284"/>
        <w:rPr>
          <w:bCs/>
          <w:sz w:val="16"/>
          <w:szCs w:val="16"/>
          <w:vertAlign w:val="superscript"/>
        </w:rPr>
      </w:pPr>
      <w:r w:rsidRPr="00B81AB4">
        <w:rPr>
          <w:b/>
          <w:color w:val="0070C0"/>
          <w:sz w:val="16"/>
          <w:szCs w:val="16"/>
        </w:rPr>
        <w:t>Igaunijā</w:t>
      </w:r>
      <w:r w:rsidRPr="00B81AB4">
        <w:rPr>
          <w:bCs/>
          <w:sz w:val="16"/>
          <w:szCs w:val="16"/>
        </w:rPr>
        <w:t xml:space="preserve"> </w:t>
      </w:r>
      <w:r w:rsidRPr="00B81AB4">
        <w:rPr>
          <w:rStyle w:val="cf01"/>
          <w:rFonts w:ascii="Times New Roman" w:hAnsi="Times New Roman" w:cs="Times New Roman"/>
          <w:sz w:val="16"/>
          <w:szCs w:val="16"/>
        </w:rPr>
        <w:t xml:space="preserve">samazinātā likme 1,09 </w:t>
      </w:r>
      <w:r w:rsidRPr="00B81AB4">
        <w:rPr>
          <w:rStyle w:val="cf01"/>
          <w:rFonts w:ascii="Times New Roman" w:hAnsi="Times New Roman" w:cs="Times New Roman"/>
          <w:i/>
          <w:iCs/>
          <w:sz w:val="16"/>
          <w:szCs w:val="16"/>
        </w:rPr>
        <w:t>euro</w:t>
      </w:r>
      <w:r w:rsidRPr="00B81AB4">
        <w:rPr>
          <w:rStyle w:val="cf01"/>
          <w:rFonts w:ascii="Times New Roman" w:hAnsi="Times New Roman" w:cs="Times New Roman"/>
          <w:sz w:val="16"/>
          <w:szCs w:val="16"/>
        </w:rPr>
        <w:t>/MWh attiecas uz energoietilpīgiem uzņēmumiem, kuri L</w:t>
      </w:r>
      <w:r>
        <w:rPr>
          <w:rStyle w:val="cf01"/>
          <w:rFonts w:ascii="Times New Roman" w:hAnsi="Times New Roman" w:cs="Times New Roman"/>
          <w:sz w:val="16"/>
          <w:szCs w:val="16"/>
        </w:rPr>
        <w:t xml:space="preserve">atvijā </w:t>
      </w:r>
      <w:r w:rsidRPr="00B81AB4">
        <w:rPr>
          <w:rStyle w:val="cf01"/>
          <w:rFonts w:ascii="Times New Roman" w:hAnsi="Times New Roman" w:cs="Times New Roman"/>
          <w:sz w:val="16"/>
          <w:szCs w:val="16"/>
        </w:rPr>
        <w:t>netiek atsevišķi izdalīti.</w:t>
      </w:r>
    </w:p>
    <w:p w14:paraId="7C60FFDB" w14:textId="77777777" w:rsidR="006E36E5" w:rsidRDefault="006E36E5" w:rsidP="00501035">
      <w:pPr>
        <w:ind w:firstLine="567"/>
        <w:jc w:val="both"/>
        <w:rPr>
          <w:szCs w:val="24"/>
        </w:rPr>
      </w:pPr>
    </w:p>
    <w:p w14:paraId="1D4A6755" w14:textId="5157E880" w:rsidR="008F00A8" w:rsidRDefault="008F00A8" w:rsidP="00501035">
      <w:pPr>
        <w:ind w:firstLine="567"/>
        <w:jc w:val="both"/>
        <w:rPr>
          <w:bCs/>
          <w:szCs w:val="24"/>
        </w:rPr>
      </w:pPr>
      <w:r w:rsidRPr="00CD1EC4">
        <w:rPr>
          <w:szCs w:val="24"/>
        </w:rPr>
        <w:t xml:space="preserve">AN likmes kurināmajam </w:t>
      </w:r>
      <w:r>
        <w:rPr>
          <w:szCs w:val="24"/>
        </w:rPr>
        <w:t xml:space="preserve">galvenokārt ietekmēs </w:t>
      </w:r>
      <w:r w:rsidRPr="008F00A8">
        <w:rPr>
          <w:szCs w:val="24"/>
        </w:rPr>
        <w:t>mājsaimniecīb</w:t>
      </w:r>
      <w:r>
        <w:rPr>
          <w:szCs w:val="24"/>
        </w:rPr>
        <w:t xml:space="preserve">as, kas izmanto </w:t>
      </w:r>
      <w:r w:rsidR="00CD1EC4" w:rsidRPr="008F00A8">
        <w:rPr>
          <w:szCs w:val="24"/>
        </w:rPr>
        <w:t xml:space="preserve">dabasgāzi </w:t>
      </w:r>
      <w:r w:rsidRPr="008F00A8">
        <w:rPr>
          <w:szCs w:val="24"/>
        </w:rPr>
        <w:t>kā</w:t>
      </w:r>
      <w:r w:rsidR="00CD1EC4" w:rsidRPr="008F00A8">
        <w:rPr>
          <w:szCs w:val="24"/>
        </w:rPr>
        <w:t xml:space="preserve"> kurināmo</w:t>
      </w:r>
      <w:r w:rsidRPr="008F00A8">
        <w:rPr>
          <w:szCs w:val="24"/>
        </w:rPr>
        <w:t>.</w:t>
      </w:r>
      <w:r w:rsidRPr="008F00A8">
        <w:rPr>
          <w:bCs/>
          <w:i/>
          <w:iCs/>
          <w:szCs w:val="24"/>
        </w:rPr>
        <w:t xml:space="preserve"> </w:t>
      </w:r>
      <w:r w:rsidRPr="008F00A8">
        <w:rPr>
          <w:bCs/>
          <w:szCs w:val="24"/>
        </w:rPr>
        <w:t>Lai gan</w:t>
      </w:r>
      <w:r>
        <w:rPr>
          <w:bCs/>
          <w:i/>
          <w:iCs/>
          <w:szCs w:val="24"/>
        </w:rPr>
        <w:t xml:space="preserve"> </w:t>
      </w:r>
      <w:r w:rsidRPr="00CD1EC4">
        <w:rPr>
          <w:bCs/>
          <w:szCs w:val="24"/>
        </w:rPr>
        <w:t>2027. gadā AN un tam piemērojamā PVN daļa samazinātos, tomēr kopumā mājsaimniecību izdevumi par dabasgāzi salīdzinājumā ar 2026.</w:t>
      </w:r>
      <w:r w:rsidR="00FA7FB6">
        <w:rPr>
          <w:bCs/>
          <w:szCs w:val="24"/>
        </w:rPr>
        <w:t> </w:t>
      </w:r>
      <w:r w:rsidRPr="00CD1EC4">
        <w:rPr>
          <w:bCs/>
          <w:szCs w:val="24"/>
        </w:rPr>
        <w:t>gadu varētu pieaugt ETS2 ieviešanas dēļ un būtu atkarīgi arī no faktiskās CO</w:t>
      </w:r>
      <w:r w:rsidRPr="00CD1EC4">
        <w:rPr>
          <w:bCs/>
          <w:szCs w:val="24"/>
          <w:vertAlign w:val="subscript"/>
        </w:rPr>
        <w:t>2</w:t>
      </w:r>
      <w:r w:rsidRPr="00CD1EC4">
        <w:rPr>
          <w:bCs/>
          <w:szCs w:val="24"/>
        </w:rPr>
        <w:t xml:space="preserve"> cenas 2027.</w:t>
      </w:r>
      <w:r w:rsidR="00FA7FB6">
        <w:rPr>
          <w:bCs/>
          <w:szCs w:val="24"/>
        </w:rPr>
        <w:t> </w:t>
      </w:r>
      <w:r w:rsidRPr="00CD1EC4">
        <w:rPr>
          <w:bCs/>
          <w:szCs w:val="24"/>
        </w:rPr>
        <w:t>gadā.</w:t>
      </w:r>
    </w:p>
    <w:p w14:paraId="5B9B7293" w14:textId="77777777" w:rsidR="008F00A8" w:rsidRPr="00CD1EC4" w:rsidRDefault="008F00A8" w:rsidP="008F00A8">
      <w:pPr>
        <w:ind w:firstLine="709"/>
        <w:jc w:val="both"/>
        <w:rPr>
          <w:bCs/>
          <w:szCs w:val="24"/>
        </w:rPr>
      </w:pPr>
    </w:p>
    <w:p w14:paraId="07BD4ADF" w14:textId="3D2E70B3" w:rsidR="00CD1EC4" w:rsidRPr="00CD1EC4" w:rsidRDefault="006F5E64" w:rsidP="008F00A8">
      <w:pPr>
        <w:spacing w:after="120"/>
        <w:jc w:val="center"/>
        <w:rPr>
          <w:bCs/>
          <w:sz w:val="20"/>
          <w:szCs w:val="20"/>
        </w:rPr>
      </w:pPr>
      <w:r>
        <w:rPr>
          <w:rFonts w:cs="Times New Roman"/>
          <w:sz w:val="20"/>
        </w:rPr>
        <w:t>2</w:t>
      </w:r>
      <w:r w:rsidR="00725CD9">
        <w:rPr>
          <w:rFonts w:cs="Times New Roman"/>
          <w:sz w:val="20"/>
        </w:rPr>
        <w:t>1</w:t>
      </w:r>
      <w:r w:rsidR="008F00A8" w:rsidRPr="008F00A8">
        <w:rPr>
          <w:bCs/>
          <w:sz w:val="20"/>
          <w:szCs w:val="20"/>
        </w:rPr>
        <w:t>.tab.</w:t>
      </w:r>
      <w:r w:rsidR="008F00A8" w:rsidRPr="00CD1EC4">
        <w:rPr>
          <w:b/>
          <w:sz w:val="20"/>
          <w:szCs w:val="20"/>
        </w:rPr>
        <w:t xml:space="preserve"> </w:t>
      </w:r>
      <w:r w:rsidR="00CD1EC4" w:rsidRPr="00CD1EC4">
        <w:rPr>
          <w:b/>
          <w:bCs/>
          <w:sz w:val="20"/>
          <w:szCs w:val="20"/>
        </w:rPr>
        <w:t xml:space="preserve">AN un tam piemērojamā PVN daļa mājsaimniecībai, kura gadā </w:t>
      </w:r>
      <w:r w:rsidR="00CD1EC4" w:rsidRPr="00CD1EC4">
        <w:rPr>
          <w:b/>
          <w:bCs/>
          <w:sz w:val="20"/>
          <w:szCs w:val="20"/>
          <w:u w:val="single"/>
        </w:rPr>
        <w:t>apkurei</w:t>
      </w:r>
      <w:r w:rsidR="00CD1EC4" w:rsidRPr="00CD1EC4">
        <w:rPr>
          <w:b/>
          <w:bCs/>
          <w:sz w:val="20"/>
          <w:szCs w:val="20"/>
        </w:rPr>
        <w:t xml:space="preserve"> patērē 1500 m</w:t>
      </w:r>
      <w:r w:rsidR="00CD1EC4" w:rsidRPr="00CD1EC4">
        <w:rPr>
          <w:b/>
          <w:bCs/>
          <w:sz w:val="20"/>
          <w:szCs w:val="20"/>
          <w:vertAlign w:val="superscript"/>
        </w:rPr>
        <w:t>3</w:t>
      </w:r>
      <w:r w:rsidR="00CD1EC4" w:rsidRPr="00CD1EC4">
        <w:rPr>
          <w:b/>
          <w:bCs/>
          <w:sz w:val="20"/>
          <w:szCs w:val="20"/>
        </w:rPr>
        <w:t xml:space="preserve"> dabasgāzes</w:t>
      </w:r>
      <w:r w:rsidR="00A6752A" w:rsidRPr="00A6752A">
        <w:rPr>
          <w:sz w:val="20"/>
          <w:szCs w:val="20"/>
          <w:vertAlign w:val="superscript"/>
        </w:rPr>
        <w:t>*</w:t>
      </w:r>
    </w:p>
    <w:tbl>
      <w:tblPr>
        <w:tblW w:w="9067" w:type="dxa"/>
        <w:tblCellMar>
          <w:left w:w="0" w:type="dxa"/>
          <w:right w:w="0" w:type="dxa"/>
        </w:tblCellMar>
        <w:tblLook w:val="0600" w:firstRow="0" w:lastRow="0" w:firstColumn="0" w:lastColumn="0" w:noHBand="1" w:noVBand="1"/>
      </w:tblPr>
      <w:tblGrid>
        <w:gridCol w:w="4531"/>
        <w:gridCol w:w="1418"/>
        <w:gridCol w:w="1417"/>
        <w:gridCol w:w="1701"/>
      </w:tblGrid>
      <w:tr w:rsidR="008F00A8" w:rsidRPr="00CD1EC4" w14:paraId="37148FD7" w14:textId="77777777" w:rsidTr="008F00A8">
        <w:trPr>
          <w:trHeight w:val="226"/>
        </w:trPr>
        <w:tc>
          <w:tcPr>
            <w:tcW w:w="4531" w:type="dxa"/>
            <w:tcBorders>
              <w:top w:val="single" w:sz="4" w:space="0" w:color="000000"/>
              <w:left w:val="single" w:sz="4" w:space="0" w:color="000000"/>
              <w:bottom w:val="single" w:sz="4" w:space="0" w:color="000000"/>
              <w:right w:val="single" w:sz="4" w:space="0" w:color="FFFFFF" w:themeColor="background1"/>
            </w:tcBorders>
            <w:shd w:val="clear" w:color="auto" w:fill="002060"/>
            <w:tcMar>
              <w:top w:w="12" w:type="dxa"/>
              <w:left w:w="12" w:type="dxa"/>
              <w:bottom w:w="0" w:type="dxa"/>
              <w:right w:w="12" w:type="dxa"/>
            </w:tcMar>
            <w:vAlign w:val="center"/>
            <w:hideMark/>
          </w:tcPr>
          <w:p w14:paraId="043E1142" w14:textId="77777777" w:rsidR="00CD1EC4" w:rsidRPr="00CD1EC4" w:rsidRDefault="00CD1EC4" w:rsidP="008F00A8">
            <w:pPr>
              <w:ind w:firstLine="709"/>
              <w:jc w:val="both"/>
              <w:rPr>
                <w:bCs/>
                <w:color w:val="FFFFFF" w:themeColor="background1"/>
                <w:sz w:val="20"/>
                <w:szCs w:val="20"/>
              </w:rPr>
            </w:pPr>
          </w:p>
        </w:tc>
        <w:tc>
          <w:tcPr>
            <w:tcW w:w="1418"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002060"/>
            <w:tcMar>
              <w:top w:w="10" w:type="dxa"/>
              <w:left w:w="10" w:type="dxa"/>
              <w:bottom w:w="0" w:type="dxa"/>
              <w:right w:w="10" w:type="dxa"/>
            </w:tcMar>
            <w:vAlign w:val="center"/>
            <w:hideMark/>
          </w:tcPr>
          <w:p w14:paraId="5C28C3B4" w14:textId="77777777" w:rsidR="00CD1EC4" w:rsidRPr="00CD1EC4" w:rsidRDefault="00CD1EC4" w:rsidP="008F00A8">
            <w:pPr>
              <w:jc w:val="center"/>
              <w:rPr>
                <w:bCs/>
                <w:color w:val="FFFFFF" w:themeColor="background1"/>
                <w:sz w:val="20"/>
                <w:szCs w:val="20"/>
              </w:rPr>
            </w:pPr>
            <w:r w:rsidRPr="00CD1EC4">
              <w:rPr>
                <w:b/>
                <w:bCs/>
                <w:color w:val="FFFFFF" w:themeColor="background1"/>
                <w:sz w:val="20"/>
                <w:szCs w:val="20"/>
              </w:rPr>
              <w:t>2024</w:t>
            </w:r>
          </w:p>
        </w:tc>
        <w:tc>
          <w:tcPr>
            <w:tcW w:w="1417"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002060"/>
            <w:tcMar>
              <w:top w:w="10" w:type="dxa"/>
              <w:left w:w="10" w:type="dxa"/>
              <w:bottom w:w="0" w:type="dxa"/>
              <w:right w:w="10" w:type="dxa"/>
            </w:tcMar>
            <w:vAlign w:val="center"/>
            <w:hideMark/>
          </w:tcPr>
          <w:p w14:paraId="22E8A91C" w14:textId="77777777" w:rsidR="00CD1EC4" w:rsidRPr="00CD1EC4" w:rsidRDefault="00CD1EC4" w:rsidP="008F00A8">
            <w:pPr>
              <w:jc w:val="center"/>
              <w:rPr>
                <w:bCs/>
                <w:color w:val="FFFFFF" w:themeColor="background1"/>
                <w:sz w:val="20"/>
                <w:szCs w:val="20"/>
              </w:rPr>
            </w:pPr>
            <w:r w:rsidRPr="00CD1EC4">
              <w:rPr>
                <w:b/>
                <w:bCs/>
                <w:color w:val="FFFFFF" w:themeColor="background1"/>
                <w:sz w:val="20"/>
                <w:szCs w:val="20"/>
              </w:rPr>
              <w:t>2025</w:t>
            </w:r>
          </w:p>
        </w:tc>
        <w:tc>
          <w:tcPr>
            <w:tcW w:w="1701" w:type="dxa"/>
            <w:tcBorders>
              <w:top w:val="single" w:sz="4" w:space="0" w:color="000000"/>
              <w:left w:val="single" w:sz="4" w:space="0" w:color="FFFFFF" w:themeColor="background1"/>
              <w:bottom w:val="single" w:sz="4" w:space="0" w:color="000000"/>
              <w:right w:val="single" w:sz="4" w:space="0" w:color="000000"/>
            </w:tcBorders>
            <w:shd w:val="clear" w:color="auto" w:fill="002060"/>
            <w:tcMar>
              <w:top w:w="10" w:type="dxa"/>
              <w:left w:w="10" w:type="dxa"/>
              <w:bottom w:w="0" w:type="dxa"/>
              <w:right w:w="10" w:type="dxa"/>
            </w:tcMar>
            <w:vAlign w:val="center"/>
            <w:hideMark/>
          </w:tcPr>
          <w:p w14:paraId="52AC4D0B" w14:textId="77777777" w:rsidR="00CD1EC4" w:rsidRPr="00CD1EC4" w:rsidRDefault="00CD1EC4" w:rsidP="008F00A8">
            <w:pPr>
              <w:jc w:val="center"/>
              <w:rPr>
                <w:bCs/>
                <w:color w:val="FFFFFF" w:themeColor="background1"/>
                <w:sz w:val="20"/>
                <w:szCs w:val="20"/>
              </w:rPr>
            </w:pPr>
            <w:r w:rsidRPr="00CD1EC4">
              <w:rPr>
                <w:b/>
                <w:bCs/>
                <w:color w:val="FFFFFF" w:themeColor="background1"/>
                <w:sz w:val="20"/>
                <w:szCs w:val="20"/>
              </w:rPr>
              <w:t>2026</w:t>
            </w:r>
          </w:p>
        </w:tc>
      </w:tr>
      <w:tr w:rsidR="00CD1EC4" w:rsidRPr="00CD1EC4" w14:paraId="2E23378D" w14:textId="77777777" w:rsidTr="008F00A8">
        <w:trPr>
          <w:trHeight w:val="20"/>
        </w:trPr>
        <w:tc>
          <w:tcPr>
            <w:tcW w:w="4531" w:type="dxa"/>
            <w:tcBorders>
              <w:top w:val="single" w:sz="4" w:space="0" w:color="000000"/>
              <w:left w:val="single" w:sz="4" w:space="0" w:color="000000"/>
              <w:bottom w:val="nil"/>
              <w:right w:val="single" w:sz="4" w:space="0" w:color="000000"/>
            </w:tcBorders>
            <w:shd w:val="clear" w:color="auto" w:fill="auto"/>
            <w:tcMar>
              <w:top w:w="72" w:type="dxa"/>
              <w:left w:w="144" w:type="dxa"/>
              <w:bottom w:w="72" w:type="dxa"/>
              <w:right w:w="144" w:type="dxa"/>
            </w:tcMar>
            <w:vAlign w:val="center"/>
            <w:hideMark/>
          </w:tcPr>
          <w:p w14:paraId="2ADEF3B6" w14:textId="6131DAD6" w:rsidR="00CD1EC4" w:rsidRPr="00CD1EC4" w:rsidRDefault="00CD1EC4" w:rsidP="008F00A8">
            <w:pPr>
              <w:jc w:val="both"/>
              <w:rPr>
                <w:bCs/>
                <w:sz w:val="20"/>
                <w:szCs w:val="20"/>
              </w:rPr>
            </w:pPr>
            <w:r w:rsidRPr="00CD1EC4">
              <w:rPr>
                <w:b/>
                <w:bCs/>
                <w:sz w:val="20"/>
                <w:szCs w:val="20"/>
              </w:rPr>
              <w:t xml:space="preserve">AN un tam piemērojamā PVN daļa, </w:t>
            </w:r>
            <w:r w:rsidRPr="00CD1EC4">
              <w:rPr>
                <w:bCs/>
                <w:i/>
                <w:iCs/>
                <w:sz w:val="20"/>
                <w:szCs w:val="20"/>
              </w:rPr>
              <w:t>euro gadā</w:t>
            </w:r>
          </w:p>
        </w:tc>
        <w:tc>
          <w:tcPr>
            <w:tcW w:w="1418" w:type="dxa"/>
            <w:tcBorders>
              <w:top w:val="single" w:sz="4" w:space="0" w:color="000000"/>
              <w:left w:val="single" w:sz="4" w:space="0" w:color="000000"/>
              <w:bottom w:val="nil"/>
              <w:right w:val="single" w:sz="4" w:space="0" w:color="000000"/>
            </w:tcBorders>
            <w:shd w:val="clear" w:color="auto" w:fill="auto"/>
            <w:tcMar>
              <w:top w:w="72" w:type="dxa"/>
              <w:left w:w="144" w:type="dxa"/>
              <w:bottom w:w="72" w:type="dxa"/>
              <w:right w:w="144" w:type="dxa"/>
            </w:tcMar>
            <w:vAlign w:val="center"/>
            <w:hideMark/>
          </w:tcPr>
          <w:p w14:paraId="46386755" w14:textId="0C297CA5" w:rsidR="00CD1EC4" w:rsidRPr="00CD1EC4" w:rsidRDefault="00CD1EC4" w:rsidP="008F00A8">
            <w:pPr>
              <w:jc w:val="center"/>
              <w:rPr>
                <w:bCs/>
                <w:color w:val="C00000"/>
                <w:sz w:val="20"/>
                <w:szCs w:val="20"/>
              </w:rPr>
            </w:pPr>
            <w:r w:rsidRPr="00CD1EC4">
              <w:rPr>
                <w:b/>
                <w:bCs/>
                <w:color w:val="C00000"/>
                <w:sz w:val="20"/>
                <w:szCs w:val="20"/>
              </w:rPr>
              <w:t>31,44</w:t>
            </w:r>
          </w:p>
        </w:tc>
        <w:tc>
          <w:tcPr>
            <w:tcW w:w="1417" w:type="dxa"/>
            <w:tcBorders>
              <w:top w:val="single" w:sz="4" w:space="0" w:color="000000"/>
              <w:left w:val="single" w:sz="4" w:space="0" w:color="000000"/>
              <w:bottom w:val="nil"/>
              <w:right w:val="single" w:sz="4" w:space="0" w:color="000000"/>
            </w:tcBorders>
            <w:shd w:val="clear" w:color="auto" w:fill="auto"/>
            <w:tcMar>
              <w:top w:w="72" w:type="dxa"/>
              <w:left w:w="144" w:type="dxa"/>
              <w:bottom w:w="72" w:type="dxa"/>
              <w:right w:w="144" w:type="dxa"/>
            </w:tcMar>
            <w:vAlign w:val="center"/>
            <w:hideMark/>
          </w:tcPr>
          <w:p w14:paraId="7CE0F607" w14:textId="2E9F7B11" w:rsidR="00CD1EC4" w:rsidRPr="00CD1EC4" w:rsidRDefault="00CD1EC4" w:rsidP="008F00A8">
            <w:pPr>
              <w:jc w:val="center"/>
              <w:rPr>
                <w:bCs/>
                <w:color w:val="C00000"/>
                <w:sz w:val="20"/>
                <w:szCs w:val="20"/>
              </w:rPr>
            </w:pPr>
            <w:r w:rsidRPr="00CD1EC4">
              <w:rPr>
                <w:b/>
                <w:bCs/>
                <w:color w:val="C00000"/>
                <w:sz w:val="20"/>
                <w:szCs w:val="20"/>
              </w:rPr>
              <w:t>72,42</w:t>
            </w:r>
          </w:p>
        </w:tc>
        <w:tc>
          <w:tcPr>
            <w:tcW w:w="1701" w:type="dxa"/>
            <w:tcBorders>
              <w:top w:val="single" w:sz="4" w:space="0" w:color="000000"/>
              <w:left w:val="single" w:sz="4" w:space="0" w:color="000000"/>
              <w:bottom w:val="nil"/>
              <w:right w:val="single" w:sz="4" w:space="0" w:color="000000"/>
            </w:tcBorders>
            <w:shd w:val="clear" w:color="auto" w:fill="auto"/>
            <w:tcMar>
              <w:top w:w="72" w:type="dxa"/>
              <w:left w:w="144" w:type="dxa"/>
              <w:bottom w:w="72" w:type="dxa"/>
              <w:right w:w="144" w:type="dxa"/>
            </w:tcMar>
            <w:vAlign w:val="center"/>
            <w:hideMark/>
          </w:tcPr>
          <w:p w14:paraId="5D4B55B0" w14:textId="37410CB3" w:rsidR="00CD1EC4" w:rsidRPr="00CD1EC4" w:rsidRDefault="00CD1EC4" w:rsidP="008F00A8">
            <w:pPr>
              <w:jc w:val="center"/>
              <w:rPr>
                <w:bCs/>
                <w:color w:val="C00000"/>
                <w:sz w:val="20"/>
                <w:szCs w:val="20"/>
              </w:rPr>
            </w:pPr>
            <w:r w:rsidRPr="00CD1EC4">
              <w:rPr>
                <w:b/>
                <w:bCs/>
                <w:color w:val="C00000"/>
                <w:sz w:val="20"/>
                <w:szCs w:val="20"/>
              </w:rPr>
              <w:t>113,39</w:t>
            </w:r>
          </w:p>
        </w:tc>
      </w:tr>
      <w:tr w:rsidR="00CD1EC4" w:rsidRPr="00CD1EC4" w14:paraId="2F2C3F50" w14:textId="77777777" w:rsidTr="008F00A8">
        <w:trPr>
          <w:trHeight w:val="20"/>
        </w:trPr>
        <w:tc>
          <w:tcPr>
            <w:tcW w:w="4531" w:type="dxa"/>
            <w:tcBorders>
              <w:top w:val="nil"/>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hideMark/>
          </w:tcPr>
          <w:p w14:paraId="1816E44E" w14:textId="77777777" w:rsidR="00CD1EC4" w:rsidRPr="00CD1EC4" w:rsidRDefault="00CD1EC4" w:rsidP="008F00A8">
            <w:pPr>
              <w:jc w:val="right"/>
              <w:rPr>
                <w:bCs/>
                <w:sz w:val="20"/>
                <w:szCs w:val="20"/>
              </w:rPr>
            </w:pPr>
            <w:r w:rsidRPr="00CD1EC4">
              <w:rPr>
                <w:bCs/>
                <w:i/>
                <w:iCs/>
                <w:sz w:val="20"/>
                <w:szCs w:val="20"/>
              </w:rPr>
              <w:t>pieaugums pret 2024.gadu, euro</w:t>
            </w:r>
          </w:p>
        </w:tc>
        <w:tc>
          <w:tcPr>
            <w:tcW w:w="1418" w:type="dxa"/>
            <w:tcBorders>
              <w:top w:val="nil"/>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hideMark/>
          </w:tcPr>
          <w:p w14:paraId="41415423" w14:textId="5590FA7B" w:rsidR="00CD1EC4" w:rsidRPr="00CD1EC4" w:rsidRDefault="00CD1EC4" w:rsidP="008F00A8">
            <w:pPr>
              <w:ind w:firstLine="709"/>
              <w:jc w:val="center"/>
              <w:rPr>
                <w:bCs/>
                <w:color w:val="C00000"/>
                <w:sz w:val="20"/>
                <w:szCs w:val="20"/>
              </w:rPr>
            </w:pPr>
          </w:p>
        </w:tc>
        <w:tc>
          <w:tcPr>
            <w:tcW w:w="1417" w:type="dxa"/>
            <w:tcBorders>
              <w:top w:val="nil"/>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hideMark/>
          </w:tcPr>
          <w:p w14:paraId="0245875A" w14:textId="35E61727" w:rsidR="00CD1EC4" w:rsidRPr="00CD1EC4" w:rsidRDefault="00CD1EC4" w:rsidP="008F00A8">
            <w:pPr>
              <w:jc w:val="center"/>
              <w:rPr>
                <w:bCs/>
                <w:color w:val="FF0000"/>
                <w:sz w:val="20"/>
                <w:szCs w:val="20"/>
              </w:rPr>
            </w:pPr>
            <w:r w:rsidRPr="00CD1EC4">
              <w:rPr>
                <w:bCs/>
                <w:i/>
                <w:iCs/>
                <w:color w:val="FF0000"/>
                <w:sz w:val="20"/>
                <w:szCs w:val="20"/>
              </w:rPr>
              <w:t>+40,98</w:t>
            </w:r>
          </w:p>
        </w:tc>
        <w:tc>
          <w:tcPr>
            <w:tcW w:w="1701" w:type="dxa"/>
            <w:tcBorders>
              <w:top w:val="nil"/>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hideMark/>
          </w:tcPr>
          <w:p w14:paraId="406649DB" w14:textId="5712FE2C" w:rsidR="00CD1EC4" w:rsidRPr="00CD1EC4" w:rsidRDefault="00CD1EC4" w:rsidP="008F00A8">
            <w:pPr>
              <w:jc w:val="center"/>
              <w:rPr>
                <w:bCs/>
                <w:color w:val="FF0000"/>
                <w:sz w:val="20"/>
                <w:szCs w:val="20"/>
              </w:rPr>
            </w:pPr>
            <w:r w:rsidRPr="00CD1EC4">
              <w:rPr>
                <w:bCs/>
                <w:i/>
                <w:iCs/>
                <w:color w:val="FF0000"/>
                <w:sz w:val="20"/>
                <w:szCs w:val="20"/>
              </w:rPr>
              <w:t>+81,95</w:t>
            </w:r>
          </w:p>
        </w:tc>
      </w:tr>
    </w:tbl>
    <w:p w14:paraId="3D6D8707" w14:textId="20CB5C77" w:rsidR="00A6752A" w:rsidRPr="00CD1EC4" w:rsidRDefault="00A6752A" w:rsidP="00A6752A">
      <w:pPr>
        <w:spacing w:before="120"/>
        <w:ind w:left="142" w:hanging="142"/>
        <w:jc w:val="both"/>
        <w:rPr>
          <w:bCs/>
          <w:sz w:val="18"/>
          <w:szCs w:val="18"/>
        </w:rPr>
      </w:pPr>
      <w:r w:rsidRPr="00A6752A">
        <w:rPr>
          <w:bCs/>
          <w:sz w:val="18"/>
          <w:szCs w:val="18"/>
          <w:vertAlign w:val="superscript"/>
        </w:rPr>
        <w:t>*</w:t>
      </w:r>
      <w:r w:rsidRPr="00CD1EC4">
        <w:rPr>
          <w:bCs/>
          <w:sz w:val="18"/>
          <w:szCs w:val="18"/>
        </w:rPr>
        <w:t xml:space="preserve"> </w:t>
      </w:r>
      <w:r w:rsidRPr="00CD1EC4">
        <w:rPr>
          <w:b/>
          <w:bCs/>
          <w:sz w:val="18"/>
          <w:szCs w:val="18"/>
        </w:rPr>
        <w:t xml:space="preserve">Informatīvi: </w:t>
      </w:r>
      <w:r w:rsidRPr="00CD1EC4">
        <w:rPr>
          <w:sz w:val="18"/>
          <w:szCs w:val="18"/>
        </w:rPr>
        <w:t xml:space="preserve">Dabasgāzes cenas </w:t>
      </w:r>
      <w:r>
        <w:rPr>
          <w:bCs/>
          <w:sz w:val="18"/>
          <w:szCs w:val="18"/>
        </w:rPr>
        <w:t>s</w:t>
      </w:r>
      <w:r w:rsidRPr="00CD1EC4">
        <w:rPr>
          <w:bCs/>
          <w:sz w:val="18"/>
          <w:szCs w:val="18"/>
        </w:rPr>
        <w:t xml:space="preserve">iltumam </w:t>
      </w:r>
      <w:r w:rsidRPr="00CD1EC4">
        <w:rPr>
          <w:sz w:val="18"/>
          <w:szCs w:val="18"/>
        </w:rPr>
        <w:t>(bez akcīzes nodokļa un PVN)</w:t>
      </w:r>
      <w:r w:rsidR="00BD1C1A">
        <w:rPr>
          <w:sz w:val="18"/>
          <w:szCs w:val="18"/>
        </w:rPr>
        <w:t xml:space="preserve"> </w:t>
      </w:r>
      <w:r w:rsidR="00BD1C1A" w:rsidRPr="00CD1EC4">
        <w:rPr>
          <w:b/>
          <w:sz w:val="18"/>
          <w:szCs w:val="18"/>
        </w:rPr>
        <w:t>0</w:t>
      </w:r>
      <w:r w:rsidR="00BD1C1A" w:rsidRPr="00A6752A">
        <w:rPr>
          <w:b/>
          <w:sz w:val="18"/>
          <w:szCs w:val="18"/>
        </w:rPr>
        <w:t>,</w:t>
      </w:r>
      <w:r w:rsidR="00BD1C1A" w:rsidRPr="00CD1EC4">
        <w:rPr>
          <w:b/>
          <w:sz w:val="18"/>
          <w:szCs w:val="18"/>
        </w:rPr>
        <w:t>04400</w:t>
      </w:r>
      <w:r w:rsidR="00BD1C1A" w:rsidRPr="00CD1EC4">
        <w:rPr>
          <w:bCs/>
          <w:sz w:val="18"/>
          <w:szCs w:val="18"/>
        </w:rPr>
        <w:t xml:space="preserve"> </w:t>
      </w:r>
      <w:r w:rsidR="00BD1C1A" w:rsidRPr="00CD1EC4">
        <w:rPr>
          <w:bCs/>
          <w:i/>
          <w:iCs/>
          <w:sz w:val="18"/>
          <w:szCs w:val="18"/>
        </w:rPr>
        <w:t>EUR/</w:t>
      </w:r>
      <w:proofErr w:type="spellStart"/>
      <w:r w:rsidR="00BD1C1A" w:rsidRPr="00CD1EC4">
        <w:rPr>
          <w:bCs/>
          <w:i/>
          <w:iCs/>
          <w:sz w:val="18"/>
          <w:szCs w:val="18"/>
        </w:rPr>
        <w:t>kWh</w:t>
      </w:r>
      <w:proofErr w:type="spellEnd"/>
      <w:r w:rsidRPr="00CD1EC4">
        <w:rPr>
          <w:sz w:val="18"/>
          <w:szCs w:val="18"/>
        </w:rPr>
        <w:t xml:space="preserve">, slēdzot </w:t>
      </w:r>
      <w:proofErr w:type="spellStart"/>
      <w:r w:rsidRPr="00CD1EC4">
        <w:rPr>
          <w:bCs/>
          <w:sz w:val="18"/>
          <w:szCs w:val="18"/>
        </w:rPr>
        <w:t>Elektrum</w:t>
      </w:r>
      <w:proofErr w:type="spellEnd"/>
      <w:r w:rsidRPr="00CD1EC4">
        <w:rPr>
          <w:bCs/>
          <w:sz w:val="18"/>
          <w:szCs w:val="18"/>
        </w:rPr>
        <w:t xml:space="preserve"> </w:t>
      </w:r>
      <w:r w:rsidRPr="00CD1EC4">
        <w:rPr>
          <w:sz w:val="18"/>
          <w:szCs w:val="18"/>
        </w:rPr>
        <w:t>līgumu, kas stājas spēkā no 2024.</w:t>
      </w:r>
      <w:r>
        <w:rPr>
          <w:sz w:val="18"/>
          <w:szCs w:val="18"/>
        </w:rPr>
        <w:t> </w:t>
      </w:r>
      <w:r w:rsidRPr="00CD1EC4">
        <w:rPr>
          <w:sz w:val="18"/>
          <w:szCs w:val="18"/>
        </w:rPr>
        <w:t>gada 1.</w:t>
      </w:r>
      <w:r>
        <w:rPr>
          <w:sz w:val="18"/>
          <w:szCs w:val="18"/>
        </w:rPr>
        <w:t> </w:t>
      </w:r>
      <w:r w:rsidRPr="00CD1EC4">
        <w:rPr>
          <w:sz w:val="18"/>
          <w:szCs w:val="18"/>
        </w:rPr>
        <w:t>augusta</w:t>
      </w:r>
      <w:r>
        <w:rPr>
          <w:sz w:val="18"/>
          <w:szCs w:val="18"/>
        </w:rPr>
        <w:t xml:space="preserve"> </w:t>
      </w:r>
    </w:p>
    <w:p w14:paraId="76D47100" w14:textId="77777777" w:rsidR="00CD1EC4" w:rsidRDefault="00CD1EC4" w:rsidP="00A6752A">
      <w:pPr>
        <w:ind w:firstLine="709"/>
        <w:jc w:val="both"/>
        <w:rPr>
          <w:b/>
          <w:bCs/>
          <w:szCs w:val="24"/>
        </w:rPr>
      </w:pPr>
    </w:p>
    <w:p w14:paraId="2DE3AA49" w14:textId="77777777" w:rsidR="00183B22" w:rsidRDefault="00183B22" w:rsidP="00A6752A">
      <w:pPr>
        <w:spacing w:after="120"/>
        <w:jc w:val="center"/>
        <w:rPr>
          <w:rFonts w:cs="Times New Roman"/>
          <w:sz w:val="20"/>
        </w:rPr>
      </w:pPr>
    </w:p>
    <w:p w14:paraId="1FCE00D7" w14:textId="77777777" w:rsidR="00183B22" w:rsidRDefault="00183B22" w:rsidP="00A6752A">
      <w:pPr>
        <w:spacing w:after="120"/>
        <w:jc w:val="center"/>
        <w:rPr>
          <w:rFonts w:cs="Times New Roman"/>
          <w:sz w:val="20"/>
        </w:rPr>
      </w:pPr>
    </w:p>
    <w:p w14:paraId="76D08E73" w14:textId="3DF505F1" w:rsidR="00CD1EC4" w:rsidRDefault="006F5E64" w:rsidP="00A6752A">
      <w:pPr>
        <w:spacing w:after="120"/>
        <w:jc w:val="center"/>
        <w:rPr>
          <w:sz w:val="20"/>
          <w:szCs w:val="20"/>
          <w:vertAlign w:val="superscript"/>
        </w:rPr>
      </w:pPr>
      <w:r>
        <w:rPr>
          <w:rFonts w:cs="Times New Roman"/>
          <w:sz w:val="20"/>
        </w:rPr>
        <w:lastRenderedPageBreak/>
        <w:t>2</w:t>
      </w:r>
      <w:r w:rsidR="00725CD9">
        <w:rPr>
          <w:rFonts w:cs="Times New Roman"/>
          <w:sz w:val="20"/>
        </w:rPr>
        <w:t>2</w:t>
      </w:r>
      <w:r w:rsidR="008F00A8" w:rsidRPr="008F00A8">
        <w:rPr>
          <w:bCs/>
          <w:sz w:val="20"/>
          <w:szCs w:val="20"/>
        </w:rPr>
        <w:t>.tab.</w:t>
      </w:r>
      <w:r w:rsidR="008F00A8" w:rsidRPr="008F00A8">
        <w:rPr>
          <w:b/>
          <w:sz w:val="20"/>
          <w:szCs w:val="20"/>
        </w:rPr>
        <w:t xml:space="preserve"> </w:t>
      </w:r>
      <w:r w:rsidR="00CD1EC4" w:rsidRPr="00CD1EC4">
        <w:rPr>
          <w:b/>
          <w:bCs/>
          <w:sz w:val="20"/>
          <w:szCs w:val="20"/>
        </w:rPr>
        <w:t xml:space="preserve">AN un tam piemērojamā PVN daļa mājsaimniecībai, kura gadā </w:t>
      </w:r>
      <w:r w:rsidR="00CD1EC4" w:rsidRPr="00CD1EC4">
        <w:rPr>
          <w:b/>
          <w:bCs/>
          <w:sz w:val="20"/>
          <w:szCs w:val="20"/>
          <w:u w:val="single"/>
        </w:rPr>
        <w:t xml:space="preserve">ēdiena gatavošanai </w:t>
      </w:r>
      <w:r w:rsidR="00CD1EC4" w:rsidRPr="00CD1EC4">
        <w:rPr>
          <w:b/>
          <w:bCs/>
          <w:sz w:val="20"/>
          <w:szCs w:val="20"/>
        </w:rPr>
        <w:t>patērē 50 m</w:t>
      </w:r>
      <w:r w:rsidR="00CD1EC4" w:rsidRPr="00CD1EC4">
        <w:rPr>
          <w:b/>
          <w:bCs/>
          <w:sz w:val="20"/>
          <w:szCs w:val="20"/>
          <w:vertAlign w:val="superscript"/>
        </w:rPr>
        <w:t>3</w:t>
      </w:r>
      <w:r w:rsidR="00CD1EC4" w:rsidRPr="00CD1EC4">
        <w:rPr>
          <w:b/>
          <w:bCs/>
          <w:sz w:val="20"/>
          <w:szCs w:val="20"/>
        </w:rPr>
        <w:t xml:space="preserve"> dabasgāzes</w:t>
      </w:r>
      <w:r w:rsidR="00BD1C1A" w:rsidRPr="00A6752A">
        <w:rPr>
          <w:sz w:val="20"/>
          <w:szCs w:val="20"/>
          <w:vertAlign w:val="superscript"/>
        </w:rPr>
        <w:t>*</w:t>
      </w:r>
    </w:p>
    <w:tbl>
      <w:tblPr>
        <w:tblStyle w:val="TableGrid"/>
        <w:tblW w:w="0" w:type="auto"/>
        <w:tblLook w:val="04A0" w:firstRow="1" w:lastRow="0" w:firstColumn="1" w:lastColumn="0" w:noHBand="0" w:noVBand="1"/>
      </w:tblPr>
      <w:tblGrid>
        <w:gridCol w:w="4531"/>
        <w:gridCol w:w="1418"/>
        <w:gridCol w:w="1417"/>
        <w:gridCol w:w="1696"/>
      </w:tblGrid>
      <w:tr w:rsidR="00962F7B" w14:paraId="044F5FA6" w14:textId="77777777" w:rsidTr="00962F7B">
        <w:tc>
          <w:tcPr>
            <w:tcW w:w="4531" w:type="dxa"/>
            <w:tcBorders>
              <w:bottom w:val="single" w:sz="4" w:space="0" w:color="auto"/>
              <w:right w:val="single" w:sz="4" w:space="0" w:color="FFFFFF" w:themeColor="background1"/>
            </w:tcBorders>
            <w:shd w:val="clear" w:color="auto" w:fill="002060"/>
          </w:tcPr>
          <w:p w14:paraId="7F10CB7B" w14:textId="77777777" w:rsidR="00962F7B" w:rsidRDefault="00962F7B" w:rsidP="00962F7B">
            <w:pPr>
              <w:jc w:val="center"/>
              <w:rPr>
                <w:bCs/>
                <w:sz w:val="20"/>
                <w:szCs w:val="20"/>
              </w:rPr>
            </w:pPr>
          </w:p>
        </w:tc>
        <w:tc>
          <w:tcPr>
            <w:tcW w:w="1418" w:type="dxa"/>
            <w:tcBorders>
              <w:left w:val="single" w:sz="4" w:space="0" w:color="FFFFFF" w:themeColor="background1"/>
              <w:bottom w:val="single" w:sz="4" w:space="0" w:color="auto"/>
              <w:right w:val="single" w:sz="4" w:space="0" w:color="FFFFFF" w:themeColor="background1"/>
            </w:tcBorders>
            <w:shd w:val="clear" w:color="auto" w:fill="002060"/>
          </w:tcPr>
          <w:p w14:paraId="425B20D9" w14:textId="4E85BE15" w:rsidR="00962F7B" w:rsidRDefault="00962F7B" w:rsidP="00962F7B">
            <w:pPr>
              <w:jc w:val="center"/>
              <w:rPr>
                <w:bCs/>
                <w:sz w:val="20"/>
                <w:szCs w:val="20"/>
              </w:rPr>
            </w:pPr>
            <w:r w:rsidRPr="00CD1EC4">
              <w:rPr>
                <w:b/>
                <w:bCs/>
                <w:color w:val="FFFFFF" w:themeColor="background1"/>
                <w:sz w:val="20"/>
                <w:szCs w:val="20"/>
              </w:rPr>
              <w:t>2024</w:t>
            </w:r>
          </w:p>
        </w:tc>
        <w:tc>
          <w:tcPr>
            <w:tcW w:w="1417" w:type="dxa"/>
            <w:tcBorders>
              <w:left w:val="single" w:sz="4" w:space="0" w:color="FFFFFF" w:themeColor="background1"/>
              <w:bottom w:val="single" w:sz="4" w:space="0" w:color="auto"/>
              <w:right w:val="single" w:sz="4" w:space="0" w:color="FFFFFF" w:themeColor="background1"/>
            </w:tcBorders>
            <w:shd w:val="clear" w:color="auto" w:fill="002060"/>
          </w:tcPr>
          <w:p w14:paraId="3D0805B7" w14:textId="6F0237AF" w:rsidR="00962F7B" w:rsidRDefault="00962F7B" w:rsidP="00962F7B">
            <w:pPr>
              <w:jc w:val="center"/>
              <w:rPr>
                <w:bCs/>
                <w:sz w:val="20"/>
                <w:szCs w:val="20"/>
              </w:rPr>
            </w:pPr>
            <w:r w:rsidRPr="00CD1EC4">
              <w:rPr>
                <w:b/>
                <w:bCs/>
                <w:color w:val="FFFFFF" w:themeColor="background1"/>
                <w:sz w:val="20"/>
                <w:szCs w:val="20"/>
              </w:rPr>
              <w:t>2025</w:t>
            </w:r>
          </w:p>
        </w:tc>
        <w:tc>
          <w:tcPr>
            <w:tcW w:w="1696" w:type="dxa"/>
            <w:tcBorders>
              <w:left w:val="single" w:sz="4" w:space="0" w:color="FFFFFF" w:themeColor="background1"/>
              <w:bottom w:val="single" w:sz="4" w:space="0" w:color="auto"/>
            </w:tcBorders>
            <w:shd w:val="clear" w:color="auto" w:fill="002060"/>
          </w:tcPr>
          <w:p w14:paraId="77D011FF" w14:textId="385FE742" w:rsidR="00962F7B" w:rsidRDefault="00962F7B" w:rsidP="00962F7B">
            <w:pPr>
              <w:jc w:val="center"/>
              <w:rPr>
                <w:bCs/>
                <w:sz w:val="20"/>
                <w:szCs w:val="20"/>
              </w:rPr>
            </w:pPr>
            <w:r w:rsidRPr="00CD1EC4">
              <w:rPr>
                <w:b/>
                <w:bCs/>
                <w:color w:val="FFFFFF" w:themeColor="background1"/>
                <w:sz w:val="20"/>
                <w:szCs w:val="20"/>
              </w:rPr>
              <w:t>2026</w:t>
            </w:r>
          </w:p>
        </w:tc>
      </w:tr>
      <w:tr w:rsidR="00962F7B" w14:paraId="082BA251" w14:textId="77777777" w:rsidTr="00962F7B">
        <w:tc>
          <w:tcPr>
            <w:tcW w:w="4531" w:type="dxa"/>
            <w:tcBorders>
              <w:bottom w:val="single" w:sz="4" w:space="0" w:color="FFFFFF" w:themeColor="background1"/>
            </w:tcBorders>
          </w:tcPr>
          <w:p w14:paraId="63DDD898" w14:textId="6A60EBCA" w:rsidR="00962F7B" w:rsidRDefault="00962F7B" w:rsidP="00962F7B">
            <w:pPr>
              <w:rPr>
                <w:bCs/>
                <w:sz w:val="20"/>
                <w:szCs w:val="20"/>
              </w:rPr>
            </w:pPr>
            <w:r w:rsidRPr="00CD1EC4">
              <w:rPr>
                <w:b/>
                <w:bCs/>
                <w:sz w:val="20"/>
                <w:szCs w:val="20"/>
              </w:rPr>
              <w:t xml:space="preserve">AN un tam piemērojamā PVN daļa, </w:t>
            </w:r>
            <w:r w:rsidRPr="00CD1EC4">
              <w:rPr>
                <w:bCs/>
                <w:i/>
                <w:iCs/>
                <w:sz w:val="20"/>
                <w:szCs w:val="20"/>
              </w:rPr>
              <w:t>euro gadā</w:t>
            </w:r>
          </w:p>
        </w:tc>
        <w:tc>
          <w:tcPr>
            <w:tcW w:w="1418" w:type="dxa"/>
            <w:tcBorders>
              <w:bottom w:val="single" w:sz="4" w:space="0" w:color="FFFFFF" w:themeColor="background1"/>
            </w:tcBorders>
          </w:tcPr>
          <w:p w14:paraId="50CB1995" w14:textId="07D69CD9" w:rsidR="00962F7B" w:rsidRDefault="00962F7B" w:rsidP="00962F7B">
            <w:pPr>
              <w:jc w:val="center"/>
              <w:rPr>
                <w:bCs/>
                <w:sz w:val="20"/>
                <w:szCs w:val="20"/>
              </w:rPr>
            </w:pPr>
            <w:r w:rsidRPr="00CD1EC4">
              <w:rPr>
                <w:b/>
                <w:bCs/>
                <w:color w:val="C00000"/>
                <w:sz w:val="20"/>
                <w:szCs w:val="20"/>
              </w:rPr>
              <w:t>1,05</w:t>
            </w:r>
          </w:p>
        </w:tc>
        <w:tc>
          <w:tcPr>
            <w:tcW w:w="1417" w:type="dxa"/>
            <w:tcBorders>
              <w:bottom w:val="single" w:sz="4" w:space="0" w:color="FFFFFF" w:themeColor="background1"/>
            </w:tcBorders>
          </w:tcPr>
          <w:p w14:paraId="1AA14538" w14:textId="45CDB182" w:rsidR="00962F7B" w:rsidRDefault="00962F7B" w:rsidP="00962F7B">
            <w:pPr>
              <w:jc w:val="center"/>
              <w:rPr>
                <w:bCs/>
                <w:sz w:val="20"/>
                <w:szCs w:val="20"/>
              </w:rPr>
            </w:pPr>
            <w:r w:rsidRPr="00CD1EC4">
              <w:rPr>
                <w:b/>
                <w:bCs/>
                <w:color w:val="C00000"/>
                <w:sz w:val="20"/>
                <w:szCs w:val="20"/>
              </w:rPr>
              <w:t>2,41</w:t>
            </w:r>
          </w:p>
        </w:tc>
        <w:tc>
          <w:tcPr>
            <w:tcW w:w="1696" w:type="dxa"/>
            <w:tcBorders>
              <w:bottom w:val="single" w:sz="4" w:space="0" w:color="FFFFFF" w:themeColor="background1"/>
            </w:tcBorders>
          </w:tcPr>
          <w:p w14:paraId="37E931E3" w14:textId="17DE2969" w:rsidR="00962F7B" w:rsidRDefault="00962F7B" w:rsidP="00962F7B">
            <w:pPr>
              <w:jc w:val="center"/>
              <w:rPr>
                <w:bCs/>
                <w:sz w:val="20"/>
                <w:szCs w:val="20"/>
              </w:rPr>
            </w:pPr>
            <w:r w:rsidRPr="00CD1EC4">
              <w:rPr>
                <w:b/>
                <w:bCs/>
                <w:color w:val="C00000"/>
                <w:sz w:val="20"/>
                <w:szCs w:val="20"/>
              </w:rPr>
              <w:t>3,78</w:t>
            </w:r>
          </w:p>
        </w:tc>
      </w:tr>
      <w:tr w:rsidR="00962F7B" w14:paraId="730DE063" w14:textId="77777777" w:rsidTr="00962F7B">
        <w:tc>
          <w:tcPr>
            <w:tcW w:w="4531" w:type="dxa"/>
            <w:tcBorders>
              <w:top w:val="single" w:sz="4" w:space="0" w:color="FFFFFF" w:themeColor="background1"/>
            </w:tcBorders>
          </w:tcPr>
          <w:p w14:paraId="1C02F092" w14:textId="57D1350E" w:rsidR="00962F7B" w:rsidRPr="00CD1EC4" w:rsidRDefault="00962F7B" w:rsidP="00962F7B">
            <w:pPr>
              <w:rPr>
                <w:b/>
                <w:bCs/>
                <w:sz w:val="20"/>
                <w:szCs w:val="20"/>
              </w:rPr>
            </w:pPr>
            <w:r w:rsidRPr="00CD1EC4">
              <w:rPr>
                <w:bCs/>
                <w:i/>
                <w:iCs/>
                <w:sz w:val="20"/>
                <w:szCs w:val="20"/>
              </w:rPr>
              <w:t>pieaugums pret 2024.gadu, euro</w:t>
            </w:r>
          </w:p>
        </w:tc>
        <w:tc>
          <w:tcPr>
            <w:tcW w:w="1418" w:type="dxa"/>
            <w:tcBorders>
              <w:top w:val="single" w:sz="4" w:space="0" w:color="FFFFFF" w:themeColor="background1"/>
            </w:tcBorders>
          </w:tcPr>
          <w:p w14:paraId="37D3CFAE" w14:textId="77777777" w:rsidR="00962F7B" w:rsidRPr="00CD1EC4" w:rsidRDefault="00962F7B" w:rsidP="00962F7B">
            <w:pPr>
              <w:jc w:val="center"/>
              <w:rPr>
                <w:b/>
                <w:bCs/>
                <w:color w:val="C00000"/>
                <w:sz w:val="20"/>
                <w:szCs w:val="20"/>
              </w:rPr>
            </w:pPr>
          </w:p>
        </w:tc>
        <w:tc>
          <w:tcPr>
            <w:tcW w:w="1417" w:type="dxa"/>
            <w:tcBorders>
              <w:top w:val="single" w:sz="4" w:space="0" w:color="FFFFFF" w:themeColor="background1"/>
            </w:tcBorders>
          </w:tcPr>
          <w:p w14:paraId="53D31A5B" w14:textId="2AB77885" w:rsidR="00962F7B" w:rsidRPr="00CD1EC4" w:rsidRDefault="00962F7B" w:rsidP="00962F7B">
            <w:pPr>
              <w:jc w:val="right"/>
              <w:rPr>
                <w:b/>
                <w:bCs/>
                <w:color w:val="C00000"/>
                <w:sz w:val="20"/>
                <w:szCs w:val="20"/>
              </w:rPr>
            </w:pPr>
            <w:r w:rsidRPr="00CD1EC4">
              <w:rPr>
                <w:bCs/>
                <w:i/>
                <w:iCs/>
                <w:color w:val="FF0000"/>
                <w:sz w:val="20"/>
                <w:szCs w:val="20"/>
              </w:rPr>
              <w:t>+1,36</w:t>
            </w:r>
          </w:p>
        </w:tc>
        <w:tc>
          <w:tcPr>
            <w:tcW w:w="1696" w:type="dxa"/>
            <w:tcBorders>
              <w:top w:val="single" w:sz="4" w:space="0" w:color="FFFFFF" w:themeColor="background1"/>
            </w:tcBorders>
          </w:tcPr>
          <w:p w14:paraId="64A6EE39" w14:textId="5865B907" w:rsidR="00962F7B" w:rsidRPr="00CD1EC4" w:rsidRDefault="00962F7B" w:rsidP="00962F7B">
            <w:pPr>
              <w:jc w:val="right"/>
              <w:rPr>
                <w:b/>
                <w:bCs/>
                <w:color w:val="C00000"/>
                <w:sz w:val="20"/>
                <w:szCs w:val="20"/>
              </w:rPr>
            </w:pPr>
            <w:r w:rsidRPr="00CD1EC4">
              <w:rPr>
                <w:bCs/>
                <w:i/>
                <w:iCs/>
                <w:color w:val="FF0000"/>
                <w:sz w:val="20"/>
                <w:szCs w:val="20"/>
              </w:rPr>
              <w:t>+2,73</w:t>
            </w:r>
          </w:p>
        </w:tc>
      </w:tr>
    </w:tbl>
    <w:p w14:paraId="60AF45AA" w14:textId="0D1E1BA3" w:rsidR="00A6752A" w:rsidRPr="00CD1EC4" w:rsidRDefault="00A6752A" w:rsidP="00A6752A">
      <w:pPr>
        <w:spacing w:before="120" w:after="120"/>
        <w:ind w:left="142" w:hanging="142"/>
        <w:jc w:val="both"/>
        <w:rPr>
          <w:bCs/>
          <w:sz w:val="18"/>
          <w:szCs w:val="18"/>
        </w:rPr>
      </w:pPr>
      <w:r w:rsidRPr="00A6752A">
        <w:rPr>
          <w:bCs/>
          <w:sz w:val="18"/>
          <w:szCs w:val="18"/>
          <w:vertAlign w:val="superscript"/>
        </w:rPr>
        <w:t>*</w:t>
      </w:r>
      <w:r>
        <w:rPr>
          <w:bCs/>
          <w:sz w:val="18"/>
          <w:szCs w:val="18"/>
          <w:vertAlign w:val="superscript"/>
        </w:rPr>
        <w:t xml:space="preserve"> </w:t>
      </w:r>
      <w:r w:rsidRPr="00CD1EC4">
        <w:rPr>
          <w:b/>
          <w:bCs/>
          <w:sz w:val="18"/>
          <w:szCs w:val="18"/>
        </w:rPr>
        <w:t xml:space="preserve">Informatīvi: </w:t>
      </w:r>
      <w:r w:rsidRPr="00CD1EC4">
        <w:rPr>
          <w:sz w:val="18"/>
          <w:szCs w:val="18"/>
        </w:rPr>
        <w:t xml:space="preserve">Dabasgāzes cenas </w:t>
      </w:r>
      <w:r>
        <w:rPr>
          <w:bCs/>
          <w:sz w:val="18"/>
          <w:szCs w:val="18"/>
        </w:rPr>
        <w:t>v</w:t>
      </w:r>
      <w:r w:rsidRPr="00CD1EC4">
        <w:rPr>
          <w:bCs/>
          <w:sz w:val="18"/>
          <w:szCs w:val="18"/>
        </w:rPr>
        <w:t xml:space="preserve">irtuvei </w:t>
      </w:r>
      <w:r w:rsidRPr="00CD1EC4">
        <w:rPr>
          <w:sz w:val="18"/>
          <w:szCs w:val="18"/>
        </w:rPr>
        <w:t>(bez akcīzes nodokļa un PVN)</w:t>
      </w:r>
      <w:r w:rsidR="00BD1C1A">
        <w:rPr>
          <w:sz w:val="18"/>
          <w:szCs w:val="18"/>
        </w:rPr>
        <w:t xml:space="preserve"> </w:t>
      </w:r>
      <w:r w:rsidR="00BD1C1A" w:rsidRPr="00CD1EC4">
        <w:rPr>
          <w:b/>
          <w:sz w:val="18"/>
          <w:szCs w:val="18"/>
        </w:rPr>
        <w:t>0</w:t>
      </w:r>
      <w:r w:rsidR="00BD1C1A">
        <w:rPr>
          <w:b/>
          <w:sz w:val="18"/>
          <w:szCs w:val="18"/>
        </w:rPr>
        <w:t>,</w:t>
      </w:r>
      <w:r w:rsidR="00BD1C1A" w:rsidRPr="00CD1EC4">
        <w:rPr>
          <w:b/>
          <w:sz w:val="18"/>
          <w:szCs w:val="18"/>
        </w:rPr>
        <w:t>05900</w:t>
      </w:r>
      <w:r w:rsidR="00BD1C1A" w:rsidRPr="00CD1EC4">
        <w:rPr>
          <w:bCs/>
          <w:sz w:val="18"/>
          <w:szCs w:val="18"/>
        </w:rPr>
        <w:t> </w:t>
      </w:r>
      <w:r w:rsidR="00BD1C1A" w:rsidRPr="00CD1EC4">
        <w:rPr>
          <w:bCs/>
          <w:i/>
          <w:iCs/>
          <w:sz w:val="18"/>
          <w:szCs w:val="18"/>
        </w:rPr>
        <w:t>EUR/</w:t>
      </w:r>
      <w:proofErr w:type="spellStart"/>
      <w:r w:rsidR="00BD1C1A" w:rsidRPr="00CD1EC4">
        <w:rPr>
          <w:bCs/>
          <w:i/>
          <w:iCs/>
          <w:sz w:val="18"/>
          <w:szCs w:val="18"/>
        </w:rPr>
        <w:t>kWh</w:t>
      </w:r>
      <w:proofErr w:type="spellEnd"/>
      <w:r w:rsidRPr="00CD1EC4">
        <w:rPr>
          <w:sz w:val="18"/>
          <w:szCs w:val="18"/>
        </w:rPr>
        <w:t xml:space="preserve">, slēdzot </w:t>
      </w:r>
      <w:proofErr w:type="spellStart"/>
      <w:r w:rsidRPr="00CD1EC4">
        <w:rPr>
          <w:bCs/>
          <w:sz w:val="18"/>
          <w:szCs w:val="18"/>
        </w:rPr>
        <w:t>Elektrum</w:t>
      </w:r>
      <w:proofErr w:type="spellEnd"/>
      <w:r w:rsidRPr="00CD1EC4">
        <w:rPr>
          <w:bCs/>
          <w:sz w:val="18"/>
          <w:szCs w:val="18"/>
        </w:rPr>
        <w:t xml:space="preserve"> </w:t>
      </w:r>
      <w:r w:rsidRPr="00CD1EC4">
        <w:rPr>
          <w:sz w:val="18"/>
          <w:szCs w:val="18"/>
        </w:rPr>
        <w:t>līgumu, kas stājas spēkā no 2024.</w:t>
      </w:r>
      <w:r>
        <w:rPr>
          <w:sz w:val="18"/>
          <w:szCs w:val="18"/>
        </w:rPr>
        <w:t> </w:t>
      </w:r>
      <w:r w:rsidRPr="00CD1EC4">
        <w:rPr>
          <w:sz w:val="18"/>
          <w:szCs w:val="18"/>
        </w:rPr>
        <w:t>gada 1.</w:t>
      </w:r>
      <w:r>
        <w:rPr>
          <w:sz w:val="18"/>
          <w:szCs w:val="18"/>
        </w:rPr>
        <w:t> </w:t>
      </w:r>
      <w:r w:rsidRPr="00CD1EC4">
        <w:rPr>
          <w:sz w:val="18"/>
          <w:szCs w:val="18"/>
        </w:rPr>
        <w:t>augusta</w:t>
      </w:r>
    </w:p>
    <w:p w14:paraId="0C13F155" w14:textId="02C65FCA" w:rsidR="00BD1C1A" w:rsidRPr="00BD1C1A" w:rsidRDefault="00A6752A" w:rsidP="002111E5">
      <w:pPr>
        <w:spacing w:after="120"/>
        <w:jc w:val="center"/>
        <w:rPr>
          <w:b/>
          <w:bCs/>
          <w:color w:val="000000" w:themeColor="text1"/>
          <w:sz w:val="20"/>
          <w:szCs w:val="20"/>
          <w:shd w:val="clear" w:color="auto" w:fill="FFFFFF"/>
        </w:rPr>
      </w:pPr>
      <w:r w:rsidRPr="00CD1EC4">
        <w:rPr>
          <w:bCs/>
          <w:sz w:val="18"/>
          <w:szCs w:val="18"/>
        </w:rPr>
        <w:br/>
      </w:r>
      <w:r w:rsidR="002111E5">
        <w:rPr>
          <w:color w:val="000000" w:themeColor="text1"/>
          <w:sz w:val="20"/>
          <w:szCs w:val="20"/>
          <w:shd w:val="clear" w:color="auto" w:fill="FFFFFF"/>
        </w:rPr>
        <w:t>6</w:t>
      </w:r>
      <w:r w:rsidR="00BD1C1A" w:rsidRPr="00CD1EC4">
        <w:rPr>
          <w:color w:val="000000" w:themeColor="text1"/>
          <w:sz w:val="20"/>
          <w:szCs w:val="20"/>
          <w:shd w:val="clear" w:color="auto" w:fill="FFFFFF"/>
        </w:rPr>
        <w:t>.att.</w:t>
      </w:r>
      <w:r w:rsidR="00BD1C1A">
        <w:rPr>
          <w:b/>
          <w:bCs/>
          <w:color w:val="000000" w:themeColor="text1"/>
          <w:sz w:val="20"/>
          <w:szCs w:val="20"/>
          <w:shd w:val="clear" w:color="auto" w:fill="FFFFFF"/>
        </w:rPr>
        <w:t xml:space="preserve"> </w:t>
      </w:r>
      <w:r w:rsidR="00BD1C1A" w:rsidRPr="00BD1C1A">
        <w:rPr>
          <w:b/>
          <w:bCs/>
          <w:color w:val="000000" w:themeColor="text1"/>
          <w:sz w:val="20"/>
          <w:szCs w:val="20"/>
          <w:shd w:val="clear" w:color="auto" w:fill="FFFFFF"/>
        </w:rPr>
        <w:t xml:space="preserve">Dabasgāzes cenas komponentes (siltumam), </w:t>
      </w:r>
      <w:r w:rsidR="00BD1C1A" w:rsidRPr="00BD1C1A">
        <w:rPr>
          <w:i/>
          <w:iCs/>
          <w:color w:val="000000" w:themeColor="text1"/>
          <w:sz w:val="20"/>
          <w:szCs w:val="20"/>
          <w:shd w:val="clear" w:color="auto" w:fill="FFFFFF"/>
        </w:rPr>
        <w:t>euro/</w:t>
      </w:r>
      <w:proofErr w:type="spellStart"/>
      <w:r w:rsidR="00BD1C1A" w:rsidRPr="00BD1C1A">
        <w:rPr>
          <w:i/>
          <w:iCs/>
          <w:color w:val="000000" w:themeColor="text1"/>
          <w:sz w:val="20"/>
          <w:szCs w:val="20"/>
          <w:shd w:val="clear" w:color="auto" w:fill="FFFFFF"/>
        </w:rPr>
        <w:t>kWh</w:t>
      </w:r>
      <w:proofErr w:type="spellEnd"/>
    </w:p>
    <w:p w14:paraId="54088620" w14:textId="4694FB92" w:rsidR="00CD1EC4" w:rsidRDefault="00CD1EC4" w:rsidP="00BD1C1A">
      <w:pPr>
        <w:spacing w:after="120"/>
        <w:jc w:val="both"/>
        <w:rPr>
          <w:bCs/>
          <w:szCs w:val="24"/>
        </w:rPr>
      </w:pPr>
      <w:r w:rsidRPr="00CD1EC4">
        <w:rPr>
          <w:bCs/>
          <w:noProof/>
          <w:szCs w:val="24"/>
          <w:shd w:val="clear" w:color="auto" w:fill="002060"/>
        </w:rPr>
        <w:drawing>
          <wp:inline distT="0" distB="0" distL="0" distR="0" wp14:anchorId="5C83E84E" wp14:editId="4E5A7881">
            <wp:extent cx="5787390" cy="2094119"/>
            <wp:effectExtent l="0" t="0" r="3810" b="1905"/>
            <wp:docPr id="926501355" name="Chart 1">
              <a:extLst xmlns:a="http://schemas.openxmlformats.org/drawingml/2006/main">
                <a:ext uri="{FF2B5EF4-FFF2-40B4-BE49-F238E27FC236}">
                  <a16:creationId xmlns:a16="http://schemas.microsoft.com/office/drawing/2014/main" id="{268AD178-14C3-945B-8641-2DE8596DC4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ABD04E1" w14:textId="77777777" w:rsidR="00962F7B" w:rsidRDefault="00962F7B" w:rsidP="00962F7B">
      <w:pPr>
        <w:jc w:val="center"/>
        <w:rPr>
          <w:rFonts w:cs="Times New Roman"/>
          <w:sz w:val="20"/>
        </w:rPr>
      </w:pPr>
    </w:p>
    <w:p w14:paraId="01DF0ACD" w14:textId="059BB643" w:rsidR="007315C0" w:rsidRPr="002E0A09" w:rsidRDefault="006F5E64" w:rsidP="007315C0">
      <w:pPr>
        <w:spacing w:after="120"/>
        <w:jc w:val="center"/>
        <w:rPr>
          <w:rFonts w:cs="Times New Roman"/>
          <w:sz w:val="20"/>
        </w:rPr>
      </w:pPr>
      <w:r w:rsidRPr="006F5E64">
        <w:rPr>
          <w:rFonts w:cs="Times New Roman"/>
          <w:sz w:val="20"/>
        </w:rPr>
        <w:t>2</w:t>
      </w:r>
      <w:r w:rsidR="00725CD9">
        <w:rPr>
          <w:rFonts w:cs="Times New Roman"/>
          <w:sz w:val="20"/>
        </w:rPr>
        <w:t>3</w:t>
      </w:r>
      <w:r w:rsidR="007315C0" w:rsidRPr="006F5E64">
        <w:rPr>
          <w:rFonts w:cs="Times New Roman"/>
          <w:sz w:val="20"/>
        </w:rPr>
        <w:t>.tab</w:t>
      </w:r>
      <w:r w:rsidR="007315C0" w:rsidRPr="002E0A09">
        <w:rPr>
          <w:rFonts w:cs="Times New Roman"/>
          <w:bCs/>
          <w:sz w:val="20"/>
        </w:rPr>
        <w:t>.</w:t>
      </w:r>
      <w:r w:rsidR="007315C0" w:rsidRPr="002E0A09">
        <w:rPr>
          <w:rFonts w:cs="Times New Roman"/>
          <w:b/>
          <w:sz w:val="20"/>
        </w:rPr>
        <w:t xml:space="preserve"> Priekšlikuma indikatīva fiskālā ietekme</w:t>
      </w:r>
      <w:r w:rsidR="007315C0" w:rsidRPr="002E0A09">
        <w:rPr>
          <w:rFonts w:cs="Times New Roman"/>
          <w:bCs/>
          <w:sz w:val="20"/>
        </w:rPr>
        <w:t>,</w:t>
      </w:r>
      <w:r w:rsidR="007315C0" w:rsidRPr="002E0A09">
        <w:rPr>
          <w:rFonts w:cs="Times New Roman"/>
          <w:bCs/>
          <w:i/>
          <w:iCs/>
          <w:sz w:val="20"/>
        </w:rPr>
        <w:t> euro</w:t>
      </w:r>
    </w:p>
    <w:tbl>
      <w:tblPr>
        <w:tblStyle w:val="TableGrid"/>
        <w:tblW w:w="9209" w:type="dxa"/>
        <w:tblInd w:w="5" w:type="dxa"/>
        <w:tblLook w:val="04A0" w:firstRow="1" w:lastRow="0" w:firstColumn="1" w:lastColumn="0" w:noHBand="0" w:noVBand="1"/>
      </w:tblPr>
      <w:tblGrid>
        <w:gridCol w:w="3672"/>
        <w:gridCol w:w="1376"/>
        <w:gridCol w:w="1375"/>
        <w:gridCol w:w="1375"/>
        <w:gridCol w:w="1411"/>
      </w:tblGrid>
      <w:tr w:rsidR="007315C0" w:rsidRPr="00D738ED" w14:paraId="0E43CFFD" w14:textId="77777777" w:rsidTr="00194F94">
        <w:tc>
          <w:tcPr>
            <w:tcW w:w="3672" w:type="dxa"/>
            <w:tcBorders>
              <w:top w:val="nil"/>
              <w:left w:val="nil"/>
              <w:bottom w:val="single" w:sz="8" w:space="0" w:color="auto"/>
              <w:right w:val="nil"/>
            </w:tcBorders>
            <w:shd w:val="clear" w:color="auto" w:fill="FFFFFF" w:themeFill="background1"/>
          </w:tcPr>
          <w:p w14:paraId="64AE07BA" w14:textId="77777777" w:rsidR="007315C0" w:rsidRPr="00C11875" w:rsidRDefault="007315C0" w:rsidP="00005BE2">
            <w:pPr>
              <w:pStyle w:val="ListParagraph"/>
              <w:ind w:left="0"/>
              <w:contextualSpacing w:val="0"/>
              <w:jc w:val="center"/>
              <w:rPr>
                <w:b/>
                <w:bCs/>
                <w:sz w:val="20"/>
                <w:szCs w:val="20"/>
              </w:rPr>
            </w:pPr>
          </w:p>
        </w:tc>
        <w:tc>
          <w:tcPr>
            <w:tcW w:w="1376" w:type="dxa"/>
            <w:tcBorders>
              <w:top w:val="nil"/>
              <w:left w:val="nil"/>
              <w:bottom w:val="single" w:sz="8" w:space="0" w:color="auto"/>
              <w:right w:val="nil"/>
            </w:tcBorders>
            <w:shd w:val="clear" w:color="auto" w:fill="FFFFFF" w:themeFill="background1"/>
            <w:vAlign w:val="bottom"/>
          </w:tcPr>
          <w:p w14:paraId="036B5FB1" w14:textId="77777777" w:rsidR="007315C0" w:rsidRPr="00C11875" w:rsidRDefault="007315C0" w:rsidP="00005BE2">
            <w:pPr>
              <w:pStyle w:val="ListParagraph"/>
              <w:ind w:left="0"/>
              <w:contextualSpacing w:val="0"/>
              <w:jc w:val="center"/>
              <w:rPr>
                <w:b/>
                <w:bCs/>
                <w:sz w:val="20"/>
                <w:szCs w:val="20"/>
              </w:rPr>
            </w:pPr>
            <w:r w:rsidRPr="00C11875">
              <w:rPr>
                <w:b/>
                <w:bCs/>
                <w:sz w:val="20"/>
                <w:szCs w:val="20"/>
              </w:rPr>
              <w:t>2025</w:t>
            </w:r>
          </w:p>
        </w:tc>
        <w:tc>
          <w:tcPr>
            <w:tcW w:w="1375" w:type="dxa"/>
            <w:tcBorders>
              <w:top w:val="nil"/>
              <w:left w:val="nil"/>
              <w:bottom w:val="single" w:sz="8" w:space="0" w:color="auto"/>
              <w:right w:val="nil"/>
            </w:tcBorders>
            <w:shd w:val="clear" w:color="auto" w:fill="FFFFFF" w:themeFill="background1"/>
            <w:vAlign w:val="bottom"/>
          </w:tcPr>
          <w:p w14:paraId="4942A9BF" w14:textId="77777777" w:rsidR="007315C0" w:rsidRPr="00C11875" w:rsidRDefault="007315C0" w:rsidP="00005BE2">
            <w:pPr>
              <w:pStyle w:val="ListParagraph"/>
              <w:ind w:left="0"/>
              <w:contextualSpacing w:val="0"/>
              <w:jc w:val="center"/>
              <w:rPr>
                <w:b/>
                <w:bCs/>
                <w:sz w:val="20"/>
                <w:szCs w:val="20"/>
              </w:rPr>
            </w:pPr>
            <w:r w:rsidRPr="00C11875">
              <w:rPr>
                <w:b/>
                <w:bCs/>
                <w:sz w:val="20"/>
                <w:szCs w:val="20"/>
              </w:rPr>
              <w:t>2026</w:t>
            </w:r>
          </w:p>
        </w:tc>
        <w:tc>
          <w:tcPr>
            <w:tcW w:w="1375" w:type="dxa"/>
            <w:tcBorders>
              <w:top w:val="nil"/>
              <w:left w:val="nil"/>
              <w:bottom w:val="single" w:sz="8" w:space="0" w:color="auto"/>
              <w:right w:val="nil"/>
            </w:tcBorders>
            <w:shd w:val="clear" w:color="auto" w:fill="FFFFFF" w:themeFill="background1"/>
            <w:vAlign w:val="bottom"/>
          </w:tcPr>
          <w:p w14:paraId="1D76D0D1" w14:textId="77777777" w:rsidR="007315C0" w:rsidRPr="00C11875" w:rsidRDefault="007315C0" w:rsidP="00005BE2">
            <w:pPr>
              <w:pStyle w:val="ListParagraph"/>
              <w:ind w:left="0"/>
              <w:contextualSpacing w:val="0"/>
              <w:jc w:val="center"/>
              <w:rPr>
                <w:b/>
                <w:bCs/>
                <w:sz w:val="20"/>
                <w:szCs w:val="20"/>
              </w:rPr>
            </w:pPr>
            <w:r w:rsidRPr="00C11875">
              <w:rPr>
                <w:b/>
                <w:bCs/>
                <w:sz w:val="20"/>
                <w:szCs w:val="20"/>
              </w:rPr>
              <w:t>2027</w:t>
            </w:r>
          </w:p>
        </w:tc>
        <w:tc>
          <w:tcPr>
            <w:tcW w:w="1411" w:type="dxa"/>
            <w:tcBorders>
              <w:top w:val="nil"/>
              <w:left w:val="nil"/>
              <w:bottom w:val="single" w:sz="8" w:space="0" w:color="auto"/>
              <w:right w:val="nil"/>
            </w:tcBorders>
            <w:shd w:val="clear" w:color="auto" w:fill="FFFFFF" w:themeFill="background1"/>
          </w:tcPr>
          <w:p w14:paraId="72359FE4" w14:textId="77777777" w:rsidR="007315C0" w:rsidRPr="00C11875" w:rsidRDefault="007315C0" w:rsidP="00005BE2">
            <w:pPr>
              <w:pStyle w:val="ListParagraph"/>
              <w:ind w:left="0"/>
              <w:contextualSpacing w:val="0"/>
              <w:jc w:val="center"/>
              <w:rPr>
                <w:b/>
                <w:bCs/>
                <w:sz w:val="20"/>
                <w:szCs w:val="20"/>
              </w:rPr>
            </w:pPr>
            <w:r w:rsidRPr="00C11875">
              <w:rPr>
                <w:b/>
                <w:bCs/>
                <w:sz w:val="20"/>
                <w:szCs w:val="20"/>
              </w:rPr>
              <w:t>2028</w:t>
            </w:r>
          </w:p>
        </w:tc>
      </w:tr>
      <w:tr w:rsidR="00194F94" w:rsidRPr="00F53BA5" w14:paraId="12EF488F" w14:textId="77777777" w:rsidTr="00194F94">
        <w:tc>
          <w:tcPr>
            <w:tcW w:w="3672" w:type="dxa"/>
            <w:tcBorders>
              <w:top w:val="single" w:sz="8" w:space="0" w:color="auto"/>
              <w:left w:val="nil"/>
              <w:bottom w:val="single" w:sz="4" w:space="0" w:color="auto"/>
            </w:tcBorders>
            <w:shd w:val="clear" w:color="auto" w:fill="FFFFFF" w:themeFill="background1"/>
            <w:vAlign w:val="center"/>
          </w:tcPr>
          <w:p w14:paraId="07B0E893" w14:textId="5B3501FD" w:rsidR="00194F94" w:rsidRPr="002B6702" w:rsidRDefault="00194F94" w:rsidP="00194F94">
            <w:pPr>
              <w:pStyle w:val="ListParagraph"/>
              <w:ind w:left="0"/>
              <w:contextualSpacing w:val="0"/>
              <w:jc w:val="left"/>
              <w:rPr>
                <w:sz w:val="20"/>
                <w:szCs w:val="20"/>
              </w:rPr>
            </w:pPr>
            <w:r w:rsidRPr="002B6702">
              <w:rPr>
                <w:sz w:val="20"/>
                <w:szCs w:val="20"/>
              </w:rPr>
              <w:t>AN ieņēmumi</w:t>
            </w:r>
          </w:p>
        </w:tc>
        <w:tc>
          <w:tcPr>
            <w:tcW w:w="1376" w:type="dxa"/>
            <w:tcBorders>
              <w:top w:val="single" w:sz="8" w:space="0" w:color="auto"/>
              <w:bottom w:val="single" w:sz="4" w:space="0" w:color="auto"/>
            </w:tcBorders>
            <w:shd w:val="clear" w:color="auto" w:fill="FFFFFF" w:themeFill="background1"/>
          </w:tcPr>
          <w:p w14:paraId="28D711F1" w14:textId="427DDF1E" w:rsidR="00194F94" w:rsidRPr="00194F94" w:rsidRDefault="00194F94" w:rsidP="00194F94">
            <w:pPr>
              <w:pStyle w:val="ListParagraph"/>
              <w:ind w:left="0"/>
              <w:contextualSpacing w:val="0"/>
              <w:jc w:val="center"/>
              <w:rPr>
                <w:color w:val="00B050"/>
                <w:sz w:val="20"/>
                <w:szCs w:val="20"/>
              </w:rPr>
            </w:pPr>
            <w:r>
              <w:rPr>
                <w:color w:val="00B050"/>
                <w:sz w:val="20"/>
                <w:szCs w:val="20"/>
              </w:rPr>
              <w:t>+</w:t>
            </w:r>
            <w:r w:rsidRPr="00194F94">
              <w:rPr>
                <w:color w:val="00B050"/>
                <w:sz w:val="20"/>
                <w:szCs w:val="20"/>
              </w:rPr>
              <w:t>4</w:t>
            </w:r>
            <w:r w:rsidR="00B77D29">
              <w:rPr>
                <w:color w:val="00B050"/>
                <w:sz w:val="20"/>
                <w:szCs w:val="20"/>
              </w:rPr>
              <w:t> </w:t>
            </w:r>
            <w:r w:rsidRPr="00194F94">
              <w:rPr>
                <w:color w:val="00B050"/>
                <w:sz w:val="20"/>
                <w:szCs w:val="20"/>
              </w:rPr>
              <w:t>391</w:t>
            </w:r>
            <w:r w:rsidR="00B77D29">
              <w:rPr>
                <w:color w:val="00B050"/>
                <w:sz w:val="20"/>
                <w:szCs w:val="20"/>
              </w:rPr>
              <w:t xml:space="preserve"> 000</w:t>
            </w:r>
          </w:p>
        </w:tc>
        <w:tc>
          <w:tcPr>
            <w:tcW w:w="1375" w:type="dxa"/>
            <w:tcBorders>
              <w:top w:val="single" w:sz="8" w:space="0" w:color="auto"/>
              <w:bottom w:val="single" w:sz="4" w:space="0" w:color="auto"/>
            </w:tcBorders>
            <w:shd w:val="clear" w:color="auto" w:fill="FFFFFF" w:themeFill="background1"/>
          </w:tcPr>
          <w:p w14:paraId="5DD8096A" w14:textId="1B946F1B" w:rsidR="00194F94" w:rsidRPr="00194F94" w:rsidRDefault="00194F94" w:rsidP="00194F94">
            <w:pPr>
              <w:pStyle w:val="ListParagraph"/>
              <w:ind w:left="0"/>
              <w:contextualSpacing w:val="0"/>
              <w:jc w:val="center"/>
              <w:rPr>
                <w:color w:val="00B050"/>
                <w:sz w:val="20"/>
                <w:szCs w:val="20"/>
              </w:rPr>
            </w:pPr>
            <w:r>
              <w:rPr>
                <w:color w:val="00B050"/>
                <w:sz w:val="20"/>
                <w:szCs w:val="20"/>
              </w:rPr>
              <w:t>+</w:t>
            </w:r>
            <w:r w:rsidRPr="00194F94">
              <w:rPr>
                <w:color w:val="00B050"/>
                <w:sz w:val="20"/>
                <w:szCs w:val="20"/>
              </w:rPr>
              <w:t>7</w:t>
            </w:r>
            <w:r w:rsidR="00B77D29">
              <w:rPr>
                <w:color w:val="00B050"/>
                <w:sz w:val="20"/>
                <w:szCs w:val="20"/>
              </w:rPr>
              <w:t> </w:t>
            </w:r>
            <w:r w:rsidRPr="00194F94">
              <w:rPr>
                <w:color w:val="00B050"/>
                <w:sz w:val="20"/>
                <w:szCs w:val="20"/>
              </w:rPr>
              <w:t>903</w:t>
            </w:r>
            <w:r w:rsidR="00B77D29">
              <w:rPr>
                <w:color w:val="00B050"/>
                <w:sz w:val="20"/>
                <w:szCs w:val="20"/>
              </w:rPr>
              <w:t xml:space="preserve"> 000</w:t>
            </w:r>
          </w:p>
        </w:tc>
        <w:tc>
          <w:tcPr>
            <w:tcW w:w="1375" w:type="dxa"/>
            <w:tcBorders>
              <w:top w:val="single" w:sz="8" w:space="0" w:color="auto"/>
              <w:bottom w:val="single" w:sz="4" w:space="0" w:color="auto"/>
            </w:tcBorders>
            <w:shd w:val="clear" w:color="auto" w:fill="FFFFFF" w:themeFill="background1"/>
          </w:tcPr>
          <w:p w14:paraId="43EE108F" w14:textId="50D8B0D1" w:rsidR="00194F94" w:rsidRPr="00194F94" w:rsidRDefault="00194F94" w:rsidP="00194F94">
            <w:pPr>
              <w:pStyle w:val="ListParagraph"/>
              <w:ind w:left="0"/>
              <w:contextualSpacing w:val="0"/>
              <w:jc w:val="center"/>
              <w:rPr>
                <w:color w:val="00B050"/>
                <w:sz w:val="20"/>
                <w:szCs w:val="20"/>
              </w:rPr>
            </w:pPr>
            <w:r>
              <w:rPr>
                <w:color w:val="00B050"/>
                <w:sz w:val="20"/>
                <w:szCs w:val="20"/>
              </w:rPr>
              <w:t>+</w:t>
            </w:r>
            <w:r w:rsidRPr="00194F94">
              <w:rPr>
                <w:color w:val="00B050"/>
                <w:sz w:val="20"/>
                <w:szCs w:val="20"/>
              </w:rPr>
              <w:t>11</w:t>
            </w:r>
            <w:r w:rsidR="00B77D29">
              <w:rPr>
                <w:color w:val="00B050"/>
                <w:sz w:val="20"/>
                <w:szCs w:val="20"/>
              </w:rPr>
              <w:t> </w:t>
            </w:r>
            <w:r w:rsidRPr="00194F94">
              <w:rPr>
                <w:color w:val="00B050"/>
                <w:sz w:val="20"/>
                <w:szCs w:val="20"/>
              </w:rPr>
              <w:t>716</w:t>
            </w:r>
            <w:r w:rsidR="00B77D29">
              <w:rPr>
                <w:color w:val="00B050"/>
                <w:sz w:val="20"/>
                <w:szCs w:val="20"/>
              </w:rPr>
              <w:t xml:space="preserve"> 000</w:t>
            </w:r>
          </w:p>
        </w:tc>
        <w:tc>
          <w:tcPr>
            <w:tcW w:w="1411" w:type="dxa"/>
            <w:tcBorders>
              <w:top w:val="single" w:sz="8" w:space="0" w:color="auto"/>
              <w:bottom w:val="single" w:sz="4" w:space="0" w:color="auto"/>
              <w:right w:val="nil"/>
            </w:tcBorders>
            <w:shd w:val="clear" w:color="auto" w:fill="FFFFFF" w:themeFill="background1"/>
          </w:tcPr>
          <w:p w14:paraId="1EFE0AC1" w14:textId="14DE214C" w:rsidR="00194F94" w:rsidRPr="00194F94" w:rsidRDefault="00194F94" w:rsidP="00194F94">
            <w:pPr>
              <w:pStyle w:val="ListParagraph"/>
              <w:ind w:left="0"/>
              <w:contextualSpacing w:val="0"/>
              <w:jc w:val="center"/>
              <w:rPr>
                <w:color w:val="00B050"/>
                <w:sz w:val="20"/>
                <w:szCs w:val="20"/>
              </w:rPr>
            </w:pPr>
            <w:r>
              <w:rPr>
                <w:color w:val="00B050"/>
                <w:sz w:val="20"/>
                <w:szCs w:val="20"/>
              </w:rPr>
              <w:t>+</w:t>
            </w:r>
            <w:r w:rsidRPr="00194F94">
              <w:rPr>
                <w:color w:val="00B050"/>
                <w:sz w:val="20"/>
                <w:szCs w:val="20"/>
              </w:rPr>
              <w:t>12</w:t>
            </w:r>
            <w:r w:rsidR="00B77D29">
              <w:rPr>
                <w:color w:val="00B050"/>
                <w:sz w:val="20"/>
                <w:szCs w:val="20"/>
              </w:rPr>
              <w:t> </w:t>
            </w:r>
            <w:r w:rsidRPr="00194F94">
              <w:rPr>
                <w:color w:val="00B050"/>
                <w:sz w:val="20"/>
                <w:szCs w:val="20"/>
              </w:rPr>
              <w:t>051</w:t>
            </w:r>
            <w:r w:rsidR="00B77D29">
              <w:rPr>
                <w:color w:val="00B050"/>
                <w:sz w:val="20"/>
                <w:szCs w:val="20"/>
              </w:rPr>
              <w:t xml:space="preserve"> 000</w:t>
            </w:r>
          </w:p>
        </w:tc>
      </w:tr>
      <w:tr w:rsidR="00194F94" w:rsidRPr="00F53BA5" w14:paraId="114F4EE8" w14:textId="77777777" w:rsidTr="00194F94">
        <w:tc>
          <w:tcPr>
            <w:tcW w:w="3672" w:type="dxa"/>
            <w:tcBorders>
              <w:top w:val="single" w:sz="4" w:space="0" w:color="auto"/>
              <w:left w:val="nil"/>
              <w:bottom w:val="single" w:sz="4" w:space="0" w:color="auto"/>
            </w:tcBorders>
            <w:shd w:val="clear" w:color="auto" w:fill="FFFFFF" w:themeFill="background1"/>
            <w:vAlign w:val="center"/>
          </w:tcPr>
          <w:p w14:paraId="5A8ECE96" w14:textId="13F5BB17" w:rsidR="00194F94" w:rsidRPr="002B6702" w:rsidRDefault="00194F94" w:rsidP="00194F94">
            <w:pPr>
              <w:pStyle w:val="ListParagraph"/>
              <w:ind w:left="0"/>
              <w:contextualSpacing w:val="0"/>
              <w:jc w:val="left"/>
              <w:rPr>
                <w:sz w:val="20"/>
                <w:szCs w:val="20"/>
              </w:rPr>
            </w:pPr>
            <w:r w:rsidRPr="002B6702">
              <w:rPr>
                <w:sz w:val="20"/>
                <w:szCs w:val="20"/>
              </w:rPr>
              <w:t>PVN ieņēmumi</w:t>
            </w:r>
          </w:p>
        </w:tc>
        <w:tc>
          <w:tcPr>
            <w:tcW w:w="1376" w:type="dxa"/>
            <w:tcBorders>
              <w:top w:val="single" w:sz="4" w:space="0" w:color="auto"/>
              <w:bottom w:val="single" w:sz="4" w:space="0" w:color="auto"/>
            </w:tcBorders>
            <w:shd w:val="clear" w:color="auto" w:fill="FFFFFF" w:themeFill="background1"/>
          </w:tcPr>
          <w:p w14:paraId="33983ABE" w14:textId="282DCAC8" w:rsidR="00194F94" w:rsidRPr="00194F94" w:rsidRDefault="00194F94" w:rsidP="00194F94">
            <w:pPr>
              <w:pStyle w:val="ListParagraph"/>
              <w:ind w:left="0"/>
              <w:contextualSpacing w:val="0"/>
              <w:jc w:val="center"/>
              <w:rPr>
                <w:color w:val="00B050"/>
                <w:sz w:val="20"/>
                <w:szCs w:val="20"/>
              </w:rPr>
            </w:pPr>
            <w:r>
              <w:rPr>
                <w:color w:val="00B050"/>
                <w:sz w:val="20"/>
                <w:szCs w:val="20"/>
              </w:rPr>
              <w:t>+</w:t>
            </w:r>
            <w:r w:rsidRPr="00194F94">
              <w:rPr>
                <w:color w:val="00B050"/>
                <w:sz w:val="20"/>
                <w:szCs w:val="20"/>
              </w:rPr>
              <w:t>922</w:t>
            </w:r>
            <w:r w:rsidR="00B77D29">
              <w:rPr>
                <w:color w:val="00B050"/>
                <w:sz w:val="20"/>
                <w:szCs w:val="20"/>
              </w:rPr>
              <w:t xml:space="preserve"> 000</w:t>
            </w:r>
          </w:p>
        </w:tc>
        <w:tc>
          <w:tcPr>
            <w:tcW w:w="1375" w:type="dxa"/>
            <w:tcBorders>
              <w:top w:val="single" w:sz="4" w:space="0" w:color="auto"/>
              <w:bottom w:val="single" w:sz="4" w:space="0" w:color="auto"/>
            </w:tcBorders>
            <w:shd w:val="clear" w:color="auto" w:fill="FFFFFF" w:themeFill="background1"/>
          </w:tcPr>
          <w:p w14:paraId="7212543A" w14:textId="44D84BC4" w:rsidR="00194F94" w:rsidRPr="00194F94" w:rsidRDefault="00194F94" w:rsidP="00194F94">
            <w:pPr>
              <w:pStyle w:val="ListParagraph"/>
              <w:ind w:left="0"/>
              <w:contextualSpacing w:val="0"/>
              <w:jc w:val="center"/>
              <w:rPr>
                <w:color w:val="00B050"/>
                <w:sz w:val="20"/>
                <w:szCs w:val="20"/>
              </w:rPr>
            </w:pPr>
            <w:r>
              <w:rPr>
                <w:color w:val="00B050"/>
                <w:sz w:val="20"/>
                <w:szCs w:val="20"/>
              </w:rPr>
              <w:t>+</w:t>
            </w:r>
            <w:r w:rsidRPr="00194F94">
              <w:rPr>
                <w:color w:val="00B050"/>
                <w:sz w:val="20"/>
                <w:szCs w:val="20"/>
              </w:rPr>
              <w:t>1</w:t>
            </w:r>
            <w:r w:rsidR="00B77D29">
              <w:rPr>
                <w:color w:val="00B050"/>
                <w:sz w:val="20"/>
                <w:szCs w:val="20"/>
              </w:rPr>
              <w:t> </w:t>
            </w:r>
            <w:r w:rsidRPr="00194F94">
              <w:rPr>
                <w:color w:val="00B050"/>
                <w:sz w:val="20"/>
                <w:szCs w:val="20"/>
              </w:rPr>
              <w:t>660</w:t>
            </w:r>
            <w:r w:rsidR="00B77D29">
              <w:rPr>
                <w:color w:val="00B050"/>
                <w:sz w:val="20"/>
                <w:szCs w:val="20"/>
              </w:rPr>
              <w:t xml:space="preserve"> 000</w:t>
            </w:r>
          </w:p>
        </w:tc>
        <w:tc>
          <w:tcPr>
            <w:tcW w:w="1375" w:type="dxa"/>
            <w:tcBorders>
              <w:top w:val="single" w:sz="4" w:space="0" w:color="auto"/>
              <w:bottom w:val="single" w:sz="4" w:space="0" w:color="auto"/>
            </w:tcBorders>
            <w:shd w:val="clear" w:color="auto" w:fill="FFFFFF" w:themeFill="background1"/>
          </w:tcPr>
          <w:p w14:paraId="443620AB" w14:textId="06192A9A" w:rsidR="00194F94" w:rsidRPr="00194F94" w:rsidRDefault="00194F94" w:rsidP="00194F94">
            <w:pPr>
              <w:pStyle w:val="ListParagraph"/>
              <w:ind w:left="0"/>
              <w:contextualSpacing w:val="0"/>
              <w:jc w:val="center"/>
              <w:rPr>
                <w:color w:val="00B050"/>
                <w:sz w:val="20"/>
                <w:szCs w:val="20"/>
              </w:rPr>
            </w:pPr>
            <w:r>
              <w:rPr>
                <w:color w:val="00B050"/>
                <w:sz w:val="20"/>
                <w:szCs w:val="20"/>
              </w:rPr>
              <w:t>+</w:t>
            </w:r>
            <w:r w:rsidRPr="00194F94">
              <w:rPr>
                <w:color w:val="00B050"/>
                <w:sz w:val="20"/>
                <w:szCs w:val="20"/>
              </w:rPr>
              <w:t>2</w:t>
            </w:r>
            <w:r w:rsidR="00B77D29">
              <w:rPr>
                <w:color w:val="00B050"/>
                <w:sz w:val="20"/>
                <w:szCs w:val="20"/>
              </w:rPr>
              <w:t> </w:t>
            </w:r>
            <w:r w:rsidRPr="00194F94">
              <w:rPr>
                <w:color w:val="00B050"/>
                <w:sz w:val="20"/>
                <w:szCs w:val="20"/>
              </w:rPr>
              <w:t>461</w:t>
            </w:r>
            <w:r w:rsidR="00B77D29">
              <w:rPr>
                <w:color w:val="00B050"/>
                <w:sz w:val="20"/>
                <w:szCs w:val="20"/>
              </w:rPr>
              <w:t xml:space="preserve"> 000</w:t>
            </w:r>
          </w:p>
        </w:tc>
        <w:tc>
          <w:tcPr>
            <w:tcW w:w="1411" w:type="dxa"/>
            <w:tcBorders>
              <w:top w:val="single" w:sz="4" w:space="0" w:color="auto"/>
              <w:bottom w:val="single" w:sz="4" w:space="0" w:color="auto"/>
              <w:right w:val="nil"/>
            </w:tcBorders>
            <w:shd w:val="clear" w:color="auto" w:fill="FFFFFF" w:themeFill="background1"/>
          </w:tcPr>
          <w:p w14:paraId="6B9013AA" w14:textId="74A4FAC1" w:rsidR="00194F94" w:rsidRPr="00194F94" w:rsidRDefault="00194F94" w:rsidP="00194F94">
            <w:pPr>
              <w:pStyle w:val="ListParagraph"/>
              <w:ind w:left="0"/>
              <w:contextualSpacing w:val="0"/>
              <w:jc w:val="center"/>
              <w:rPr>
                <w:color w:val="00B050"/>
                <w:sz w:val="20"/>
                <w:szCs w:val="20"/>
              </w:rPr>
            </w:pPr>
            <w:r>
              <w:rPr>
                <w:color w:val="00B050"/>
                <w:sz w:val="20"/>
                <w:szCs w:val="20"/>
              </w:rPr>
              <w:t>+</w:t>
            </w:r>
            <w:r w:rsidRPr="00194F94">
              <w:rPr>
                <w:color w:val="00B050"/>
                <w:sz w:val="20"/>
                <w:szCs w:val="20"/>
              </w:rPr>
              <w:t>2</w:t>
            </w:r>
            <w:r w:rsidR="00B77D29">
              <w:rPr>
                <w:color w:val="00B050"/>
                <w:sz w:val="20"/>
                <w:szCs w:val="20"/>
              </w:rPr>
              <w:t> </w:t>
            </w:r>
            <w:r w:rsidRPr="00194F94">
              <w:rPr>
                <w:color w:val="00B050"/>
                <w:sz w:val="20"/>
                <w:szCs w:val="20"/>
              </w:rPr>
              <w:t>531</w:t>
            </w:r>
            <w:r w:rsidR="00B77D29">
              <w:rPr>
                <w:color w:val="00B050"/>
                <w:sz w:val="20"/>
                <w:szCs w:val="20"/>
              </w:rPr>
              <w:t xml:space="preserve"> 000</w:t>
            </w:r>
          </w:p>
        </w:tc>
      </w:tr>
      <w:tr w:rsidR="002B6702" w:rsidRPr="002B6702" w14:paraId="660F4759" w14:textId="77777777" w:rsidTr="00194F94">
        <w:tc>
          <w:tcPr>
            <w:tcW w:w="3672" w:type="dxa"/>
            <w:tcBorders>
              <w:left w:val="nil"/>
              <w:bottom w:val="nil"/>
            </w:tcBorders>
            <w:shd w:val="clear" w:color="auto" w:fill="E7E6E6" w:themeFill="background2"/>
            <w:vAlign w:val="center"/>
          </w:tcPr>
          <w:p w14:paraId="7090177F" w14:textId="5517258A" w:rsidR="002B6702" w:rsidRPr="002B6702" w:rsidRDefault="002B6702" w:rsidP="002B6702">
            <w:pPr>
              <w:rPr>
                <w:i/>
                <w:iCs/>
                <w:sz w:val="20"/>
                <w:szCs w:val="20"/>
              </w:rPr>
            </w:pPr>
            <w:r w:rsidRPr="002B6702">
              <w:rPr>
                <w:b/>
                <w:bCs/>
                <w:sz w:val="20"/>
                <w:szCs w:val="20"/>
              </w:rPr>
              <w:t>KOPĀ</w:t>
            </w:r>
            <w:r w:rsidRPr="002B6702">
              <w:rPr>
                <w:i/>
                <w:iCs/>
                <w:sz w:val="20"/>
                <w:szCs w:val="20"/>
              </w:rPr>
              <w:t>, no tā:</w:t>
            </w:r>
          </w:p>
        </w:tc>
        <w:tc>
          <w:tcPr>
            <w:tcW w:w="1376" w:type="dxa"/>
            <w:tcBorders>
              <w:bottom w:val="nil"/>
            </w:tcBorders>
            <w:shd w:val="clear" w:color="auto" w:fill="E7E6E6" w:themeFill="background2"/>
            <w:vAlign w:val="center"/>
          </w:tcPr>
          <w:p w14:paraId="62E2528E" w14:textId="1D03A1ED" w:rsidR="002B6702" w:rsidRPr="002B6702" w:rsidRDefault="002B6702" w:rsidP="002B6702">
            <w:pPr>
              <w:pStyle w:val="ListParagraph"/>
              <w:ind w:left="0"/>
              <w:contextualSpacing w:val="0"/>
              <w:jc w:val="center"/>
              <w:rPr>
                <w:i/>
                <w:iCs/>
                <w:color w:val="00B050"/>
                <w:sz w:val="20"/>
                <w:szCs w:val="20"/>
              </w:rPr>
            </w:pPr>
            <w:r w:rsidRPr="002B6702">
              <w:rPr>
                <w:b/>
                <w:bCs/>
                <w:color w:val="00B050"/>
                <w:sz w:val="20"/>
                <w:szCs w:val="20"/>
              </w:rPr>
              <w:t>+5</w:t>
            </w:r>
            <w:r w:rsidR="00221DAF">
              <w:rPr>
                <w:b/>
                <w:bCs/>
                <w:color w:val="00B050"/>
                <w:sz w:val="20"/>
                <w:szCs w:val="20"/>
              </w:rPr>
              <w:t> </w:t>
            </w:r>
            <w:r w:rsidRPr="002B6702">
              <w:rPr>
                <w:b/>
                <w:bCs/>
                <w:color w:val="00B050"/>
                <w:sz w:val="20"/>
                <w:szCs w:val="20"/>
              </w:rPr>
              <w:t>3</w:t>
            </w:r>
            <w:r w:rsidR="001D7054">
              <w:rPr>
                <w:b/>
                <w:bCs/>
                <w:color w:val="00B050"/>
                <w:sz w:val="20"/>
                <w:szCs w:val="20"/>
              </w:rPr>
              <w:t>13</w:t>
            </w:r>
            <w:r w:rsidR="00221DAF">
              <w:rPr>
                <w:b/>
                <w:bCs/>
                <w:color w:val="00B050"/>
                <w:sz w:val="20"/>
                <w:szCs w:val="20"/>
              </w:rPr>
              <w:t xml:space="preserve"> 000</w:t>
            </w:r>
          </w:p>
        </w:tc>
        <w:tc>
          <w:tcPr>
            <w:tcW w:w="1375" w:type="dxa"/>
            <w:tcBorders>
              <w:bottom w:val="nil"/>
            </w:tcBorders>
            <w:shd w:val="clear" w:color="auto" w:fill="E7E6E6" w:themeFill="background2"/>
            <w:vAlign w:val="center"/>
          </w:tcPr>
          <w:p w14:paraId="1F85EF53" w14:textId="75E72741" w:rsidR="002B6702" w:rsidRPr="002B6702" w:rsidRDefault="002B6702" w:rsidP="002B6702">
            <w:pPr>
              <w:pStyle w:val="ListParagraph"/>
              <w:ind w:left="0"/>
              <w:contextualSpacing w:val="0"/>
              <w:jc w:val="center"/>
              <w:rPr>
                <w:i/>
                <w:iCs/>
                <w:color w:val="00B050"/>
                <w:sz w:val="20"/>
                <w:szCs w:val="20"/>
              </w:rPr>
            </w:pPr>
            <w:r w:rsidRPr="002B6702">
              <w:rPr>
                <w:b/>
                <w:bCs/>
                <w:color w:val="00B050"/>
                <w:sz w:val="20"/>
                <w:szCs w:val="20"/>
              </w:rPr>
              <w:t>+9</w:t>
            </w:r>
            <w:r w:rsidR="00221DAF">
              <w:rPr>
                <w:b/>
                <w:bCs/>
                <w:color w:val="00B050"/>
                <w:sz w:val="20"/>
                <w:szCs w:val="20"/>
              </w:rPr>
              <w:t> </w:t>
            </w:r>
            <w:r w:rsidR="001D7054">
              <w:rPr>
                <w:b/>
                <w:bCs/>
                <w:color w:val="00B050"/>
                <w:sz w:val="20"/>
                <w:szCs w:val="20"/>
              </w:rPr>
              <w:t>5</w:t>
            </w:r>
            <w:r w:rsidRPr="002B6702">
              <w:rPr>
                <w:b/>
                <w:bCs/>
                <w:color w:val="00B050"/>
                <w:sz w:val="20"/>
                <w:szCs w:val="20"/>
              </w:rPr>
              <w:t>6</w:t>
            </w:r>
            <w:r w:rsidR="001D7054">
              <w:rPr>
                <w:b/>
                <w:bCs/>
                <w:color w:val="00B050"/>
                <w:sz w:val="20"/>
                <w:szCs w:val="20"/>
              </w:rPr>
              <w:t>3</w:t>
            </w:r>
            <w:r w:rsidR="00221DAF">
              <w:rPr>
                <w:b/>
                <w:bCs/>
                <w:color w:val="00B050"/>
                <w:sz w:val="20"/>
                <w:szCs w:val="20"/>
              </w:rPr>
              <w:t xml:space="preserve"> 000</w:t>
            </w:r>
          </w:p>
        </w:tc>
        <w:tc>
          <w:tcPr>
            <w:tcW w:w="1375" w:type="dxa"/>
            <w:tcBorders>
              <w:bottom w:val="nil"/>
            </w:tcBorders>
            <w:shd w:val="clear" w:color="auto" w:fill="E7E6E6" w:themeFill="background2"/>
            <w:vAlign w:val="center"/>
          </w:tcPr>
          <w:p w14:paraId="703AFF8B" w14:textId="4727702F" w:rsidR="002B6702" w:rsidRPr="002B6702" w:rsidRDefault="002B6702" w:rsidP="002B6702">
            <w:pPr>
              <w:pStyle w:val="ListParagraph"/>
              <w:ind w:left="0"/>
              <w:contextualSpacing w:val="0"/>
              <w:jc w:val="center"/>
              <w:rPr>
                <w:i/>
                <w:iCs/>
                <w:color w:val="00B050"/>
                <w:sz w:val="20"/>
                <w:szCs w:val="20"/>
              </w:rPr>
            </w:pPr>
            <w:r w:rsidRPr="002B6702">
              <w:rPr>
                <w:b/>
                <w:bCs/>
                <w:color w:val="00B050"/>
                <w:sz w:val="20"/>
                <w:szCs w:val="20"/>
              </w:rPr>
              <w:t>+14</w:t>
            </w:r>
            <w:r w:rsidR="00221DAF">
              <w:rPr>
                <w:b/>
                <w:bCs/>
                <w:color w:val="00B050"/>
                <w:sz w:val="20"/>
                <w:szCs w:val="20"/>
              </w:rPr>
              <w:t> </w:t>
            </w:r>
            <w:r w:rsidR="001D7054">
              <w:rPr>
                <w:b/>
                <w:bCs/>
                <w:color w:val="00B050"/>
                <w:sz w:val="20"/>
                <w:szCs w:val="20"/>
              </w:rPr>
              <w:t>117</w:t>
            </w:r>
            <w:r w:rsidR="00221DAF">
              <w:rPr>
                <w:b/>
                <w:bCs/>
                <w:color w:val="00B050"/>
                <w:sz w:val="20"/>
                <w:szCs w:val="20"/>
              </w:rPr>
              <w:t xml:space="preserve"> 000</w:t>
            </w:r>
          </w:p>
        </w:tc>
        <w:tc>
          <w:tcPr>
            <w:tcW w:w="1411" w:type="dxa"/>
            <w:tcBorders>
              <w:bottom w:val="nil"/>
              <w:right w:val="nil"/>
            </w:tcBorders>
            <w:shd w:val="clear" w:color="auto" w:fill="E7E6E6" w:themeFill="background2"/>
            <w:vAlign w:val="center"/>
          </w:tcPr>
          <w:p w14:paraId="226A60C6" w14:textId="3A19E7C6" w:rsidR="002B6702" w:rsidRPr="002B6702" w:rsidRDefault="002B6702" w:rsidP="002B6702">
            <w:pPr>
              <w:pStyle w:val="ListParagraph"/>
              <w:ind w:left="0"/>
              <w:contextualSpacing w:val="0"/>
              <w:jc w:val="center"/>
              <w:rPr>
                <w:i/>
                <w:iCs/>
                <w:color w:val="00B050"/>
                <w:sz w:val="20"/>
                <w:szCs w:val="20"/>
              </w:rPr>
            </w:pPr>
            <w:r w:rsidRPr="002B6702">
              <w:rPr>
                <w:b/>
                <w:bCs/>
                <w:color w:val="00B050"/>
                <w:sz w:val="20"/>
                <w:szCs w:val="20"/>
              </w:rPr>
              <w:t>+14</w:t>
            </w:r>
            <w:r w:rsidR="00221DAF">
              <w:rPr>
                <w:b/>
                <w:bCs/>
                <w:color w:val="00B050"/>
                <w:sz w:val="20"/>
                <w:szCs w:val="20"/>
              </w:rPr>
              <w:t> </w:t>
            </w:r>
            <w:r w:rsidR="001D7054">
              <w:rPr>
                <w:b/>
                <w:bCs/>
                <w:color w:val="00B050"/>
                <w:sz w:val="20"/>
                <w:szCs w:val="20"/>
              </w:rPr>
              <w:t>582</w:t>
            </w:r>
            <w:r w:rsidR="00221DAF">
              <w:rPr>
                <w:b/>
                <w:bCs/>
                <w:color w:val="00B050"/>
                <w:sz w:val="20"/>
                <w:szCs w:val="20"/>
              </w:rPr>
              <w:t xml:space="preserve"> 000</w:t>
            </w:r>
          </w:p>
        </w:tc>
      </w:tr>
      <w:tr w:rsidR="002B6702" w:rsidRPr="002B6702" w14:paraId="756D00DB" w14:textId="77777777" w:rsidTr="00194F94">
        <w:tc>
          <w:tcPr>
            <w:tcW w:w="3672" w:type="dxa"/>
            <w:tcBorders>
              <w:left w:val="nil"/>
              <w:bottom w:val="nil"/>
            </w:tcBorders>
            <w:shd w:val="clear" w:color="auto" w:fill="FFFFFF" w:themeFill="background1"/>
            <w:vAlign w:val="center"/>
          </w:tcPr>
          <w:p w14:paraId="2A92CE5C" w14:textId="77777777" w:rsidR="002B6702" w:rsidRPr="002B6702" w:rsidRDefault="002B6702" w:rsidP="002B6702">
            <w:pPr>
              <w:pStyle w:val="ListParagraph"/>
              <w:numPr>
                <w:ilvl w:val="0"/>
                <w:numId w:val="9"/>
              </w:numPr>
              <w:tabs>
                <w:tab w:val="clear" w:pos="720"/>
                <w:tab w:val="num" w:pos="306"/>
              </w:tabs>
              <w:ind w:hanging="698"/>
              <w:contextualSpacing w:val="0"/>
              <w:jc w:val="left"/>
              <w:rPr>
                <w:i/>
                <w:iCs/>
                <w:sz w:val="20"/>
                <w:szCs w:val="20"/>
              </w:rPr>
            </w:pPr>
            <w:r w:rsidRPr="002B6702">
              <w:rPr>
                <w:i/>
                <w:iCs/>
                <w:sz w:val="20"/>
                <w:szCs w:val="20"/>
              </w:rPr>
              <w:t>valsts pamatbudžetā</w:t>
            </w:r>
          </w:p>
        </w:tc>
        <w:tc>
          <w:tcPr>
            <w:tcW w:w="1376" w:type="dxa"/>
            <w:tcBorders>
              <w:bottom w:val="nil"/>
            </w:tcBorders>
            <w:shd w:val="clear" w:color="auto" w:fill="FFFFFF" w:themeFill="background1"/>
            <w:vAlign w:val="center"/>
          </w:tcPr>
          <w:p w14:paraId="5D035C1D" w14:textId="7D529763" w:rsidR="002B6702" w:rsidRPr="002B6702" w:rsidRDefault="002B6702" w:rsidP="002B6702">
            <w:pPr>
              <w:pStyle w:val="ListParagraph"/>
              <w:ind w:left="0"/>
              <w:contextualSpacing w:val="0"/>
              <w:jc w:val="center"/>
              <w:rPr>
                <w:i/>
                <w:iCs/>
                <w:color w:val="00B050"/>
                <w:sz w:val="20"/>
                <w:szCs w:val="20"/>
              </w:rPr>
            </w:pPr>
            <w:r w:rsidRPr="002B6702">
              <w:rPr>
                <w:i/>
                <w:iCs/>
                <w:color w:val="00B050"/>
                <w:sz w:val="20"/>
                <w:szCs w:val="20"/>
              </w:rPr>
              <w:t>+5</w:t>
            </w:r>
            <w:r w:rsidR="00221DAF">
              <w:rPr>
                <w:i/>
                <w:iCs/>
                <w:color w:val="00B050"/>
                <w:sz w:val="20"/>
                <w:szCs w:val="20"/>
              </w:rPr>
              <w:t> </w:t>
            </w:r>
            <w:r w:rsidRPr="002B6702">
              <w:rPr>
                <w:i/>
                <w:iCs/>
                <w:color w:val="00B050"/>
                <w:sz w:val="20"/>
                <w:szCs w:val="20"/>
              </w:rPr>
              <w:t>3</w:t>
            </w:r>
            <w:r w:rsidR="001D7054">
              <w:rPr>
                <w:i/>
                <w:iCs/>
                <w:color w:val="00B050"/>
                <w:sz w:val="20"/>
                <w:szCs w:val="20"/>
              </w:rPr>
              <w:t>13</w:t>
            </w:r>
            <w:r w:rsidR="00221DAF">
              <w:rPr>
                <w:i/>
                <w:iCs/>
                <w:color w:val="00B050"/>
                <w:sz w:val="20"/>
                <w:szCs w:val="20"/>
              </w:rPr>
              <w:t xml:space="preserve"> 000</w:t>
            </w:r>
          </w:p>
        </w:tc>
        <w:tc>
          <w:tcPr>
            <w:tcW w:w="1375" w:type="dxa"/>
            <w:tcBorders>
              <w:bottom w:val="nil"/>
            </w:tcBorders>
            <w:shd w:val="clear" w:color="auto" w:fill="FFFFFF" w:themeFill="background1"/>
            <w:vAlign w:val="center"/>
          </w:tcPr>
          <w:p w14:paraId="64F1A351" w14:textId="3EE78945" w:rsidR="002B6702" w:rsidRPr="002B6702" w:rsidRDefault="002B6702" w:rsidP="002B6702">
            <w:pPr>
              <w:pStyle w:val="ListParagraph"/>
              <w:ind w:left="0"/>
              <w:contextualSpacing w:val="0"/>
              <w:jc w:val="center"/>
              <w:rPr>
                <w:i/>
                <w:iCs/>
                <w:color w:val="00B050"/>
                <w:sz w:val="20"/>
                <w:szCs w:val="20"/>
              </w:rPr>
            </w:pPr>
            <w:r w:rsidRPr="002B6702">
              <w:rPr>
                <w:i/>
                <w:iCs/>
                <w:color w:val="00B050"/>
                <w:sz w:val="20"/>
                <w:szCs w:val="20"/>
              </w:rPr>
              <w:t>+9</w:t>
            </w:r>
            <w:r w:rsidR="00221DAF">
              <w:rPr>
                <w:i/>
                <w:iCs/>
                <w:color w:val="00B050"/>
                <w:sz w:val="20"/>
                <w:szCs w:val="20"/>
              </w:rPr>
              <w:t> </w:t>
            </w:r>
            <w:r w:rsidR="001D7054">
              <w:rPr>
                <w:i/>
                <w:iCs/>
                <w:color w:val="00B050"/>
                <w:sz w:val="20"/>
                <w:szCs w:val="20"/>
              </w:rPr>
              <w:t>5</w:t>
            </w:r>
            <w:r w:rsidRPr="002B6702">
              <w:rPr>
                <w:i/>
                <w:iCs/>
                <w:color w:val="00B050"/>
                <w:sz w:val="20"/>
                <w:szCs w:val="20"/>
              </w:rPr>
              <w:t>6</w:t>
            </w:r>
            <w:r w:rsidR="001D7054">
              <w:rPr>
                <w:i/>
                <w:iCs/>
                <w:color w:val="00B050"/>
                <w:sz w:val="20"/>
                <w:szCs w:val="20"/>
              </w:rPr>
              <w:t>3</w:t>
            </w:r>
            <w:r w:rsidR="00221DAF">
              <w:rPr>
                <w:i/>
                <w:iCs/>
                <w:color w:val="00B050"/>
                <w:sz w:val="20"/>
                <w:szCs w:val="20"/>
              </w:rPr>
              <w:t xml:space="preserve"> 000</w:t>
            </w:r>
          </w:p>
        </w:tc>
        <w:tc>
          <w:tcPr>
            <w:tcW w:w="1375" w:type="dxa"/>
            <w:tcBorders>
              <w:bottom w:val="nil"/>
            </w:tcBorders>
            <w:shd w:val="clear" w:color="auto" w:fill="FFFFFF" w:themeFill="background1"/>
            <w:vAlign w:val="center"/>
          </w:tcPr>
          <w:p w14:paraId="25135203" w14:textId="3D9AEB81" w:rsidR="002B6702" w:rsidRPr="002B6702" w:rsidRDefault="002B6702" w:rsidP="002B6702">
            <w:pPr>
              <w:pStyle w:val="ListParagraph"/>
              <w:ind w:left="0"/>
              <w:contextualSpacing w:val="0"/>
              <w:jc w:val="center"/>
              <w:rPr>
                <w:i/>
                <w:iCs/>
                <w:color w:val="00B050"/>
                <w:sz w:val="20"/>
                <w:szCs w:val="20"/>
              </w:rPr>
            </w:pPr>
            <w:r w:rsidRPr="002B6702">
              <w:rPr>
                <w:i/>
                <w:iCs/>
                <w:color w:val="00B050"/>
                <w:sz w:val="20"/>
                <w:szCs w:val="20"/>
              </w:rPr>
              <w:t>+14</w:t>
            </w:r>
            <w:r w:rsidR="00221DAF">
              <w:rPr>
                <w:i/>
                <w:iCs/>
                <w:color w:val="00B050"/>
                <w:sz w:val="20"/>
                <w:szCs w:val="20"/>
              </w:rPr>
              <w:t> </w:t>
            </w:r>
            <w:r w:rsidR="001D7054">
              <w:rPr>
                <w:i/>
                <w:iCs/>
                <w:color w:val="00B050"/>
                <w:sz w:val="20"/>
                <w:szCs w:val="20"/>
              </w:rPr>
              <w:t>117</w:t>
            </w:r>
            <w:r w:rsidR="00221DAF">
              <w:rPr>
                <w:i/>
                <w:iCs/>
                <w:color w:val="00B050"/>
                <w:sz w:val="20"/>
                <w:szCs w:val="20"/>
              </w:rPr>
              <w:t xml:space="preserve"> 000</w:t>
            </w:r>
          </w:p>
        </w:tc>
        <w:tc>
          <w:tcPr>
            <w:tcW w:w="1411" w:type="dxa"/>
            <w:tcBorders>
              <w:bottom w:val="nil"/>
              <w:right w:val="nil"/>
            </w:tcBorders>
            <w:shd w:val="clear" w:color="auto" w:fill="FFFFFF" w:themeFill="background1"/>
            <w:vAlign w:val="center"/>
          </w:tcPr>
          <w:p w14:paraId="713E1308" w14:textId="7891B5D8" w:rsidR="002B6702" w:rsidRPr="002B6702" w:rsidRDefault="002B6702" w:rsidP="002B6702">
            <w:pPr>
              <w:pStyle w:val="ListParagraph"/>
              <w:ind w:left="0"/>
              <w:contextualSpacing w:val="0"/>
              <w:jc w:val="center"/>
              <w:rPr>
                <w:i/>
                <w:iCs/>
                <w:color w:val="00B050"/>
                <w:sz w:val="20"/>
                <w:szCs w:val="20"/>
              </w:rPr>
            </w:pPr>
            <w:r w:rsidRPr="002B6702">
              <w:rPr>
                <w:i/>
                <w:iCs/>
                <w:color w:val="00B050"/>
                <w:sz w:val="20"/>
                <w:szCs w:val="20"/>
              </w:rPr>
              <w:t>+14</w:t>
            </w:r>
            <w:r w:rsidR="00221DAF">
              <w:rPr>
                <w:i/>
                <w:iCs/>
                <w:color w:val="00B050"/>
                <w:sz w:val="20"/>
                <w:szCs w:val="20"/>
              </w:rPr>
              <w:t> </w:t>
            </w:r>
            <w:r w:rsidR="001D7054">
              <w:rPr>
                <w:i/>
                <w:iCs/>
                <w:color w:val="00B050"/>
                <w:sz w:val="20"/>
                <w:szCs w:val="20"/>
              </w:rPr>
              <w:t>582</w:t>
            </w:r>
            <w:r w:rsidR="00221DAF">
              <w:rPr>
                <w:i/>
                <w:iCs/>
                <w:color w:val="00B050"/>
                <w:sz w:val="20"/>
                <w:szCs w:val="20"/>
              </w:rPr>
              <w:t xml:space="preserve"> 000</w:t>
            </w:r>
          </w:p>
        </w:tc>
      </w:tr>
    </w:tbl>
    <w:p w14:paraId="3C5628CC" w14:textId="77777777" w:rsidR="00FA7FB6" w:rsidRPr="000203BA" w:rsidRDefault="00FA7FB6" w:rsidP="00183B22">
      <w:pPr>
        <w:tabs>
          <w:tab w:val="left" w:pos="426"/>
        </w:tabs>
        <w:spacing w:before="120"/>
        <w:rPr>
          <w:rFonts w:cs="Times New Roman"/>
          <w:i/>
          <w:sz w:val="18"/>
        </w:rPr>
      </w:pPr>
      <w:r w:rsidRPr="000203BA">
        <w:rPr>
          <w:rFonts w:cs="Times New Roman"/>
          <w:b/>
          <w:bCs/>
          <w:i/>
          <w:sz w:val="18"/>
        </w:rPr>
        <w:t>Avots</w:t>
      </w:r>
      <w:r w:rsidRPr="000203BA">
        <w:rPr>
          <w:rFonts w:cs="Times New Roman"/>
          <w:i/>
          <w:sz w:val="18"/>
        </w:rPr>
        <w:t>: FM aprēķini.</w:t>
      </w:r>
    </w:p>
    <w:p w14:paraId="29885ECB" w14:textId="77777777" w:rsidR="004F37DD" w:rsidRPr="00962F7B" w:rsidRDefault="004F37DD" w:rsidP="00965109">
      <w:pPr>
        <w:pStyle w:val="ListParagraph"/>
        <w:ind w:left="1276"/>
        <w:rPr>
          <w:szCs w:val="24"/>
        </w:rPr>
      </w:pPr>
    </w:p>
    <w:p w14:paraId="0C718695" w14:textId="50541A43" w:rsidR="005C1FD5" w:rsidRPr="005C1FD5" w:rsidRDefault="00501035" w:rsidP="005C1FD5">
      <w:pPr>
        <w:pStyle w:val="Heading2"/>
        <w:tabs>
          <w:tab w:val="left" w:pos="567"/>
        </w:tabs>
        <w:ind w:left="567" w:hanging="567"/>
      </w:pPr>
      <w:bookmarkStart w:id="53" w:name="_Toc177627714"/>
      <w:r>
        <w:t>3</w:t>
      </w:r>
      <w:r w:rsidR="005C1FD5">
        <w:t xml:space="preserve">.3. </w:t>
      </w:r>
      <w:r w:rsidR="005C1FD5">
        <w:tab/>
      </w:r>
      <w:bookmarkStart w:id="54" w:name="_Hlk176856341"/>
      <w:r w:rsidR="005C1FD5" w:rsidRPr="005C1FD5">
        <w:t>A</w:t>
      </w:r>
      <w:r w:rsidR="000C6E7C">
        <w:t>kcīzes nodokļa</w:t>
      </w:r>
      <w:r w:rsidR="005C1FD5" w:rsidRPr="005C1FD5">
        <w:t xml:space="preserve"> atbrīvojuma atcelšana naftas produktiem, kurus izmanto elektroenerģijas ražošanā un koģenerācijā</w:t>
      </w:r>
      <w:bookmarkEnd w:id="53"/>
    </w:p>
    <w:p w14:paraId="51632D3C" w14:textId="1DF6B801" w:rsidR="004F37DD" w:rsidRDefault="005C1FD5" w:rsidP="00501035">
      <w:pPr>
        <w:ind w:firstLine="567"/>
        <w:jc w:val="both"/>
        <w:rPr>
          <w:szCs w:val="24"/>
        </w:rPr>
      </w:pPr>
      <w:r>
        <w:rPr>
          <w:szCs w:val="24"/>
        </w:rPr>
        <w:t>T</w:t>
      </w:r>
      <w:r w:rsidR="004F37DD" w:rsidRPr="005C1FD5">
        <w:rPr>
          <w:szCs w:val="24"/>
        </w:rPr>
        <w:t xml:space="preserve">ā kā dabasgāzei, kuru izmanto elektroenerģijas ražošanā un koģenerācijā netiek piemērots AN atbrīvojums, </w:t>
      </w:r>
      <w:r w:rsidR="000011F4">
        <w:rPr>
          <w:szCs w:val="24"/>
        </w:rPr>
        <w:t xml:space="preserve">ir </w:t>
      </w:r>
      <w:r w:rsidR="00756AF0">
        <w:rPr>
          <w:szCs w:val="24"/>
        </w:rPr>
        <w:t xml:space="preserve">plānots </w:t>
      </w:r>
      <w:r w:rsidR="004F37DD" w:rsidRPr="005C1FD5">
        <w:rPr>
          <w:szCs w:val="24"/>
        </w:rPr>
        <w:t>atce</w:t>
      </w:r>
      <w:r w:rsidR="00756AF0">
        <w:rPr>
          <w:szCs w:val="24"/>
        </w:rPr>
        <w:t>lt</w:t>
      </w:r>
      <w:r w:rsidR="004F37DD" w:rsidRPr="005C1FD5">
        <w:rPr>
          <w:szCs w:val="24"/>
        </w:rPr>
        <w:t xml:space="preserve"> arī AN atbrīvojum</w:t>
      </w:r>
      <w:r w:rsidR="00756AF0">
        <w:rPr>
          <w:szCs w:val="24"/>
        </w:rPr>
        <w:t>u</w:t>
      </w:r>
      <w:r w:rsidR="004F37DD" w:rsidRPr="005C1FD5">
        <w:rPr>
          <w:szCs w:val="24"/>
        </w:rPr>
        <w:t xml:space="preserve"> naftas produktiem, kurus izmanto elektroenerģijas ražošanā un koģenerācijā, nosakot AN likmi kā naftas produktiem, kurus izmanto kā kurināmo</w:t>
      </w:r>
      <w:r>
        <w:rPr>
          <w:szCs w:val="24"/>
        </w:rPr>
        <w:t>.</w:t>
      </w:r>
    </w:p>
    <w:p w14:paraId="15C75C85" w14:textId="77777777" w:rsidR="005C1FD5" w:rsidRDefault="005C1FD5" w:rsidP="005C1FD5">
      <w:pPr>
        <w:ind w:firstLine="709"/>
        <w:jc w:val="both"/>
        <w:rPr>
          <w:szCs w:val="24"/>
        </w:rPr>
      </w:pPr>
    </w:p>
    <w:p w14:paraId="2FB72BC1" w14:textId="7A47A525" w:rsidR="005C1FD5" w:rsidRPr="005C1FD5" w:rsidRDefault="006F5E64" w:rsidP="005C1FD5">
      <w:pPr>
        <w:tabs>
          <w:tab w:val="left" w:pos="567"/>
        </w:tabs>
        <w:spacing w:after="120"/>
        <w:jc w:val="center"/>
        <w:rPr>
          <w:sz w:val="20"/>
          <w:szCs w:val="20"/>
        </w:rPr>
      </w:pPr>
      <w:r>
        <w:rPr>
          <w:rFonts w:cs="Times New Roman"/>
          <w:sz w:val="20"/>
        </w:rPr>
        <w:t>2</w:t>
      </w:r>
      <w:r w:rsidR="00725CD9">
        <w:rPr>
          <w:rFonts w:cs="Times New Roman"/>
          <w:sz w:val="20"/>
        </w:rPr>
        <w:t>4</w:t>
      </w:r>
      <w:r w:rsidR="005C1FD5" w:rsidRPr="008F00A8">
        <w:rPr>
          <w:bCs/>
          <w:sz w:val="20"/>
          <w:szCs w:val="20"/>
        </w:rPr>
        <w:t>.tab.</w:t>
      </w:r>
      <w:r w:rsidR="005C1FD5" w:rsidRPr="008F00A8">
        <w:rPr>
          <w:b/>
          <w:sz w:val="20"/>
          <w:szCs w:val="20"/>
        </w:rPr>
        <w:t xml:space="preserve"> </w:t>
      </w:r>
      <w:bookmarkStart w:id="55" w:name="_Hlk176853619"/>
      <w:r w:rsidR="005C1FD5" w:rsidRPr="005C1FD5">
        <w:rPr>
          <w:b/>
          <w:sz w:val="20"/>
          <w:szCs w:val="20"/>
        </w:rPr>
        <w:t>AN atbrīvojuma atcelšana naftas produktiem, kurus izmanto elektroenerģijas ražošanā un koģenerācijā</w:t>
      </w:r>
      <w:bookmarkEnd w:id="55"/>
    </w:p>
    <w:tbl>
      <w:tblPr>
        <w:tblStyle w:val="TableGrid"/>
        <w:tblW w:w="9072" w:type="dxa"/>
        <w:tblInd w:w="-5" w:type="dxa"/>
        <w:tblLayout w:type="fixed"/>
        <w:tblLook w:val="04A0" w:firstRow="1" w:lastRow="0" w:firstColumn="1" w:lastColumn="0" w:noHBand="0" w:noVBand="1"/>
      </w:tblPr>
      <w:tblGrid>
        <w:gridCol w:w="3402"/>
        <w:gridCol w:w="851"/>
        <w:gridCol w:w="850"/>
        <w:gridCol w:w="709"/>
        <w:gridCol w:w="851"/>
        <w:gridCol w:w="850"/>
        <w:gridCol w:w="709"/>
        <w:gridCol w:w="850"/>
      </w:tblGrid>
      <w:tr w:rsidR="005C1FD5" w:rsidRPr="005C1FD5" w14:paraId="654756E8" w14:textId="77777777" w:rsidTr="005C1FD5">
        <w:trPr>
          <w:trHeight w:val="85"/>
        </w:trPr>
        <w:tc>
          <w:tcPr>
            <w:tcW w:w="3402" w:type="dxa"/>
            <w:vMerge w:val="restart"/>
            <w:tcBorders>
              <w:top w:val="single" w:sz="4" w:space="0" w:color="000000"/>
              <w:bottom w:val="single" w:sz="4" w:space="0" w:color="FFFFFF" w:themeColor="background1"/>
              <w:right w:val="single" w:sz="4" w:space="0" w:color="FFFFFF" w:themeColor="background1"/>
            </w:tcBorders>
            <w:shd w:val="clear" w:color="auto" w:fill="002060"/>
            <w:vAlign w:val="center"/>
          </w:tcPr>
          <w:bookmarkEnd w:id="54"/>
          <w:p w14:paraId="6FA12605" w14:textId="77777777" w:rsidR="005C1FD5" w:rsidRPr="005C1FD5" w:rsidRDefault="005C1FD5" w:rsidP="00195D54">
            <w:pPr>
              <w:contextualSpacing/>
              <w:jc w:val="center"/>
              <w:rPr>
                <w:b/>
                <w:bCs/>
                <w:color w:val="FFFFFF" w:themeColor="background1"/>
                <w:sz w:val="20"/>
                <w:szCs w:val="20"/>
              </w:rPr>
            </w:pPr>
            <w:r w:rsidRPr="005C1FD5">
              <w:rPr>
                <w:rFonts w:cstheme="minorHAnsi"/>
                <w:b/>
                <w:color w:val="FFFFFF" w:themeColor="background1"/>
                <w:sz w:val="20"/>
                <w:szCs w:val="20"/>
              </w:rPr>
              <w:t>AN likmes</w:t>
            </w:r>
          </w:p>
        </w:tc>
        <w:tc>
          <w:tcPr>
            <w:tcW w:w="2410" w:type="dxa"/>
            <w:gridSpan w:val="3"/>
            <w:tcBorders>
              <w:top w:val="single" w:sz="4" w:space="0" w:color="000000"/>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143C778B" w14:textId="77777777" w:rsidR="005C1FD5" w:rsidRPr="005C1FD5" w:rsidRDefault="005C1FD5" w:rsidP="00195D54">
            <w:pPr>
              <w:contextualSpacing/>
              <w:jc w:val="center"/>
              <w:rPr>
                <w:b/>
                <w:bCs/>
                <w:color w:val="FFFFFF" w:themeColor="background1"/>
                <w:sz w:val="20"/>
                <w:szCs w:val="20"/>
              </w:rPr>
            </w:pPr>
            <w:r w:rsidRPr="005C1FD5">
              <w:rPr>
                <w:rFonts w:cstheme="minorHAnsi"/>
                <w:b/>
                <w:color w:val="FFFFFF" w:themeColor="background1"/>
                <w:sz w:val="20"/>
                <w:szCs w:val="20"/>
              </w:rPr>
              <w:t>Latvija</w:t>
            </w:r>
          </w:p>
        </w:tc>
        <w:tc>
          <w:tcPr>
            <w:tcW w:w="1701"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6EC2CE5C" w14:textId="77777777" w:rsidR="005C1FD5" w:rsidRPr="005C1FD5" w:rsidRDefault="005C1FD5" w:rsidP="00195D54">
            <w:pPr>
              <w:contextualSpacing/>
              <w:jc w:val="center"/>
              <w:rPr>
                <w:b/>
                <w:bCs/>
                <w:color w:val="FFFFFF" w:themeColor="background1"/>
                <w:sz w:val="20"/>
                <w:szCs w:val="20"/>
              </w:rPr>
            </w:pPr>
            <w:r w:rsidRPr="005C1FD5">
              <w:rPr>
                <w:rFonts w:cstheme="minorHAnsi"/>
                <w:b/>
                <w:color w:val="FFFFFF" w:themeColor="background1"/>
                <w:sz w:val="20"/>
                <w:szCs w:val="20"/>
              </w:rPr>
              <w:t>Lietuva</w:t>
            </w:r>
          </w:p>
        </w:tc>
        <w:tc>
          <w:tcPr>
            <w:tcW w:w="1559" w:type="dxa"/>
            <w:gridSpan w:val="2"/>
            <w:tcBorders>
              <w:left w:val="single" w:sz="4" w:space="0" w:color="FFFFFF" w:themeColor="background1"/>
              <w:bottom w:val="single" w:sz="4" w:space="0" w:color="FFFFFF" w:themeColor="background1"/>
            </w:tcBorders>
            <w:shd w:val="clear" w:color="auto" w:fill="002060"/>
            <w:vAlign w:val="center"/>
          </w:tcPr>
          <w:p w14:paraId="42738879" w14:textId="77777777" w:rsidR="005C1FD5" w:rsidRPr="005C1FD5" w:rsidRDefault="005C1FD5" w:rsidP="00195D54">
            <w:pPr>
              <w:contextualSpacing/>
              <w:jc w:val="center"/>
              <w:rPr>
                <w:b/>
                <w:bCs/>
                <w:color w:val="FFFFFF" w:themeColor="background1"/>
                <w:sz w:val="20"/>
                <w:szCs w:val="20"/>
              </w:rPr>
            </w:pPr>
            <w:r w:rsidRPr="005C1FD5">
              <w:rPr>
                <w:rFonts w:cstheme="minorHAnsi"/>
                <w:b/>
                <w:color w:val="FFFFFF" w:themeColor="background1"/>
                <w:sz w:val="20"/>
                <w:szCs w:val="20"/>
              </w:rPr>
              <w:t>Igaunija</w:t>
            </w:r>
          </w:p>
        </w:tc>
      </w:tr>
      <w:tr w:rsidR="005C1FD5" w:rsidRPr="005C1FD5" w14:paraId="53F36173" w14:textId="77777777" w:rsidTr="005C1FD5">
        <w:trPr>
          <w:trHeight w:val="85"/>
        </w:trPr>
        <w:tc>
          <w:tcPr>
            <w:tcW w:w="3402" w:type="dxa"/>
            <w:vMerge/>
            <w:tcBorders>
              <w:top w:val="single" w:sz="4" w:space="0" w:color="FFFFFF" w:themeColor="background1"/>
              <w:bottom w:val="single" w:sz="4" w:space="0" w:color="A6A6A6" w:themeColor="background1" w:themeShade="A6"/>
              <w:right w:val="single" w:sz="4" w:space="0" w:color="FFFFFF" w:themeColor="background1"/>
            </w:tcBorders>
            <w:shd w:val="clear" w:color="auto" w:fill="002060"/>
            <w:vAlign w:val="center"/>
          </w:tcPr>
          <w:p w14:paraId="7CDDF106" w14:textId="77777777" w:rsidR="005C1FD5" w:rsidRPr="005C1FD5" w:rsidRDefault="005C1FD5" w:rsidP="00195D54">
            <w:pPr>
              <w:contextualSpacing/>
              <w:rPr>
                <w:b/>
                <w:bCs/>
                <w:color w:val="FFFFFF" w:themeColor="background1"/>
                <w:sz w:val="20"/>
                <w:szCs w:val="20"/>
              </w:rPr>
            </w:pPr>
          </w:p>
        </w:tc>
        <w:tc>
          <w:tcPr>
            <w:tcW w:w="85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002060"/>
            <w:vAlign w:val="center"/>
          </w:tcPr>
          <w:p w14:paraId="69745ED9" w14:textId="77777777" w:rsidR="005C1FD5" w:rsidRPr="005C1FD5" w:rsidRDefault="005C1FD5" w:rsidP="00195D54">
            <w:pPr>
              <w:contextualSpacing/>
              <w:jc w:val="center"/>
              <w:rPr>
                <w:b/>
                <w:bCs/>
                <w:color w:val="FFFFFF" w:themeColor="background1"/>
                <w:sz w:val="20"/>
                <w:szCs w:val="20"/>
              </w:rPr>
            </w:pPr>
            <w:r w:rsidRPr="005C1FD5">
              <w:rPr>
                <w:rFonts w:cstheme="minorHAnsi"/>
                <w:b/>
                <w:color w:val="FFFFFF" w:themeColor="background1"/>
                <w:sz w:val="20"/>
                <w:szCs w:val="20"/>
              </w:rPr>
              <w:t>2024</w:t>
            </w:r>
          </w:p>
        </w:tc>
        <w:tc>
          <w:tcPr>
            <w:tcW w:w="850"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002060"/>
            <w:vAlign w:val="center"/>
          </w:tcPr>
          <w:p w14:paraId="3067ABC9" w14:textId="77777777" w:rsidR="005C1FD5" w:rsidRPr="005C1FD5" w:rsidRDefault="005C1FD5" w:rsidP="00195D54">
            <w:pPr>
              <w:contextualSpacing/>
              <w:jc w:val="center"/>
              <w:rPr>
                <w:b/>
                <w:bCs/>
                <w:color w:val="FFFFFF" w:themeColor="background1"/>
                <w:sz w:val="20"/>
                <w:szCs w:val="20"/>
              </w:rPr>
            </w:pPr>
            <w:r w:rsidRPr="005C1FD5">
              <w:rPr>
                <w:rFonts w:cstheme="minorHAnsi"/>
                <w:b/>
                <w:color w:val="FFFFFF" w:themeColor="background1"/>
                <w:sz w:val="20"/>
                <w:szCs w:val="20"/>
              </w:rPr>
              <w:t>2025</w:t>
            </w:r>
          </w:p>
        </w:tc>
        <w:tc>
          <w:tcPr>
            <w:tcW w:w="709"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002060"/>
            <w:vAlign w:val="center"/>
          </w:tcPr>
          <w:p w14:paraId="143608A7" w14:textId="77777777" w:rsidR="005C1FD5" w:rsidRPr="005C1FD5" w:rsidRDefault="005C1FD5" w:rsidP="00195D54">
            <w:pPr>
              <w:contextualSpacing/>
              <w:jc w:val="center"/>
              <w:rPr>
                <w:b/>
                <w:bCs/>
                <w:color w:val="FFFFFF" w:themeColor="background1"/>
                <w:sz w:val="20"/>
                <w:szCs w:val="20"/>
              </w:rPr>
            </w:pPr>
            <w:r w:rsidRPr="005C1FD5">
              <w:rPr>
                <w:rFonts w:cstheme="minorHAnsi"/>
                <w:b/>
                <w:color w:val="FFFFFF" w:themeColor="background1"/>
                <w:sz w:val="20"/>
                <w:szCs w:val="20"/>
              </w:rPr>
              <w:t>2026</w:t>
            </w:r>
          </w:p>
        </w:tc>
        <w:tc>
          <w:tcPr>
            <w:tcW w:w="851" w:type="dxa"/>
            <w:tcBorders>
              <w:top w:val="single" w:sz="4" w:space="0" w:color="FFFFFF" w:themeColor="background1"/>
              <w:left w:val="single" w:sz="4" w:space="0" w:color="FFFFFF" w:themeColor="background1"/>
              <w:right w:val="single" w:sz="4" w:space="0" w:color="FFFFFF" w:themeColor="background1"/>
            </w:tcBorders>
            <w:shd w:val="clear" w:color="auto" w:fill="002060"/>
          </w:tcPr>
          <w:p w14:paraId="77F69ED8" w14:textId="32AB8DD8" w:rsidR="005C1FD5" w:rsidRPr="005C1FD5" w:rsidRDefault="005C1FD5" w:rsidP="00195D54">
            <w:pPr>
              <w:contextualSpacing/>
              <w:jc w:val="center"/>
              <w:rPr>
                <w:b/>
                <w:bCs/>
                <w:color w:val="FFFFFF" w:themeColor="background1"/>
                <w:sz w:val="20"/>
                <w:szCs w:val="20"/>
              </w:rPr>
            </w:pPr>
            <w:r w:rsidRPr="005C1FD5">
              <w:rPr>
                <w:rFonts w:cstheme="minorHAnsi"/>
                <w:b/>
                <w:color w:val="FFFFFF" w:themeColor="background1"/>
                <w:sz w:val="20"/>
                <w:szCs w:val="20"/>
              </w:rPr>
              <w:t>202</w:t>
            </w:r>
            <w:r w:rsidR="00297592">
              <w:rPr>
                <w:rFonts w:cstheme="minorHAnsi"/>
                <w:b/>
                <w:color w:val="FFFFFF" w:themeColor="background1"/>
                <w:sz w:val="20"/>
                <w:szCs w:val="20"/>
              </w:rPr>
              <w:t>4</w:t>
            </w:r>
          </w:p>
        </w:tc>
        <w:tc>
          <w:tcPr>
            <w:tcW w:w="850" w:type="dxa"/>
            <w:tcBorders>
              <w:top w:val="single" w:sz="4" w:space="0" w:color="FFFFFF" w:themeColor="background1"/>
              <w:left w:val="single" w:sz="4" w:space="0" w:color="FFFFFF" w:themeColor="background1"/>
              <w:right w:val="single" w:sz="4" w:space="0" w:color="FFFFFF" w:themeColor="background1"/>
            </w:tcBorders>
            <w:shd w:val="clear" w:color="auto" w:fill="002060"/>
          </w:tcPr>
          <w:p w14:paraId="4B38BCCE" w14:textId="51DDE936" w:rsidR="005C1FD5" w:rsidRPr="005C1FD5" w:rsidRDefault="005C1FD5" w:rsidP="00195D54">
            <w:pPr>
              <w:contextualSpacing/>
              <w:jc w:val="center"/>
              <w:rPr>
                <w:b/>
                <w:bCs/>
                <w:color w:val="FFFFFF" w:themeColor="background1"/>
                <w:sz w:val="20"/>
                <w:szCs w:val="20"/>
              </w:rPr>
            </w:pPr>
            <w:r w:rsidRPr="005C1FD5">
              <w:rPr>
                <w:rFonts w:cstheme="minorHAnsi"/>
                <w:b/>
                <w:color w:val="FFFFFF" w:themeColor="background1"/>
                <w:sz w:val="20"/>
                <w:szCs w:val="20"/>
              </w:rPr>
              <w:t>202</w:t>
            </w:r>
            <w:r w:rsidR="00297592">
              <w:rPr>
                <w:rFonts w:cstheme="minorHAnsi"/>
                <w:b/>
                <w:color w:val="FFFFFF" w:themeColor="background1"/>
                <w:sz w:val="20"/>
                <w:szCs w:val="20"/>
              </w:rPr>
              <w:t>5</w:t>
            </w:r>
          </w:p>
        </w:tc>
        <w:tc>
          <w:tcPr>
            <w:tcW w:w="709" w:type="dxa"/>
            <w:tcBorders>
              <w:top w:val="single" w:sz="4" w:space="0" w:color="FFFFFF" w:themeColor="background1"/>
              <w:left w:val="single" w:sz="4" w:space="0" w:color="FFFFFF" w:themeColor="background1"/>
              <w:right w:val="single" w:sz="4" w:space="0" w:color="FFFFFF" w:themeColor="background1"/>
            </w:tcBorders>
            <w:shd w:val="clear" w:color="auto" w:fill="002060"/>
          </w:tcPr>
          <w:p w14:paraId="5AAFF9E2" w14:textId="77777777" w:rsidR="005C1FD5" w:rsidRPr="005C1FD5" w:rsidRDefault="005C1FD5" w:rsidP="00195D54">
            <w:pPr>
              <w:contextualSpacing/>
              <w:jc w:val="center"/>
              <w:rPr>
                <w:b/>
                <w:bCs/>
                <w:color w:val="FFFFFF" w:themeColor="background1"/>
                <w:sz w:val="20"/>
                <w:szCs w:val="20"/>
              </w:rPr>
            </w:pPr>
            <w:r w:rsidRPr="005C1FD5">
              <w:rPr>
                <w:rFonts w:cstheme="minorHAnsi"/>
                <w:b/>
                <w:color w:val="FFFFFF" w:themeColor="background1"/>
                <w:sz w:val="20"/>
                <w:szCs w:val="20"/>
              </w:rPr>
              <w:t>2024</w:t>
            </w:r>
          </w:p>
        </w:tc>
        <w:tc>
          <w:tcPr>
            <w:tcW w:w="850" w:type="dxa"/>
            <w:tcBorders>
              <w:top w:val="single" w:sz="4" w:space="0" w:color="FFFFFF" w:themeColor="background1"/>
              <w:left w:val="single" w:sz="4" w:space="0" w:color="FFFFFF" w:themeColor="background1"/>
            </w:tcBorders>
            <w:shd w:val="clear" w:color="auto" w:fill="002060"/>
            <w:vAlign w:val="center"/>
          </w:tcPr>
          <w:p w14:paraId="2C124525" w14:textId="77777777" w:rsidR="005C1FD5" w:rsidRPr="005C1FD5" w:rsidRDefault="005C1FD5" w:rsidP="00195D54">
            <w:pPr>
              <w:contextualSpacing/>
              <w:jc w:val="center"/>
              <w:rPr>
                <w:b/>
                <w:bCs/>
                <w:color w:val="FFFFFF" w:themeColor="background1"/>
                <w:sz w:val="20"/>
                <w:szCs w:val="20"/>
              </w:rPr>
            </w:pPr>
            <w:r w:rsidRPr="005C1FD5">
              <w:rPr>
                <w:rFonts w:cstheme="minorHAnsi"/>
                <w:b/>
                <w:color w:val="FFFFFF" w:themeColor="background1"/>
                <w:sz w:val="20"/>
                <w:szCs w:val="20"/>
              </w:rPr>
              <w:t>2025</w:t>
            </w:r>
          </w:p>
        </w:tc>
      </w:tr>
      <w:tr w:rsidR="005C1FD5" w:rsidRPr="009C5FBC" w14:paraId="5735E182" w14:textId="77777777" w:rsidTr="005C1FD5">
        <w:trPr>
          <w:trHeight w:val="85"/>
        </w:trPr>
        <w:tc>
          <w:tcPr>
            <w:tcW w:w="3402" w:type="dxa"/>
            <w:tcBorders>
              <w:top w:val="single" w:sz="4" w:space="0" w:color="auto"/>
              <w:bottom w:val="single" w:sz="4" w:space="0" w:color="A6A6A6" w:themeColor="background1" w:themeShade="A6"/>
            </w:tcBorders>
            <w:shd w:val="clear" w:color="auto" w:fill="auto"/>
            <w:vAlign w:val="center"/>
          </w:tcPr>
          <w:p w14:paraId="21165BD0" w14:textId="77777777" w:rsidR="005C1FD5" w:rsidRDefault="005C1FD5" w:rsidP="00195D54">
            <w:pPr>
              <w:contextualSpacing/>
              <w:rPr>
                <w:i/>
                <w:iCs/>
                <w:color w:val="000000"/>
                <w:sz w:val="18"/>
                <w:szCs w:val="18"/>
              </w:rPr>
            </w:pPr>
            <w:r w:rsidRPr="00B61575">
              <w:rPr>
                <w:b/>
                <w:bCs/>
                <w:sz w:val="20"/>
                <w:szCs w:val="20"/>
              </w:rPr>
              <w:t>Naftas produkti, kurus izmanto elektroenerģijas ražošanā un koģenerācijā</w:t>
            </w:r>
            <w:r w:rsidRPr="00C666EF">
              <w:rPr>
                <w:sz w:val="20"/>
                <w:szCs w:val="20"/>
              </w:rPr>
              <w:t xml:space="preserve">, </w:t>
            </w:r>
            <w:r w:rsidRPr="00C666EF">
              <w:rPr>
                <w:i/>
                <w:iCs/>
                <w:sz w:val="20"/>
                <w:szCs w:val="20"/>
              </w:rPr>
              <w:t>euro par 1000 litriem</w:t>
            </w:r>
          </w:p>
        </w:tc>
        <w:tc>
          <w:tcPr>
            <w:tcW w:w="851" w:type="dxa"/>
            <w:tcBorders>
              <w:top w:val="single" w:sz="4" w:space="0" w:color="auto"/>
              <w:bottom w:val="single" w:sz="4" w:space="0" w:color="A6A6A6" w:themeColor="background1" w:themeShade="A6"/>
            </w:tcBorders>
            <w:shd w:val="clear" w:color="auto" w:fill="F2F2F2" w:themeFill="background1" w:themeFillShade="F2"/>
            <w:vAlign w:val="center"/>
          </w:tcPr>
          <w:p w14:paraId="71CD0616" w14:textId="77777777" w:rsidR="005C1FD5" w:rsidRPr="009C5FBC" w:rsidRDefault="005C1FD5" w:rsidP="00195D54">
            <w:pPr>
              <w:contextualSpacing/>
              <w:jc w:val="center"/>
              <w:rPr>
                <w:rFonts w:cstheme="minorHAnsi"/>
                <w:b/>
                <w:bCs/>
                <w:sz w:val="20"/>
                <w:szCs w:val="20"/>
              </w:rPr>
            </w:pPr>
            <w:r w:rsidRPr="00C666EF">
              <w:rPr>
                <w:b/>
                <w:bCs/>
                <w:sz w:val="20"/>
                <w:szCs w:val="20"/>
              </w:rPr>
              <w:t>-</w:t>
            </w:r>
          </w:p>
        </w:tc>
        <w:tc>
          <w:tcPr>
            <w:tcW w:w="850" w:type="dxa"/>
            <w:tcBorders>
              <w:top w:val="single" w:sz="4" w:space="0" w:color="auto"/>
              <w:bottom w:val="single" w:sz="4" w:space="0" w:color="A6A6A6" w:themeColor="background1" w:themeShade="A6"/>
            </w:tcBorders>
            <w:vAlign w:val="center"/>
          </w:tcPr>
          <w:p w14:paraId="616F7DCA" w14:textId="77777777" w:rsidR="005C1FD5" w:rsidRPr="00F555E6" w:rsidRDefault="005C1FD5" w:rsidP="00195D54">
            <w:pPr>
              <w:contextualSpacing/>
              <w:jc w:val="center"/>
              <w:rPr>
                <w:i/>
                <w:iCs/>
                <w:color w:val="C00000"/>
                <w:sz w:val="18"/>
                <w:szCs w:val="18"/>
              </w:rPr>
            </w:pPr>
            <w:r w:rsidRPr="00F555E6">
              <w:rPr>
                <w:b/>
                <w:bCs/>
                <w:color w:val="C00000"/>
                <w:sz w:val="20"/>
                <w:szCs w:val="20"/>
              </w:rPr>
              <w:t>108,3</w:t>
            </w:r>
          </w:p>
        </w:tc>
        <w:tc>
          <w:tcPr>
            <w:tcW w:w="709" w:type="dxa"/>
            <w:tcBorders>
              <w:top w:val="single" w:sz="4" w:space="0" w:color="auto"/>
              <w:bottom w:val="single" w:sz="4" w:space="0" w:color="A6A6A6" w:themeColor="background1" w:themeShade="A6"/>
            </w:tcBorders>
            <w:vAlign w:val="center"/>
          </w:tcPr>
          <w:p w14:paraId="0D399BB5" w14:textId="77777777" w:rsidR="005C1FD5" w:rsidRPr="00F555E6" w:rsidRDefault="005C1FD5" w:rsidP="00195D54">
            <w:pPr>
              <w:contextualSpacing/>
              <w:jc w:val="center"/>
              <w:rPr>
                <w:i/>
                <w:iCs/>
                <w:color w:val="C00000"/>
                <w:sz w:val="18"/>
                <w:szCs w:val="18"/>
              </w:rPr>
            </w:pPr>
            <w:r w:rsidRPr="00F555E6">
              <w:rPr>
                <w:b/>
                <w:bCs/>
                <w:color w:val="C00000"/>
                <w:sz w:val="20"/>
                <w:szCs w:val="20"/>
              </w:rPr>
              <w:t>134,6</w:t>
            </w:r>
          </w:p>
        </w:tc>
        <w:tc>
          <w:tcPr>
            <w:tcW w:w="1701" w:type="dxa"/>
            <w:gridSpan w:val="2"/>
            <w:vMerge w:val="restart"/>
            <w:shd w:val="clear" w:color="auto" w:fill="F2F2F2" w:themeFill="background1" w:themeFillShade="F2"/>
            <w:vAlign w:val="center"/>
          </w:tcPr>
          <w:p w14:paraId="761722C0" w14:textId="77777777" w:rsidR="005C1FD5" w:rsidRPr="00FE35AA" w:rsidRDefault="005C1FD5" w:rsidP="00195D54">
            <w:pPr>
              <w:contextualSpacing/>
              <w:jc w:val="center"/>
              <w:rPr>
                <w:b/>
                <w:bCs/>
                <w:color w:val="92D050"/>
                <w:sz w:val="20"/>
                <w:szCs w:val="20"/>
              </w:rPr>
            </w:pPr>
            <w:r w:rsidRPr="0043453E">
              <w:rPr>
                <w:b/>
                <w:bCs/>
                <w:sz w:val="20"/>
                <w:szCs w:val="20"/>
              </w:rPr>
              <w:t>-</w:t>
            </w:r>
          </w:p>
        </w:tc>
        <w:tc>
          <w:tcPr>
            <w:tcW w:w="1559" w:type="dxa"/>
            <w:gridSpan w:val="2"/>
            <w:vMerge w:val="restart"/>
            <w:shd w:val="clear" w:color="auto" w:fill="F2F2F2" w:themeFill="background1" w:themeFillShade="F2"/>
            <w:vAlign w:val="center"/>
          </w:tcPr>
          <w:p w14:paraId="709D2233" w14:textId="77777777" w:rsidR="005C1FD5" w:rsidRPr="0043453E" w:rsidRDefault="005C1FD5" w:rsidP="00195D54">
            <w:pPr>
              <w:contextualSpacing/>
              <w:jc w:val="center"/>
              <w:rPr>
                <w:b/>
                <w:bCs/>
                <w:sz w:val="20"/>
                <w:szCs w:val="20"/>
              </w:rPr>
            </w:pPr>
            <w:r w:rsidRPr="0043453E">
              <w:rPr>
                <w:b/>
                <w:bCs/>
                <w:sz w:val="20"/>
                <w:szCs w:val="20"/>
              </w:rPr>
              <w:t>-</w:t>
            </w:r>
          </w:p>
        </w:tc>
      </w:tr>
      <w:tr w:rsidR="005C1FD5" w:rsidRPr="009C5FBC" w14:paraId="1CAD17E4" w14:textId="77777777" w:rsidTr="005C1FD5">
        <w:trPr>
          <w:trHeight w:val="85"/>
        </w:trPr>
        <w:tc>
          <w:tcPr>
            <w:tcW w:w="3402" w:type="dxa"/>
            <w:tcBorders>
              <w:top w:val="single" w:sz="4" w:space="0" w:color="A6A6A6" w:themeColor="background1" w:themeShade="A6"/>
              <w:bottom w:val="single" w:sz="4" w:space="0" w:color="A6A6A6" w:themeColor="background1" w:themeShade="A6"/>
            </w:tcBorders>
            <w:shd w:val="clear" w:color="auto" w:fill="auto"/>
            <w:vAlign w:val="center"/>
          </w:tcPr>
          <w:p w14:paraId="4919101E" w14:textId="77777777" w:rsidR="005C1FD5" w:rsidRDefault="005C1FD5" w:rsidP="00195D54">
            <w:pPr>
              <w:contextualSpacing/>
              <w:jc w:val="right"/>
              <w:rPr>
                <w:i/>
                <w:iCs/>
                <w:color w:val="000000"/>
                <w:sz w:val="18"/>
                <w:szCs w:val="18"/>
              </w:rPr>
            </w:pPr>
            <w:r>
              <w:rPr>
                <w:i/>
                <w:iCs/>
                <w:color w:val="000000"/>
                <w:sz w:val="18"/>
                <w:szCs w:val="18"/>
              </w:rPr>
              <w:t>Izmaiņas</w:t>
            </w:r>
            <w:r w:rsidRPr="00FB0EB9">
              <w:rPr>
                <w:b/>
                <w:bCs/>
                <w:i/>
                <w:iCs/>
                <w:color w:val="000000"/>
                <w:sz w:val="18"/>
                <w:szCs w:val="18"/>
              </w:rPr>
              <w:t xml:space="preserve"> </w:t>
            </w:r>
            <w:r w:rsidRPr="00126954">
              <w:rPr>
                <w:i/>
                <w:iCs/>
                <w:color w:val="000000"/>
                <w:sz w:val="18"/>
                <w:szCs w:val="18"/>
              </w:rPr>
              <w:t>kurināmajam</w:t>
            </w:r>
          </w:p>
        </w:tc>
        <w:tc>
          <w:tcPr>
            <w:tcW w:w="851"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618C2B35" w14:textId="77777777" w:rsidR="005C1FD5" w:rsidRPr="009C5FBC" w:rsidRDefault="005C1FD5" w:rsidP="00195D54">
            <w:pPr>
              <w:contextualSpacing/>
              <w:jc w:val="center"/>
              <w:rPr>
                <w:rFonts w:cstheme="minorHAnsi"/>
                <w:b/>
                <w:bCs/>
                <w:sz w:val="20"/>
                <w:szCs w:val="20"/>
              </w:rPr>
            </w:pPr>
          </w:p>
        </w:tc>
        <w:tc>
          <w:tcPr>
            <w:tcW w:w="850" w:type="dxa"/>
            <w:tcBorders>
              <w:top w:val="single" w:sz="4" w:space="0" w:color="A6A6A6" w:themeColor="background1" w:themeShade="A6"/>
              <w:bottom w:val="single" w:sz="4" w:space="0" w:color="A6A6A6" w:themeColor="background1" w:themeShade="A6"/>
            </w:tcBorders>
            <w:vAlign w:val="center"/>
          </w:tcPr>
          <w:p w14:paraId="59628810" w14:textId="77777777" w:rsidR="005C1FD5" w:rsidRPr="00EF404E" w:rsidRDefault="005C1FD5" w:rsidP="00195D54">
            <w:pPr>
              <w:contextualSpacing/>
              <w:jc w:val="center"/>
              <w:rPr>
                <w:i/>
                <w:iCs/>
                <w:color w:val="C00000"/>
                <w:sz w:val="18"/>
                <w:szCs w:val="18"/>
              </w:rPr>
            </w:pPr>
            <w:r w:rsidRPr="00B61575">
              <w:rPr>
                <w:i/>
                <w:iCs/>
                <w:color w:val="C00000"/>
                <w:sz w:val="18"/>
                <w:szCs w:val="18"/>
              </w:rPr>
              <w:t>+82,0</w:t>
            </w:r>
          </w:p>
        </w:tc>
        <w:tc>
          <w:tcPr>
            <w:tcW w:w="709" w:type="dxa"/>
            <w:tcBorders>
              <w:top w:val="single" w:sz="4" w:space="0" w:color="A6A6A6" w:themeColor="background1" w:themeShade="A6"/>
              <w:bottom w:val="single" w:sz="4" w:space="0" w:color="A6A6A6" w:themeColor="background1" w:themeShade="A6"/>
            </w:tcBorders>
            <w:vAlign w:val="center"/>
          </w:tcPr>
          <w:p w14:paraId="340AB8A9" w14:textId="77777777" w:rsidR="005C1FD5" w:rsidRPr="00EF404E" w:rsidRDefault="005C1FD5" w:rsidP="00195D54">
            <w:pPr>
              <w:contextualSpacing/>
              <w:jc w:val="center"/>
              <w:rPr>
                <w:i/>
                <w:iCs/>
                <w:color w:val="C00000"/>
                <w:sz w:val="18"/>
                <w:szCs w:val="18"/>
              </w:rPr>
            </w:pPr>
            <w:r>
              <w:rPr>
                <w:i/>
                <w:iCs/>
                <w:color w:val="C00000"/>
                <w:sz w:val="18"/>
                <w:szCs w:val="18"/>
              </w:rPr>
              <w:t>-</w:t>
            </w:r>
          </w:p>
        </w:tc>
        <w:tc>
          <w:tcPr>
            <w:tcW w:w="1701" w:type="dxa"/>
            <w:gridSpan w:val="2"/>
            <w:vMerge/>
            <w:shd w:val="clear" w:color="auto" w:fill="F2F2F2" w:themeFill="background1" w:themeFillShade="F2"/>
            <w:vAlign w:val="center"/>
          </w:tcPr>
          <w:p w14:paraId="1A5B05FC" w14:textId="77777777" w:rsidR="005C1FD5" w:rsidRPr="00097D61" w:rsidRDefault="005C1FD5" w:rsidP="00195D54">
            <w:pPr>
              <w:contextualSpacing/>
              <w:jc w:val="center"/>
              <w:rPr>
                <w:b/>
                <w:bCs/>
                <w:color w:val="C00000"/>
                <w:sz w:val="20"/>
                <w:szCs w:val="20"/>
              </w:rPr>
            </w:pPr>
          </w:p>
        </w:tc>
        <w:tc>
          <w:tcPr>
            <w:tcW w:w="1559" w:type="dxa"/>
            <w:gridSpan w:val="2"/>
            <w:vMerge/>
            <w:shd w:val="clear" w:color="auto" w:fill="F2F2F2" w:themeFill="background1" w:themeFillShade="F2"/>
            <w:vAlign w:val="center"/>
          </w:tcPr>
          <w:p w14:paraId="31015F2D" w14:textId="77777777" w:rsidR="005C1FD5" w:rsidRPr="00097D61" w:rsidRDefault="005C1FD5" w:rsidP="00195D54">
            <w:pPr>
              <w:contextualSpacing/>
              <w:jc w:val="center"/>
              <w:rPr>
                <w:b/>
                <w:bCs/>
                <w:color w:val="C00000"/>
                <w:sz w:val="20"/>
                <w:szCs w:val="20"/>
              </w:rPr>
            </w:pPr>
          </w:p>
        </w:tc>
      </w:tr>
      <w:tr w:rsidR="005C1FD5" w:rsidRPr="009C5FBC" w14:paraId="00D57FBB" w14:textId="77777777" w:rsidTr="005C1FD5">
        <w:trPr>
          <w:trHeight w:val="85"/>
        </w:trPr>
        <w:tc>
          <w:tcPr>
            <w:tcW w:w="3402" w:type="dxa"/>
            <w:tcBorders>
              <w:top w:val="single" w:sz="4" w:space="0" w:color="A6A6A6" w:themeColor="background1" w:themeShade="A6"/>
            </w:tcBorders>
            <w:shd w:val="clear" w:color="auto" w:fill="auto"/>
            <w:vAlign w:val="center"/>
          </w:tcPr>
          <w:p w14:paraId="377A57CD" w14:textId="77777777" w:rsidR="005C1FD5" w:rsidRDefault="005C1FD5" w:rsidP="00195D54">
            <w:pPr>
              <w:contextualSpacing/>
              <w:jc w:val="right"/>
              <w:rPr>
                <w:i/>
                <w:iCs/>
                <w:color w:val="000000"/>
                <w:sz w:val="18"/>
                <w:szCs w:val="18"/>
              </w:rPr>
            </w:pPr>
            <w:r>
              <w:rPr>
                <w:i/>
                <w:iCs/>
                <w:color w:val="000000"/>
                <w:sz w:val="18"/>
                <w:szCs w:val="18"/>
              </w:rPr>
              <w:t>Izmaiņas</w:t>
            </w:r>
            <w:r w:rsidRPr="00FB0EB9">
              <w:rPr>
                <w:b/>
                <w:bCs/>
                <w:i/>
                <w:iCs/>
                <w:color w:val="000000"/>
                <w:sz w:val="18"/>
                <w:szCs w:val="18"/>
              </w:rPr>
              <w:t xml:space="preserve"> </w:t>
            </w:r>
            <w:r w:rsidRPr="00126954">
              <w:rPr>
                <w:i/>
                <w:iCs/>
                <w:color w:val="000000"/>
                <w:sz w:val="18"/>
                <w:szCs w:val="18"/>
              </w:rPr>
              <w:t>sakarā ar  ETS2 ieviešanu</w:t>
            </w:r>
          </w:p>
        </w:tc>
        <w:tc>
          <w:tcPr>
            <w:tcW w:w="851" w:type="dxa"/>
            <w:tcBorders>
              <w:top w:val="single" w:sz="4" w:space="0" w:color="A6A6A6" w:themeColor="background1" w:themeShade="A6"/>
            </w:tcBorders>
            <w:shd w:val="clear" w:color="auto" w:fill="F2F2F2" w:themeFill="background1" w:themeFillShade="F2"/>
            <w:vAlign w:val="center"/>
          </w:tcPr>
          <w:p w14:paraId="6B87225F" w14:textId="77777777" w:rsidR="005C1FD5" w:rsidRPr="009C5FBC" w:rsidRDefault="005C1FD5" w:rsidP="00195D54">
            <w:pPr>
              <w:contextualSpacing/>
              <w:jc w:val="center"/>
              <w:rPr>
                <w:rFonts w:cstheme="minorHAnsi"/>
                <w:b/>
                <w:bCs/>
                <w:sz w:val="20"/>
                <w:szCs w:val="20"/>
              </w:rPr>
            </w:pPr>
          </w:p>
        </w:tc>
        <w:tc>
          <w:tcPr>
            <w:tcW w:w="850" w:type="dxa"/>
            <w:tcBorders>
              <w:top w:val="single" w:sz="4" w:space="0" w:color="A6A6A6" w:themeColor="background1" w:themeShade="A6"/>
            </w:tcBorders>
            <w:vAlign w:val="center"/>
          </w:tcPr>
          <w:p w14:paraId="3A3E7A9E" w14:textId="77777777" w:rsidR="005C1FD5" w:rsidRPr="00B61575" w:rsidRDefault="005C1FD5" w:rsidP="00195D54">
            <w:pPr>
              <w:contextualSpacing/>
              <w:jc w:val="center"/>
              <w:rPr>
                <w:i/>
                <w:iCs/>
                <w:color w:val="C00000"/>
                <w:sz w:val="18"/>
                <w:szCs w:val="18"/>
              </w:rPr>
            </w:pPr>
            <w:r>
              <w:rPr>
                <w:i/>
                <w:iCs/>
                <w:color w:val="C00000"/>
                <w:sz w:val="18"/>
                <w:szCs w:val="18"/>
              </w:rPr>
              <w:t>+26,3</w:t>
            </w:r>
          </w:p>
        </w:tc>
        <w:tc>
          <w:tcPr>
            <w:tcW w:w="709" w:type="dxa"/>
            <w:tcBorders>
              <w:top w:val="single" w:sz="4" w:space="0" w:color="A6A6A6" w:themeColor="background1" w:themeShade="A6"/>
            </w:tcBorders>
            <w:vAlign w:val="center"/>
          </w:tcPr>
          <w:p w14:paraId="09F2CCA7" w14:textId="77777777" w:rsidR="005C1FD5" w:rsidRDefault="005C1FD5" w:rsidP="00195D54">
            <w:pPr>
              <w:contextualSpacing/>
              <w:jc w:val="center"/>
              <w:rPr>
                <w:i/>
                <w:iCs/>
                <w:color w:val="C00000"/>
                <w:sz w:val="18"/>
                <w:szCs w:val="18"/>
              </w:rPr>
            </w:pPr>
            <w:r>
              <w:rPr>
                <w:i/>
                <w:iCs/>
                <w:color w:val="C00000"/>
                <w:sz w:val="18"/>
                <w:szCs w:val="18"/>
              </w:rPr>
              <w:t>+26,3</w:t>
            </w:r>
          </w:p>
        </w:tc>
        <w:tc>
          <w:tcPr>
            <w:tcW w:w="1701" w:type="dxa"/>
            <w:gridSpan w:val="2"/>
            <w:vMerge/>
            <w:shd w:val="clear" w:color="auto" w:fill="F2F2F2" w:themeFill="background1" w:themeFillShade="F2"/>
            <w:vAlign w:val="center"/>
          </w:tcPr>
          <w:p w14:paraId="42A1E08F" w14:textId="77777777" w:rsidR="005C1FD5" w:rsidRPr="00097D61" w:rsidRDefault="005C1FD5" w:rsidP="00195D54">
            <w:pPr>
              <w:contextualSpacing/>
              <w:jc w:val="center"/>
              <w:rPr>
                <w:b/>
                <w:bCs/>
                <w:color w:val="C00000"/>
                <w:sz w:val="20"/>
                <w:szCs w:val="20"/>
              </w:rPr>
            </w:pPr>
          </w:p>
        </w:tc>
        <w:tc>
          <w:tcPr>
            <w:tcW w:w="1559" w:type="dxa"/>
            <w:gridSpan w:val="2"/>
            <w:vMerge/>
            <w:shd w:val="clear" w:color="auto" w:fill="F2F2F2" w:themeFill="background1" w:themeFillShade="F2"/>
            <w:vAlign w:val="center"/>
          </w:tcPr>
          <w:p w14:paraId="5730A923" w14:textId="77777777" w:rsidR="005C1FD5" w:rsidRPr="00097D61" w:rsidRDefault="005C1FD5" w:rsidP="00195D54">
            <w:pPr>
              <w:contextualSpacing/>
              <w:jc w:val="center"/>
              <w:rPr>
                <w:b/>
                <w:bCs/>
                <w:color w:val="C00000"/>
                <w:sz w:val="20"/>
                <w:szCs w:val="20"/>
              </w:rPr>
            </w:pPr>
          </w:p>
        </w:tc>
      </w:tr>
    </w:tbl>
    <w:p w14:paraId="5B82A735" w14:textId="77777777" w:rsidR="00183B22" w:rsidRDefault="00183B22" w:rsidP="00183B22">
      <w:pPr>
        <w:jc w:val="center"/>
        <w:rPr>
          <w:rFonts w:cs="Times New Roman"/>
          <w:sz w:val="20"/>
        </w:rPr>
      </w:pPr>
    </w:p>
    <w:p w14:paraId="4227B54F" w14:textId="328763D9" w:rsidR="002B6702" w:rsidRPr="002E0A09" w:rsidRDefault="006F5E64" w:rsidP="002B6702">
      <w:pPr>
        <w:spacing w:after="120"/>
        <w:jc w:val="center"/>
        <w:rPr>
          <w:rFonts w:cs="Times New Roman"/>
          <w:sz w:val="20"/>
        </w:rPr>
      </w:pPr>
      <w:r w:rsidRPr="006F5E64">
        <w:rPr>
          <w:rFonts w:cs="Times New Roman"/>
          <w:sz w:val="20"/>
        </w:rPr>
        <w:t>2</w:t>
      </w:r>
      <w:r w:rsidR="00725CD9">
        <w:rPr>
          <w:rFonts w:cs="Times New Roman"/>
          <w:sz w:val="20"/>
        </w:rPr>
        <w:t>5</w:t>
      </w:r>
      <w:r w:rsidR="002B6702" w:rsidRPr="006F5E64">
        <w:rPr>
          <w:rFonts w:cs="Times New Roman"/>
          <w:sz w:val="20"/>
        </w:rPr>
        <w:t>.</w:t>
      </w:r>
      <w:r w:rsidR="002B6702" w:rsidRPr="002E0A09">
        <w:rPr>
          <w:rFonts w:cs="Times New Roman"/>
          <w:sz w:val="20"/>
        </w:rPr>
        <w:t>tab</w:t>
      </w:r>
      <w:r w:rsidR="002B6702" w:rsidRPr="002E0A09">
        <w:rPr>
          <w:rFonts w:cs="Times New Roman"/>
          <w:bCs/>
          <w:sz w:val="20"/>
        </w:rPr>
        <w:t>.</w:t>
      </w:r>
      <w:r w:rsidR="002B6702" w:rsidRPr="002E0A09">
        <w:rPr>
          <w:rFonts w:cs="Times New Roman"/>
          <w:b/>
          <w:sz w:val="20"/>
        </w:rPr>
        <w:t xml:space="preserve"> Priekšlikuma indikatīva fiskālā ietekme</w:t>
      </w:r>
      <w:r w:rsidR="002B6702" w:rsidRPr="002E0A09">
        <w:rPr>
          <w:rFonts w:cs="Times New Roman"/>
          <w:bCs/>
          <w:sz w:val="20"/>
        </w:rPr>
        <w:t>,</w:t>
      </w:r>
      <w:r w:rsidR="002B6702" w:rsidRPr="002E0A09">
        <w:rPr>
          <w:rFonts w:cs="Times New Roman"/>
          <w:bCs/>
          <w:i/>
          <w:iCs/>
          <w:sz w:val="20"/>
        </w:rPr>
        <w:t> euro</w:t>
      </w:r>
    </w:p>
    <w:tbl>
      <w:tblPr>
        <w:tblStyle w:val="TableGrid"/>
        <w:tblW w:w="9067" w:type="dxa"/>
        <w:tblInd w:w="5" w:type="dxa"/>
        <w:tblLook w:val="04A0" w:firstRow="1" w:lastRow="0" w:firstColumn="1" w:lastColumn="0" w:noHBand="0" w:noVBand="1"/>
      </w:tblPr>
      <w:tblGrid>
        <w:gridCol w:w="3672"/>
        <w:gridCol w:w="1376"/>
        <w:gridCol w:w="1375"/>
        <w:gridCol w:w="1375"/>
        <w:gridCol w:w="1269"/>
      </w:tblGrid>
      <w:tr w:rsidR="002B6702" w:rsidRPr="00D738ED" w14:paraId="7F027289" w14:textId="77777777" w:rsidTr="00005BE2">
        <w:tc>
          <w:tcPr>
            <w:tcW w:w="3672" w:type="dxa"/>
            <w:tcBorders>
              <w:top w:val="nil"/>
              <w:left w:val="nil"/>
              <w:bottom w:val="single" w:sz="8" w:space="0" w:color="auto"/>
              <w:right w:val="nil"/>
            </w:tcBorders>
            <w:shd w:val="clear" w:color="auto" w:fill="FFFFFF" w:themeFill="background1"/>
          </w:tcPr>
          <w:p w14:paraId="0863701E" w14:textId="77777777" w:rsidR="002B6702" w:rsidRPr="00C11875" w:rsidRDefault="002B6702" w:rsidP="00005BE2">
            <w:pPr>
              <w:pStyle w:val="ListParagraph"/>
              <w:ind w:left="0"/>
              <w:contextualSpacing w:val="0"/>
              <w:jc w:val="center"/>
              <w:rPr>
                <w:b/>
                <w:bCs/>
                <w:sz w:val="20"/>
                <w:szCs w:val="20"/>
              </w:rPr>
            </w:pPr>
          </w:p>
        </w:tc>
        <w:tc>
          <w:tcPr>
            <w:tcW w:w="1376" w:type="dxa"/>
            <w:tcBorders>
              <w:top w:val="nil"/>
              <w:left w:val="nil"/>
              <w:bottom w:val="single" w:sz="8" w:space="0" w:color="auto"/>
              <w:right w:val="nil"/>
            </w:tcBorders>
            <w:shd w:val="clear" w:color="auto" w:fill="FFFFFF" w:themeFill="background1"/>
            <w:vAlign w:val="bottom"/>
          </w:tcPr>
          <w:p w14:paraId="69D0EF42" w14:textId="77777777" w:rsidR="002B6702" w:rsidRPr="00C11875" w:rsidRDefault="002B6702" w:rsidP="00005BE2">
            <w:pPr>
              <w:pStyle w:val="ListParagraph"/>
              <w:ind w:left="0"/>
              <w:contextualSpacing w:val="0"/>
              <w:jc w:val="center"/>
              <w:rPr>
                <w:b/>
                <w:bCs/>
                <w:sz w:val="20"/>
                <w:szCs w:val="20"/>
              </w:rPr>
            </w:pPr>
            <w:r w:rsidRPr="00C11875">
              <w:rPr>
                <w:b/>
                <w:bCs/>
                <w:sz w:val="20"/>
                <w:szCs w:val="20"/>
              </w:rPr>
              <w:t>2025</w:t>
            </w:r>
          </w:p>
        </w:tc>
        <w:tc>
          <w:tcPr>
            <w:tcW w:w="1375" w:type="dxa"/>
            <w:tcBorders>
              <w:top w:val="nil"/>
              <w:left w:val="nil"/>
              <w:bottom w:val="single" w:sz="8" w:space="0" w:color="auto"/>
              <w:right w:val="nil"/>
            </w:tcBorders>
            <w:shd w:val="clear" w:color="auto" w:fill="FFFFFF" w:themeFill="background1"/>
            <w:vAlign w:val="bottom"/>
          </w:tcPr>
          <w:p w14:paraId="0F77B84E" w14:textId="77777777" w:rsidR="002B6702" w:rsidRPr="00C11875" w:rsidRDefault="002B6702" w:rsidP="00005BE2">
            <w:pPr>
              <w:pStyle w:val="ListParagraph"/>
              <w:ind w:left="0"/>
              <w:contextualSpacing w:val="0"/>
              <w:jc w:val="center"/>
              <w:rPr>
                <w:b/>
                <w:bCs/>
                <w:sz w:val="20"/>
                <w:szCs w:val="20"/>
              </w:rPr>
            </w:pPr>
            <w:r w:rsidRPr="00C11875">
              <w:rPr>
                <w:b/>
                <w:bCs/>
                <w:sz w:val="20"/>
                <w:szCs w:val="20"/>
              </w:rPr>
              <w:t>2026</w:t>
            </w:r>
          </w:p>
        </w:tc>
        <w:tc>
          <w:tcPr>
            <w:tcW w:w="1375" w:type="dxa"/>
            <w:tcBorders>
              <w:top w:val="nil"/>
              <w:left w:val="nil"/>
              <w:bottom w:val="single" w:sz="8" w:space="0" w:color="auto"/>
              <w:right w:val="nil"/>
            </w:tcBorders>
            <w:shd w:val="clear" w:color="auto" w:fill="FFFFFF" w:themeFill="background1"/>
            <w:vAlign w:val="bottom"/>
          </w:tcPr>
          <w:p w14:paraId="7EE64F70" w14:textId="77777777" w:rsidR="002B6702" w:rsidRPr="00C11875" w:rsidRDefault="002B6702" w:rsidP="00005BE2">
            <w:pPr>
              <w:pStyle w:val="ListParagraph"/>
              <w:ind w:left="0"/>
              <w:contextualSpacing w:val="0"/>
              <w:jc w:val="center"/>
              <w:rPr>
                <w:b/>
                <w:bCs/>
                <w:sz w:val="20"/>
                <w:szCs w:val="20"/>
              </w:rPr>
            </w:pPr>
            <w:r w:rsidRPr="00C11875">
              <w:rPr>
                <w:b/>
                <w:bCs/>
                <w:sz w:val="20"/>
                <w:szCs w:val="20"/>
              </w:rPr>
              <w:t>2027</w:t>
            </w:r>
          </w:p>
        </w:tc>
        <w:tc>
          <w:tcPr>
            <w:tcW w:w="1269" w:type="dxa"/>
            <w:tcBorders>
              <w:top w:val="nil"/>
              <w:left w:val="nil"/>
              <w:bottom w:val="single" w:sz="8" w:space="0" w:color="auto"/>
              <w:right w:val="nil"/>
            </w:tcBorders>
            <w:shd w:val="clear" w:color="auto" w:fill="FFFFFF" w:themeFill="background1"/>
          </w:tcPr>
          <w:p w14:paraId="64828A59" w14:textId="77777777" w:rsidR="002B6702" w:rsidRPr="00C11875" w:rsidRDefault="002B6702" w:rsidP="00005BE2">
            <w:pPr>
              <w:pStyle w:val="ListParagraph"/>
              <w:ind w:left="0"/>
              <w:contextualSpacing w:val="0"/>
              <w:jc w:val="center"/>
              <w:rPr>
                <w:b/>
                <w:bCs/>
                <w:sz w:val="20"/>
                <w:szCs w:val="20"/>
              </w:rPr>
            </w:pPr>
            <w:r w:rsidRPr="00C11875">
              <w:rPr>
                <w:b/>
                <w:bCs/>
                <w:sz w:val="20"/>
                <w:szCs w:val="20"/>
              </w:rPr>
              <w:t>2028</w:t>
            </w:r>
          </w:p>
        </w:tc>
      </w:tr>
      <w:tr w:rsidR="002B6702" w:rsidRPr="002B6702" w14:paraId="2450B4DD" w14:textId="77777777" w:rsidTr="00005BE2">
        <w:tc>
          <w:tcPr>
            <w:tcW w:w="3672" w:type="dxa"/>
            <w:tcBorders>
              <w:left w:val="nil"/>
              <w:bottom w:val="nil"/>
            </w:tcBorders>
            <w:shd w:val="clear" w:color="auto" w:fill="E7E6E6" w:themeFill="background2"/>
            <w:vAlign w:val="center"/>
          </w:tcPr>
          <w:p w14:paraId="7D319E07" w14:textId="335B6BC9" w:rsidR="002B6702" w:rsidRPr="002B6702" w:rsidRDefault="00F61380" w:rsidP="00005BE2">
            <w:pPr>
              <w:rPr>
                <w:i/>
                <w:iCs/>
                <w:sz w:val="20"/>
                <w:szCs w:val="20"/>
              </w:rPr>
            </w:pPr>
            <w:r w:rsidRPr="00F61380">
              <w:rPr>
                <w:b/>
                <w:bCs/>
                <w:sz w:val="20"/>
                <w:szCs w:val="20"/>
              </w:rPr>
              <w:t>AN ieņēmumi</w:t>
            </w:r>
            <w:r w:rsidR="002B6702" w:rsidRPr="002B6702">
              <w:rPr>
                <w:i/>
                <w:iCs/>
                <w:sz w:val="20"/>
                <w:szCs w:val="20"/>
              </w:rPr>
              <w:t>, no tā:</w:t>
            </w:r>
          </w:p>
        </w:tc>
        <w:tc>
          <w:tcPr>
            <w:tcW w:w="1376" w:type="dxa"/>
            <w:tcBorders>
              <w:bottom w:val="nil"/>
            </w:tcBorders>
            <w:shd w:val="clear" w:color="auto" w:fill="E7E6E6" w:themeFill="background2"/>
            <w:vAlign w:val="center"/>
          </w:tcPr>
          <w:p w14:paraId="73887D88" w14:textId="04B8E484" w:rsidR="002B6702" w:rsidRPr="002B6702" w:rsidRDefault="002B6702" w:rsidP="00005BE2">
            <w:pPr>
              <w:pStyle w:val="ListParagraph"/>
              <w:ind w:left="0"/>
              <w:contextualSpacing w:val="0"/>
              <w:jc w:val="center"/>
              <w:rPr>
                <w:i/>
                <w:iCs/>
                <w:color w:val="00B050"/>
                <w:sz w:val="20"/>
                <w:szCs w:val="20"/>
              </w:rPr>
            </w:pPr>
            <w:r w:rsidRPr="002B6702">
              <w:rPr>
                <w:b/>
                <w:bCs/>
                <w:color w:val="00B050"/>
                <w:sz w:val="20"/>
                <w:szCs w:val="20"/>
              </w:rPr>
              <w:t>+2</w:t>
            </w:r>
            <w:r w:rsidR="00E135EF">
              <w:rPr>
                <w:b/>
                <w:bCs/>
                <w:color w:val="00B050"/>
                <w:sz w:val="20"/>
                <w:szCs w:val="20"/>
              </w:rPr>
              <w:t>41</w:t>
            </w:r>
            <w:r w:rsidR="00794C43">
              <w:rPr>
                <w:b/>
                <w:bCs/>
                <w:color w:val="00B050"/>
                <w:sz w:val="20"/>
                <w:szCs w:val="20"/>
              </w:rPr>
              <w:t xml:space="preserve"> 000</w:t>
            </w:r>
          </w:p>
        </w:tc>
        <w:tc>
          <w:tcPr>
            <w:tcW w:w="1375" w:type="dxa"/>
            <w:tcBorders>
              <w:bottom w:val="nil"/>
            </w:tcBorders>
            <w:shd w:val="clear" w:color="auto" w:fill="E7E6E6" w:themeFill="background2"/>
            <w:vAlign w:val="center"/>
          </w:tcPr>
          <w:p w14:paraId="5644C882" w14:textId="28A3F9B1" w:rsidR="002B6702" w:rsidRPr="002B6702" w:rsidRDefault="002B6702" w:rsidP="00005BE2">
            <w:pPr>
              <w:pStyle w:val="ListParagraph"/>
              <w:ind w:left="0"/>
              <w:contextualSpacing w:val="0"/>
              <w:jc w:val="center"/>
              <w:rPr>
                <w:i/>
                <w:iCs/>
                <w:color w:val="00B050"/>
                <w:sz w:val="20"/>
                <w:szCs w:val="20"/>
              </w:rPr>
            </w:pPr>
            <w:r w:rsidRPr="002B6702">
              <w:rPr>
                <w:b/>
                <w:bCs/>
                <w:color w:val="00B050"/>
                <w:sz w:val="20"/>
                <w:szCs w:val="20"/>
              </w:rPr>
              <w:t>+</w:t>
            </w:r>
            <w:r w:rsidR="00E135EF">
              <w:rPr>
                <w:b/>
                <w:bCs/>
                <w:color w:val="00B050"/>
                <w:sz w:val="20"/>
                <w:szCs w:val="20"/>
              </w:rPr>
              <w:t>289</w:t>
            </w:r>
            <w:r w:rsidR="00794C43">
              <w:rPr>
                <w:b/>
                <w:bCs/>
                <w:color w:val="00B050"/>
                <w:sz w:val="20"/>
                <w:szCs w:val="20"/>
              </w:rPr>
              <w:t xml:space="preserve"> 000</w:t>
            </w:r>
          </w:p>
        </w:tc>
        <w:tc>
          <w:tcPr>
            <w:tcW w:w="1375" w:type="dxa"/>
            <w:tcBorders>
              <w:bottom w:val="nil"/>
            </w:tcBorders>
            <w:shd w:val="clear" w:color="auto" w:fill="E7E6E6" w:themeFill="background2"/>
            <w:vAlign w:val="center"/>
          </w:tcPr>
          <w:p w14:paraId="27CD180B" w14:textId="7046E2E4" w:rsidR="002B6702" w:rsidRPr="002B6702" w:rsidRDefault="002B6702" w:rsidP="00005BE2">
            <w:pPr>
              <w:pStyle w:val="ListParagraph"/>
              <w:ind w:left="0"/>
              <w:contextualSpacing w:val="0"/>
              <w:jc w:val="center"/>
              <w:rPr>
                <w:i/>
                <w:iCs/>
                <w:color w:val="00B050"/>
                <w:sz w:val="20"/>
                <w:szCs w:val="20"/>
              </w:rPr>
            </w:pPr>
            <w:r w:rsidRPr="002B6702">
              <w:rPr>
                <w:b/>
                <w:bCs/>
                <w:color w:val="00B050"/>
                <w:sz w:val="20"/>
                <w:szCs w:val="20"/>
              </w:rPr>
              <w:t>+4</w:t>
            </w:r>
            <w:r w:rsidR="00E135EF">
              <w:rPr>
                <w:b/>
                <w:bCs/>
                <w:color w:val="00B050"/>
                <w:sz w:val="20"/>
                <w:szCs w:val="20"/>
              </w:rPr>
              <w:t>40</w:t>
            </w:r>
            <w:r w:rsidR="00794C43">
              <w:rPr>
                <w:b/>
                <w:bCs/>
                <w:color w:val="00B050"/>
                <w:sz w:val="20"/>
                <w:szCs w:val="20"/>
              </w:rPr>
              <w:t xml:space="preserve"> 000</w:t>
            </w:r>
          </w:p>
        </w:tc>
        <w:tc>
          <w:tcPr>
            <w:tcW w:w="1269" w:type="dxa"/>
            <w:tcBorders>
              <w:bottom w:val="nil"/>
              <w:right w:val="nil"/>
            </w:tcBorders>
            <w:shd w:val="clear" w:color="auto" w:fill="E7E6E6" w:themeFill="background2"/>
            <w:vAlign w:val="center"/>
          </w:tcPr>
          <w:p w14:paraId="0220184B" w14:textId="5590F27C" w:rsidR="002B6702" w:rsidRPr="002B6702" w:rsidRDefault="002B6702" w:rsidP="00005BE2">
            <w:pPr>
              <w:pStyle w:val="ListParagraph"/>
              <w:ind w:left="0"/>
              <w:contextualSpacing w:val="0"/>
              <w:jc w:val="center"/>
              <w:rPr>
                <w:i/>
                <w:iCs/>
                <w:color w:val="00B050"/>
                <w:sz w:val="20"/>
                <w:szCs w:val="20"/>
              </w:rPr>
            </w:pPr>
            <w:r w:rsidRPr="002B6702">
              <w:rPr>
                <w:b/>
                <w:bCs/>
                <w:color w:val="00B050"/>
                <w:sz w:val="20"/>
                <w:szCs w:val="20"/>
              </w:rPr>
              <w:t>+5</w:t>
            </w:r>
            <w:r w:rsidR="00E135EF">
              <w:rPr>
                <w:b/>
                <w:bCs/>
                <w:color w:val="00B050"/>
                <w:sz w:val="20"/>
                <w:szCs w:val="20"/>
              </w:rPr>
              <w:t>28</w:t>
            </w:r>
            <w:r w:rsidR="00794C43">
              <w:rPr>
                <w:b/>
                <w:bCs/>
                <w:color w:val="00B050"/>
                <w:sz w:val="20"/>
                <w:szCs w:val="20"/>
              </w:rPr>
              <w:t xml:space="preserve"> 000</w:t>
            </w:r>
          </w:p>
        </w:tc>
      </w:tr>
      <w:tr w:rsidR="00794C43" w:rsidRPr="002B6702" w14:paraId="2AEAB1B1" w14:textId="77777777" w:rsidTr="00005BE2">
        <w:tc>
          <w:tcPr>
            <w:tcW w:w="3672" w:type="dxa"/>
            <w:tcBorders>
              <w:left w:val="nil"/>
              <w:bottom w:val="nil"/>
            </w:tcBorders>
            <w:shd w:val="clear" w:color="auto" w:fill="FFFFFF" w:themeFill="background1"/>
            <w:vAlign w:val="center"/>
          </w:tcPr>
          <w:p w14:paraId="47373DEE" w14:textId="77777777" w:rsidR="00794C43" w:rsidRPr="002B6702" w:rsidRDefault="00794C43" w:rsidP="00794C43">
            <w:pPr>
              <w:pStyle w:val="ListParagraph"/>
              <w:numPr>
                <w:ilvl w:val="0"/>
                <w:numId w:val="9"/>
              </w:numPr>
              <w:tabs>
                <w:tab w:val="clear" w:pos="720"/>
                <w:tab w:val="num" w:pos="306"/>
              </w:tabs>
              <w:ind w:hanging="698"/>
              <w:contextualSpacing w:val="0"/>
              <w:jc w:val="left"/>
              <w:rPr>
                <w:i/>
                <w:iCs/>
                <w:sz w:val="20"/>
                <w:szCs w:val="20"/>
              </w:rPr>
            </w:pPr>
            <w:r w:rsidRPr="002B6702">
              <w:rPr>
                <w:i/>
                <w:iCs/>
                <w:sz w:val="20"/>
                <w:szCs w:val="20"/>
              </w:rPr>
              <w:t>valsts pamatbudžetā</w:t>
            </w:r>
          </w:p>
        </w:tc>
        <w:tc>
          <w:tcPr>
            <w:tcW w:w="1376" w:type="dxa"/>
            <w:tcBorders>
              <w:bottom w:val="nil"/>
            </w:tcBorders>
            <w:shd w:val="clear" w:color="auto" w:fill="FFFFFF" w:themeFill="background1"/>
            <w:vAlign w:val="center"/>
          </w:tcPr>
          <w:p w14:paraId="2D4FB46B" w14:textId="40E3C4EC" w:rsidR="00794C43" w:rsidRPr="002B6702" w:rsidRDefault="00794C43" w:rsidP="00794C43">
            <w:pPr>
              <w:pStyle w:val="ListParagraph"/>
              <w:ind w:left="0"/>
              <w:contextualSpacing w:val="0"/>
              <w:jc w:val="center"/>
              <w:rPr>
                <w:i/>
                <w:iCs/>
                <w:color w:val="00B050"/>
                <w:sz w:val="20"/>
                <w:szCs w:val="20"/>
              </w:rPr>
            </w:pPr>
            <w:r w:rsidRPr="002B6702">
              <w:rPr>
                <w:i/>
                <w:iCs/>
                <w:color w:val="00B050"/>
                <w:sz w:val="20"/>
                <w:szCs w:val="20"/>
              </w:rPr>
              <w:t>+2</w:t>
            </w:r>
            <w:r>
              <w:rPr>
                <w:i/>
                <w:iCs/>
                <w:color w:val="00B050"/>
                <w:sz w:val="20"/>
                <w:szCs w:val="20"/>
              </w:rPr>
              <w:t>41 000</w:t>
            </w:r>
          </w:p>
        </w:tc>
        <w:tc>
          <w:tcPr>
            <w:tcW w:w="1375" w:type="dxa"/>
            <w:tcBorders>
              <w:bottom w:val="nil"/>
            </w:tcBorders>
            <w:shd w:val="clear" w:color="auto" w:fill="FFFFFF" w:themeFill="background1"/>
            <w:vAlign w:val="center"/>
          </w:tcPr>
          <w:p w14:paraId="65C9485B" w14:textId="714EF452" w:rsidR="00794C43" w:rsidRPr="002B6702" w:rsidRDefault="00794C43" w:rsidP="00794C43">
            <w:pPr>
              <w:pStyle w:val="ListParagraph"/>
              <w:ind w:left="0"/>
              <w:contextualSpacing w:val="0"/>
              <w:jc w:val="center"/>
              <w:rPr>
                <w:i/>
                <w:iCs/>
                <w:color w:val="00B050"/>
                <w:sz w:val="20"/>
                <w:szCs w:val="20"/>
              </w:rPr>
            </w:pPr>
            <w:r w:rsidRPr="00794C43">
              <w:rPr>
                <w:i/>
                <w:iCs/>
                <w:color w:val="00B050"/>
                <w:sz w:val="20"/>
                <w:szCs w:val="20"/>
              </w:rPr>
              <w:t>+289 000</w:t>
            </w:r>
          </w:p>
        </w:tc>
        <w:tc>
          <w:tcPr>
            <w:tcW w:w="1375" w:type="dxa"/>
            <w:tcBorders>
              <w:bottom w:val="nil"/>
            </w:tcBorders>
            <w:shd w:val="clear" w:color="auto" w:fill="FFFFFF" w:themeFill="background1"/>
            <w:vAlign w:val="center"/>
          </w:tcPr>
          <w:p w14:paraId="75E9C2F1" w14:textId="7F62F193" w:rsidR="00794C43" w:rsidRPr="002B6702" w:rsidRDefault="00794C43" w:rsidP="00794C43">
            <w:pPr>
              <w:pStyle w:val="ListParagraph"/>
              <w:ind w:left="0"/>
              <w:contextualSpacing w:val="0"/>
              <w:jc w:val="center"/>
              <w:rPr>
                <w:i/>
                <w:iCs/>
                <w:color w:val="00B050"/>
                <w:sz w:val="20"/>
                <w:szCs w:val="20"/>
              </w:rPr>
            </w:pPr>
            <w:r w:rsidRPr="00794C43">
              <w:rPr>
                <w:i/>
                <w:iCs/>
                <w:color w:val="00B050"/>
                <w:sz w:val="20"/>
                <w:szCs w:val="20"/>
              </w:rPr>
              <w:t>+440 000</w:t>
            </w:r>
          </w:p>
        </w:tc>
        <w:tc>
          <w:tcPr>
            <w:tcW w:w="1269" w:type="dxa"/>
            <w:tcBorders>
              <w:bottom w:val="nil"/>
              <w:right w:val="nil"/>
            </w:tcBorders>
            <w:shd w:val="clear" w:color="auto" w:fill="FFFFFF" w:themeFill="background1"/>
            <w:vAlign w:val="center"/>
          </w:tcPr>
          <w:p w14:paraId="23E8895E" w14:textId="084D5E07" w:rsidR="00794C43" w:rsidRPr="002B6702" w:rsidRDefault="00794C43" w:rsidP="00794C43">
            <w:pPr>
              <w:pStyle w:val="ListParagraph"/>
              <w:ind w:left="0"/>
              <w:contextualSpacing w:val="0"/>
              <w:jc w:val="center"/>
              <w:rPr>
                <w:i/>
                <w:iCs/>
                <w:color w:val="00B050"/>
                <w:sz w:val="20"/>
                <w:szCs w:val="20"/>
              </w:rPr>
            </w:pPr>
            <w:r w:rsidRPr="00794C43">
              <w:rPr>
                <w:i/>
                <w:iCs/>
                <w:color w:val="00B050"/>
                <w:sz w:val="20"/>
                <w:szCs w:val="20"/>
              </w:rPr>
              <w:t>+528 000</w:t>
            </w:r>
          </w:p>
        </w:tc>
      </w:tr>
    </w:tbl>
    <w:p w14:paraId="0625A0F1" w14:textId="77777777" w:rsidR="00FA7FB6" w:rsidRPr="000203BA" w:rsidRDefault="00FA7FB6" w:rsidP="00FA7FB6">
      <w:pPr>
        <w:tabs>
          <w:tab w:val="left" w:pos="426"/>
        </w:tabs>
        <w:spacing w:before="120" w:after="120"/>
        <w:rPr>
          <w:rFonts w:cs="Times New Roman"/>
          <w:i/>
          <w:sz w:val="18"/>
        </w:rPr>
      </w:pPr>
      <w:bookmarkStart w:id="56" w:name="_Hlk176794410"/>
      <w:r w:rsidRPr="000203BA">
        <w:rPr>
          <w:rFonts w:cs="Times New Roman"/>
          <w:b/>
          <w:bCs/>
          <w:i/>
          <w:sz w:val="18"/>
        </w:rPr>
        <w:t>Avots</w:t>
      </w:r>
      <w:r w:rsidRPr="000203BA">
        <w:rPr>
          <w:rFonts w:cs="Times New Roman"/>
          <w:i/>
          <w:sz w:val="18"/>
        </w:rPr>
        <w:t>: FM aprēķini.</w:t>
      </w:r>
    </w:p>
    <w:p w14:paraId="6580D17A" w14:textId="5542C9B2" w:rsidR="00850F47" w:rsidRDefault="00850F47" w:rsidP="00850F47">
      <w:pPr>
        <w:pStyle w:val="Heading2"/>
        <w:numPr>
          <w:ilvl w:val="1"/>
          <w:numId w:val="22"/>
        </w:numPr>
        <w:tabs>
          <w:tab w:val="left" w:pos="567"/>
        </w:tabs>
        <w:ind w:left="567" w:hanging="567"/>
        <w:rPr>
          <w:bCs/>
        </w:rPr>
      </w:pPr>
      <w:bookmarkStart w:id="57" w:name="_Toc177627715"/>
      <w:r w:rsidRPr="005C1FD5">
        <w:rPr>
          <w:bCs/>
        </w:rPr>
        <w:lastRenderedPageBreak/>
        <w:t>A</w:t>
      </w:r>
      <w:r>
        <w:rPr>
          <w:bCs/>
        </w:rPr>
        <w:t>kcīzes nodokļa</w:t>
      </w:r>
      <w:r w:rsidRPr="005C1FD5">
        <w:rPr>
          <w:bCs/>
        </w:rPr>
        <w:t xml:space="preserve"> likmes paaugstināšana </w:t>
      </w:r>
      <w:r w:rsidRPr="00850F47">
        <w:rPr>
          <w:bCs/>
        </w:rPr>
        <w:t>bezalkoholiskajiem dzērieniem</w:t>
      </w:r>
      <w:bookmarkEnd w:id="57"/>
      <w:r w:rsidRPr="00850F47">
        <w:rPr>
          <w:bCs/>
        </w:rPr>
        <w:t xml:space="preserve"> </w:t>
      </w:r>
    </w:p>
    <w:bookmarkEnd w:id="56"/>
    <w:p w14:paraId="5DB1656A" w14:textId="58A47671" w:rsidR="008F6582" w:rsidRDefault="00D346AF" w:rsidP="00835584">
      <w:pPr>
        <w:spacing w:after="120"/>
        <w:ind w:firstLine="567"/>
        <w:jc w:val="both"/>
        <w:rPr>
          <w:szCs w:val="24"/>
        </w:rPr>
      </w:pPr>
      <w:r>
        <w:rPr>
          <w:szCs w:val="24"/>
        </w:rPr>
        <w:t xml:space="preserve"> </w:t>
      </w:r>
      <w:r w:rsidR="008F6582">
        <w:rPr>
          <w:szCs w:val="24"/>
        </w:rPr>
        <w:t>AN</w:t>
      </w:r>
      <w:r w:rsidR="008F744E">
        <w:rPr>
          <w:szCs w:val="24"/>
        </w:rPr>
        <w:t xml:space="preserve"> likme </w:t>
      </w:r>
      <w:r w:rsidR="008F744E" w:rsidRPr="00835584">
        <w:rPr>
          <w:szCs w:val="24"/>
        </w:rPr>
        <w:t>bezalkoholiskajiem dzērieniem ar cukura saturu līdz 8</w:t>
      </w:r>
      <w:r w:rsidR="008F744E">
        <w:rPr>
          <w:szCs w:val="24"/>
        </w:rPr>
        <w:t> </w:t>
      </w:r>
      <w:r w:rsidR="008F744E" w:rsidRPr="00835584">
        <w:rPr>
          <w:szCs w:val="24"/>
        </w:rPr>
        <w:t xml:space="preserve">gramiem (neieskaitot) uz 100 mililitriem </w:t>
      </w:r>
      <w:r w:rsidR="008F744E">
        <w:rPr>
          <w:szCs w:val="24"/>
        </w:rPr>
        <w:t xml:space="preserve">pēdējo reizi tika pārskatīta </w:t>
      </w:r>
      <w:r w:rsidR="008F744E" w:rsidRPr="00835584">
        <w:rPr>
          <w:szCs w:val="24"/>
        </w:rPr>
        <w:t>2011. gadā</w:t>
      </w:r>
      <w:r w:rsidR="008F6582">
        <w:rPr>
          <w:szCs w:val="24"/>
        </w:rPr>
        <w:t xml:space="preserve">. Tā kā arī mazāk saldināto dzērienu lietošana negatīvi ietekmē </w:t>
      </w:r>
      <w:r w:rsidR="008F6582" w:rsidRPr="00835584">
        <w:rPr>
          <w:szCs w:val="24"/>
        </w:rPr>
        <w:t>iedzīvotāju veselību</w:t>
      </w:r>
      <w:r w:rsidR="008F6582">
        <w:rPr>
          <w:szCs w:val="24"/>
        </w:rPr>
        <w:t xml:space="preserve">, bet to patēriņš pēdējos gados pieaug, AN likmi </w:t>
      </w:r>
      <w:r w:rsidR="00756AF0">
        <w:rPr>
          <w:szCs w:val="24"/>
        </w:rPr>
        <w:t>plānots</w:t>
      </w:r>
      <w:r w:rsidR="008F6582">
        <w:rPr>
          <w:szCs w:val="24"/>
        </w:rPr>
        <w:t xml:space="preserve"> paaugstināt.</w:t>
      </w:r>
    </w:p>
    <w:p w14:paraId="01B9A134" w14:textId="2FC389A8" w:rsidR="008F6582" w:rsidRPr="005C1FD5" w:rsidRDefault="008F6582" w:rsidP="008F6582">
      <w:pPr>
        <w:tabs>
          <w:tab w:val="left" w:pos="567"/>
        </w:tabs>
        <w:spacing w:after="120"/>
        <w:jc w:val="center"/>
        <w:rPr>
          <w:sz w:val="20"/>
          <w:szCs w:val="20"/>
        </w:rPr>
      </w:pPr>
      <w:r>
        <w:rPr>
          <w:rFonts w:cs="Times New Roman"/>
          <w:sz w:val="20"/>
        </w:rPr>
        <w:t>2</w:t>
      </w:r>
      <w:r w:rsidR="00725CD9">
        <w:rPr>
          <w:rFonts w:cs="Times New Roman"/>
          <w:sz w:val="20"/>
        </w:rPr>
        <w:t>6</w:t>
      </w:r>
      <w:r w:rsidRPr="008F00A8">
        <w:rPr>
          <w:bCs/>
          <w:sz w:val="20"/>
          <w:szCs w:val="20"/>
        </w:rPr>
        <w:t>.tab.</w:t>
      </w:r>
      <w:r w:rsidRPr="008F00A8">
        <w:rPr>
          <w:b/>
          <w:sz w:val="20"/>
          <w:szCs w:val="20"/>
        </w:rPr>
        <w:t xml:space="preserve"> </w:t>
      </w:r>
      <w:r w:rsidRPr="005C1FD5">
        <w:rPr>
          <w:b/>
          <w:sz w:val="20"/>
          <w:szCs w:val="20"/>
        </w:rPr>
        <w:t xml:space="preserve">AN </w:t>
      </w:r>
      <w:r w:rsidRPr="008F6582">
        <w:rPr>
          <w:b/>
          <w:sz w:val="20"/>
          <w:szCs w:val="20"/>
        </w:rPr>
        <w:t>likmes paaugstināšana bezalkoholiskajiem dzērieniem</w:t>
      </w:r>
      <w:r w:rsidRPr="008F6582">
        <w:t xml:space="preserve"> </w:t>
      </w:r>
      <w:r w:rsidRPr="008F6582">
        <w:rPr>
          <w:b/>
          <w:sz w:val="20"/>
          <w:szCs w:val="20"/>
        </w:rPr>
        <w:t>ar cukura saturu līdz 8 gramiem (neieskaitot) uz 100 mililitriem</w:t>
      </w:r>
    </w:p>
    <w:tbl>
      <w:tblPr>
        <w:tblStyle w:val="TableGrid"/>
        <w:tblW w:w="9210" w:type="dxa"/>
        <w:tblInd w:w="-147" w:type="dxa"/>
        <w:tblLayout w:type="fixed"/>
        <w:tblLook w:val="04A0" w:firstRow="1" w:lastRow="0" w:firstColumn="1" w:lastColumn="0" w:noHBand="0" w:noVBand="1"/>
      </w:tblPr>
      <w:tblGrid>
        <w:gridCol w:w="6096"/>
        <w:gridCol w:w="1134"/>
        <w:gridCol w:w="992"/>
        <w:gridCol w:w="988"/>
      </w:tblGrid>
      <w:tr w:rsidR="008F744E" w:rsidRPr="005C1FD5" w14:paraId="5DF2C80A" w14:textId="77777777" w:rsidTr="008B4BA7">
        <w:trPr>
          <w:trHeight w:val="62"/>
        </w:trPr>
        <w:tc>
          <w:tcPr>
            <w:tcW w:w="6096" w:type="dxa"/>
            <w:tcBorders>
              <w:top w:val="single" w:sz="4" w:space="0" w:color="FFFFFF" w:themeColor="background1"/>
              <w:bottom w:val="single" w:sz="4" w:space="0" w:color="auto"/>
              <w:right w:val="single" w:sz="4" w:space="0" w:color="FFFFFF" w:themeColor="background1"/>
            </w:tcBorders>
            <w:shd w:val="clear" w:color="auto" w:fill="002060"/>
            <w:vAlign w:val="center"/>
          </w:tcPr>
          <w:p w14:paraId="0D11B817" w14:textId="77777777" w:rsidR="008F744E" w:rsidRPr="005C1FD5" w:rsidRDefault="008F744E" w:rsidP="005947CB">
            <w:pPr>
              <w:contextualSpacing/>
              <w:rPr>
                <w:b/>
                <w:bCs/>
                <w:color w:val="FFFFFF" w:themeColor="background1"/>
                <w:sz w:val="20"/>
                <w:szCs w:val="20"/>
              </w:rPr>
            </w:pPr>
          </w:p>
        </w:tc>
        <w:tc>
          <w:tcPr>
            <w:tcW w:w="113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7BCFF450" w14:textId="77777777" w:rsidR="008F744E" w:rsidRPr="005C1FD5" w:rsidRDefault="008F744E" w:rsidP="005947CB">
            <w:pPr>
              <w:contextualSpacing/>
              <w:jc w:val="center"/>
              <w:rPr>
                <w:b/>
                <w:bCs/>
                <w:color w:val="FFFFFF" w:themeColor="background1"/>
                <w:sz w:val="20"/>
                <w:szCs w:val="20"/>
              </w:rPr>
            </w:pPr>
            <w:r w:rsidRPr="005C1FD5">
              <w:rPr>
                <w:rFonts w:cstheme="minorHAnsi"/>
                <w:b/>
                <w:color w:val="FFFFFF" w:themeColor="background1"/>
                <w:sz w:val="20"/>
                <w:szCs w:val="20"/>
              </w:rPr>
              <w:t>2024</w:t>
            </w:r>
          </w:p>
        </w:tc>
        <w:tc>
          <w:tcPr>
            <w:tcW w:w="99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73DC9679" w14:textId="77777777" w:rsidR="008F744E" w:rsidRPr="005C1FD5" w:rsidRDefault="008F744E" w:rsidP="005947CB">
            <w:pPr>
              <w:contextualSpacing/>
              <w:jc w:val="center"/>
              <w:rPr>
                <w:b/>
                <w:bCs/>
                <w:color w:val="FFFFFF" w:themeColor="background1"/>
                <w:sz w:val="20"/>
                <w:szCs w:val="20"/>
              </w:rPr>
            </w:pPr>
            <w:r w:rsidRPr="005C1FD5">
              <w:rPr>
                <w:rFonts w:cstheme="minorHAnsi"/>
                <w:b/>
                <w:color w:val="FFFFFF" w:themeColor="background1"/>
                <w:sz w:val="20"/>
                <w:szCs w:val="20"/>
              </w:rPr>
              <w:t>2025</w:t>
            </w:r>
          </w:p>
        </w:tc>
        <w:tc>
          <w:tcPr>
            <w:tcW w:w="988" w:type="dxa"/>
            <w:tcBorders>
              <w:top w:val="single" w:sz="4" w:space="0" w:color="FFFFFF" w:themeColor="background1"/>
              <w:left w:val="single" w:sz="4" w:space="0" w:color="FFFFFF" w:themeColor="background1"/>
              <w:bottom w:val="single" w:sz="4" w:space="0" w:color="auto"/>
              <w:right w:val="single" w:sz="4" w:space="0" w:color="auto"/>
            </w:tcBorders>
            <w:shd w:val="clear" w:color="auto" w:fill="002060"/>
            <w:vAlign w:val="center"/>
          </w:tcPr>
          <w:p w14:paraId="70859212" w14:textId="77777777" w:rsidR="008F744E" w:rsidRPr="005C1FD5" w:rsidRDefault="008F744E" w:rsidP="005947CB">
            <w:pPr>
              <w:contextualSpacing/>
              <w:jc w:val="center"/>
              <w:rPr>
                <w:b/>
                <w:bCs/>
                <w:color w:val="FFFFFF" w:themeColor="background1"/>
                <w:sz w:val="20"/>
                <w:szCs w:val="20"/>
              </w:rPr>
            </w:pPr>
            <w:r w:rsidRPr="005C1FD5">
              <w:rPr>
                <w:rFonts w:cstheme="minorHAnsi"/>
                <w:b/>
                <w:color w:val="FFFFFF" w:themeColor="background1"/>
                <w:sz w:val="20"/>
                <w:szCs w:val="20"/>
              </w:rPr>
              <w:t>2026</w:t>
            </w:r>
          </w:p>
        </w:tc>
      </w:tr>
      <w:tr w:rsidR="008F744E" w:rsidRPr="00EF404E" w14:paraId="25FB4A0B" w14:textId="77777777" w:rsidTr="008B4BA7">
        <w:trPr>
          <w:trHeight w:val="62"/>
        </w:trPr>
        <w:tc>
          <w:tcPr>
            <w:tcW w:w="6096" w:type="dxa"/>
            <w:tcBorders>
              <w:top w:val="single" w:sz="4" w:space="0" w:color="auto"/>
            </w:tcBorders>
            <w:shd w:val="clear" w:color="auto" w:fill="auto"/>
            <w:vAlign w:val="center"/>
          </w:tcPr>
          <w:p w14:paraId="45F11FE5" w14:textId="3463809C" w:rsidR="008F744E" w:rsidRPr="00126954" w:rsidRDefault="008F744E" w:rsidP="005947CB">
            <w:pPr>
              <w:contextualSpacing/>
              <w:rPr>
                <w:b/>
                <w:bCs/>
                <w:sz w:val="20"/>
                <w:szCs w:val="20"/>
              </w:rPr>
            </w:pPr>
            <w:r w:rsidRPr="008F744E">
              <w:rPr>
                <w:b/>
                <w:bCs/>
                <w:sz w:val="20"/>
                <w:szCs w:val="20"/>
              </w:rPr>
              <w:t xml:space="preserve">Bezalkoholiskie dzērieni ar cukura saturu līdz 8  gramiem (neieskaitot) </w:t>
            </w:r>
            <w:r w:rsidRPr="008F744E">
              <w:rPr>
                <w:sz w:val="20"/>
                <w:szCs w:val="20"/>
              </w:rPr>
              <w:t xml:space="preserve">uz 100 mililitriem, </w:t>
            </w:r>
            <w:r w:rsidR="00A65C13" w:rsidRPr="00A65C13">
              <w:rPr>
                <w:i/>
                <w:iCs/>
                <w:sz w:val="20"/>
                <w:szCs w:val="20"/>
              </w:rPr>
              <w:t>euro</w:t>
            </w:r>
            <w:r w:rsidR="00A65C13">
              <w:rPr>
                <w:i/>
                <w:iCs/>
                <w:sz w:val="20"/>
                <w:szCs w:val="20"/>
              </w:rPr>
              <w:t xml:space="preserve"> </w:t>
            </w:r>
            <w:r w:rsidRPr="00A65C13">
              <w:rPr>
                <w:i/>
                <w:iCs/>
                <w:sz w:val="20"/>
                <w:szCs w:val="20"/>
              </w:rPr>
              <w:t>par 100 l</w:t>
            </w:r>
            <w:r w:rsidR="00A65C13">
              <w:rPr>
                <w:i/>
                <w:iCs/>
                <w:sz w:val="20"/>
                <w:szCs w:val="20"/>
              </w:rPr>
              <w:t>itriem</w:t>
            </w:r>
          </w:p>
        </w:tc>
        <w:tc>
          <w:tcPr>
            <w:tcW w:w="1134" w:type="dxa"/>
            <w:tcBorders>
              <w:top w:val="single" w:sz="4" w:space="0" w:color="auto"/>
            </w:tcBorders>
            <w:shd w:val="clear" w:color="auto" w:fill="auto"/>
            <w:vAlign w:val="center"/>
          </w:tcPr>
          <w:p w14:paraId="4E615C1F" w14:textId="41321CB5" w:rsidR="008F744E" w:rsidRPr="00965109" w:rsidRDefault="008F744E" w:rsidP="005947CB">
            <w:pPr>
              <w:contextualSpacing/>
              <w:jc w:val="center"/>
              <w:rPr>
                <w:b/>
                <w:bCs/>
                <w:color w:val="808080" w:themeColor="background1" w:themeShade="80"/>
                <w:sz w:val="20"/>
                <w:szCs w:val="20"/>
              </w:rPr>
            </w:pPr>
            <w:r w:rsidRPr="00965109">
              <w:rPr>
                <w:b/>
                <w:bCs/>
                <w:color w:val="808080" w:themeColor="background1" w:themeShade="80"/>
                <w:sz w:val="20"/>
                <w:szCs w:val="20"/>
              </w:rPr>
              <w:t>7,4</w:t>
            </w:r>
          </w:p>
        </w:tc>
        <w:tc>
          <w:tcPr>
            <w:tcW w:w="992" w:type="dxa"/>
            <w:tcBorders>
              <w:top w:val="single" w:sz="4" w:space="0" w:color="auto"/>
            </w:tcBorders>
            <w:vAlign w:val="center"/>
          </w:tcPr>
          <w:p w14:paraId="0817F97E" w14:textId="2D11DC69" w:rsidR="008F744E" w:rsidRPr="00F61380" w:rsidRDefault="008F744E" w:rsidP="005947CB">
            <w:pPr>
              <w:contextualSpacing/>
              <w:jc w:val="center"/>
              <w:rPr>
                <w:b/>
                <w:bCs/>
                <w:color w:val="FF0000"/>
                <w:sz w:val="20"/>
                <w:szCs w:val="20"/>
              </w:rPr>
            </w:pPr>
            <w:r w:rsidRPr="00F61380">
              <w:rPr>
                <w:b/>
                <w:bCs/>
                <w:color w:val="FF0000"/>
                <w:sz w:val="20"/>
                <w:szCs w:val="20"/>
              </w:rPr>
              <w:t>11,0</w:t>
            </w:r>
          </w:p>
        </w:tc>
        <w:tc>
          <w:tcPr>
            <w:tcW w:w="988" w:type="dxa"/>
            <w:tcBorders>
              <w:top w:val="single" w:sz="4" w:space="0" w:color="auto"/>
            </w:tcBorders>
            <w:vAlign w:val="center"/>
          </w:tcPr>
          <w:p w14:paraId="1ACAFD4A" w14:textId="02FCA4FE" w:rsidR="008F744E" w:rsidRPr="00F61380" w:rsidRDefault="008F744E" w:rsidP="005947CB">
            <w:pPr>
              <w:contextualSpacing/>
              <w:jc w:val="center"/>
              <w:rPr>
                <w:b/>
                <w:bCs/>
                <w:color w:val="FF0000"/>
                <w:sz w:val="20"/>
                <w:szCs w:val="20"/>
              </w:rPr>
            </w:pPr>
            <w:r w:rsidRPr="00F61380">
              <w:rPr>
                <w:b/>
                <w:bCs/>
                <w:color w:val="FF0000"/>
                <w:sz w:val="20"/>
                <w:szCs w:val="20"/>
              </w:rPr>
              <w:t>11,0</w:t>
            </w:r>
          </w:p>
        </w:tc>
      </w:tr>
      <w:tr w:rsidR="008F744E" w:rsidRPr="00EF404E" w14:paraId="51AC87E5" w14:textId="77777777" w:rsidTr="008B4BA7">
        <w:trPr>
          <w:trHeight w:val="62"/>
        </w:trPr>
        <w:tc>
          <w:tcPr>
            <w:tcW w:w="6096" w:type="dxa"/>
            <w:tcBorders>
              <w:bottom w:val="single" w:sz="4" w:space="0" w:color="auto"/>
            </w:tcBorders>
            <w:shd w:val="clear" w:color="auto" w:fill="auto"/>
            <w:vAlign w:val="center"/>
          </w:tcPr>
          <w:p w14:paraId="24FF5857" w14:textId="61889A18" w:rsidR="008F744E" w:rsidRPr="00126954" w:rsidRDefault="008F744E" w:rsidP="008F744E">
            <w:pPr>
              <w:contextualSpacing/>
              <w:rPr>
                <w:b/>
                <w:bCs/>
                <w:sz w:val="20"/>
                <w:szCs w:val="20"/>
              </w:rPr>
            </w:pPr>
            <w:r w:rsidRPr="008F744E">
              <w:rPr>
                <w:b/>
                <w:bCs/>
                <w:sz w:val="20"/>
                <w:szCs w:val="20"/>
              </w:rPr>
              <w:t xml:space="preserve">Bezalkoholiskie dzērieni ar cukura saturu no </w:t>
            </w:r>
            <w:r w:rsidRPr="008F744E">
              <w:rPr>
                <w:sz w:val="20"/>
                <w:szCs w:val="20"/>
              </w:rPr>
              <w:t>8  gramiem (ieskaitot) uz 100 mililitriem</w:t>
            </w:r>
            <w:r w:rsidR="00817E2D">
              <w:rPr>
                <w:sz w:val="20"/>
                <w:szCs w:val="20"/>
              </w:rPr>
              <w:t xml:space="preserve"> un </w:t>
            </w:r>
            <w:r w:rsidR="00817E2D" w:rsidRPr="00817E2D">
              <w:rPr>
                <w:b/>
                <w:bCs/>
                <w:sz w:val="20"/>
                <w:szCs w:val="20"/>
              </w:rPr>
              <w:t>enerģijas dzērieni</w:t>
            </w:r>
            <w:r w:rsidR="00817E2D">
              <w:rPr>
                <w:sz w:val="20"/>
                <w:szCs w:val="20"/>
              </w:rPr>
              <w:t xml:space="preserve">, </w:t>
            </w:r>
            <w:r w:rsidRPr="008F744E">
              <w:rPr>
                <w:sz w:val="20"/>
                <w:szCs w:val="20"/>
              </w:rPr>
              <w:t xml:space="preserve"> </w:t>
            </w:r>
            <w:r w:rsidR="00A65C13" w:rsidRPr="00A65C13">
              <w:rPr>
                <w:i/>
                <w:iCs/>
                <w:sz w:val="20"/>
                <w:szCs w:val="20"/>
              </w:rPr>
              <w:t>euro</w:t>
            </w:r>
            <w:r w:rsidR="00A65C13">
              <w:rPr>
                <w:i/>
                <w:iCs/>
                <w:sz w:val="20"/>
                <w:szCs w:val="20"/>
              </w:rPr>
              <w:t xml:space="preserve"> </w:t>
            </w:r>
            <w:r w:rsidR="00A65C13" w:rsidRPr="00A65C13">
              <w:rPr>
                <w:i/>
                <w:iCs/>
                <w:sz w:val="20"/>
                <w:szCs w:val="20"/>
              </w:rPr>
              <w:t>par 100 l</w:t>
            </w:r>
            <w:r w:rsidR="00A65C13">
              <w:rPr>
                <w:i/>
                <w:iCs/>
                <w:sz w:val="20"/>
                <w:szCs w:val="20"/>
              </w:rPr>
              <w:t>itriem</w:t>
            </w:r>
          </w:p>
        </w:tc>
        <w:tc>
          <w:tcPr>
            <w:tcW w:w="1134" w:type="dxa"/>
            <w:tcBorders>
              <w:bottom w:val="single" w:sz="4" w:space="0" w:color="auto"/>
            </w:tcBorders>
            <w:shd w:val="clear" w:color="auto" w:fill="auto"/>
          </w:tcPr>
          <w:p w14:paraId="72ECD0BA" w14:textId="07BAC7EB" w:rsidR="008F744E" w:rsidRPr="00965109" w:rsidRDefault="008F744E" w:rsidP="008F744E">
            <w:pPr>
              <w:contextualSpacing/>
              <w:jc w:val="center"/>
              <w:rPr>
                <w:b/>
                <w:bCs/>
                <w:color w:val="808080" w:themeColor="background1" w:themeShade="80"/>
                <w:sz w:val="20"/>
                <w:szCs w:val="20"/>
              </w:rPr>
            </w:pPr>
            <w:r w:rsidRPr="00965109">
              <w:rPr>
                <w:b/>
                <w:bCs/>
                <w:color w:val="808080" w:themeColor="background1" w:themeShade="80"/>
                <w:sz w:val="20"/>
                <w:szCs w:val="20"/>
              </w:rPr>
              <w:t>17,50</w:t>
            </w:r>
          </w:p>
        </w:tc>
        <w:tc>
          <w:tcPr>
            <w:tcW w:w="992" w:type="dxa"/>
            <w:tcBorders>
              <w:bottom w:val="single" w:sz="4" w:space="0" w:color="auto"/>
            </w:tcBorders>
          </w:tcPr>
          <w:p w14:paraId="02106895" w14:textId="23942C8F" w:rsidR="008F744E" w:rsidRPr="008F744E" w:rsidRDefault="008F744E" w:rsidP="008F744E">
            <w:pPr>
              <w:contextualSpacing/>
              <w:jc w:val="center"/>
              <w:rPr>
                <w:b/>
                <w:bCs/>
                <w:sz w:val="20"/>
                <w:szCs w:val="20"/>
              </w:rPr>
            </w:pPr>
            <w:r w:rsidRPr="008F744E">
              <w:rPr>
                <w:b/>
                <w:bCs/>
                <w:sz w:val="20"/>
                <w:szCs w:val="20"/>
              </w:rPr>
              <w:t>17,50</w:t>
            </w:r>
          </w:p>
        </w:tc>
        <w:tc>
          <w:tcPr>
            <w:tcW w:w="988" w:type="dxa"/>
            <w:tcBorders>
              <w:bottom w:val="single" w:sz="4" w:space="0" w:color="auto"/>
            </w:tcBorders>
            <w:shd w:val="clear" w:color="auto" w:fill="auto"/>
          </w:tcPr>
          <w:p w14:paraId="4A88DD17" w14:textId="067E330C" w:rsidR="008F744E" w:rsidRPr="008F744E" w:rsidRDefault="008F744E" w:rsidP="008F744E">
            <w:pPr>
              <w:contextualSpacing/>
              <w:jc w:val="center"/>
              <w:rPr>
                <w:b/>
                <w:bCs/>
                <w:sz w:val="20"/>
                <w:szCs w:val="20"/>
              </w:rPr>
            </w:pPr>
            <w:r w:rsidRPr="00756AF0">
              <w:rPr>
                <w:b/>
                <w:bCs/>
                <w:sz w:val="20"/>
                <w:szCs w:val="20"/>
              </w:rPr>
              <w:t>21,00</w:t>
            </w:r>
          </w:p>
        </w:tc>
      </w:tr>
    </w:tbl>
    <w:p w14:paraId="0017CC5D" w14:textId="77777777" w:rsidR="00194F94" w:rsidRPr="00277E63" w:rsidRDefault="00194F94" w:rsidP="00183B22">
      <w:pPr>
        <w:jc w:val="center"/>
        <w:rPr>
          <w:sz w:val="18"/>
          <w:szCs w:val="18"/>
        </w:rPr>
      </w:pPr>
    </w:p>
    <w:p w14:paraId="269C1F77" w14:textId="2C5DCBEC" w:rsidR="002B6702" w:rsidRPr="002E0A09" w:rsidRDefault="006F5E64" w:rsidP="002B6702">
      <w:pPr>
        <w:spacing w:after="120"/>
        <w:jc w:val="center"/>
        <w:rPr>
          <w:rFonts w:cs="Times New Roman"/>
          <w:sz w:val="20"/>
        </w:rPr>
      </w:pPr>
      <w:r w:rsidRPr="006F5E64">
        <w:rPr>
          <w:rFonts w:cs="Times New Roman"/>
          <w:sz w:val="20"/>
        </w:rPr>
        <w:t>2</w:t>
      </w:r>
      <w:r w:rsidR="00725CD9">
        <w:rPr>
          <w:rFonts w:cs="Times New Roman"/>
          <w:sz w:val="20"/>
        </w:rPr>
        <w:t>7</w:t>
      </w:r>
      <w:r w:rsidR="002B6702" w:rsidRPr="006F5E64">
        <w:rPr>
          <w:rFonts w:cs="Times New Roman"/>
          <w:sz w:val="20"/>
        </w:rPr>
        <w:t>.</w:t>
      </w:r>
      <w:r w:rsidR="002B6702" w:rsidRPr="002E0A09">
        <w:rPr>
          <w:rFonts w:cs="Times New Roman"/>
          <w:sz w:val="20"/>
        </w:rPr>
        <w:t>tab</w:t>
      </w:r>
      <w:r w:rsidR="002B6702" w:rsidRPr="002E0A09">
        <w:rPr>
          <w:rFonts w:cs="Times New Roman"/>
          <w:bCs/>
          <w:sz w:val="20"/>
        </w:rPr>
        <w:t>.</w:t>
      </w:r>
      <w:r w:rsidR="002B6702" w:rsidRPr="002E0A09">
        <w:rPr>
          <w:rFonts w:cs="Times New Roman"/>
          <w:b/>
          <w:sz w:val="20"/>
        </w:rPr>
        <w:t xml:space="preserve"> Priekšlikuma indikatīva fiskālā ietekme</w:t>
      </w:r>
      <w:r w:rsidR="002B6702" w:rsidRPr="002E0A09">
        <w:rPr>
          <w:rFonts w:cs="Times New Roman"/>
          <w:bCs/>
          <w:sz w:val="20"/>
        </w:rPr>
        <w:t>,</w:t>
      </w:r>
      <w:r w:rsidR="002B6702" w:rsidRPr="002E0A09">
        <w:rPr>
          <w:rFonts w:cs="Times New Roman"/>
          <w:bCs/>
          <w:i/>
          <w:iCs/>
          <w:sz w:val="20"/>
        </w:rPr>
        <w:t> euro</w:t>
      </w:r>
    </w:p>
    <w:tbl>
      <w:tblPr>
        <w:tblStyle w:val="TableGrid"/>
        <w:tblW w:w="9067" w:type="dxa"/>
        <w:tblInd w:w="5" w:type="dxa"/>
        <w:tblLook w:val="04A0" w:firstRow="1" w:lastRow="0" w:firstColumn="1" w:lastColumn="0" w:noHBand="0" w:noVBand="1"/>
      </w:tblPr>
      <w:tblGrid>
        <w:gridCol w:w="3672"/>
        <w:gridCol w:w="1376"/>
        <w:gridCol w:w="1375"/>
        <w:gridCol w:w="1375"/>
        <w:gridCol w:w="1269"/>
      </w:tblGrid>
      <w:tr w:rsidR="002B6702" w:rsidRPr="00D738ED" w14:paraId="71CD7EF2" w14:textId="77777777" w:rsidTr="00005BE2">
        <w:tc>
          <w:tcPr>
            <w:tcW w:w="3672" w:type="dxa"/>
            <w:tcBorders>
              <w:top w:val="nil"/>
              <w:left w:val="nil"/>
              <w:bottom w:val="single" w:sz="8" w:space="0" w:color="auto"/>
              <w:right w:val="nil"/>
            </w:tcBorders>
            <w:shd w:val="clear" w:color="auto" w:fill="FFFFFF" w:themeFill="background1"/>
          </w:tcPr>
          <w:p w14:paraId="4E6FF1D8" w14:textId="77777777" w:rsidR="002B6702" w:rsidRPr="00C11875" w:rsidRDefault="002B6702" w:rsidP="00005BE2">
            <w:pPr>
              <w:pStyle w:val="ListParagraph"/>
              <w:ind w:left="0"/>
              <w:contextualSpacing w:val="0"/>
              <w:jc w:val="center"/>
              <w:rPr>
                <w:b/>
                <w:bCs/>
                <w:sz w:val="20"/>
                <w:szCs w:val="20"/>
              </w:rPr>
            </w:pPr>
          </w:p>
        </w:tc>
        <w:tc>
          <w:tcPr>
            <w:tcW w:w="1376" w:type="dxa"/>
            <w:tcBorders>
              <w:top w:val="nil"/>
              <w:left w:val="nil"/>
              <w:bottom w:val="single" w:sz="8" w:space="0" w:color="auto"/>
              <w:right w:val="nil"/>
            </w:tcBorders>
            <w:shd w:val="clear" w:color="auto" w:fill="FFFFFF" w:themeFill="background1"/>
            <w:vAlign w:val="bottom"/>
          </w:tcPr>
          <w:p w14:paraId="379DCE9A" w14:textId="77777777" w:rsidR="002B6702" w:rsidRPr="00C11875" w:rsidRDefault="002B6702" w:rsidP="00005BE2">
            <w:pPr>
              <w:pStyle w:val="ListParagraph"/>
              <w:ind w:left="0"/>
              <w:contextualSpacing w:val="0"/>
              <w:jc w:val="center"/>
              <w:rPr>
                <w:b/>
                <w:bCs/>
                <w:sz w:val="20"/>
                <w:szCs w:val="20"/>
              </w:rPr>
            </w:pPr>
            <w:r w:rsidRPr="00C11875">
              <w:rPr>
                <w:b/>
                <w:bCs/>
                <w:sz w:val="20"/>
                <w:szCs w:val="20"/>
              </w:rPr>
              <w:t>2025</w:t>
            </w:r>
          </w:p>
        </w:tc>
        <w:tc>
          <w:tcPr>
            <w:tcW w:w="1375" w:type="dxa"/>
            <w:tcBorders>
              <w:top w:val="nil"/>
              <w:left w:val="nil"/>
              <w:bottom w:val="single" w:sz="8" w:space="0" w:color="auto"/>
              <w:right w:val="nil"/>
            </w:tcBorders>
            <w:shd w:val="clear" w:color="auto" w:fill="FFFFFF" w:themeFill="background1"/>
            <w:vAlign w:val="bottom"/>
          </w:tcPr>
          <w:p w14:paraId="3C0BA956" w14:textId="77777777" w:rsidR="002B6702" w:rsidRPr="00C11875" w:rsidRDefault="002B6702" w:rsidP="00005BE2">
            <w:pPr>
              <w:pStyle w:val="ListParagraph"/>
              <w:ind w:left="0"/>
              <w:contextualSpacing w:val="0"/>
              <w:jc w:val="center"/>
              <w:rPr>
                <w:b/>
                <w:bCs/>
                <w:sz w:val="20"/>
                <w:szCs w:val="20"/>
              </w:rPr>
            </w:pPr>
            <w:r w:rsidRPr="00C11875">
              <w:rPr>
                <w:b/>
                <w:bCs/>
                <w:sz w:val="20"/>
                <w:szCs w:val="20"/>
              </w:rPr>
              <w:t>2026</w:t>
            </w:r>
          </w:p>
        </w:tc>
        <w:tc>
          <w:tcPr>
            <w:tcW w:w="1375" w:type="dxa"/>
            <w:tcBorders>
              <w:top w:val="nil"/>
              <w:left w:val="nil"/>
              <w:bottom w:val="single" w:sz="8" w:space="0" w:color="auto"/>
              <w:right w:val="nil"/>
            </w:tcBorders>
            <w:shd w:val="clear" w:color="auto" w:fill="FFFFFF" w:themeFill="background1"/>
            <w:vAlign w:val="bottom"/>
          </w:tcPr>
          <w:p w14:paraId="266C1558" w14:textId="77777777" w:rsidR="002B6702" w:rsidRPr="00C11875" w:rsidRDefault="002B6702" w:rsidP="00005BE2">
            <w:pPr>
              <w:pStyle w:val="ListParagraph"/>
              <w:ind w:left="0"/>
              <w:contextualSpacing w:val="0"/>
              <w:jc w:val="center"/>
              <w:rPr>
                <w:b/>
                <w:bCs/>
                <w:sz w:val="20"/>
                <w:szCs w:val="20"/>
              </w:rPr>
            </w:pPr>
            <w:r w:rsidRPr="00C11875">
              <w:rPr>
                <w:b/>
                <w:bCs/>
                <w:sz w:val="20"/>
                <w:szCs w:val="20"/>
              </w:rPr>
              <w:t>2027</w:t>
            </w:r>
          </w:p>
        </w:tc>
        <w:tc>
          <w:tcPr>
            <w:tcW w:w="1269" w:type="dxa"/>
            <w:tcBorders>
              <w:top w:val="nil"/>
              <w:left w:val="nil"/>
              <w:bottom w:val="single" w:sz="8" w:space="0" w:color="auto"/>
              <w:right w:val="nil"/>
            </w:tcBorders>
            <w:shd w:val="clear" w:color="auto" w:fill="FFFFFF" w:themeFill="background1"/>
          </w:tcPr>
          <w:p w14:paraId="1B7BA74A" w14:textId="77777777" w:rsidR="002B6702" w:rsidRPr="00C11875" w:rsidRDefault="002B6702" w:rsidP="00005BE2">
            <w:pPr>
              <w:pStyle w:val="ListParagraph"/>
              <w:ind w:left="0"/>
              <w:contextualSpacing w:val="0"/>
              <w:jc w:val="center"/>
              <w:rPr>
                <w:b/>
                <w:bCs/>
                <w:sz w:val="20"/>
                <w:szCs w:val="20"/>
              </w:rPr>
            </w:pPr>
            <w:r w:rsidRPr="00C11875">
              <w:rPr>
                <w:b/>
                <w:bCs/>
                <w:sz w:val="20"/>
                <w:szCs w:val="20"/>
              </w:rPr>
              <w:t>2028</w:t>
            </w:r>
          </w:p>
        </w:tc>
      </w:tr>
      <w:tr w:rsidR="00794C43" w:rsidRPr="00F53BA5" w14:paraId="1BF850F2" w14:textId="77777777" w:rsidTr="00005BE2">
        <w:tc>
          <w:tcPr>
            <w:tcW w:w="3672" w:type="dxa"/>
            <w:tcBorders>
              <w:top w:val="single" w:sz="8" w:space="0" w:color="auto"/>
              <w:left w:val="nil"/>
              <w:bottom w:val="single" w:sz="4" w:space="0" w:color="auto"/>
            </w:tcBorders>
            <w:shd w:val="clear" w:color="auto" w:fill="FFFFFF" w:themeFill="background1"/>
            <w:vAlign w:val="center"/>
          </w:tcPr>
          <w:p w14:paraId="738C0B8A" w14:textId="77777777" w:rsidR="00794C43" w:rsidRPr="002B6702" w:rsidRDefault="00794C43" w:rsidP="00794C43">
            <w:pPr>
              <w:pStyle w:val="ListParagraph"/>
              <w:ind w:left="0"/>
              <w:contextualSpacing w:val="0"/>
              <w:jc w:val="left"/>
              <w:rPr>
                <w:sz w:val="20"/>
                <w:szCs w:val="20"/>
              </w:rPr>
            </w:pPr>
            <w:r w:rsidRPr="002B6702">
              <w:rPr>
                <w:sz w:val="20"/>
                <w:szCs w:val="20"/>
              </w:rPr>
              <w:t>AN ieņēmumi</w:t>
            </w:r>
          </w:p>
        </w:tc>
        <w:tc>
          <w:tcPr>
            <w:tcW w:w="1376" w:type="dxa"/>
            <w:tcBorders>
              <w:top w:val="single" w:sz="8" w:space="0" w:color="auto"/>
              <w:bottom w:val="single" w:sz="4" w:space="0" w:color="auto"/>
            </w:tcBorders>
            <w:shd w:val="clear" w:color="auto" w:fill="FFFFFF" w:themeFill="background1"/>
            <w:vAlign w:val="center"/>
          </w:tcPr>
          <w:p w14:paraId="5EA39043" w14:textId="746F1E7A" w:rsidR="00794C43" w:rsidRPr="002B6702" w:rsidRDefault="00794C43" w:rsidP="00794C43">
            <w:pPr>
              <w:pStyle w:val="ListParagraph"/>
              <w:ind w:left="0"/>
              <w:contextualSpacing w:val="0"/>
              <w:jc w:val="center"/>
              <w:rPr>
                <w:color w:val="00B050"/>
                <w:sz w:val="20"/>
                <w:szCs w:val="20"/>
              </w:rPr>
            </w:pPr>
            <w:r>
              <w:rPr>
                <w:color w:val="00B050"/>
                <w:sz w:val="20"/>
                <w:szCs w:val="20"/>
              </w:rPr>
              <w:t>+</w:t>
            </w:r>
            <w:r w:rsidRPr="002B6702">
              <w:rPr>
                <w:color w:val="00B050"/>
                <w:sz w:val="20"/>
                <w:szCs w:val="20"/>
              </w:rPr>
              <w:t>2</w:t>
            </w:r>
            <w:r>
              <w:rPr>
                <w:color w:val="00B050"/>
                <w:sz w:val="20"/>
                <w:szCs w:val="20"/>
              </w:rPr>
              <w:t> 750 000</w:t>
            </w:r>
          </w:p>
        </w:tc>
        <w:tc>
          <w:tcPr>
            <w:tcW w:w="1375" w:type="dxa"/>
            <w:tcBorders>
              <w:top w:val="single" w:sz="8" w:space="0" w:color="auto"/>
              <w:bottom w:val="single" w:sz="4" w:space="0" w:color="auto"/>
            </w:tcBorders>
            <w:shd w:val="clear" w:color="auto" w:fill="FFFFFF" w:themeFill="background1"/>
            <w:vAlign w:val="center"/>
          </w:tcPr>
          <w:p w14:paraId="43E2402B" w14:textId="6F3C9747" w:rsidR="00794C43" w:rsidRPr="002B6702" w:rsidRDefault="00794C43" w:rsidP="00794C43">
            <w:pPr>
              <w:pStyle w:val="ListParagraph"/>
              <w:ind w:left="0"/>
              <w:contextualSpacing w:val="0"/>
              <w:jc w:val="center"/>
              <w:rPr>
                <w:color w:val="00B050"/>
                <w:sz w:val="20"/>
                <w:szCs w:val="20"/>
              </w:rPr>
            </w:pPr>
            <w:r>
              <w:rPr>
                <w:color w:val="00B050"/>
                <w:sz w:val="20"/>
                <w:szCs w:val="20"/>
              </w:rPr>
              <w:t>+2 940 000</w:t>
            </w:r>
          </w:p>
        </w:tc>
        <w:tc>
          <w:tcPr>
            <w:tcW w:w="1375" w:type="dxa"/>
            <w:tcBorders>
              <w:top w:val="single" w:sz="8" w:space="0" w:color="auto"/>
              <w:bottom w:val="single" w:sz="4" w:space="0" w:color="auto"/>
            </w:tcBorders>
            <w:shd w:val="clear" w:color="auto" w:fill="FFFFFF" w:themeFill="background1"/>
            <w:vAlign w:val="center"/>
          </w:tcPr>
          <w:p w14:paraId="59C485B0" w14:textId="2E903F40" w:rsidR="00794C43" w:rsidRPr="002B6702" w:rsidRDefault="00794C43" w:rsidP="00794C43">
            <w:pPr>
              <w:pStyle w:val="ListParagraph"/>
              <w:ind w:left="0"/>
              <w:contextualSpacing w:val="0"/>
              <w:jc w:val="center"/>
              <w:rPr>
                <w:color w:val="00B050"/>
                <w:sz w:val="20"/>
                <w:szCs w:val="20"/>
              </w:rPr>
            </w:pPr>
            <w:r>
              <w:rPr>
                <w:color w:val="00B050"/>
                <w:sz w:val="20"/>
                <w:szCs w:val="20"/>
              </w:rPr>
              <w:t>+2 910 000</w:t>
            </w:r>
          </w:p>
        </w:tc>
        <w:tc>
          <w:tcPr>
            <w:tcW w:w="1269" w:type="dxa"/>
            <w:tcBorders>
              <w:top w:val="single" w:sz="8" w:space="0" w:color="auto"/>
              <w:bottom w:val="single" w:sz="4" w:space="0" w:color="auto"/>
              <w:right w:val="nil"/>
            </w:tcBorders>
            <w:shd w:val="clear" w:color="auto" w:fill="FFFFFF" w:themeFill="background1"/>
            <w:vAlign w:val="center"/>
          </w:tcPr>
          <w:p w14:paraId="6349A97F" w14:textId="561AFB05" w:rsidR="00794C43" w:rsidRPr="002B6702" w:rsidRDefault="00794C43" w:rsidP="00794C43">
            <w:pPr>
              <w:pStyle w:val="ListParagraph"/>
              <w:ind w:left="0"/>
              <w:contextualSpacing w:val="0"/>
              <w:jc w:val="center"/>
              <w:rPr>
                <w:color w:val="00B050"/>
                <w:sz w:val="20"/>
                <w:szCs w:val="20"/>
              </w:rPr>
            </w:pPr>
            <w:r>
              <w:rPr>
                <w:color w:val="00B050"/>
                <w:sz w:val="20"/>
                <w:szCs w:val="20"/>
              </w:rPr>
              <w:t>+2 890 000</w:t>
            </w:r>
          </w:p>
        </w:tc>
      </w:tr>
      <w:tr w:rsidR="00794C43" w:rsidRPr="00F53BA5" w14:paraId="2A66EB34" w14:textId="77777777" w:rsidTr="00005BE2">
        <w:tc>
          <w:tcPr>
            <w:tcW w:w="3672" w:type="dxa"/>
            <w:tcBorders>
              <w:top w:val="single" w:sz="4" w:space="0" w:color="auto"/>
              <w:left w:val="nil"/>
              <w:bottom w:val="single" w:sz="4" w:space="0" w:color="auto"/>
            </w:tcBorders>
            <w:shd w:val="clear" w:color="auto" w:fill="FFFFFF" w:themeFill="background1"/>
            <w:vAlign w:val="center"/>
          </w:tcPr>
          <w:p w14:paraId="2046054B" w14:textId="77777777" w:rsidR="00794C43" w:rsidRPr="002B6702" w:rsidRDefault="00794C43" w:rsidP="00794C43">
            <w:pPr>
              <w:pStyle w:val="ListParagraph"/>
              <w:ind w:left="0"/>
              <w:contextualSpacing w:val="0"/>
              <w:jc w:val="left"/>
              <w:rPr>
                <w:sz w:val="20"/>
                <w:szCs w:val="20"/>
              </w:rPr>
            </w:pPr>
            <w:r w:rsidRPr="002B6702">
              <w:rPr>
                <w:sz w:val="20"/>
                <w:szCs w:val="20"/>
              </w:rPr>
              <w:t>PVN ieņēmumi</w:t>
            </w:r>
          </w:p>
        </w:tc>
        <w:tc>
          <w:tcPr>
            <w:tcW w:w="1376" w:type="dxa"/>
            <w:tcBorders>
              <w:top w:val="single" w:sz="4" w:space="0" w:color="auto"/>
              <w:bottom w:val="single" w:sz="4" w:space="0" w:color="auto"/>
            </w:tcBorders>
            <w:shd w:val="clear" w:color="auto" w:fill="FFFFFF" w:themeFill="background1"/>
            <w:vAlign w:val="center"/>
          </w:tcPr>
          <w:p w14:paraId="3945DC9F" w14:textId="65F1259B" w:rsidR="00794C43" w:rsidRPr="002B6702" w:rsidRDefault="00794C43" w:rsidP="00794C43">
            <w:pPr>
              <w:pStyle w:val="ListParagraph"/>
              <w:ind w:left="0"/>
              <w:contextualSpacing w:val="0"/>
              <w:jc w:val="center"/>
              <w:rPr>
                <w:color w:val="00B050"/>
                <w:sz w:val="20"/>
                <w:szCs w:val="20"/>
              </w:rPr>
            </w:pPr>
            <w:r>
              <w:rPr>
                <w:color w:val="00B050"/>
                <w:sz w:val="20"/>
                <w:szCs w:val="20"/>
              </w:rPr>
              <w:t>+578 000</w:t>
            </w:r>
          </w:p>
        </w:tc>
        <w:tc>
          <w:tcPr>
            <w:tcW w:w="1375" w:type="dxa"/>
            <w:tcBorders>
              <w:top w:val="single" w:sz="4" w:space="0" w:color="auto"/>
              <w:bottom w:val="single" w:sz="4" w:space="0" w:color="auto"/>
            </w:tcBorders>
            <w:shd w:val="clear" w:color="auto" w:fill="FFFFFF" w:themeFill="background1"/>
            <w:vAlign w:val="center"/>
          </w:tcPr>
          <w:p w14:paraId="482D9973" w14:textId="0284752F" w:rsidR="00794C43" w:rsidRPr="002B6702" w:rsidRDefault="00794C43" w:rsidP="00794C43">
            <w:pPr>
              <w:pStyle w:val="ListParagraph"/>
              <w:ind w:left="0"/>
              <w:contextualSpacing w:val="0"/>
              <w:jc w:val="center"/>
              <w:rPr>
                <w:color w:val="00B050"/>
                <w:sz w:val="20"/>
                <w:szCs w:val="20"/>
              </w:rPr>
            </w:pPr>
            <w:r>
              <w:rPr>
                <w:color w:val="00B050"/>
                <w:sz w:val="20"/>
                <w:szCs w:val="20"/>
              </w:rPr>
              <w:t>+617 000</w:t>
            </w:r>
          </w:p>
        </w:tc>
        <w:tc>
          <w:tcPr>
            <w:tcW w:w="1375" w:type="dxa"/>
            <w:tcBorders>
              <w:top w:val="single" w:sz="4" w:space="0" w:color="auto"/>
              <w:bottom w:val="single" w:sz="4" w:space="0" w:color="auto"/>
            </w:tcBorders>
            <w:shd w:val="clear" w:color="auto" w:fill="FFFFFF" w:themeFill="background1"/>
            <w:vAlign w:val="center"/>
          </w:tcPr>
          <w:p w14:paraId="1864BAE1" w14:textId="6ED75669" w:rsidR="00794C43" w:rsidRPr="002B6702" w:rsidRDefault="00794C43" w:rsidP="00794C43">
            <w:pPr>
              <w:pStyle w:val="ListParagraph"/>
              <w:ind w:left="0"/>
              <w:contextualSpacing w:val="0"/>
              <w:jc w:val="center"/>
              <w:rPr>
                <w:color w:val="00B050"/>
                <w:sz w:val="20"/>
                <w:szCs w:val="20"/>
              </w:rPr>
            </w:pPr>
            <w:r>
              <w:rPr>
                <w:color w:val="00B050"/>
                <w:sz w:val="20"/>
                <w:szCs w:val="20"/>
              </w:rPr>
              <w:t>+611 000</w:t>
            </w:r>
          </w:p>
        </w:tc>
        <w:tc>
          <w:tcPr>
            <w:tcW w:w="1269" w:type="dxa"/>
            <w:tcBorders>
              <w:top w:val="single" w:sz="4" w:space="0" w:color="auto"/>
              <w:bottom w:val="single" w:sz="4" w:space="0" w:color="auto"/>
              <w:right w:val="nil"/>
            </w:tcBorders>
            <w:shd w:val="clear" w:color="auto" w:fill="FFFFFF" w:themeFill="background1"/>
            <w:vAlign w:val="center"/>
          </w:tcPr>
          <w:p w14:paraId="6B620501" w14:textId="641CD8D7" w:rsidR="00794C43" w:rsidRPr="002B6702" w:rsidRDefault="00794C43" w:rsidP="00794C43">
            <w:pPr>
              <w:pStyle w:val="ListParagraph"/>
              <w:ind w:left="0"/>
              <w:contextualSpacing w:val="0"/>
              <w:jc w:val="center"/>
              <w:rPr>
                <w:color w:val="00B050"/>
                <w:sz w:val="20"/>
                <w:szCs w:val="20"/>
              </w:rPr>
            </w:pPr>
            <w:r>
              <w:rPr>
                <w:color w:val="00B050"/>
                <w:sz w:val="20"/>
                <w:szCs w:val="20"/>
              </w:rPr>
              <w:t>+607 000</w:t>
            </w:r>
          </w:p>
        </w:tc>
      </w:tr>
      <w:tr w:rsidR="000A357A" w:rsidRPr="002B6702" w14:paraId="5FC8B1BB" w14:textId="77777777" w:rsidTr="00005BE2">
        <w:tc>
          <w:tcPr>
            <w:tcW w:w="3672" w:type="dxa"/>
            <w:tcBorders>
              <w:left w:val="nil"/>
              <w:bottom w:val="nil"/>
            </w:tcBorders>
            <w:shd w:val="clear" w:color="auto" w:fill="E7E6E6" w:themeFill="background2"/>
            <w:vAlign w:val="center"/>
          </w:tcPr>
          <w:p w14:paraId="4959FCD6" w14:textId="77777777" w:rsidR="000A357A" w:rsidRPr="002B6702" w:rsidRDefault="000A357A" w:rsidP="000A357A">
            <w:pPr>
              <w:rPr>
                <w:i/>
                <w:iCs/>
                <w:sz w:val="20"/>
                <w:szCs w:val="20"/>
              </w:rPr>
            </w:pPr>
            <w:r w:rsidRPr="002B6702">
              <w:rPr>
                <w:b/>
                <w:bCs/>
                <w:sz w:val="20"/>
                <w:szCs w:val="20"/>
              </w:rPr>
              <w:t>KOPĀ</w:t>
            </w:r>
            <w:r w:rsidRPr="002B6702">
              <w:rPr>
                <w:i/>
                <w:iCs/>
                <w:sz w:val="20"/>
                <w:szCs w:val="20"/>
              </w:rPr>
              <w:t>, no tā:</w:t>
            </w:r>
          </w:p>
        </w:tc>
        <w:tc>
          <w:tcPr>
            <w:tcW w:w="1376" w:type="dxa"/>
            <w:tcBorders>
              <w:bottom w:val="nil"/>
            </w:tcBorders>
            <w:shd w:val="clear" w:color="auto" w:fill="E7E6E6" w:themeFill="background2"/>
            <w:vAlign w:val="center"/>
          </w:tcPr>
          <w:p w14:paraId="1C457A82" w14:textId="273B91B4" w:rsidR="000A357A" w:rsidRPr="002B6702" w:rsidRDefault="000A357A" w:rsidP="000A357A">
            <w:pPr>
              <w:pStyle w:val="ListParagraph"/>
              <w:ind w:left="0"/>
              <w:contextualSpacing w:val="0"/>
              <w:jc w:val="center"/>
              <w:rPr>
                <w:i/>
                <w:iCs/>
                <w:color w:val="00B050"/>
                <w:sz w:val="20"/>
                <w:szCs w:val="20"/>
              </w:rPr>
            </w:pPr>
            <w:r w:rsidRPr="002B6702">
              <w:rPr>
                <w:b/>
                <w:bCs/>
                <w:color w:val="00B050"/>
                <w:sz w:val="20"/>
                <w:szCs w:val="20"/>
              </w:rPr>
              <w:t>+</w:t>
            </w:r>
            <w:r>
              <w:rPr>
                <w:b/>
                <w:bCs/>
                <w:color w:val="00B050"/>
                <w:sz w:val="20"/>
                <w:szCs w:val="20"/>
              </w:rPr>
              <w:t>3</w:t>
            </w:r>
            <w:r w:rsidR="00794C43">
              <w:rPr>
                <w:b/>
                <w:bCs/>
                <w:color w:val="00B050"/>
                <w:sz w:val="20"/>
                <w:szCs w:val="20"/>
              </w:rPr>
              <w:t> </w:t>
            </w:r>
            <w:r>
              <w:rPr>
                <w:b/>
                <w:bCs/>
                <w:color w:val="00B050"/>
                <w:sz w:val="20"/>
                <w:szCs w:val="20"/>
              </w:rPr>
              <w:t>3</w:t>
            </w:r>
            <w:r w:rsidR="00E135EF">
              <w:rPr>
                <w:b/>
                <w:bCs/>
                <w:color w:val="00B050"/>
                <w:sz w:val="20"/>
                <w:szCs w:val="20"/>
              </w:rPr>
              <w:t>28</w:t>
            </w:r>
            <w:r w:rsidR="00794C43">
              <w:rPr>
                <w:b/>
                <w:bCs/>
                <w:color w:val="00B050"/>
                <w:sz w:val="20"/>
                <w:szCs w:val="20"/>
              </w:rPr>
              <w:t xml:space="preserve"> 000</w:t>
            </w:r>
          </w:p>
        </w:tc>
        <w:tc>
          <w:tcPr>
            <w:tcW w:w="1375" w:type="dxa"/>
            <w:tcBorders>
              <w:bottom w:val="nil"/>
            </w:tcBorders>
            <w:shd w:val="clear" w:color="auto" w:fill="E7E6E6" w:themeFill="background2"/>
            <w:vAlign w:val="center"/>
          </w:tcPr>
          <w:p w14:paraId="30797BC2" w14:textId="5C490170" w:rsidR="000A357A" w:rsidRPr="002B6702" w:rsidRDefault="000A357A" w:rsidP="000A357A">
            <w:pPr>
              <w:pStyle w:val="ListParagraph"/>
              <w:ind w:left="0"/>
              <w:contextualSpacing w:val="0"/>
              <w:jc w:val="center"/>
              <w:rPr>
                <w:i/>
                <w:iCs/>
                <w:color w:val="00B050"/>
                <w:sz w:val="20"/>
                <w:szCs w:val="20"/>
              </w:rPr>
            </w:pPr>
            <w:r w:rsidRPr="002B6702">
              <w:rPr>
                <w:b/>
                <w:bCs/>
                <w:color w:val="00B050"/>
                <w:sz w:val="20"/>
                <w:szCs w:val="20"/>
              </w:rPr>
              <w:t>+</w:t>
            </w:r>
            <w:r>
              <w:rPr>
                <w:b/>
                <w:bCs/>
                <w:color w:val="00B050"/>
                <w:sz w:val="20"/>
                <w:szCs w:val="20"/>
              </w:rPr>
              <w:t>3</w:t>
            </w:r>
            <w:r w:rsidR="00794C43">
              <w:rPr>
                <w:b/>
                <w:bCs/>
                <w:color w:val="00B050"/>
                <w:sz w:val="20"/>
                <w:szCs w:val="20"/>
              </w:rPr>
              <w:t> </w:t>
            </w:r>
            <w:r w:rsidR="00E135EF">
              <w:rPr>
                <w:b/>
                <w:bCs/>
                <w:color w:val="00B050"/>
                <w:sz w:val="20"/>
                <w:szCs w:val="20"/>
              </w:rPr>
              <w:t>557</w:t>
            </w:r>
            <w:r w:rsidR="00794C43">
              <w:rPr>
                <w:b/>
                <w:bCs/>
                <w:color w:val="00B050"/>
                <w:sz w:val="20"/>
                <w:szCs w:val="20"/>
              </w:rPr>
              <w:t xml:space="preserve"> 000</w:t>
            </w:r>
          </w:p>
        </w:tc>
        <w:tc>
          <w:tcPr>
            <w:tcW w:w="1375" w:type="dxa"/>
            <w:tcBorders>
              <w:bottom w:val="nil"/>
            </w:tcBorders>
            <w:shd w:val="clear" w:color="auto" w:fill="E7E6E6" w:themeFill="background2"/>
            <w:vAlign w:val="center"/>
          </w:tcPr>
          <w:p w14:paraId="3F8D9399" w14:textId="01CD510F" w:rsidR="000A357A" w:rsidRPr="002B6702" w:rsidRDefault="000A357A" w:rsidP="000A357A">
            <w:pPr>
              <w:pStyle w:val="ListParagraph"/>
              <w:ind w:left="0"/>
              <w:contextualSpacing w:val="0"/>
              <w:jc w:val="center"/>
              <w:rPr>
                <w:i/>
                <w:iCs/>
                <w:color w:val="00B050"/>
                <w:sz w:val="20"/>
                <w:szCs w:val="20"/>
              </w:rPr>
            </w:pPr>
            <w:r w:rsidRPr="002B6702">
              <w:rPr>
                <w:b/>
                <w:bCs/>
                <w:color w:val="00B050"/>
                <w:sz w:val="20"/>
                <w:szCs w:val="20"/>
              </w:rPr>
              <w:t>+</w:t>
            </w:r>
            <w:r>
              <w:rPr>
                <w:b/>
                <w:bCs/>
                <w:color w:val="00B050"/>
                <w:sz w:val="20"/>
                <w:szCs w:val="20"/>
              </w:rPr>
              <w:t>3</w:t>
            </w:r>
            <w:r w:rsidR="00794C43">
              <w:rPr>
                <w:b/>
                <w:bCs/>
                <w:color w:val="00B050"/>
                <w:sz w:val="20"/>
                <w:szCs w:val="20"/>
              </w:rPr>
              <w:t> </w:t>
            </w:r>
            <w:r>
              <w:rPr>
                <w:b/>
                <w:bCs/>
                <w:color w:val="00B050"/>
                <w:sz w:val="20"/>
                <w:szCs w:val="20"/>
              </w:rPr>
              <w:t>5</w:t>
            </w:r>
            <w:r w:rsidR="00E135EF">
              <w:rPr>
                <w:b/>
                <w:bCs/>
                <w:color w:val="00B050"/>
                <w:sz w:val="20"/>
                <w:szCs w:val="20"/>
              </w:rPr>
              <w:t>21</w:t>
            </w:r>
            <w:r w:rsidR="00794C43">
              <w:rPr>
                <w:b/>
                <w:bCs/>
                <w:color w:val="00B050"/>
                <w:sz w:val="20"/>
                <w:szCs w:val="20"/>
              </w:rPr>
              <w:t xml:space="preserve"> 000</w:t>
            </w:r>
          </w:p>
        </w:tc>
        <w:tc>
          <w:tcPr>
            <w:tcW w:w="1269" w:type="dxa"/>
            <w:tcBorders>
              <w:bottom w:val="nil"/>
              <w:right w:val="nil"/>
            </w:tcBorders>
            <w:shd w:val="clear" w:color="auto" w:fill="E7E6E6" w:themeFill="background2"/>
            <w:vAlign w:val="center"/>
          </w:tcPr>
          <w:p w14:paraId="3564316B" w14:textId="327AC041" w:rsidR="000A357A" w:rsidRPr="002B6702" w:rsidRDefault="000A357A" w:rsidP="000A357A">
            <w:pPr>
              <w:pStyle w:val="ListParagraph"/>
              <w:ind w:left="0"/>
              <w:contextualSpacing w:val="0"/>
              <w:jc w:val="center"/>
              <w:rPr>
                <w:i/>
                <w:iCs/>
                <w:color w:val="00B050"/>
                <w:sz w:val="20"/>
                <w:szCs w:val="20"/>
              </w:rPr>
            </w:pPr>
            <w:r w:rsidRPr="002B6702">
              <w:rPr>
                <w:b/>
                <w:bCs/>
                <w:color w:val="00B050"/>
                <w:sz w:val="20"/>
                <w:szCs w:val="20"/>
              </w:rPr>
              <w:t>+</w:t>
            </w:r>
            <w:r>
              <w:rPr>
                <w:b/>
                <w:bCs/>
                <w:color w:val="00B050"/>
                <w:sz w:val="20"/>
                <w:szCs w:val="20"/>
              </w:rPr>
              <w:t>3</w:t>
            </w:r>
            <w:r w:rsidR="00794C43">
              <w:rPr>
                <w:b/>
                <w:bCs/>
                <w:color w:val="00B050"/>
                <w:sz w:val="20"/>
                <w:szCs w:val="20"/>
              </w:rPr>
              <w:t> </w:t>
            </w:r>
            <w:r w:rsidR="00E135EF">
              <w:rPr>
                <w:b/>
                <w:bCs/>
                <w:color w:val="00B050"/>
                <w:sz w:val="20"/>
                <w:szCs w:val="20"/>
              </w:rPr>
              <w:t>497</w:t>
            </w:r>
            <w:r w:rsidR="00794C43">
              <w:rPr>
                <w:b/>
                <w:bCs/>
                <w:color w:val="00B050"/>
                <w:sz w:val="20"/>
                <w:szCs w:val="20"/>
              </w:rPr>
              <w:t xml:space="preserve"> 000</w:t>
            </w:r>
          </w:p>
        </w:tc>
      </w:tr>
      <w:tr w:rsidR="00794C43" w:rsidRPr="002B6702" w14:paraId="5034BF14" w14:textId="77777777" w:rsidTr="00005BE2">
        <w:tc>
          <w:tcPr>
            <w:tcW w:w="3672" w:type="dxa"/>
            <w:tcBorders>
              <w:left w:val="nil"/>
              <w:bottom w:val="nil"/>
            </w:tcBorders>
            <w:shd w:val="clear" w:color="auto" w:fill="FFFFFF" w:themeFill="background1"/>
            <w:vAlign w:val="center"/>
          </w:tcPr>
          <w:p w14:paraId="3157474C" w14:textId="77777777" w:rsidR="00794C43" w:rsidRPr="002B6702" w:rsidRDefault="00794C43" w:rsidP="00794C43">
            <w:pPr>
              <w:pStyle w:val="ListParagraph"/>
              <w:numPr>
                <w:ilvl w:val="0"/>
                <w:numId w:val="9"/>
              </w:numPr>
              <w:tabs>
                <w:tab w:val="clear" w:pos="720"/>
                <w:tab w:val="num" w:pos="306"/>
              </w:tabs>
              <w:ind w:hanging="698"/>
              <w:contextualSpacing w:val="0"/>
              <w:jc w:val="left"/>
              <w:rPr>
                <w:i/>
                <w:iCs/>
                <w:sz w:val="20"/>
                <w:szCs w:val="20"/>
              </w:rPr>
            </w:pPr>
            <w:r w:rsidRPr="002B6702">
              <w:rPr>
                <w:i/>
                <w:iCs/>
                <w:sz w:val="20"/>
                <w:szCs w:val="20"/>
              </w:rPr>
              <w:t>valsts pamatbudžetā</w:t>
            </w:r>
          </w:p>
        </w:tc>
        <w:tc>
          <w:tcPr>
            <w:tcW w:w="1376" w:type="dxa"/>
            <w:tcBorders>
              <w:bottom w:val="nil"/>
            </w:tcBorders>
            <w:shd w:val="clear" w:color="auto" w:fill="FFFFFF" w:themeFill="background1"/>
            <w:vAlign w:val="center"/>
          </w:tcPr>
          <w:p w14:paraId="7C570BD1" w14:textId="47013F09" w:rsidR="00794C43" w:rsidRPr="002B6702" w:rsidRDefault="00794C43" w:rsidP="00794C43">
            <w:pPr>
              <w:pStyle w:val="ListParagraph"/>
              <w:ind w:left="0"/>
              <w:contextualSpacing w:val="0"/>
              <w:jc w:val="center"/>
              <w:rPr>
                <w:i/>
                <w:iCs/>
                <w:color w:val="00B050"/>
                <w:sz w:val="20"/>
                <w:szCs w:val="20"/>
              </w:rPr>
            </w:pPr>
            <w:r w:rsidRPr="002B6702">
              <w:rPr>
                <w:i/>
                <w:iCs/>
                <w:color w:val="00B050"/>
                <w:sz w:val="20"/>
                <w:szCs w:val="20"/>
              </w:rPr>
              <w:t>+3</w:t>
            </w:r>
            <w:r>
              <w:rPr>
                <w:i/>
                <w:iCs/>
                <w:color w:val="00B050"/>
                <w:sz w:val="20"/>
                <w:szCs w:val="20"/>
              </w:rPr>
              <w:t> </w:t>
            </w:r>
            <w:r w:rsidRPr="002B6702">
              <w:rPr>
                <w:i/>
                <w:iCs/>
                <w:color w:val="00B050"/>
                <w:sz w:val="20"/>
                <w:szCs w:val="20"/>
              </w:rPr>
              <w:t>3</w:t>
            </w:r>
            <w:r>
              <w:rPr>
                <w:i/>
                <w:iCs/>
                <w:color w:val="00B050"/>
                <w:sz w:val="20"/>
                <w:szCs w:val="20"/>
              </w:rPr>
              <w:t>28 000</w:t>
            </w:r>
          </w:p>
        </w:tc>
        <w:tc>
          <w:tcPr>
            <w:tcW w:w="1375" w:type="dxa"/>
            <w:tcBorders>
              <w:bottom w:val="nil"/>
            </w:tcBorders>
            <w:shd w:val="clear" w:color="auto" w:fill="FFFFFF" w:themeFill="background1"/>
            <w:vAlign w:val="center"/>
          </w:tcPr>
          <w:p w14:paraId="326D4FA1" w14:textId="0FB65237" w:rsidR="00794C43" w:rsidRPr="002B6702" w:rsidRDefault="00794C43" w:rsidP="00794C43">
            <w:pPr>
              <w:pStyle w:val="ListParagraph"/>
              <w:ind w:left="0"/>
              <w:contextualSpacing w:val="0"/>
              <w:jc w:val="center"/>
              <w:rPr>
                <w:i/>
                <w:iCs/>
                <w:color w:val="00B050"/>
                <w:sz w:val="20"/>
                <w:szCs w:val="20"/>
              </w:rPr>
            </w:pPr>
            <w:r w:rsidRPr="00794C43">
              <w:rPr>
                <w:i/>
                <w:iCs/>
                <w:color w:val="00B050"/>
                <w:sz w:val="20"/>
                <w:szCs w:val="20"/>
              </w:rPr>
              <w:t>+3 557 000</w:t>
            </w:r>
          </w:p>
        </w:tc>
        <w:tc>
          <w:tcPr>
            <w:tcW w:w="1375" w:type="dxa"/>
            <w:tcBorders>
              <w:bottom w:val="nil"/>
            </w:tcBorders>
            <w:shd w:val="clear" w:color="auto" w:fill="FFFFFF" w:themeFill="background1"/>
            <w:vAlign w:val="center"/>
          </w:tcPr>
          <w:p w14:paraId="2694B353" w14:textId="2DC596F1" w:rsidR="00794C43" w:rsidRPr="002B6702" w:rsidRDefault="00794C43" w:rsidP="00794C43">
            <w:pPr>
              <w:pStyle w:val="ListParagraph"/>
              <w:ind w:left="0"/>
              <w:contextualSpacing w:val="0"/>
              <w:jc w:val="center"/>
              <w:rPr>
                <w:i/>
                <w:iCs/>
                <w:color w:val="00B050"/>
                <w:sz w:val="20"/>
                <w:szCs w:val="20"/>
              </w:rPr>
            </w:pPr>
            <w:r w:rsidRPr="00794C43">
              <w:rPr>
                <w:i/>
                <w:iCs/>
                <w:color w:val="00B050"/>
                <w:sz w:val="20"/>
                <w:szCs w:val="20"/>
              </w:rPr>
              <w:t>+3 521 000</w:t>
            </w:r>
          </w:p>
        </w:tc>
        <w:tc>
          <w:tcPr>
            <w:tcW w:w="1269" w:type="dxa"/>
            <w:tcBorders>
              <w:bottom w:val="nil"/>
              <w:right w:val="nil"/>
            </w:tcBorders>
            <w:shd w:val="clear" w:color="auto" w:fill="FFFFFF" w:themeFill="background1"/>
            <w:vAlign w:val="center"/>
          </w:tcPr>
          <w:p w14:paraId="31B036D8" w14:textId="79877979" w:rsidR="00794C43" w:rsidRPr="002B6702" w:rsidRDefault="00794C43" w:rsidP="00794C43">
            <w:pPr>
              <w:pStyle w:val="ListParagraph"/>
              <w:ind w:left="0"/>
              <w:contextualSpacing w:val="0"/>
              <w:jc w:val="center"/>
              <w:rPr>
                <w:i/>
                <w:iCs/>
                <w:color w:val="00B050"/>
                <w:sz w:val="20"/>
                <w:szCs w:val="20"/>
              </w:rPr>
            </w:pPr>
            <w:r w:rsidRPr="00794C43">
              <w:rPr>
                <w:i/>
                <w:iCs/>
                <w:color w:val="00B050"/>
                <w:sz w:val="20"/>
                <w:szCs w:val="20"/>
              </w:rPr>
              <w:t>+3 497 000</w:t>
            </w:r>
          </w:p>
        </w:tc>
      </w:tr>
    </w:tbl>
    <w:p w14:paraId="62FA7F6A" w14:textId="77777777" w:rsidR="00FA7FB6" w:rsidRPr="000203BA" w:rsidRDefault="00FA7FB6" w:rsidP="00183B22">
      <w:pPr>
        <w:tabs>
          <w:tab w:val="left" w:pos="426"/>
        </w:tabs>
        <w:spacing w:before="120"/>
        <w:rPr>
          <w:rFonts w:cs="Times New Roman"/>
          <w:i/>
          <w:sz w:val="18"/>
        </w:rPr>
      </w:pPr>
      <w:r w:rsidRPr="000203BA">
        <w:rPr>
          <w:rFonts w:cs="Times New Roman"/>
          <w:b/>
          <w:bCs/>
          <w:i/>
          <w:sz w:val="18"/>
        </w:rPr>
        <w:t>Avots</w:t>
      </w:r>
      <w:r w:rsidRPr="000203BA">
        <w:rPr>
          <w:rFonts w:cs="Times New Roman"/>
          <w:i/>
          <w:sz w:val="18"/>
        </w:rPr>
        <w:t>: FM aprēķini.</w:t>
      </w:r>
    </w:p>
    <w:p w14:paraId="2C92B693" w14:textId="77777777" w:rsidR="00850F47" w:rsidRPr="00277E63" w:rsidRDefault="00850F47" w:rsidP="00965109">
      <w:pPr>
        <w:jc w:val="center"/>
        <w:rPr>
          <w:sz w:val="18"/>
          <w:szCs w:val="18"/>
        </w:rPr>
      </w:pPr>
    </w:p>
    <w:p w14:paraId="66E72BE1" w14:textId="73DB139F" w:rsidR="005C1FD5" w:rsidRDefault="00501035" w:rsidP="005C1FD5">
      <w:pPr>
        <w:pStyle w:val="Heading2"/>
        <w:tabs>
          <w:tab w:val="left" w:pos="567"/>
        </w:tabs>
        <w:ind w:left="567" w:hanging="567"/>
        <w:rPr>
          <w:bCs/>
        </w:rPr>
      </w:pPr>
      <w:bookmarkStart w:id="58" w:name="_Toc177627716"/>
      <w:r>
        <w:rPr>
          <w:bCs/>
        </w:rPr>
        <w:t>3</w:t>
      </w:r>
      <w:r w:rsidR="005C1FD5">
        <w:rPr>
          <w:bCs/>
        </w:rPr>
        <w:t>.</w:t>
      </w:r>
      <w:r w:rsidR="000A357A">
        <w:rPr>
          <w:bCs/>
        </w:rPr>
        <w:t>5</w:t>
      </w:r>
      <w:r w:rsidR="005C1FD5">
        <w:rPr>
          <w:bCs/>
        </w:rPr>
        <w:t xml:space="preserve">. </w:t>
      </w:r>
      <w:r w:rsidR="005C1FD5">
        <w:rPr>
          <w:bCs/>
        </w:rPr>
        <w:tab/>
      </w:r>
      <w:r w:rsidR="00914988" w:rsidRPr="005C1FD5">
        <w:rPr>
          <w:bCs/>
        </w:rPr>
        <w:t>A</w:t>
      </w:r>
      <w:r w:rsidR="00914988">
        <w:rPr>
          <w:bCs/>
        </w:rPr>
        <w:t>kcīzes nodokļa</w:t>
      </w:r>
      <w:r w:rsidR="00914988" w:rsidRPr="005C1FD5">
        <w:rPr>
          <w:bCs/>
        </w:rPr>
        <w:t xml:space="preserve"> </w:t>
      </w:r>
      <w:r w:rsidR="005C1FD5" w:rsidRPr="005C1FD5">
        <w:rPr>
          <w:bCs/>
        </w:rPr>
        <w:t>likm</w:t>
      </w:r>
      <w:r w:rsidR="00850F47">
        <w:rPr>
          <w:bCs/>
        </w:rPr>
        <w:t>ju</w:t>
      </w:r>
      <w:r w:rsidR="005C1FD5" w:rsidRPr="005C1FD5">
        <w:rPr>
          <w:bCs/>
        </w:rPr>
        <w:t xml:space="preserve"> </w:t>
      </w:r>
      <w:r w:rsidR="00850F47" w:rsidRPr="005C1FD5">
        <w:rPr>
          <w:bCs/>
        </w:rPr>
        <w:t xml:space="preserve">paaugstināšana </w:t>
      </w:r>
      <w:r w:rsidR="005C1FD5" w:rsidRPr="005C1FD5">
        <w:rPr>
          <w:bCs/>
        </w:rPr>
        <w:t>alkoholisk</w:t>
      </w:r>
      <w:r w:rsidR="0076264D">
        <w:rPr>
          <w:bCs/>
        </w:rPr>
        <w:t>aj</w:t>
      </w:r>
      <w:r w:rsidR="005C1FD5" w:rsidRPr="005C1FD5">
        <w:rPr>
          <w:bCs/>
        </w:rPr>
        <w:t>iem dzērieniem</w:t>
      </w:r>
      <w:r w:rsidR="005C1FD5" w:rsidRPr="00BE7DC4">
        <w:rPr>
          <w:bCs/>
        </w:rPr>
        <w:t xml:space="preserve"> </w:t>
      </w:r>
      <w:r w:rsidR="005C1FD5" w:rsidRPr="005C1FD5">
        <w:rPr>
          <w:bCs/>
        </w:rPr>
        <w:t>no 2027.</w:t>
      </w:r>
      <w:r w:rsidR="00FA7FB6">
        <w:rPr>
          <w:bCs/>
        </w:rPr>
        <w:t> </w:t>
      </w:r>
      <w:r w:rsidR="005C1FD5" w:rsidRPr="005C1FD5">
        <w:rPr>
          <w:bCs/>
        </w:rPr>
        <w:t>gada</w:t>
      </w:r>
      <w:bookmarkEnd w:id="58"/>
    </w:p>
    <w:p w14:paraId="36EA8F87" w14:textId="32B9B753" w:rsidR="00E10B17" w:rsidRDefault="00E10B17" w:rsidP="00E10B17">
      <w:pPr>
        <w:ind w:firstLine="567"/>
        <w:jc w:val="both"/>
      </w:pPr>
      <w:r w:rsidRPr="00E10B17">
        <w:t xml:space="preserve">Šobrīd ir spēkā trīs gadu AN paaugstināšanas alkoholiskajiem dzērieniem un alum grafiks līdz 2026. gadam, pēc kura </w:t>
      </w:r>
      <w:r w:rsidR="00F92642">
        <w:t>plānots arī</w:t>
      </w:r>
      <w:r w:rsidRPr="00E10B17">
        <w:t xml:space="preserve"> turpmāks mērens likmju paaugstinājums minētajiem produktiem</w:t>
      </w:r>
      <w:r w:rsidRPr="00E10B17">
        <w:rPr>
          <w:b/>
          <w:bCs/>
        </w:rPr>
        <w:t xml:space="preserve"> vidēji</w:t>
      </w:r>
      <w:r w:rsidRPr="00E10B17">
        <w:t xml:space="preserve"> par </w:t>
      </w:r>
      <w:r w:rsidRPr="00637939">
        <w:rPr>
          <w:b/>
          <w:bCs/>
          <w:color w:val="FF0000"/>
        </w:rPr>
        <w:t>4</w:t>
      </w:r>
      <w:r w:rsidRPr="00E10B17">
        <w:rPr>
          <w:color w:val="FF0000"/>
        </w:rPr>
        <w:t>,</w:t>
      </w:r>
      <w:r w:rsidRPr="00E10B17">
        <w:rPr>
          <w:b/>
          <w:bCs/>
          <w:color w:val="FF0000"/>
        </w:rPr>
        <w:t>5%</w:t>
      </w:r>
      <w:r w:rsidRPr="00E10B17">
        <w:t>, vienlaicīgi saglabājot konkurētspēju Baltijā.</w:t>
      </w:r>
    </w:p>
    <w:p w14:paraId="577BF931" w14:textId="77777777" w:rsidR="0033499C" w:rsidRDefault="0033499C" w:rsidP="0033499C">
      <w:pPr>
        <w:jc w:val="center"/>
        <w:rPr>
          <w:sz w:val="20"/>
          <w:szCs w:val="20"/>
        </w:rPr>
      </w:pPr>
    </w:p>
    <w:p w14:paraId="21B48AC2" w14:textId="2DAA7332" w:rsidR="00B40EEA" w:rsidRPr="00DA2A6D" w:rsidRDefault="006F5E64" w:rsidP="00B40EEA">
      <w:pPr>
        <w:spacing w:after="120"/>
        <w:jc w:val="center"/>
        <w:rPr>
          <w:sz w:val="20"/>
          <w:szCs w:val="20"/>
        </w:rPr>
      </w:pPr>
      <w:r>
        <w:rPr>
          <w:rFonts w:cs="Times New Roman"/>
          <w:sz w:val="20"/>
        </w:rPr>
        <w:t>2</w:t>
      </w:r>
      <w:r w:rsidR="00725CD9">
        <w:rPr>
          <w:rFonts w:cs="Times New Roman"/>
          <w:sz w:val="20"/>
        </w:rPr>
        <w:t>8</w:t>
      </w:r>
      <w:r w:rsidR="00B40EEA" w:rsidRPr="00DA2A6D">
        <w:rPr>
          <w:sz w:val="20"/>
          <w:szCs w:val="20"/>
        </w:rPr>
        <w:t xml:space="preserve">.tab. </w:t>
      </w:r>
      <w:r w:rsidR="00B40EEA" w:rsidRPr="00DA2A6D">
        <w:rPr>
          <w:b/>
          <w:bCs/>
          <w:sz w:val="20"/>
          <w:szCs w:val="20"/>
        </w:rPr>
        <w:t xml:space="preserve">AN </w:t>
      </w:r>
      <w:r w:rsidR="00B40EEA">
        <w:rPr>
          <w:b/>
          <w:bCs/>
          <w:sz w:val="20"/>
          <w:szCs w:val="20"/>
        </w:rPr>
        <w:t xml:space="preserve">likmes </w:t>
      </w:r>
      <w:r w:rsidR="00B40EEA" w:rsidRPr="00B40EEA">
        <w:rPr>
          <w:b/>
          <w:bCs/>
          <w:sz w:val="20"/>
          <w:szCs w:val="20"/>
        </w:rPr>
        <w:t>alkoholiskajiem dzērieniem</w:t>
      </w:r>
      <w:r w:rsidR="009475A8">
        <w:rPr>
          <w:b/>
          <w:bCs/>
          <w:sz w:val="20"/>
          <w:szCs w:val="20"/>
        </w:rPr>
        <w:t xml:space="preserve"> un alum</w:t>
      </w:r>
    </w:p>
    <w:tbl>
      <w:tblPr>
        <w:tblStyle w:val="TableGrid"/>
        <w:tblW w:w="9072" w:type="dxa"/>
        <w:tblInd w:w="-5" w:type="dxa"/>
        <w:tblLayout w:type="fixed"/>
        <w:tblLook w:val="04A0" w:firstRow="1" w:lastRow="0" w:firstColumn="1" w:lastColumn="0" w:noHBand="0" w:noVBand="1"/>
      </w:tblPr>
      <w:tblGrid>
        <w:gridCol w:w="4678"/>
        <w:gridCol w:w="851"/>
        <w:gridCol w:w="992"/>
        <w:gridCol w:w="850"/>
        <w:gridCol w:w="851"/>
        <w:gridCol w:w="850"/>
      </w:tblGrid>
      <w:tr w:rsidR="00976D16" w:rsidRPr="005C1FD5" w14:paraId="71AF9DF6" w14:textId="55C94539" w:rsidTr="00215B60">
        <w:trPr>
          <w:trHeight w:val="93"/>
        </w:trPr>
        <w:tc>
          <w:tcPr>
            <w:tcW w:w="4678" w:type="dxa"/>
            <w:tcBorders>
              <w:top w:val="single" w:sz="4" w:space="0" w:color="FFFFFF" w:themeColor="background1"/>
              <w:bottom w:val="single" w:sz="4" w:space="0" w:color="000000"/>
              <w:right w:val="single" w:sz="4" w:space="0" w:color="FFFFFF" w:themeColor="background1"/>
            </w:tcBorders>
            <w:shd w:val="clear" w:color="auto" w:fill="002060"/>
            <w:vAlign w:val="center"/>
          </w:tcPr>
          <w:p w14:paraId="7E9DE4DA" w14:textId="77777777" w:rsidR="00976D16" w:rsidRPr="00976D16" w:rsidRDefault="00976D16" w:rsidP="00FE4F85">
            <w:pPr>
              <w:contextualSpacing/>
              <w:rPr>
                <w:b/>
                <w:bCs/>
                <w:color w:val="FFFFFF" w:themeColor="background1"/>
                <w:sz w:val="20"/>
                <w:szCs w:val="20"/>
              </w:rPr>
            </w:pPr>
          </w:p>
        </w:tc>
        <w:tc>
          <w:tcPr>
            <w:tcW w:w="851"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2060"/>
          </w:tcPr>
          <w:p w14:paraId="7A5E069F" w14:textId="0E0735DA" w:rsidR="00976D16" w:rsidRPr="00976D16" w:rsidRDefault="00976D16" w:rsidP="00FE4F85">
            <w:pPr>
              <w:contextualSpacing/>
              <w:jc w:val="center"/>
              <w:rPr>
                <w:rFonts w:cstheme="minorHAnsi"/>
                <w:b/>
                <w:color w:val="FFFFFF" w:themeColor="background1"/>
                <w:sz w:val="20"/>
                <w:szCs w:val="20"/>
              </w:rPr>
            </w:pPr>
            <w:r>
              <w:rPr>
                <w:rFonts w:cstheme="minorHAnsi"/>
                <w:b/>
                <w:color w:val="FFFFFF" w:themeColor="background1"/>
                <w:sz w:val="20"/>
                <w:szCs w:val="20"/>
              </w:rPr>
              <w:t>Valsts kods</w:t>
            </w:r>
          </w:p>
        </w:tc>
        <w:tc>
          <w:tcPr>
            <w:tcW w:w="992"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002060"/>
            <w:vAlign w:val="center"/>
          </w:tcPr>
          <w:p w14:paraId="0A617536" w14:textId="4475E84F" w:rsidR="00976D16" w:rsidRPr="00976D16" w:rsidRDefault="00976D16" w:rsidP="00FE4F85">
            <w:pPr>
              <w:contextualSpacing/>
              <w:jc w:val="center"/>
              <w:rPr>
                <w:b/>
                <w:bCs/>
                <w:color w:val="FFFFFF" w:themeColor="background1"/>
                <w:sz w:val="20"/>
                <w:szCs w:val="20"/>
              </w:rPr>
            </w:pPr>
            <w:r w:rsidRPr="00976D16">
              <w:rPr>
                <w:rFonts w:cstheme="minorHAnsi"/>
                <w:b/>
                <w:color w:val="FFFFFF" w:themeColor="background1"/>
                <w:sz w:val="20"/>
                <w:szCs w:val="20"/>
              </w:rPr>
              <w:t>2024</w:t>
            </w:r>
          </w:p>
        </w:tc>
        <w:tc>
          <w:tcPr>
            <w:tcW w:w="850"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002060"/>
            <w:vAlign w:val="center"/>
          </w:tcPr>
          <w:p w14:paraId="57DA4F63" w14:textId="77777777" w:rsidR="00976D16" w:rsidRPr="00976D16" w:rsidRDefault="00976D16" w:rsidP="00FE4F85">
            <w:pPr>
              <w:contextualSpacing/>
              <w:jc w:val="center"/>
              <w:rPr>
                <w:b/>
                <w:bCs/>
                <w:color w:val="FFFFFF" w:themeColor="background1"/>
                <w:sz w:val="20"/>
                <w:szCs w:val="20"/>
              </w:rPr>
            </w:pPr>
            <w:r w:rsidRPr="00976D16">
              <w:rPr>
                <w:rFonts w:cstheme="minorHAnsi"/>
                <w:b/>
                <w:color w:val="FFFFFF" w:themeColor="background1"/>
                <w:sz w:val="20"/>
                <w:szCs w:val="20"/>
              </w:rPr>
              <w:t>2025</w:t>
            </w:r>
          </w:p>
        </w:tc>
        <w:tc>
          <w:tcPr>
            <w:tcW w:w="85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002060"/>
            <w:vAlign w:val="center"/>
          </w:tcPr>
          <w:p w14:paraId="6D2480B3" w14:textId="77777777" w:rsidR="00976D16" w:rsidRPr="00976D16" w:rsidRDefault="00976D16" w:rsidP="00FE4F85">
            <w:pPr>
              <w:contextualSpacing/>
              <w:jc w:val="center"/>
              <w:rPr>
                <w:b/>
                <w:bCs/>
                <w:color w:val="FFFFFF" w:themeColor="background1"/>
                <w:sz w:val="20"/>
                <w:szCs w:val="20"/>
              </w:rPr>
            </w:pPr>
            <w:r w:rsidRPr="00976D16">
              <w:rPr>
                <w:rFonts w:cstheme="minorHAnsi"/>
                <w:b/>
                <w:color w:val="FFFFFF" w:themeColor="background1"/>
                <w:sz w:val="20"/>
                <w:szCs w:val="20"/>
              </w:rPr>
              <w:t>2026</w:t>
            </w:r>
          </w:p>
        </w:tc>
        <w:tc>
          <w:tcPr>
            <w:tcW w:w="850" w:type="dxa"/>
            <w:tcBorders>
              <w:top w:val="single" w:sz="4" w:space="0" w:color="FFFFFF" w:themeColor="background1"/>
              <w:left w:val="single" w:sz="4" w:space="0" w:color="FFFFFF" w:themeColor="background1"/>
              <w:right w:val="single" w:sz="4" w:space="0" w:color="FFFFFF" w:themeColor="background1"/>
            </w:tcBorders>
            <w:shd w:val="clear" w:color="auto" w:fill="002060"/>
            <w:vAlign w:val="center"/>
          </w:tcPr>
          <w:p w14:paraId="3D3DFEE8" w14:textId="30F455E0" w:rsidR="00976D16" w:rsidRPr="00976D16" w:rsidRDefault="00976D16" w:rsidP="00976D16">
            <w:pPr>
              <w:contextualSpacing/>
              <w:jc w:val="center"/>
              <w:rPr>
                <w:rFonts w:cstheme="minorHAnsi"/>
                <w:b/>
                <w:color w:val="FFFFFF" w:themeColor="background1"/>
                <w:sz w:val="20"/>
                <w:szCs w:val="20"/>
              </w:rPr>
            </w:pPr>
            <w:r w:rsidRPr="00976D16">
              <w:rPr>
                <w:rFonts w:cstheme="minorHAnsi"/>
                <w:b/>
                <w:color w:val="FFFFFF" w:themeColor="background1"/>
                <w:sz w:val="20"/>
                <w:szCs w:val="20"/>
              </w:rPr>
              <w:t>2027</w:t>
            </w:r>
          </w:p>
        </w:tc>
      </w:tr>
      <w:tr w:rsidR="009A77B1" w:rsidRPr="00FE35AA" w14:paraId="3902BBE1" w14:textId="77777777" w:rsidTr="00317EFA">
        <w:trPr>
          <w:trHeight w:val="212"/>
        </w:trPr>
        <w:tc>
          <w:tcPr>
            <w:tcW w:w="4678" w:type="dxa"/>
            <w:vMerge w:val="restart"/>
            <w:tcBorders>
              <w:top w:val="single" w:sz="4" w:space="0" w:color="000000"/>
            </w:tcBorders>
            <w:shd w:val="clear" w:color="auto" w:fill="auto"/>
            <w:vAlign w:val="center"/>
          </w:tcPr>
          <w:p w14:paraId="3126A214" w14:textId="33BF54E6" w:rsidR="009A77B1" w:rsidRDefault="009A77B1" w:rsidP="009A77B1">
            <w:pPr>
              <w:contextualSpacing/>
              <w:rPr>
                <w:b/>
                <w:bCs/>
                <w:sz w:val="20"/>
                <w:szCs w:val="20"/>
              </w:rPr>
            </w:pPr>
            <w:r w:rsidRPr="00976D16">
              <w:rPr>
                <w:b/>
                <w:bCs/>
                <w:sz w:val="20"/>
                <w:szCs w:val="20"/>
              </w:rPr>
              <w:t xml:space="preserve">Alus (par katru absolūtā spirta tilpumprocentu), </w:t>
            </w:r>
            <w:r w:rsidRPr="00976D16">
              <w:rPr>
                <w:i/>
                <w:iCs/>
                <w:sz w:val="20"/>
                <w:szCs w:val="20"/>
              </w:rPr>
              <w:t>euro par 100 litriem</w:t>
            </w:r>
          </w:p>
        </w:tc>
        <w:tc>
          <w:tcPr>
            <w:tcW w:w="851" w:type="dxa"/>
            <w:tcBorders>
              <w:top w:val="single" w:sz="4" w:space="0" w:color="000000"/>
              <w:bottom w:val="single" w:sz="4" w:space="0" w:color="808080" w:themeColor="background1" w:themeShade="80"/>
            </w:tcBorders>
            <w:shd w:val="clear" w:color="auto" w:fill="FFF2CC" w:themeFill="accent4" w:themeFillTint="33"/>
          </w:tcPr>
          <w:p w14:paraId="3224B401" w14:textId="5277E6A8" w:rsidR="009A77B1" w:rsidRPr="00215B60" w:rsidRDefault="009A77B1" w:rsidP="009A77B1">
            <w:pPr>
              <w:contextualSpacing/>
              <w:jc w:val="center"/>
              <w:rPr>
                <w:b/>
                <w:bCs/>
                <w:color w:val="C00000"/>
                <w:sz w:val="20"/>
                <w:szCs w:val="20"/>
              </w:rPr>
            </w:pPr>
            <w:r w:rsidRPr="00215B60">
              <w:rPr>
                <w:b/>
                <w:bCs/>
                <w:color w:val="C00000"/>
                <w:sz w:val="20"/>
                <w:szCs w:val="20"/>
              </w:rPr>
              <w:t>LV</w:t>
            </w:r>
          </w:p>
        </w:tc>
        <w:tc>
          <w:tcPr>
            <w:tcW w:w="992" w:type="dxa"/>
            <w:tcBorders>
              <w:top w:val="single" w:sz="4" w:space="0" w:color="000000"/>
              <w:bottom w:val="single" w:sz="4" w:space="0" w:color="808080" w:themeColor="background1" w:themeShade="80"/>
            </w:tcBorders>
            <w:shd w:val="clear" w:color="auto" w:fill="FFF2CC" w:themeFill="accent4" w:themeFillTint="33"/>
            <w:vAlign w:val="bottom"/>
          </w:tcPr>
          <w:p w14:paraId="451A62EE" w14:textId="16A497EE" w:rsidR="009A77B1" w:rsidRPr="009A77B1" w:rsidRDefault="009A77B1" w:rsidP="009A77B1">
            <w:pPr>
              <w:contextualSpacing/>
              <w:jc w:val="center"/>
              <w:rPr>
                <w:rFonts w:eastAsia="Times New Roman" w:cs="Times New Roman"/>
                <w:b/>
                <w:bCs/>
                <w:color w:val="C00000"/>
                <w:sz w:val="20"/>
                <w:szCs w:val="20"/>
                <w:lang w:eastAsia="lv-LV"/>
              </w:rPr>
            </w:pPr>
            <w:r w:rsidRPr="009A77B1">
              <w:rPr>
                <w:rFonts w:cs="Times New Roman"/>
                <w:b/>
                <w:bCs/>
                <w:color w:val="C00000"/>
                <w:sz w:val="20"/>
                <w:szCs w:val="20"/>
              </w:rPr>
              <w:t>9</w:t>
            </w:r>
            <w:r w:rsidR="0033499C">
              <w:rPr>
                <w:rFonts w:cs="Times New Roman"/>
                <w:b/>
                <w:bCs/>
                <w:color w:val="C00000"/>
                <w:sz w:val="20"/>
                <w:szCs w:val="20"/>
              </w:rPr>
              <w:t>,0</w:t>
            </w:r>
          </w:p>
        </w:tc>
        <w:tc>
          <w:tcPr>
            <w:tcW w:w="850" w:type="dxa"/>
            <w:tcBorders>
              <w:top w:val="single" w:sz="4" w:space="0" w:color="000000"/>
              <w:bottom w:val="single" w:sz="4" w:space="0" w:color="808080" w:themeColor="background1" w:themeShade="80"/>
            </w:tcBorders>
            <w:shd w:val="clear" w:color="auto" w:fill="FFF2CC" w:themeFill="accent4" w:themeFillTint="33"/>
            <w:vAlign w:val="bottom"/>
          </w:tcPr>
          <w:p w14:paraId="205212C3" w14:textId="0E966F66" w:rsidR="009A77B1" w:rsidRPr="009A77B1" w:rsidRDefault="009A77B1" w:rsidP="009A77B1">
            <w:pPr>
              <w:contextualSpacing/>
              <w:jc w:val="center"/>
              <w:rPr>
                <w:rFonts w:eastAsia="Times New Roman" w:cs="Times New Roman"/>
                <w:b/>
                <w:bCs/>
                <w:color w:val="C00000"/>
                <w:sz w:val="20"/>
                <w:szCs w:val="20"/>
                <w:lang w:eastAsia="lv-LV"/>
              </w:rPr>
            </w:pPr>
            <w:r w:rsidRPr="009A77B1">
              <w:rPr>
                <w:rFonts w:cs="Times New Roman"/>
                <w:b/>
                <w:bCs/>
                <w:color w:val="C00000"/>
                <w:sz w:val="20"/>
                <w:szCs w:val="20"/>
              </w:rPr>
              <w:t>9,8</w:t>
            </w:r>
          </w:p>
        </w:tc>
        <w:tc>
          <w:tcPr>
            <w:tcW w:w="851" w:type="dxa"/>
            <w:tcBorders>
              <w:top w:val="single" w:sz="4" w:space="0" w:color="000000"/>
              <w:bottom w:val="single" w:sz="4" w:space="0" w:color="808080" w:themeColor="background1" w:themeShade="80"/>
            </w:tcBorders>
            <w:shd w:val="clear" w:color="auto" w:fill="FFF2CC" w:themeFill="accent4" w:themeFillTint="33"/>
            <w:vAlign w:val="bottom"/>
          </w:tcPr>
          <w:p w14:paraId="07A69590" w14:textId="3C3C6735" w:rsidR="009A77B1" w:rsidRPr="009A77B1" w:rsidRDefault="009A77B1" w:rsidP="009A77B1">
            <w:pPr>
              <w:contextualSpacing/>
              <w:jc w:val="center"/>
              <w:rPr>
                <w:rFonts w:eastAsia="Times New Roman" w:cs="Times New Roman"/>
                <w:b/>
                <w:bCs/>
                <w:color w:val="C00000"/>
                <w:sz w:val="20"/>
                <w:szCs w:val="20"/>
                <w:lang w:eastAsia="lv-LV"/>
              </w:rPr>
            </w:pPr>
            <w:r w:rsidRPr="009A77B1">
              <w:rPr>
                <w:rFonts w:cs="Times New Roman"/>
                <w:b/>
                <w:bCs/>
                <w:color w:val="C00000"/>
                <w:sz w:val="20"/>
                <w:szCs w:val="20"/>
              </w:rPr>
              <w:t>10,8</w:t>
            </w:r>
          </w:p>
        </w:tc>
        <w:tc>
          <w:tcPr>
            <w:tcW w:w="850" w:type="dxa"/>
            <w:tcBorders>
              <w:bottom w:val="single" w:sz="4" w:space="0" w:color="808080" w:themeColor="background1" w:themeShade="80"/>
            </w:tcBorders>
            <w:shd w:val="clear" w:color="auto" w:fill="FFF2CC" w:themeFill="accent4" w:themeFillTint="33"/>
            <w:vAlign w:val="bottom"/>
          </w:tcPr>
          <w:p w14:paraId="1CC47D2C" w14:textId="74503D35" w:rsidR="009A77B1" w:rsidRPr="009A77B1" w:rsidRDefault="009A77B1" w:rsidP="009A77B1">
            <w:pPr>
              <w:contextualSpacing/>
              <w:jc w:val="center"/>
              <w:rPr>
                <w:rFonts w:eastAsia="Times New Roman" w:cs="Times New Roman"/>
                <w:b/>
                <w:bCs/>
                <w:color w:val="FF0000"/>
                <w:sz w:val="20"/>
                <w:szCs w:val="20"/>
                <w:lang w:eastAsia="lv-LV"/>
              </w:rPr>
            </w:pPr>
            <w:r w:rsidRPr="009A77B1">
              <w:rPr>
                <w:rFonts w:cs="Times New Roman"/>
                <w:b/>
                <w:bCs/>
                <w:color w:val="FF0000"/>
                <w:sz w:val="20"/>
                <w:szCs w:val="20"/>
              </w:rPr>
              <w:t>11,3</w:t>
            </w:r>
          </w:p>
        </w:tc>
      </w:tr>
      <w:tr w:rsidR="009A77B1" w:rsidRPr="00FE35AA" w14:paraId="04E9447A" w14:textId="77777777" w:rsidTr="00317EFA">
        <w:trPr>
          <w:trHeight w:val="212"/>
        </w:trPr>
        <w:tc>
          <w:tcPr>
            <w:tcW w:w="4678" w:type="dxa"/>
            <w:vMerge/>
            <w:shd w:val="clear" w:color="auto" w:fill="auto"/>
            <w:vAlign w:val="center"/>
          </w:tcPr>
          <w:p w14:paraId="38EE77BD" w14:textId="77777777" w:rsidR="009A77B1" w:rsidRDefault="009A77B1" w:rsidP="009A77B1">
            <w:pPr>
              <w:contextualSpacing/>
              <w:rPr>
                <w:b/>
                <w:bCs/>
                <w:sz w:val="20"/>
                <w:szCs w:val="20"/>
              </w:rPr>
            </w:pPr>
          </w:p>
        </w:tc>
        <w:tc>
          <w:tcPr>
            <w:tcW w:w="851" w:type="dxa"/>
            <w:tcBorders>
              <w:top w:val="single" w:sz="4" w:space="0" w:color="808080" w:themeColor="background1" w:themeShade="80"/>
              <w:bottom w:val="single" w:sz="4" w:space="0" w:color="808080" w:themeColor="background1" w:themeShade="80"/>
            </w:tcBorders>
          </w:tcPr>
          <w:p w14:paraId="2F744EB3" w14:textId="5CD89C5D" w:rsidR="009A77B1" w:rsidRPr="00504A02" w:rsidRDefault="009A77B1" w:rsidP="009A77B1">
            <w:pPr>
              <w:contextualSpacing/>
              <w:jc w:val="center"/>
              <w:rPr>
                <w:color w:val="C00000"/>
                <w:sz w:val="20"/>
                <w:szCs w:val="20"/>
              </w:rPr>
            </w:pPr>
            <w:r w:rsidRPr="00504A02">
              <w:rPr>
                <w:color w:val="00B050"/>
                <w:sz w:val="20"/>
                <w:szCs w:val="20"/>
              </w:rPr>
              <w:t>LT</w:t>
            </w:r>
          </w:p>
        </w:tc>
        <w:tc>
          <w:tcPr>
            <w:tcW w:w="992" w:type="dxa"/>
            <w:tcBorders>
              <w:top w:val="single" w:sz="4" w:space="0" w:color="808080" w:themeColor="background1" w:themeShade="80"/>
              <w:bottom w:val="single" w:sz="4" w:space="0" w:color="808080" w:themeColor="background1" w:themeShade="80"/>
            </w:tcBorders>
            <w:shd w:val="clear" w:color="auto" w:fill="FFFFFF" w:themeFill="background1"/>
            <w:vAlign w:val="bottom"/>
          </w:tcPr>
          <w:p w14:paraId="1BFBF5FB" w14:textId="196BEB0D" w:rsidR="009A77B1" w:rsidRPr="00504A02" w:rsidRDefault="009A77B1" w:rsidP="009A77B1">
            <w:pPr>
              <w:contextualSpacing/>
              <w:jc w:val="center"/>
              <w:rPr>
                <w:rFonts w:eastAsia="Times New Roman" w:cs="Times New Roman"/>
                <w:color w:val="00B050"/>
                <w:sz w:val="20"/>
                <w:szCs w:val="20"/>
                <w:lang w:eastAsia="lv-LV"/>
              </w:rPr>
            </w:pPr>
            <w:r w:rsidRPr="00504A02">
              <w:rPr>
                <w:rFonts w:cs="Times New Roman"/>
                <w:color w:val="00B050"/>
                <w:sz w:val="20"/>
                <w:szCs w:val="20"/>
              </w:rPr>
              <w:t>9,46</w:t>
            </w:r>
          </w:p>
        </w:tc>
        <w:tc>
          <w:tcPr>
            <w:tcW w:w="850" w:type="dxa"/>
            <w:tcBorders>
              <w:top w:val="single" w:sz="4" w:space="0" w:color="808080" w:themeColor="background1" w:themeShade="80"/>
              <w:bottom w:val="single" w:sz="4" w:space="0" w:color="808080" w:themeColor="background1" w:themeShade="80"/>
            </w:tcBorders>
            <w:vAlign w:val="bottom"/>
          </w:tcPr>
          <w:p w14:paraId="2C186691" w14:textId="5C251981" w:rsidR="009A77B1" w:rsidRPr="00504A02" w:rsidRDefault="009A77B1" w:rsidP="009A77B1">
            <w:pPr>
              <w:contextualSpacing/>
              <w:jc w:val="center"/>
              <w:rPr>
                <w:rFonts w:eastAsia="Times New Roman" w:cs="Times New Roman"/>
                <w:color w:val="00B050"/>
                <w:sz w:val="20"/>
                <w:szCs w:val="20"/>
                <w:lang w:eastAsia="lv-LV"/>
              </w:rPr>
            </w:pPr>
            <w:r w:rsidRPr="00504A02">
              <w:rPr>
                <w:rFonts w:cs="Times New Roman"/>
                <w:color w:val="00B050"/>
                <w:sz w:val="20"/>
                <w:szCs w:val="20"/>
              </w:rPr>
              <w:t>10,97</w:t>
            </w:r>
          </w:p>
        </w:tc>
        <w:tc>
          <w:tcPr>
            <w:tcW w:w="851" w:type="dxa"/>
            <w:tcBorders>
              <w:top w:val="single" w:sz="4" w:space="0" w:color="808080" w:themeColor="background1" w:themeShade="80"/>
              <w:bottom w:val="single" w:sz="4" w:space="0" w:color="808080" w:themeColor="background1" w:themeShade="80"/>
            </w:tcBorders>
            <w:vAlign w:val="bottom"/>
          </w:tcPr>
          <w:p w14:paraId="3F238DFC" w14:textId="16504428" w:rsidR="009A77B1" w:rsidRPr="00504A02" w:rsidRDefault="009A77B1" w:rsidP="009A77B1">
            <w:pPr>
              <w:contextualSpacing/>
              <w:jc w:val="center"/>
              <w:rPr>
                <w:rFonts w:eastAsia="Times New Roman" w:cs="Times New Roman"/>
                <w:color w:val="00B050"/>
                <w:sz w:val="20"/>
                <w:szCs w:val="20"/>
                <w:lang w:eastAsia="lv-LV"/>
              </w:rPr>
            </w:pPr>
            <w:r w:rsidRPr="00504A02">
              <w:rPr>
                <w:rFonts w:cs="Times New Roman"/>
                <w:color w:val="00B050"/>
                <w:sz w:val="20"/>
                <w:szCs w:val="20"/>
              </w:rPr>
              <w:t>12,74</w:t>
            </w:r>
          </w:p>
        </w:tc>
        <w:tc>
          <w:tcPr>
            <w:tcW w:w="850" w:type="dxa"/>
            <w:tcBorders>
              <w:top w:val="single" w:sz="4" w:space="0" w:color="808080" w:themeColor="background1" w:themeShade="80"/>
              <w:bottom w:val="single" w:sz="4" w:space="0" w:color="808080" w:themeColor="background1" w:themeShade="80"/>
            </w:tcBorders>
            <w:shd w:val="clear" w:color="auto" w:fill="FFFFFF" w:themeFill="background1"/>
            <w:vAlign w:val="bottom"/>
          </w:tcPr>
          <w:p w14:paraId="520AD70F" w14:textId="2053614A" w:rsidR="009A77B1" w:rsidRPr="00504A02" w:rsidRDefault="009A77B1" w:rsidP="009A77B1">
            <w:pPr>
              <w:contextualSpacing/>
              <w:jc w:val="center"/>
              <w:rPr>
                <w:rFonts w:eastAsia="Times New Roman" w:cs="Times New Roman"/>
                <w:color w:val="00B050"/>
                <w:sz w:val="20"/>
                <w:szCs w:val="20"/>
                <w:lang w:eastAsia="lv-LV"/>
              </w:rPr>
            </w:pPr>
            <w:r w:rsidRPr="00504A02">
              <w:rPr>
                <w:rFonts w:cs="Times New Roman"/>
                <w:color w:val="00B050"/>
                <w:sz w:val="20"/>
                <w:szCs w:val="20"/>
              </w:rPr>
              <w:t>14,85</w:t>
            </w:r>
          </w:p>
        </w:tc>
      </w:tr>
      <w:tr w:rsidR="009A77B1" w:rsidRPr="00FE35AA" w14:paraId="7AB49EC1" w14:textId="77777777" w:rsidTr="00317EFA">
        <w:trPr>
          <w:trHeight w:val="212"/>
        </w:trPr>
        <w:tc>
          <w:tcPr>
            <w:tcW w:w="4678" w:type="dxa"/>
            <w:vMerge/>
            <w:shd w:val="clear" w:color="auto" w:fill="auto"/>
            <w:vAlign w:val="center"/>
          </w:tcPr>
          <w:p w14:paraId="03F4B0A0" w14:textId="77777777" w:rsidR="009A77B1" w:rsidRDefault="009A77B1" w:rsidP="009A77B1">
            <w:pPr>
              <w:contextualSpacing/>
              <w:rPr>
                <w:b/>
                <w:bCs/>
                <w:sz w:val="20"/>
                <w:szCs w:val="20"/>
              </w:rPr>
            </w:pPr>
          </w:p>
        </w:tc>
        <w:tc>
          <w:tcPr>
            <w:tcW w:w="851" w:type="dxa"/>
            <w:tcBorders>
              <w:top w:val="single" w:sz="4" w:space="0" w:color="808080" w:themeColor="background1" w:themeShade="80"/>
              <w:bottom w:val="single" w:sz="4" w:space="0" w:color="808080" w:themeColor="background1" w:themeShade="80"/>
            </w:tcBorders>
          </w:tcPr>
          <w:p w14:paraId="5D28955B" w14:textId="7CF373BF" w:rsidR="009A77B1" w:rsidRPr="00504A02" w:rsidRDefault="009A77B1" w:rsidP="009A77B1">
            <w:pPr>
              <w:contextualSpacing/>
              <w:jc w:val="center"/>
              <w:rPr>
                <w:color w:val="C00000"/>
                <w:sz w:val="20"/>
                <w:szCs w:val="20"/>
              </w:rPr>
            </w:pPr>
            <w:r w:rsidRPr="00504A02">
              <w:rPr>
                <w:color w:val="0070C0"/>
                <w:sz w:val="20"/>
                <w:szCs w:val="20"/>
              </w:rPr>
              <w:t>EE</w:t>
            </w:r>
          </w:p>
        </w:tc>
        <w:tc>
          <w:tcPr>
            <w:tcW w:w="992" w:type="dxa"/>
            <w:tcBorders>
              <w:top w:val="single" w:sz="4" w:space="0" w:color="808080" w:themeColor="background1" w:themeShade="80"/>
              <w:bottom w:val="single" w:sz="4" w:space="0" w:color="808080" w:themeColor="background1" w:themeShade="80"/>
            </w:tcBorders>
            <w:shd w:val="clear" w:color="auto" w:fill="FFFFFF" w:themeFill="background1"/>
            <w:vAlign w:val="bottom"/>
          </w:tcPr>
          <w:p w14:paraId="78F6BCD7" w14:textId="7F834E91" w:rsidR="009A77B1" w:rsidRPr="00504A02" w:rsidRDefault="009A77B1" w:rsidP="009A77B1">
            <w:pPr>
              <w:contextualSpacing/>
              <w:jc w:val="center"/>
              <w:rPr>
                <w:rFonts w:eastAsia="Times New Roman" w:cs="Times New Roman"/>
                <w:color w:val="0070C0"/>
                <w:sz w:val="20"/>
                <w:szCs w:val="20"/>
                <w:lang w:eastAsia="lv-LV"/>
              </w:rPr>
            </w:pPr>
            <w:r w:rsidRPr="00504A02">
              <w:rPr>
                <w:rFonts w:cs="Times New Roman"/>
                <w:color w:val="0070C0"/>
                <w:sz w:val="20"/>
                <w:szCs w:val="20"/>
              </w:rPr>
              <w:t>13,34</w:t>
            </w:r>
          </w:p>
        </w:tc>
        <w:tc>
          <w:tcPr>
            <w:tcW w:w="850" w:type="dxa"/>
            <w:tcBorders>
              <w:top w:val="single" w:sz="4" w:space="0" w:color="808080" w:themeColor="background1" w:themeShade="80"/>
              <w:bottom w:val="single" w:sz="4" w:space="0" w:color="808080" w:themeColor="background1" w:themeShade="80"/>
            </w:tcBorders>
            <w:vAlign w:val="bottom"/>
          </w:tcPr>
          <w:p w14:paraId="2CB77CD1" w14:textId="351DAD34" w:rsidR="009A77B1" w:rsidRPr="00504A02" w:rsidRDefault="009A77B1" w:rsidP="009A77B1">
            <w:pPr>
              <w:contextualSpacing/>
              <w:jc w:val="center"/>
              <w:rPr>
                <w:rFonts w:eastAsia="Times New Roman" w:cs="Times New Roman"/>
                <w:color w:val="0070C0"/>
                <w:sz w:val="20"/>
                <w:szCs w:val="20"/>
                <w:lang w:eastAsia="lv-LV"/>
              </w:rPr>
            </w:pPr>
            <w:r w:rsidRPr="00504A02">
              <w:rPr>
                <w:rFonts w:cs="Times New Roman"/>
                <w:color w:val="0070C0"/>
                <w:sz w:val="20"/>
                <w:szCs w:val="20"/>
              </w:rPr>
              <w:t>14,0</w:t>
            </w:r>
          </w:p>
        </w:tc>
        <w:tc>
          <w:tcPr>
            <w:tcW w:w="851" w:type="dxa"/>
            <w:tcBorders>
              <w:top w:val="single" w:sz="4" w:space="0" w:color="808080" w:themeColor="background1" w:themeShade="80"/>
              <w:bottom w:val="single" w:sz="4" w:space="0" w:color="808080" w:themeColor="background1" w:themeShade="80"/>
            </w:tcBorders>
            <w:vAlign w:val="bottom"/>
          </w:tcPr>
          <w:p w14:paraId="163C2962" w14:textId="20C80968" w:rsidR="009A77B1" w:rsidRPr="00504A02" w:rsidRDefault="009A77B1" w:rsidP="009A77B1">
            <w:pPr>
              <w:contextualSpacing/>
              <w:jc w:val="center"/>
              <w:rPr>
                <w:rFonts w:eastAsia="Times New Roman" w:cs="Times New Roman"/>
                <w:color w:val="0070C0"/>
                <w:sz w:val="20"/>
                <w:szCs w:val="20"/>
                <w:lang w:eastAsia="lv-LV"/>
              </w:rPr>
            </w:pPr>
            <w:r w:rsidRPr="00504A02">
              <w:rPr>
                <w:rFonts w:cs="Times New Roman"/>
                <w:color w:val="0070C0"/>
                <w:sz w:val="20"/>
                <w:szCs w:val="20"/>
              </w:rPr>
              <w:t>14,7</w:t>
            </w:r>
          </w:p>
        </w:tc>
        <w:tc>
          <w:tcPr>
            <w:tcW w:w="850" w:type="dxa"/>
            <w:tcBorders>
              <w:top w:val="single" w:sz="4" w:space="0" w:color="808080" w:themeColor="background1" w:themeShade="80"/>
              <w:bottom w:val="single" w:sz="4" w:space="0" w:color="808080" w:themeColor="background1" w:themeShade="80"/>
            </w:tcBorders>
            <w:shd w:val="clear" w:color="auto" w:fill="FFFFFF" w:themeFill="background1"/>
            <w:vAlign w:val="bottom"/>
          </w:tcPr>
          <w:p w14:paraId="1D0C44B5" w14:textId="45491C1B" w:rsidR="009A77B1" w:rsidRPr="00504A02" w:rsidRDefault="009A77B1" w:rsidP="009A77B1">
            <w:pPr>
              <w:contextualSpacing/>
              <w:jc w:val="center"/>
              <w:rPr>
                <w:rFonts w:eastAsia="Times New Roman" w:cs="Times New Roman"/>
                <w:color w:val="0070C0"/>
                <w:sz w:val="20"/>
                <w:szCs w:val="20"/>
                <w:lang w:eastAsia="lv-LV"/>
              </w:rPr>
            </w:pPr>
            <w:r w:rsidRPr="00504A02">
              <w:rPr>
                <w:rFonts w:cs="Times New Roman"/>
                <w:color w:val="0070C0"/>
                <w:sz w:val="20"/>
                <w:szCs w:val="20"/>
              </w:rPr>
              <w:t>14,7</w:t>
            </w:r>
          </w:p>
        </w:tc>
      </w:tr>
      <w:tr w:rsidR="006143AE" w:rsidRPr="00057801" w14:paraId="1884CDF1" w14:textId="77777777" w:rsidTr="00317EFA">
        <w:trPr>
          <w:trHeight w:val="85"/>
        </w:trPr>
        <w:tc>
          <w:tcPr>
            <w:tcW w:w="4678" w:type="dxa"/>
            <w:vMerge w:val="restart"/>
            <w:tcBorders>
              <w:top w:val="single" w:sz="4" w:space="0" w:color="000000"/>
            </w:tcBorders>
            <w:shd w:val="clear" w:color="auto" w:fill="auto"/>
            <w:vAlign w:val="center"/>
          </w:tcPr>
          <w:p w14:paraId="016307C7" w14:textId="7883F8AD" w:rsidR="006143AE" w:rsidRPr="006143AE" w:rsidRDefault="006143AE" w:rsidP="006143AE">
            <w:pPr>
              <w:spacing w:after="120"/>
              <w:rPr>
                <w:rFonts w:cs="Times New Roman"/>
                <w:i/>
                <w:iCs/>
                <w:sz w:val="20"/>
              </w:rPr>
            </w:pPr>
            <w:r>
              <w:rPr>
                <w:rFonts w:cs="Times New Roman"/>
                <w:b/>
                <w:bCs/>
                <w:sz w:val="20"/>
              </w:rPr>
              <w:t>M</w:t>
            </w:r>
            <w:r w:rsidRPr="006143AE">
              <w:rPr>
                <w:rFonts w:cs="Times New Roman"/>
                <w:b/>
                <w:bCs/>
                <w:sz w:val="20"/>
              </w:rPr>
              <w:t>inimālais apmērs</w:t>
            </w:r>
            <w:r w:rsidRPr="005D3A31">
              <w:rPr>
                <w:rFonts w:cs="Times New Roman"/>
                <w:i/>
                <w:iCs/>
                <w:sz w:val="20"/>
              </w:rPr>
              <w:t xml:space="preserve"> </w:t>
            </w:r>
            <w:r>
              <w:rPr>
                <w:rFonts w:cs="Times New Roman"/>
                <w:b/>
                <w:bCs/>
                <w:sz w:val="20"/>
              </w:rPr>
              <w:t>a</w:t>
            </w:r>
            <w:r w:rsidRPr="006143AE">
              <w:rPr>
                <w:rFonts w:cs="Times New Roman"/>
                <w:b/>
                <w:bCs/>
                <w:sz w:val="20"/>
              </w:rPr>
              <w:t>lu</w:t>
            </w:r>
            <w:r>
              <w:rPr>
                <w:rFonts w:cs="Times New Roman"/>
                <w:b/>
                <w:bCs/>
                <w:sz w:val="20"/>
              </w:rPr>
              <w:t>m,</w:t>
            </w:r>
            <w:r>
              <w:rPr>
                <w:rFonts w:cs="Times New Roman"/>
                <w:i/>
                <w:iCs/>
                <w:sz w:val="20"/>
              </w:rPr>
              <w:t xml:space="preserve"> </w:t>
            </w:r>
            <w:r w:rsidRPr="00976D16">
              <w:rPr>
                <w:i/>
                <w:iCs/>
                <w:sz w:val="20"/>
                <w:szCs w:val="20"/>
              </w:rPr>
              <w:t xml:space="preserve">euro </w:t>
            </w:r>
            <w:r w:rsidRPr="005D3A31">
              <w:rPr>
                <w:rFonts w:cs="Times New Roman"/>
                <w:i/>
                <w:iCs/>
                <w:sz w:val="20"/>
              </w:rPr>
              <w:t xml:space="preserve">par 100 litriem </w:t>
            </w:r>
          </w:p>
        </w:tc>
        <w:tc>
          <w:tcPr>
            <w:tcW w:w="851" w:type="dxa"/>
            <w:tcBorders>
              <w:top w:val="single" w:sz="4" w:space="0" w:color="000000"/>
              <w:bottom w:val="single" w:sz="4" w:space="0" w:color="808080" w:themeColor="background1" w:themeShade="80"/>
            </w:tcBorders>
            <w:shd w:val="clear" w:color="auto" w:fill="FFF2CC" w:themeFill="accent4" w:themeFillTint="33"/>
          </w:tcPr>
          <w:p w14:paraId="4F2E05D4" w14:textId="35A80172" w:rsidR="006143AE" w:rsidRPr="00215B60" w:rsidRDefault="006143AE" w:rsidP="006143AE">
            <w:pPr>
              <w:contextualSpacing/>
              <w:jc w:val="center"/>
              <w:rPr>
                <w:b/>
                <w:bCs/>
                <w:color w:val="C00000"/>
                <w:sz w:val="20"/>
                <w:szCs w:val="20"/>
              </w:rPr>
            </w:pPr>
            <w:r w:rsidRPr="00215B60">
              <w:rPr>
                <w:b/>
                <w:bCs/>
                <w:color w:val="C00000"/>
                <w:sz w:val="20"/>
                <w:szCs w:val="20"/>
              </w:rPr>
              <w:t>LV</w:t>
            </w:r>
          </w:p>
        </w:tc>
        <w:tc>
          <w:tcPr>
            <w:tcW w:w="992" w:type="dxa"/>
            <w:tcBorders>
              <w:top w:val="single" w:sz="4" w:space="0" w:color="000000"/>
              <w:bottom w:val="single" w:sz="4" w:space="0" w:color="808080" w:themeColor="background1" w:themeShade="80"/>
            </w:tcBorders>
            <w:shd w:val="clear" w:color="auto" w:fill="FFF2CC" w:themeFill="accent4" w:themeFillTint="33"/>
            <w:vAlign w:val="bottom"/>
          </w:tcPr>
          <w:p w14:paraId="33A27A1F" w14:textId="78711402" w:rsidR="006143AE" w:rsidRPr="006143AE" w:rsidRDefault="006143AE" w:rsidP="006143AE">
            <w:pPr>
              <w:contextualSpacing/>
              <w:jc w:val="center"/>
              <w:rPr>
                <w:rFonts w:eastAsia="Times New Roman" w:cs="Times New Roman"/>
                <w:b/>
                <w:bCs/>
                <w:color w:val="C00000"/>
                <w:sz w:val="20"/>
                <w:szCs w:val="20"/>
                <w:lang w:eastAsia="lv-LV"/>
              </w:rPr>
            </w:pPr>
            <w:r w:rsidRPr="006143AE">
              <w:rPr>
                <w:rFonts w:cs="Times New Roman"/>
                <w:b/>
                <w:bCs/>
                <w:color w:val="C00000"/>
                <w:sz w:val="20"/>
                <w:szCs w:val="20"/>
              </w:rPr>
              <w:t>16,7</w:t>
            </w:r>
          </w:p>
        </w:tc>
        <w:tc>
          <w:tcPr>
            <w:tcW w:w="850" w:type="dxa"/>
            <w:tcBorders>
              <w:top w:val="single" w:sz="4" w:space="0" w:color="000000"/>
              <w:bottom w:val="single" w:sz="4" w:space="0" w:color="808080" w:themeColor="background1" w:themeShade="80"/>
            </w:tcBorders>
            <w:shd w:val="clear" w:color="auto" w:fill="FFF2CC" w:themeFill="accent4" w:themeFillTint="33"/>
            <w:vAlign w:val="bottom"/>
          </w:tcPr>
          <w:p w14:paraId="7B33CFF9" w14:textId="2519780E" w:rsidR="006143AE" w:rsidRPr="006143AE" w:rsidRDefault="006143AE" w:rsidP="006143AE">
            <w:pPr>
              <w:contextualSpacing/>
              <w:jc w:val="center"/>
              <w:rPr>
                <w:rFonts w:eastAsia="Times New Roman" w:cs="Times New Roman"/>
                <w:b/>
                <w:bCs/>
                <w:color w:val="C00000"/>
                <w:sz w:val="20"/>
                <w:szCs w:val="20"/>
                <w:lang w:eastAsia="lv-LV"/>
              </w:rPr>
            </w:pPr>
            <w:r w:rsidRPr="006143AE">
              <w:rPr>
                <w:rFonts w:cs="Times New Roman"/>
                <w:b/>
                <w:bCs/>
                <w:color w:val="C00000"/>
                <w:sz w:val="20"/>
                <w:szCs w:val="20"/>
              </w:rPr>
              <w:t>18,1</w:t>
            </w:r>
          </w:p>
        </w:tc>
        <w:tc>
          <w:tcPr>
            <w:tcW w:w="851" w:type="dxa"/>
            <w:tcBorders>
              <w:top w:val="single" w:sz="4" w:space="0" w:color="000000"/>
              <w:bottom w:val="single" w:sz="4" w:space="0" w:color="808080" w:themeColor="background1" w:themeShade="80"/>
            </w:tcBorders>
            <w:shd w:val="clear" w:color="auto" w:fill="FFF2CC" w:themeFill="accent4" w:themeFillTint="33"/>
            <w:vAlign w:val="bottom"/>
          </w:tcPr>
          <w:p w14:paraId="0DBE860F" w14:textId="5D1F7724" w:rsidR="006143AE" w:rsidRPr="006143AE" w:rsidRDefault="006143AE" w:rsidP="006143AE">
            <w:pPr>
              <w:contextualSpacing/>
              <w:jc w:val="center"/>
              <w:rPr>
                <w:rFonts w:eastAsia="Times New Roman" w:cs="Times New Roman"/>
                <w:b/>
                <w:bCs/>
                <w:color w:val="C00000"/>
                <w:sz w:val="20"/>
                <w:szCs w:val="20"/>
                <w:lang w:eastAsia="lv-LV"/>
              </w:rPr>
            </w:pPr>
            <w:r w:rsidRPr="006143AE">
              <w:rPr>
                <w:rFonts w:cs="Times New Roman"/>
                <w:b/>
                <w:bCs/>
                <w:color w:val="C00000"/>
                <w:sz w:val="20"/>
                <w:szCs w:val="20"/>
              </w:rPr>
              <w:t>20</w:t>
            </w:r>
          </w:p>
        </w:tc>
        <w:tc>
          <w:tcPr>
            <w:tcW w:w="850" w:type="dxa"/>
            <w:tcBorders>
              <w:bottom w:val="single" w:sz="4" w:space="0" w:color="808080" w:themeColor="background1" w:themeShade="80"/>
            </w:tcBorders>
            <w:shd w:val="clear" w:color="auto" w:fill="FFF2CC" w:themeFill="accent4" w:themeFillTint="33"/>
            <w:vAlign w:val="bottom"/>
          </w:tcPr>
          <w:p w14:paraId="6129B800" w14:textId="1B2A99EA" w:rsidR="006143AE" w:rsidRPr="006143AE" w:rsidRDefault="006143AE" w:rsidP="006143AE">
            <w:pPr>
              <w:jc w:val="center"/>
              <w:rPr>
                <w:rFonts w:eastAsia="Times New Roman" w:cs="Times New Roman"/>
                <w:b/>
                <w:bCs/>
                <w:color w:val="FF0000"/>
                <w:sz w:val="20"/>
                <w:szCs w:val="20"/>
                <w:lang w:eastAsia="lv-LV"/>
              </w:rPr>
            </w:pPr>
            <w:r w:rsidRPr="006143AE">
              <w:rPr>
                <w:rFonts w:cs="Times New Roman"/>
                <w:b/>
                <w:bCs/>
                <w:color w:val="FF0000"/>
                <w:sz w:val="20"/>
                <w:szCs w:val="20"/>
              </w:rPr>
              <w:t>22,5</w:t>
            </w:r>
          </w:p>
        </w:tc>
      </w:tr>
      <w:tr w:rsidR="006143AE" w:rsidRPr="00057801" w14:paraId="0FBD254E" w14:textId="77777777" w:rsidTr="006143AE">
        <w:trPr>
          <w:trHeight w:val="85"/>
        </w:trPr>
        <w:tc>
          <w:tcPr>
            <w:tcW w:w="4678" w:type="dxa"/>
            <w:vMerge/>
            <w:shd w:val="clear" w:color="auto" w:fill="auto"/>
            <w:vAlign w:val="center"/>
          </w:tcPr>
          <w:p w14:paraId="39DD4648" w14:textId="77777777" w:rsidR="006143AE" w:rsidRPr="00976D16" w:rsidRDefault="006143AE" w:rsidP="006143AE">
            <w:pPr>
              <w:contextualSpacing/>
              <w:rPr>
                <w:b/>
                <w:bCs/>
                <w:sz w:val="20"/>
                <w:szCs w:val="20"/>
              </w:rPr>
            </w:pPr>
          </w:p>
        </w:tc>
        <w:tc>
          <w:tcPr>
            <w:tcW w:w="851" w:type="dxa"/>
            <w:tcBorders>
              <w:top w:val="single" w:sz="4" w:space="0" w:color="000000"/>
              <w:bottom w:val="single" w:sz="4" w:space="0" w:color="808080" w:themeColor="background1" w:themeShade="80"/>
            </w:tcBorders>
            <w:shd w:val="clear" w:color="auto" w:fill="auto"/>
          </w:tcPr>
          <w:p w14:paraId="78DE06AE" w14:textId="094C4C42" w:rsidR="006143AE" w:rsidRPr="00215B60" w:rsidRDefault="006143AE" w:rsidP="006143AE">
            <w:pPr>
              <w:contextualSpacing/>
              <w:jc w:val="center"/>
              <w:rPr>
                <w:b/>
                <w:bCs/>
                <w:color w:val="C00000"/>
                <w:sz w:val="20"/>
                <w:szCs w:val="20"/>
              </w:rPr>
            </w:pPr>
            <w:r w:rsidRPr="00504A02">
              <w:rPr>
                <w:color w:val="00B050"/>
                <w:sz w:val="20"/>
                <w:szCs w:val="20"/>
              </w:rPr>
              <w:t>LT</w:t>
            </w:r>
          </w:p>
        </w:tc>
        <w:tc>
          <w:tcPr>
            <w:tcW w:w="992" w:type="dxa"/>
            <w:tcBorders>
              <w:top w:val="single" w:sz="4" w:space="0" w:color="000000"/>
              <w:bottom w:val="single" w:sz="4" w:space="0" w:color="808080" w:themeColor="background1" w:themeShade="80"/>
            </w:tcBorders>
            <w:shd w:val="clear" w:color="auto" w:fill="auto"/>
            <w:vAlign w:val="bottom"/>
          </w:tcPr>
          <w:p w14:paraId="78B328D5" w14:textId="208768E9" w:rsidR="006143AE" w:rsidRPr="006143AE" w:rsidRDefault="006143AE" w:rsidP="006143AE">
            <w:pPr>
              <w:contextualSpacing/>
              <w:jc w:val="center"/>
              <w:rPr>
                <w:rFonts w:eastAsia="Times New Roman" w:cs="Times New Roman"/>
                <w:b/>
                <w:bCs/>
                <w:sz w:val="20"/>
                <w:szCs w:val="20"/>
                <w:lang w:eastAsia="lv-LV"/>
              </w:rPr>
            </w:pPr>
            <w:r w:rsidRPr="006143AE">
              <w:rPr>
                <w:rFonts w:eastAsia="Times New Roman" w:cs="Times New Roman"/>
                <w:b/>
                <w:bCs/>
                <w:sz w:val="20"/>
                <w:szCs w:val="20"/>
                <w:lang w:eastAsia="lv-LV"/>
              </w:rPr>
              <w:t>-</w:t>
            </w:r>
          </w:p>
        </w:tc>
        <w:tc>
          <w:tcPr>
            <w:tcW w:w="850" w:type="dxa"/>
            <w:tcBorders>
              <w:top w:val="single" w:sz="4" w:space="0" w:color="000000"/>
              <w:bottom w:val="single" w:sz="4" w:space="0" w:color="808080" w:themeColor="background1" w:themeShade="80"/>
            </w:tcBorders>
            <w:shd w:val="clear" w:color="auto" w:fill="auto"/>
            <w:vAlign w:val="bottom"/>
          </w:tcPr>
          <w:p w14:paraId="0C327BAD" w14:textId="0036D323" w:rsidR="006143AE" w:rsidRPr="00215B60" w:rsidRDefault="006143AE" w:rsidP="006143AE">
            <w:pPr>
              <w:contextualSpacing/>
              <w:jc w:val="center"/>
              <w:rPr>
                <w:rFonts w:eastAsia="Times New Roman" w:cs="Times New Roman"/>
                <w:b/>
                <w:bCs/>
                <w:color w:val="C00000"/>
                <w:sz w:val="20"/>
                <w:szCs w:val="20"/>
                <w:lang w:eastAsia="lv-LV"/>
              </w:rPr>
            </w:pPr>
            <w:r w:rsidRPr="006143AE">
              <w:rPr>
                <w:rFonts w:eastAsia="Times New Roman" w:cs="Times New Roman"/>
                <w:b/>
                <w:bCs/>
                <w:sz w:val="20"/>
                <w:szCs w:val="20"/>
                <w:lang w:eastAsia="lv-LV"/>
              </w:rPr>
              <w:t>-</w:t>
            </w:r>
          </w:p>
        </w:tc>
        <w:tc>
          <w:tcPr>
            <w:tcW w:w="851" w:type="dxa"/>
            <w:tcBorders>
              <w:top w:val="single" w:sz="4" w:space="0" w:color="000000"/>
              <w:bottom w:val="single" w:sz="4" w:space="0" w:color="808080" w:themeColor="background1" w:themeShade="80"/>
            </w:tcBorders>
            <w:shd w:val="clear" w:color="auto" w:fill="auto"/>
            <w:vAlign w:val="bottom"/>
          </w:tcPr>
          <w:p w14:paraId="07BF5EEA" w14:textId="5489EFFF" w:rsidR="006143AE" w:rsidRPr="00215B60" w:rsidRDefault="006143AE" w:rsidP="006143AE">
            <w:pPr>
              <w:contextualSpacing/>
              <w:jc w:val="center"/>
              <w:rPr>
                <w:rFonts w:eastAsia="Times New Roman" w:cs="Times New Roman"/>
                <w:b/>
                <w:bCs/>
                <w:color w:val="C00000"/>
                <w:sz w:val="20"/>
                <w:szCs w:val="20"/>
                <w:lang w:eastAsia="lv-LV"/>
              </w:rPr>
            </w:pPr>
            <w:r w:rsidRPr="006143AE">
              <w:rPr>
                <w:rFonts w:eastAsia="Times New Roman" w:cs="Times New Roman"/>
                <w:b/>
                <w:bCs/>
                <w:sz w:val="20"/>
                <w:szCs w:val="20"/>
                <w:lang w:eastAsia="lv-LV"/>
              </w:rPr>
              <w:t>-</w:t>
            </w:r>
          </w:p>
        </w:tc>
        <w:tc>
          <w:tcPr>
            <w:tcW w:w="850" w:type="dxa"/>
            <w:tcBorders>
              <w:bottom w:val="single" w:sz="4" w:space="0" w:color="808080" w:themeColor="background1" w:themeShade="80"/>
            </w:tcBorders>
            <w:shd w:val="clear" w:color="auto" w:fill="auto"/>
            <w:vAlign w:val="bottom"/>
          </w:tcPr>
          <w:p w14:paraId="53A8D9EC" w14:textId="42003E95" w:rsidR="006143AE" w:rsidRPr="00215B60" w:rsidRDefault="006143AE" w:rsidP="006143AE">
            <w:pPr>
              <w:jc w:val="center"/>
              <w:rPr>
                <w:rFonts w:eastAsia="Times New Roman" w:cs="Times New Roman"/>
                <w:b/>
                <w:bCs/>
                <w:color w:val="FF0000"/>
                <w:sz w:val="20"/>
                <w:szCs w:val="20"/>
                <w:lang w:eastAsia="lv-LV"/>
              </w:rPr>
            </w:pPr>
            <w:r w:rsidRPr="006143AE">
              <w:rPr>
                <w:rFonts w:eastAsia="Times New Roman" w:cs="Times New Roman"/>
                <w:b/>
                <w:bCs/>
                <w:sz w:val="20"/>
                <w:szCs w:val="20"/>
                <w:lang w:eastAsia="lv-LV"/>
              </w:rPr>
              <w:t>-</w:t>
            </w:r>
          </w:p>
        </w:tc>
      </w:tr>
      <w:tr w:rsidR="006143AE" w:rsidRPr="00057801" w14:paraId="12087B2B" w14:textId="77777777" w:rsidTr="006143AE">
        <w:trPr>
          <w:trHeight w:val="85"/>
        </w:trPr>
        <w:tc>
          <w:tcPr>
            <w:tcW w:w="4678" w:type="dxa"/>
            <w:vMerge/>
            <w:shd w:val="clear" w:color="auto" w:fill="auto"/>
            <w:vAlign w:val="center"/>
          </w:tcPr>
          <w:p w14:paraId="664CCA65" w14:textId="77777777" w:rsidR="006143AE" w:rsidRPr="00976D16" w:rsidRDefault="006143AE" w:rsidP="006143AE">
            <w:pPr>
              <w:contextualSpacing/>
              <w:rPr>
                <w:b/>
                <w:bCs/>
                <w:sz w:val="20"/>
                <w:szCs w:val="20"/>
              </w:rPr>
            </w:pPr>
          </w:p>
        </w:tc>
        <w:tc>
          <w:tcPr>
            <w:tcW w:w="851" w:type="dxa"/>
            <w:tcBorders>
              <w:top w:val="single" w:sz="4" w:space="0" w:color="000000"/>
              <w:bottom w:val="single" w:sz="4" w:space="0" w:color="808080" w:themeColor="background1" w:themeShade="80"/>
            </w:tcBorders>
            <w:shd w:val="clear" w:color="auto" w:fill="auto"/>
          </w:tcPr>
          <w:p w14:paraId="2AFD7336" w14:textId="4F162B49" w:rsidR="006143AE" w:rsidRPr="00215B60" w:rsidRDefault="006143AE" w:rsidP="006143AE">
            <w:pPr>
              <w:contextualSpacing/>
              <w:jc w:val="center"/>
              <w:rPr>
                <w:b/>
                <w:bCs/>
                <w:color w:val="C00000"/>
                <w:sz w:val="20"/>
                <w:szCs w:val="20"/>
              </w:rPr>
            </w:pPr>
            <w:r w:rsidRPr="00504A02">
              <w:rPr>
                <w:color w:val="0070C0"/>
                <w:sz w:val="20"/>
                <w:szCs w:val="20"/>
              </w:rPr>
              <w:t>EE</w:t>
            </w:r>
          </w:p>
        </w:tc>
        <w:tc>
          <w:tcPr>
            <w:tcW w:w="992" w:type="dxa"/>
            <w:tcBorders>
              <w:top w:val="single" w:sz="4" w:space="0" w:color="000000"/>
              <w:bottom w:val="single" w:sz="4" w:space="0" w:color="808080" w:themeColor="background1" w:themeShade="80"/>
            </w:tcBorders>
            <w:shd w:val="clear" w:color="auto" w:fill="auto"/>
            <w:vAlign w:val="bottom"/>
          </w:tcPr>
          <w:p w14:paraId="5839B562" w14:textId="05D080E0" w:rsidR="006143AE" w:rsidRPr="006143AE" w:rsidRDefault="006143AE" w:rsidP="006143AE">
            <w:pPr>
              <w:contextualSpacing/>
              <w:jc w:val="center"/>
              <w:rPr>
                <w:rFonts w:eastAsia="Times New Roman" w:cs="Times New Roman"/>
                <w:b/>
                <w:bCs/>
                <w:sz w:val="20"/>
                <w:szCs w:val="20"/>
                <w:lang w:eastAsia="lv-LV"/>
              </w:rPr>
            </w:pPr>
            <w:r w:rsidRPr="006143AE">
              <w:rPr>
                <w:rFonts w:eastAsia="Times New Roman" w:cs="Times New Roman"/>
                <w:b/>
                <w:bCs/>
                <w:sz w:val="20"/>
                <w:szCs w:val="20"/>
                <w:lang w:eastAsia="lv-LV"/>
              </w:rPr>
              <w:t>-</w:t>
            </w:r>
          </w:p>
        </w:tc>
        <w:tc>
          <w:tcPr>
            <w:tcW w:w="850" w:type="dxa"/>
            <w:tcBorders>
              <w:top w:val="single" w:sz="4" w:space="0" w:color="000000"/>
              <w:bottom w:val="single" w:sz="4" w:space="0" w:color="808080" w:themeColor="background1" w:themeShade="80"/>
            </w:tcBorders>
            <w:shd w:val="clear" w:color="auto" w:fill="auto"/>
            <w:vAlign w:val="bottom"/>
          </w:tcPr>
          <w:p w14:paraId="38F0577B" w14:textId="524E9CA3" w:rsidR="006143AE" w:rsidRPr="00215B60" w:rsidRDefault="006143AE" w:rsidP="006143AE">
            <w:pPr>
              <w:contextualSpacing/>
              <w:jc w:val="center"/>
              <w:rPr>
                <w:rFonts w:eastAsia="Times New Roman" w:cs="Times New Roman"/>
                <w:b/>
                <w:bCs/>
                <w:color w:val="C00000"/>
                <w:sz w:val="20"/>
                <w:szCs w:val="20"/>
                <w:lang w:eastAsia="lv-LV"/>
              </w:rPr>
            </w:pPr>
            <w:r w:rsidRPr="006143AE">
              <w:rPr>
                <w:rFonts w:eastAsia="Times New Roman" w:cs="Times New Roman"/>
                <w:b/>
                <w:bCs/>
                <w:sz w:val="20"/>
                <w:szCs w:val="20"/>
                <w:lang w:eastAsia="lv-LV"/>
              </w:rPr>
              <w:t>-</w:t>
            </w:r>
          </w:p>
        </w:tc>
        <w:tc>
          <w:tcPr>
            <w:tcW w:w="851" w:type="dxa"/>
            <w:tcBorders>
              <w:top w:val="single" w:sz="4" w:space="0" w:color="000000"/>
              <w:bottom w:val="single" w:sz="4" w:space="0" w:color="808080" w:themeColor="background1" w:themeShade="80"/>
            </w:tcBorders>
            <w:shd w:val="clear" w:color="auto" w:fill="auto"/>
            <w:vAlign w:val="bottom"/>
          </w:tcPr>
          <w:p w14:paraId="7758CC38" w14:textId="4AC8F2FC" w:rsidR="006143AE" w:rsidRPr="00215B60" w:rsidRDefault="006143AE" w:rsidP="006143AE">
            <w:pPr>
              <w:contextualSpacing/>
              <w:jc w:val="center"/>
              <w:rPr>
                <w:rFonts w:eastAsia="Times New Roman" w:cs="Times New Roman"/>
                <w:b/>
                <w:bCs/>
                <w:color w:val="C00000"/>
                <w:sz w:val="20"/>
                <w:szCs w:val="20"/>
                <w:lang w:eastAsia="lv-LV"/>
              </w:rPr>
            </w:pPr>
            <w:r w:rsidRPr="006143AE">
              <w:rPr>
                <w:rFonts w:eastAsia="Times New Roman" w:cs="Times New Roman"/>
                <w:b/>
                <w:bCs/>
                <w:sz w:val="20"/>
                <w:szCs w:val="20"/>
                <w:lang w:eastAsia="lv-LV"/>
              </w:rPr>
              <w:t>-</w:t>
            </w:r>
          </w:p>
        </w:tc>
        <w:tc>
          <w:tcPr>
            <w:tcW w:w="850" w:type="dxa"/>
            <w:tcBorders>
              <w:bottom w:val="single" w:sz="4" w:space="0" w:color="808080" w:themeColor="background1" w:themeShade="80"/>
            </w:tcBorders>
            <w:shd w:val="clear" w:color="auto" w:fill="auto"/>
            <w:vAlign w:val="bottom"/>
          </w:tcPr>
          <w:p w14:paraId="249F6593" w14:textId="1E6DBF36" w:rsidR="006143AE" w:rsidRPr="00215B60" w:rsidRDefault="006143AE" w:rsidP="006143AE">
            <w:pPr>
              <w:jc w:val="center"/>
              <w:rPr>
                <w:rFonts w:eastAsia="Times New Roman" w:cs="Times New Roman"/>
                <w:b/>
                <w:bCs/>
                <w:color w:val="FF0000"/>
                <w:sz w:val="20"/>
                <w:szCs w:val="20"/>
                <w:lang w:eastAsia="lv-LV"/>
              </w:rPr>
            </w:pPr>
            <w:r w:rsidRPr="006143AE">
              <w:rPr>
                <w:rFonts w:eastAsia="Times New Roman" w:cs="Times New Roman"/>
                <w:b/>
                <w:bCs/>
                <w:sz w:val="20"/>
                <w:szCs w:val="20"/>
                <w:lang w:eastAsia="lv-LV"/>
              </w:rPr>
              <w:t>-</w:t>
            </w:r>
          </w:p>
        </w:tc>
      </w:tr>
      <w:tr w:rsidR="006143AE" w:rsidRPr="00057801" w14:paraId="39936D73" w14:textId="77777777" w:rsidTr="00317EFA">
        <w:trPr>
          <w:trHeight w:val="85"/>
        </w:trPr>
        <w:tc>
          <w:tcPr>
            <w:tcW w:w="4678" w:type="dxa"/>
            <w:vMerge w:val="restart"/>
            <w:tcBorders>
              <w:top w:val="single" w:sz="4" w:space="0" w:color="000000"/>
            </w:tcBorders>
            <w:shd w:val="clear" w:color="auto" w:fill="auto"/>
            <w:vAlign w:val="center"/>
          </w:tcPr>
          <w:p w14:paraId="0287CBA5" w14:textId="77777777" w:rsidR="006143AE" w:rsidRPr="00976D16" w:rsidRDefault="006143AE" w:rsidP="006143AE">
            <w:pPr>
              <w:contextualSpacing/>
              <w:rPr>
                <w:sz w:val="20"/>
                <w:szCs w:val="20"/>
              </w:rPr>
            </w:pPr>
            <w:r w:rsidRPr="00976D16">
              <w:rPr>
                <w:b/>
                <w:bCs/>
                <w:sz w:val="20"/>
                <w:szCs w:val="20"/>
              </w:rPr>
              <w:t xml:space="preserve">Raudzētie dzērieni (līdz 6%), </w:t>
            </w:r>
            <w:r w:rsidRPr="00976D16">
              <w:rPr>
                <w:i/>
                <w:iCs/>
                <w:sz w:val="20"/>
                <w:szCs w:val="20"/>
              </w:rPr>
              <w:t>euro par 100 litriem</w:t>
            </w:r>
          </w:p>
        </w:tc>
        <w:tc>
          <w:tcPr>
            <w:tcW w:w="851" w:type="dxa"/>
            <w:tcBorders>
              <w:top w:val="single" w:sz="4" w:space="0" w:color="000000"/>
              <w:bottom w:val="single" w:sz="4" w:space="0" w:color="808080" w:themeColor="background1" w:themeShade="80"/>
            </w:tcBorders>
            <w:shd w:val="clear" w:color="auto" w:fill="FFF2CC" w:themeFill="accent4" w:themeFillTint="33"/>
          </w:tcPr>
          <w:p w14:paraId="2E9C3051" w14:textId="77777777" w:rsidR="006143AE" w:rsidRPr="00976D16" w:rsidRDefault="006143AE" w:rsidP="006143AE">
            <w:pPr>
              <w:contextualSpacing/>
              <w:jc w:val="center"/>
              <w:rPr>
                <w:b/>
                <w:bCs/>
                <w:sz w:val="20"/>
                <w:szCs w:val="20"/>
              </w:rPr>
            </w:pPr>
            <w:r w:rsidRPr="00215B60">
              <w:rPr>
                <w:b/>
                <w:bCs/>
                <w:color w:val="C00000"/>
                <w:sz w:val="20"/>
                <w:szCs w:val="20"/>
              </w:rPr>
              <w:t>LV</w:t>
            </w:r>
          </w:p>
        </w:tc>
        <w:tc>
          <w:tcPr>
            <w:tcW w:w="992" w:type="dxa"/>
            <w:tcBorders>
              <w:top w:val="single" w:sz="4" w:space="0" w:color="000000"/>
              <w:bottom w:val="single" w:sz="4" w:space="0" w:color="808080" w:themeColor="background1" w:themeShade="80"/>
            </w:tcBorders>
            <w:shd w:val="clear" w:color="auto" w:fill="FFF2CC" w:themeFill="accent4" w:themeFillTint="33"/>
            <w:vAlign w:val="bottom"/>
          </w:tcPr>
          <w:p w14:paraId="38F64FD2" w14:textId="2167F6A2" w:rsidR="006143AE" w:rsidRPr="00215B60" w:rsidRDefault="006143AE" w:rsidP="006143AE">
            <w:pPr>
              <w:contextualSpacing/>
              <w:jc w:val="center"/>
              <w:rPr>
                <w:rFonts w:eastAsia="Times New Roman" w:cs="Times New Roman"/>
                <w:b/>
                <w:bCs/>
                <w:color w:val="C00000"/>
                <w:sz w:val="20"/>
                <w:szCs w:val="20"/>
                <w:lang w:eastAsia="lv-LV"/>
              </w:rPr>
            </w:pPr>
            <w:r w:rsidRPr="00215B60">
              <w:rPr>
                <w:rFonts w:eastAsia="Times New Roman" w:cs="Times New Roman"/>
                <w:b/>
                <w:bCs/>
                <w:color w:val="C00000"/>
                <w:sz w:val="20"/>
                <w:szCs w:val="20"/>
                <w:lang w:eastAsia="lv-LV"/>
              </w:rPr>
              <w:t>70</w:t>
            </w:r>
          </w:p>
        </w:tc>
        <w:tc>
          <w:tcPr>
            <w:tcW w:w="850" w:type="dxa"/>
            <w:tcBorders>
              <w:top w:val="single" w:sz="4" w:space="0" w:color="000000"/>
              <w:bottom w:val="single" w:sz="4" w:space="0" w:color="808080" w:themeColor="background1" w:themeShade="80"/>
            </w:tcBorders>
            <w:shd w:val="clear" w:color="auto" w:fill="FFF2CC" w:themeFill="accent4" w:themeFillTint="33"/>
            <w:vAlign w:val="bottom"/>
          </w:tcPr>
          <w:p w14:paraId="5C610534" w14:textId="700F8C7B" w:rsidR="006143AE" w:rsidRPr="00215B60" w:rsidRDefault="006143AE" w:rsidP="006143AE">
            <w:pPr>
              <w:contextualSpacing/>
              <w:jc w:val="center"/>
              <w:rPr>
                <w:rFonts w:eastAsia="Times New Roman" w:cs="Times New Roman"/>
                <w:b/>
                <w:bCs/>
                <w:color w:val="C00000"/>
                <w:sz w:val="20"/>
                <w:szCs w:val="20"/>
                <w:lang w:eastAsia="lv-LV"/>
              </w:rPr>
            </w:pPr>
            <w:r w:rsidRPr="00215B60">
              <w:rPr>
                <w:rFonts w:eastAsia="Times New Roman" w:cs="Times New Roman"/>
                <w:b/>
                <w:bCs/>
                <w:color w:val="C00000"/>
                <w:sz w:val="20"/>
                <w:szCs w:val="20"/>
                <w:lang w:eastAsia="lv-LV"/>
              </w:rPr>
              <w:t>77</w:t>
            </w:r>
          </w:p>
        </w:tc>
        <w:tc>
          <w:tcPr>
            <w:tcW w:w="851" w:type="dxa"/>
            <w:tcBorders>
              <w:top w:val="single" w:sz="4" w:space="0" w:color="000000"/>
              <w:bottom w:val="single" w:sz="4" w:space="0" w:color="808080" w:themeColor="background1" w:themeShade="80"/>
            </w:tcBorders>
            <w:shd w:val="clear" w:color="auto" w:fill="FFF2CC" w:themeFill="accent4" w:themeFillTint="33"/>
            <w:vAlign w:val="bottom"/>
          </w:tcPr>
          <w:p w14:paraId="11117489" w14:textId="60828EE6" w:rsidR="006143AE" w:rsidRPr="00215B60" w:rsidRDefault="006143AE" w:rsidP="006143AE">
            <w:pPr>
              <w:contextualSpacing/>
              <w:jc w:val="center"/>
              <w:rPr>
                <w:rFonts w:eastAsia="Times New Roman" w:cs="Times New Roman"/>
                <w:b/>
                <w:bCs/>
                <w:color w:val="C00000"/>
                <w:sz w:val="20"/>
                <w:szCs w:val="20"/>
                <w:lang w:eastAsia="lv-LV"/>
              </w:rPr>
            </w:pPr>
            <w:r w:rsidRPr="00215B60">
              <w:rPr>
                <w:rFonts w:eastAsia="Times New Roman" w:cs="Times New Roman"/>
                <w:b/>
                <w:bCs/>
                <w:color w:val="C00000"/>
                <w:sz w:val="20"/>
                <w:szCs w:val="20"/>
                <w:lang w:eastAsia="lv-LV"/>
              </w:rPr>
              <w:t>85</w:t>
            </w:r>
          </w:p>
        </w:tc>
        <w:tc>
          <w:tcPr>
            <w:tcW w:w="850" w:type="dxa"/>
            <w:tcBorders>
              <w:bottom w:val="single" w:sz="4" w:space="0" w:color="808080" w:themeColor="background1" w:themeShade="80"/>
            </w:tcBorders>
            <w:shd w:val="clear" w:color="auto" w:fill="FFF2CC" w:themeFill="accent4" w:themeFillTint="33"/>
            <w:vAlign w:val="bottom"/>
          </w:tcPr>
          <w:p w14:paraId="65B05AAC" w14:textId="37DEC9D5" w:rsidR="006143AE" w:rsidRPr="00215B60" w:rsidRDefault="006143AE" w:rsidP="006143AE">
            <w:pPr>
              <w:jc w:val="center"/>
              <w:rPr>
                <w:rFonts w:eastAsia="Times New Roman" w:cs="Times New Roman"/>
                <w:b/>
                <w:bCs/>
                <w:color w:val="C00000"/>
                <w:sz w:val="20"/>
                <w:szCs w:val="20"/>
                <w:lang w:eastAsia="lv-LV"/>
              </w:rPr>
            </w:pPr>
            <w:r w:rsidRPr="00215B60">
              <w:rPr>
                <w:rFonts w:eastAsia="Times New Roman" w:cs="Times New Roman"/>
                <w:b/>
                <w:bCs/>
                <w:color w:val="FF0000"/>
                <w:sz w:val="20"/>
                <w:szCs w:val="20"/>
                <w:lang w:eastAsia="lv-LV"/>
              </w:rPr>
              <w:t>89</w:t>
            </w:r>
          </w:p>
        </w:tc>
      </w:tr>
      <w:tr w:rsidR="006143AE" w:rsidRPr="00057801" w14:paraId="105E9246" w14:textId="77777777" w:rsidTr="00317EFA">
        <w:trPr>
          <w:trHeight w:val="85"/>
        </w:trPr>
        <w:tc>
          <w:tcPr>
            <w:tcW w:w="4678" w:type="dxa"/>
            <w:vMerge/>
            <w:shd w:val="clear" w:color="auto" w:fill="auto"/>
            <w:vAlign w:val="center"/>
          </w:tcPr>
          <w:p w14:paraId="67DA9D02" w14:textId="77777777" w:rsidR="006143AE" w:rsidRPr="00976D16" w:rsidRDefault="006143AE" w:rsidP="006143AE">
            <w:pPr>
              <w:contextualSpacing/>
              <w:rPr>
                <w:b/>
                <w:bCs/>
                <w:sz w:val="20"/>
                <w:szCs w:val="20"/>
              </w:rPr>
            </w:pPr>
          </w:p>
        </w:tc>
        <w:tc>
          <w:tcPr>
            <w:tcW w:w="851" w:type="dxa"/>
            <w:tcBorders>
              <w:top w:val="single" w:sz="4" w:space="0" w:color="808080" w:themeColor="background1" w:themeShade="80"/>
              <w:bottom w:val="single" w:sz="4" w:space="0" w:color="808080" w:themeColor="background1" w:themeShade="80"/>
            </w:tcBorders>
          </w:tcPr>
          <w:p w14:paraId="48C63376" w14:textId="77777777" w:rsidR="006143AE" w:rsidRPr="00504A02" w:rsidRDefault="006143AE" w:rsidP="006143AE">
            <w:pPr>
              <w:contextualSpacing/>
              <w:jc w:val="center"/>
              <w:rPr>
                <w:sz w:val="20"/>
                <w:szCs w:val="20"/>
              </w:rPr>
            </w:pPr>
            <w:r w:rsidRPr="00504A02">
              <w:rPr>
                <w:color w:val="00B050"/>
                <w:sz w:val="20"/>
                <w:szCs w:val="20"/>
              </w:rPr>
              <w:t>LT</w:t>
            </w:r>
          </w:p>
        </w:tc>
        <w:tc>
          <w:tcPr>
            <w:tcW w:w="992" w:type="dxa"/>
            <w:tcBorders>
              <w:top w:val="single" w:sz="4" w:space="0" w:color="808080" w:themeColor="background1" w:themeShade="80"/>
              <w:bottom w:val="single" w:sz="4" w:space="0" w:color="808080" w:themeColor="background1" w:themeShade="80"/>
            </w:tcBorders>
            <w:shd w:val="clear" w:color="auto" w:fill="FFFFFF" w:themeFill="background1"/>
            <w:vAlign w:val="bottom"/>
          </w:tcPr>
          <w:p w14:paraId="76B1189F" w14:textId="6CE18228" w:rsidR="006143AE" w:rsidRPr="00504A02" w:rsidRDefault="006143AE" w:rsidP="006143AE">
            <w:pPr>
              <w:contextualSpacing/>
              <w:jc w:val="center"/>
              <w:rPr>
                <w:rFonts w:eastAsia="Times New Roman" w:cs="Times New Roman"/>
                <w:color w:val="00B050"/>
                <w:sz w:val="20"/>
                <w:szCs w:val="20"/>
                <w:lang w:eastAsia="lv-LV"/>
              </w:rPr>
            </w:pPr>
            <w:r w:rsidRPr="00504A02">
              <w:rPr>
                <w:rFonts w:eastAsia="Times New Roman" w:cs="Times New Roman"/>
                <w:color w:val="00B050"/>
                <w:sz w:val="20"/>
                <w:szCs w:val="20"/>
                <w:lang w:eastAsia="lv-LV"/>
              </w:rPr>
              <w:t>109</w:t>
            </w:r>
          </w:p>
        </w:tc>
        <w:tc>
          <w:tcPr>
            <w:tcW w:w="850" w:type="dxa"/>
            <w:tcBorders>
              <w:top w:val="single" w:sz="4" w:space="0" w:color="808080" w:themeColor="background1" w:themeShade="80"/>
              <w:bottom w:val="single" w:sz="4" w:space="0" w:color="808080" w:themeColor="background1" w:themeShade="80"/>
            </w:tcBorders>
            <w:vAlign w:val="bottom"/>
          </w:tcPr>
          <w:p w14:paraId="030A750A" w14:textId="2F482D2F" w:rsidR="006143AE" w:rsidRPr="00504A02" w:rsidRDefault="006143AE" w:rsidP="006143AE">
            <w:pPr>
              <w:contextualSpacing/>
              <w:jc w:val="center"/>
              <w:rPr>
                <w:rFonts w:eastAsia="Times New Roman" w:cs="Times New Roman"/>
                <w:color w:val="00B050"/>
                <w:sz w:val="20"/>
                <w:szCs w:val="20"/>
                <w:lang w:eastAsia="lv-LV"/>
              </w:rPr>
            </w:pPr>
            <w:r w:rsidRPr="00504A02">
              <w:rPr>
                <w:rFonts w:eastAsia="Times New Roman" w:cs="Times New Roman"/>
                <w:color w:val="00B050"/>
                <w:sz w:val="20"/>
                <w:szCs w:val="20"/>
                <w:lang w:eastAsia="lv-LV"/>
              </w:rPr>
              <w:t>127</w:t>
            </w:r>
          </w:p>
        </w:tc>
        <w:tc>
          <w:tcPr>
            <w:tcW w:w="851" w:type="dxa"/>
            <w:tcBorders>
              <w:top w:val="single" w:sz="4" w:space="0" w:color="808080" w:themeColor="background1" w:themeShade="80"/>
              <w:bottom w:val="single" w:sz="4" w:space="0" w:color="808080" w:themeColor="background1" w:themeShade="80"/>
            </w:tcBorders>
            <w:vAlign w:val="bottom"/>
          </w:tcPr>
          <w:p w14:paraId="4338BC0D" w14:textId="394B3AEE" w:rsidR="006143AE" w:rsidRPr="00504A02" w:rsidRDefault="006143AE" w:rsidP="006143AE">
            <w:pPr>
              <w:contextualSpacing/>
              <w:jc w:val="center"/>
              <w:rPr>
                <w:rFonts w:eastAsia="Times New Roman" w:cs="Times New Roman"/>
                <w:color w:val="00B050"/>
                <w:sz w:val="20"/>
                <w:szCs w:val="20"/>
                <w:lang w:eastAsia="lv-LV"/>
              </w:rPr>
            </w:pPr>
            <w:r w:rsidRPr="00504A02">
              <w:rPr>
                <w:rFonts w:eastAsia="Times New Roman" w:cs="Times New Roman"/>
                <w:color w:val="00B050"/>
                <w:sz w:val="20"/>
                <w:szCs w:val="20"/>
                <w:lang w:eastAsia="lv-LV"/>
              </w:rPr>
              <w:t>148</w:t>
            </w:r>
          </w:p>
        </w:tc>
        <w:tc>
          <w:tcPr>
            <w:tcW w:w="850" w:type="dxa"/>
            <w:tcBorders>
              <w:top w:val="single" w:sz="4" w:space="0" w:color="808080" w:themeColor="background1" w:themeShade="80"/>
              <w:bottom w:val="single" w:sz="4" w:space="0" w:color="808080" w:themeColor="background1" w:themeShade="80"/>
            </w:tcBorders>
            <w:shd w:val="clear" w:color="auto" w:fill="FFFFFF" w:themeFill="background1"/>
            <w:vAlign w:val="bottom"/>
          </w:tcPr>
          <w:p w14:paraId="72931A22" w14:textId="417456E1" w:rsidR="006143AE" w:rsidRPr="00504A02" w:rsidRDefault="006143AE" w:rsidP="006143AE">
            <w:pPr>
              <w:jc w:val="center"/>
              <w:rPr>
                <w:rFonts w:eastAsia="Times New Roman" w:cs="Times New Roman"/>
                <w:color w:val="00B050"/>
                <w:sz w:val="20"/>
                <w:szCs w:val="20"/>
                <w:lang w:eastAsia="lv-LV"/>
              </w:rPr>
            </w:pPr>
            <w:r w:rsidRPr="00504A02">
              <w:rPr>
                <w:rFonts w:eastAsia="Times New Roman" w:cs="Times New Roman"/>
                <w:color w:val="00B050"/>
                <w:sz w:val="20"/>
                <w:szCs w:val="20"/>
                <w:lang w:eastAsia="lv-LV"/>
              </w:rPr>
              <w:t>173</w:t>
            </w:r>
          </w:p>
        </w:tc>
      </w:tr>
      <w:tr w:rsidR="006143AE" w:rsidRPr="00057801" w14:paraId="2C23EEA0" w14:textId="77777777" w:rsidTr="00317EFA">
        <w:trPr>
          <w:trHeight w:val="85"/>
        </w:trPr>
        <w:tc>
          <w:tcPr>
            <w:tcW w:w="4678" w:type="dxa"/>
            <w:vMerge/>
            <w:tcBorders>
              <w:bottom w:val="single" w:sz="4" w:space="0" w:color="A6A6A6" w:themeColor="background1" w:themeShade="A6"/>
            </w:tcBorders>
            <w:shd w:val="clear" w:color="auto" w:fill="auto"/>
            <w:vAlign w:val="center"/>
          </w:tcPr>
          <w:p w14:paraId="171E4E17" w14:textId="77777777" w:rsidR="006143AE" w:rsidRPr="00976D16" w:rsidRDefault="006143AE" w:rsidP="006143AE">
            <w:pPr>
              <w:contextualSpacing/>
              <w:rPr>
                <w:b/>
                <w:bCs/>
                <w:sz w:val="20"/>
                <w:szCs w:val="20"/>
              </w:rPr>
            </w:pPr>
          </w:p>
        </w:tc>
        <w:tc>
          <w:tcPr>
            <w:tcW w:w="851" w:type="dxa"/>
            <w:tcBorders>
              <w:top w:val="single" w:sz="4" w:space="0" w:color="808080" w:themeColor="background1" w:themeShade="80"/>
              <w:bottom w:val="single" w:sz="4" w:space="0" w:color="A6A6A6" w:themeColor="background1" w:themeShade="A6"/>
            </w:tcBorders>
          </w:tcPr>
          <w:p w14:paraId="00A686DA" w14:textId="77777777" w:rsidR="006143AE" w:rsidRPr="00504A02" w:rsidRDefault="006143AE" w:rsidP="006143AE">
            <w:pPr>
              <w:contextualSpacing/>
              <w:jc w:val="center"/>
              <w:rPr>
                <w:sz w:val="20"/>
                <w:szCs w:val="20"/>
              </w:rPr>
            </w:pPr>
            <w:r w:rsidRPr="00504A02">
              <w:rPr>
                <w:color w:val="0070C0"/>
                <w:sz w:val="20"/>
                <w:szCs w:val="20"/>
              </w:rPr>
              <w:t>EE</w:t>
            </w:r>
          </w:p>
        </w:tc>
        <w:tc>
          <w:tcPr>
            <w:tcW w:w="992" w:type="dxa"/>
            <w:tcBorders>
              <w:top w:val="single" w:sz="4" w:space="0" w:color="808080" w:themeColor="background1" w:themeShade="80"/>
              <w:bottom w:val="single" w:sz="4" w:space="0" w:color="A6A6A6" w:themeColor="background1" w:themeShade="A6"/>
            </w:tcBorders>
            <w:shd w:val="clear" w:color="auto" w:fill="FFFFFF" w:themeFill="background1"/>
            <w:vAlign w:val="bottom"/>
          </w:tcPr>
          <w:p w14:paraId="0F8FF90B" w14:textId="77777777" w:rsidR="006143AE" w:rsidRPr="00504A02" w:rsidRDefault="006143AE" w:rsidP="006143AE">
            <w:pPr>
              <w:contextualSpacing/>
              <w:jc w:val="center"/>
              <w:rPr>
                <w:rFonts w:eastAsia="Times New Roman" w:cs="Times New Roman"/>
                <w:color w:val="0070C0"/>
                <w:sz w:val="20"/>
                <w:szCs w:val="20"/>
                <w:lang w:eastAsia="lv-LV"/>
              </w:rPr>
            </w:pPr>
            <w:r w:rsidRPr="00504A02">
              <w:rPr>
                <w:rFonts w:eastAsia="Times New Roman" w:cs="Times New Roman"/>
                <w:color w:val="0070C0"/>
                <w:sz w:val="20"/>
                <w:szCs w:val="20"/>
                <w:lang w:eastAsia="lv-LV"/>
              </w:rPr>
              <w:t>66,52</w:t>
            </w:r>
          </w:p>
        </w:tc>
        <w:tc>
          <w:tcPr>
            <w:tcW w:w="850" w:type="dxa"/>
            <w:tcBorders>
              <w:top w:val="single" w:sz="4" w:space="0" w:color="808080" w:themeColor="background1" w:themeShade="80"/>
              <w:bottom w:val="single" w:sz="4" w:space="0" w:color="A6A6A6" w:themeColor="background1" w:themeShade="A6"/>
            </w:tcBorders>
            <w:vAlign w:val="bottom"/>
          </w:tcPr>
          <w:p w14:paraId="2151D60B" w14:textId="77777777" w:rsidR="006143AE" w:rsidRPr="00504A02" w:rsidRDefault="006143AE" w:rsidP="006143AE">
            <w:pPr>
              <w:contextualSpacing/>
              <w:jc w:val="center"/>
              <w:rPr>
                <w:rFonts w:eastAsia="Times New Roman" w:cs="Times New Roman"/>
                <w:color w:val="0070C0"/>
                <w:sz w:val="20"/>
                <w:szCs w:val="20"/>
                <w:lang w:eastAsia="lv-LV"/>
              </w:rPr>
            </w:pPr>
            <w:r w:rsidRPr="00504A02">
              <w:rPr>
                <w:rFonts w:eastAsia="Times New Roman" w:cs="Times New Roman"/>
                <w:color w:val="0070C0"/>
                <w:sz w:val="20"/>
                <w:szCs w:val="20"/>
                <w:lang w:eastAsia="lv-LV"/>
              </w:rPr>
              <w:t>69,84</w:t>
            </w:r>
          </w:p>
        </w:tc>
        <w:tc>
          <w:tcPr>
            <w:tcW w:w="851" w:type="dxa"/>
            <w:tcBorders>
              <w:top w:val="single" w:sz="4" w:space="0" w:color="808080" w:themeColor="background1" w:themeShade="80"/>
              <w:bottom w:val="single" w:sz="4" w:space="0" w:color="A6A6A6" w:themeColor="background1" w:themeShade="A6"/>
            </w:tcBorders>
            <w:vAlign w:val="bottom"/>
          </w:tcPr>
          <w:p w14:paraId="5B8D2811" w14:textId="77777777" w:rsidR="006143AE" w:rsidRPr="00504A02" w:rsidRDefault="006143AE" w:rsidP="006143AE">
            <w:pPr>
              <w:contextualSpacing/>
              <w:jc w:val="center"/>
              <w:rPr>
                <w:rFonts w:eastAsia="Times New Roman" w:cs="Times New Roman"/>
                <w:color w:val="0070C0"/>
                <w:sz w:val="20"/>
                <w:szCs w:val="20"/>
                <w:lang w:eastAsia="lv-LV"/>
              </w:rPr>
            </w:pPr>
            <w:r w:rsidRPr="00504A02">
              <w:rPr>
                <w:rFonts w:eastAsia="Times New Roman" w:cs="Times New Roman"/>
                <w:color w:val="0070C0"/>
                <w:sz w:val="20"/>
                <w:szCs w:val="20"/>
                <w:lang w:eastAsia="lv-LV"/>
              </w:rPr>
              <w:t>73,34</w:t>
            </w:r>
          </w:p>
        </w:tc>
        <w:tc>
          <w:tcPr>
            <w:tcW w:w="850" w:type="dxa"/>
            <w:tcBorders>
              <w:top w:val="single" w:sz="4" w:space="0" w:color="808080" w:themeColor="background1" w:themeShade="80"/>
            </w:tcBorders>
            <w:shd w:val="clear" w:color="auto" w:fill="FFFFFF" w:themeFill="background1"/>
            <w:vAlign w:val="bottom"/>
          </w:tcPr>
          <w:p w14:paraId="514701FC" w14:textId="77777777" w:rsidR="006143AE" w:rsidRPr="00504A02" w:rsidRDefault="006143AE" w:rsidP="006143AE">
            <w:pPr>
              <w:jc w:val="center"/>
              <w:rPr>
                <w:rFonts w:eastAsia="Times New Roman" w:cs="Times New Roman"/>
                <w:color w:val="0070C0"/>
                <w:sz w:val="20"/>
                <w:szCs w:val="20"/>
                <w:lang w:eastAsia="lv-LV"/>
              </w:rPr>
            </w:pPr>
            <w:r w:rsidRPr="00504A02">
              <w:rPr>
                <w:rFonts w:eastAsia="Times New Roman" w:cs="Times New Roman"/>
                <w:color w:val="0070C0"/>
                <w:sz w:val="20"/>
                <w:szCs w:val="20"/>
                <w:lang w:eastAsia="lv-LV"/>
              </w:rPr>
              <w:t>73,34</w:t>
            </w:r>
          </w:p>
        </w:tc>
      </w:tr>
      <w:tr w:rsidR="006143AE" w:rsidRPr="00FE35AA" w14:paraId="3E076907" w14:textId="10C4FED9" w:rsidTr="00317EFA">
        <w:trPr>
          <w:trHeight w:val="212"/>
        </w:trPr>
        <w:tc>
          <w:tcPr>
            <w:tcW w:w="4678" w:type="dxa"/>
            <w:vMerge w:val="restart"/>
            <w:tcBorders>
              <w:top w:val="single" w:sz="4" w:space="0" w:color="000000"/>
            </w:tcBorders>
            <w:shd w:val="clear" w:color="auto" w:fill="auto"/>
            <w:vAlign w:val="center"/>
          </w:tcPr>
          <w:p w14:paraId="794BCFB7" w14:textId="67A6E367" w:rsidR="006143AE" w:rsidRPr="00976D16" w:rsidRDefault="006143AE" w:rsidP="006143AE">
            <w:pPr>
              <w:contextualSpacing/>
              <w:rPr>
                <w:b/>
                <w:bCs/>
                <w:sz w:val="20"/>
                <w:szCs w:val="20"/>
              </w:rPr>
            </w:pPr>
            <w:r>
              <w:rPr>
                <w:b/>
                <w:bCs/>
                <w:sz w:val="20"/>
                <w:szCs w:val="20"/>
              </w:rPr>
              <w:t>Vīns un r</w:t>
            </w:r>
            <w:r w:rsidRPr="00976D16">
              <w:rPr>
                <w:b/>
                <w:bCs/>
                <w:sz w:val="20"/>
                <w:szCs w:val="20"/>
              </w:rPr>
              <w:t xml:space="preserve">audzētie dzērieni (virs 6%), </w:t>
            </w:r>
            <w:r w:rsidRPr="00976D16">
              <w:rPr>
                <w:i/>
                <w:iCs/>
                <w:sz w:val="20"/>
                <w:szCs w:val="20"/>
              </w:rPr>
              <w:t>euro par 100 litriem</w:t>
            </w:r>
          </w:p>
        </w:tc>
        <w:tc>
          <w:tcPr>
            <w:tcW w:w="851" w:type="dxa"/>
            <w:tcBorders>
              <w:top w:val="single" w:sz="4" w:space="0" w:color="000000"/>
              <w:bottom w:val="single" w:sz="4" w:space="0" w:color="808080" w:themeColor="background1" w:themeShade="80"/>
            </w:tcBorders>
            <w:shd w:val="clear" w:color="auto" w:fill="FFF2CC" w:themeFill="accent4" w:themeFillTint="33"/>
          </w:tcPr>
          <w:p w14:paraId="66C656D1" w14:textId="1DA4DD5C" w:rsidR="006143AE" w:rsidRPr="00976D16" w:rsidRDefault="006143AE" w:rsidP="006143AE">
            <w:pPr>
              <w:contextualSpacing/>
              <w:jc w:val="center"/>
              <w:rPr>
                <w:b/>
                <w:bCs/>
                <w:sz w:val="20"/>
                <w:szCs w:val="20"/>
              </w:rPr>
            </w:pPr>
            <w:r w:rsidRPr="00215B60">
              <w:rPr>
                <w:b/>
                <w:bCs/>
                <w:color w:val="C00000"/>
                <w:sz w:val="20"/>
                <w:szCs w:val="20"/>
              </w:rPr>
              <w:t>LV</w:t>
            </w:r>
          </w:p>
        </w:tc>
        <w:tc>
          <w:tcPr>
            <w:tcW w:w="992" w:type="dxa"/>
            <w:tcBorders>
              <w:top w:val="single" w:sz="4" w:space="0" w:color="000000"/>
              <w:bottom w:val="single" w:sz="4" w:space="0" w:color="808080" w:themeColor="background1" w:themeShade="80"/>
            </w:tcBorders>
            <w:shd w:val="clear" w:color="auto" w:fill="FFF2CC" w:themeFill="accent4" w:themeFillTint="33"/>
            <w:vAlign w:val="bottom"/>
          </w:tcPr>
          <w:p w14:paraId="6C6C884E" w14:textId="31DD5853" w:rsidR="006143AE" w:rsidRPr="00215B60" w:rsidRDefault="006143AE" w:rsidP="006143AE">
            <w:pPr>
              <w:contextualSpacing/>
              <w:jc w:val="center"/>
              <w:rPr>
                <w:rFonts w:cs="Times New Roman"/>
                <w:b/>
                <w:bCs/>
                <w:color w:val="C00000"/>
                <w:sz w:val="20"/>
                <w:szCs w:val="20"/>
              </w:rPr>
            </w:pPr>
            <w:r w:rsidRPr="00976D16">
              <w:rPr>
                <w:rFonts w:eastAsia="Times New Roman" w:cs="Times New Roman"/>
                <w:b/>
                <w:bCs/>
                <w:color w:val="C00000"/>
                <w:sz w:val="20"/>
                <w:szCs w:val="20"/>
                <w:lang w:eastAsia="lv-LV"/>
              </w:rPr>
              <w:t>122</w:t>
            </w:r>
          </w:p>
        </w:tc>
        <w:tc>
          <w:tcPr>
            <w:tcW w:w="850" w:type="dxa"/>
            <w:tcBorders>
              <w:top w:val="single" w:sz="4" w:space="0" w:color="000000"/>
              <w:bottom w:val="single" w:sz="4" w:space="0" w:color="808080" w:themeColor="background1" w:themeShade="80"/>
            </w:tcBorders>
            <w:shd w:val="clear" w:color="auto" w:fill="FFF2CC" w:themeFill="accent4" w:themeFillTint="33"/>
            <w:vAlign w:val="bottom"/>
          </w:tcPr>
          <w:p w14:paraId="1AB5F6AC" w14:textId="640FFD3B" w:rsidR="006143AE" w:rsidRPr="00215B60" w:rsidRDefault="006143AE" w:rsidP="006143AE">
            <w:pPr>
              <w:contextualSpacing/>
              <w:jc w:val="center"/>
              <w:rPr>
                <w:rFonts w:cs="Times New Roman"/>
                <w:b/>
                <w:bCs/>
                <w:color w:val="C00000"/>
                <w:sz w:val="20"/>
                <w:szCs w:val="20"/>
              </w:rPr>
            </w:pPr>
            <w:r w:rsidRPr="00976D16">
              <w:rPr>
                <w:rFonts w:eastAsia="Times New Roman" w:cs="Times New Roman"/>
                <w:b/>
                <w:bCs/>
                <w:color w:val="C00000"/>
                <w:sz w:val="20"/>
                <w:szCs w:val="20"/>
                <w:lang w:eastAsia="lv-LV"/>
              </w:rPr>
              <w:t>134</w:t>
            </w:r>
          </w:p>
        </w:tc>
        <w:tc>
          <w:tcPr>
            <w:tcW w:w="851" w:type="dxa"/>
            <w:tcBorders>
              <w:top w:val="single" w:sz="4" w:space="0" w:color="000000"/>
              <w:bottom w:val="single" w:sz="4" w:space="0" w:color="808080" w:themeColor="background1" w:themeShade="80"/>
            </w:tcBorders>
            <w:shd w:val="clear" w:color="auto" w:fill="FFF2CC" w:themeFill="accent4" w:themeFillTint="33"/>
            <w:vAlign w:val="bottom"/>
          </w:tcPr>
          <w:p w14:paraId="51C4F256" w14:textId="732C7CD6" w:rsidR="006143AE" w:rsidRPr="00215B60" w:rsidRDefault="006143AE" w:rsidP="006143AE">
            <w:pPr>
              <w:contextualSpacing/>
              <w:jc w:val="center"/>
              <w:rPr>
                <w:rFonts w:cs="Times New Roman"/>
                <w:b/>
                <w:bCs/>
                <w:color w:val="C00000"/>
                <w:sz w:val="20"/>
                <w:szCs w:val="20"/>
              </w:rPr>
            </w:pPr>
            <w:r w:rsidRPr="00976D16">
              <w:rPr>
                <w:rFonts w:eastAsia="Times New Roman" w:cs="Times New Roman"/>
                <w:b/>
                <w:bCs/>
                <w:color w:val="C00000"/>
                <w:sz w:val="20"/>
                <w:szCs w:val="20"/>
                <w:lang w:eastAsia="lv-LV"/>
              </w:rPr>
              <w:t>148</w:t>
            </w:r>
          </w:p>
        </w:tc>
        <w:tc>
          <w:tcPr>
            <w:tcW w:w="850" w:type="dxa"/>
            <w:tcBorders>
              <w:bottom w:val="single" w:sz="4" w:space="0" w:color="808080" w:themeColor="background1" w:themeShade="80"/>
            </w:tcBorders>
            <w:shd w:val="clear" w:color="auto" w:fill="FFF2CC" w:themeFill="accent4" w:themeFillTint="33"/>
            <w:vAlign w:val="bottom"/>
          </w:tcPr>
          <w:p w14:paraId="6AE73534" w14:textId="133E57C3" w:rsidR="006143AE" w:rsidRPr="00215B60" w:rsidRDefault="006143AE" w:rsidP="006143AE">
            <w:pPr>
              <w:contextualSpacing/>
              <w:jc w:val="center"/>
              <w:rPr>
                <w:rFonts w:cs="Times New Roman"/>
                <w:b/>
                <w:bCs/>
                <w:color w:val="C00000"/>
                <w:sz w:val="20"/>
                <w:szCs w:val="20"/>
              </w:rPr>
            </w:pPr>
            <w:r w:rsidRPr="00976D16">
              <w:rPr>
                <w:rFonts w:eastAsia="Times New Roman" w:cs="Times New Roman"/>
                <w:b/>
                <w:bCs/>
                <w:color w:val="FF0000"/>
                <w:sz w:val="20"/>
                <w:szCs w:val="20"/>
                <w:lang w:eastAsia="lv-LV"/>
              </w:rPr>
              <w:t>155</w:t>
            </w:r>
          </w:p>
        </w:tc>
      </w:tr>
      <w:tr w:rsidR="006143AE" w:rsidRPr="00057801" w14:paraId="16841726" w14:textId="77777777" w:rsidTr="00317EFA">
        <w:trPr>
          <w:trHeight w:val="85"/>
        </w:trPr>
        <w:tc>
          <w:tcPr>
            <w:tcW w:w="4678" w:type="dxa"/>
            <w:vMerge/>
            <w:shd w:val="clear" w:color="auto" w:fill="auto"/>
            <w:vAlign w:val="center"/>
          </w:tcPr>
          <w:p w14:paraId="21684D86" w14:textId="77777777" w:rsidR="006143AE" w:rsidRPr="00976D16" w:rsidRDefault="006143AE" w:rsidP="006143AE">
            <w:pPr>
              <w:contextualSpacing/>
              <w:rPr>
                <w:b/>
                <w:bCs/>
                <w:sz w:val="20"/>
                <w:szCs w:val="20"/>
              </w:rPr>
            </w:pPr>
          </w:p>
        </w:tc>
        <w:tc>
          <w:tcPr>
            <w:tcW w:w="851" w:type="dxa"/>
            <w:tcBorders>
              <w:top w:val="single" w:sz="4" w:space="0" w:color="808080" w:themeColor="background1" w:themeShade="80"/>
              <w:bottom w:val="single" w:sz="4" w:space="0" w:color="808080" w:themeColor="background1" w:themeShade="80"/>
            </w:tcBorders>
          </w:tcPr>
          <w:p w14:paraId="56F6BA83" w14:textId="42975CD0" w:rsidR="006143AE" w:rsidRPr="00504A02" w:rsidRDefault="006143AE" w:rsidP="006143AE">
            <w:pPr>
              <w:contextualSpacing/>
              <w:jc w:val="center"/>
              <w:rPr>
                <w:sz w:val="20"/>
                <w:szCs w:val="20"/>
              </w:rPr>
            </w:pPr>
            <w:r w:rsidRPr="00504A02">
              <w:rPr>
                <w:color w:val="00B050"/>
                <w:sz w:val="20"/>
                <w:szCs w:val="20"/>
              </w:rPr>
              <w:t>LT</w:t>
            </w:r>
          </w:p>
        </w:tc>
        <w:tc>
          <w:tcPr>
            <w:tcW w:w="992" w:type="dxa"/>
            <w:tcBorders>
              <w:top w:val="single" w:sz="4" w:space="0" w:color="808080" w:themeColor="background1" w:themeShade="80"/>
              <w:bottom w:val="single" w:sz="4" w:space="0" w:color="808080" w:themeColor="background1" w:themeShade="80"/>
            </w:tcBorders>
            <w:shd w:val="clear" w:color="auto" w:fill="FFFFFF" w:themeFill="background1"/>
            <w:vAlign w:val="bottom"/>
          </w:tcPr>
          <w:p w14:paraId="3972DD54" w14:textId="7114ECAB" w:rsidR="006143AE" w:rsidRPr="00504A02" w:rsidRDefault="006143AE" w:rsidP="006143AE">
            <w:pPr>
              <w:contextualSpacing/>
              <w:jc w:val="center"/>
              <w:rPr>
                <w:rFonts w:cs="Times New Roman"/>
                <w:color w:val="00B050"/>
                <w:sz w:val="20"/>
                <w:szCs w:val="20"/>
              </w:rPr>
            </w:pPr>
            <w:r w:rsidRPr="00504A02">
              <w:rPr>
                <w:rFonts w:cs="Times New Roman"/>
                <w:color w:val="00B050"/>
                <w:sz w:val="20"/>
                <w:szCs w:val="20"/>
              </w:rPr>
              <w:t>219</w:t>
            </w:r>
          </w:p>
        </w:tc>
        <w:tc>
          <w:tcPr>
            <w:tcW w:w="850" w:type="dxa"/>
            <w:tcBorders>
              <w:top w:val="single" w:sz="4" w:space="0" w:color="808080" w:themeColor="background1" w:themeShade="80"/>
              <w:bottom w:val="single" w:sz="4" w:space="0" w:color="808080" w:themeColor="background1" w:themeShade="80"/>
            </w:tcBorders>
            <w:vAlign w:val="bottom"/>
          </w:tcPr>
          <w:p w14:paraId="06A1BC95" w14:textId="2030F2DC" w:rsidR="006143AE" w:rsidRPr="00504A02" w:rsidRDefault="006143AE" w:rsidP="006143AE">
            <w:pPr>
              <w:contextualSpacing/>
              <w:jc w:val="center"/>
              <w:rPr>
                <w:rFonts w:cs="Times New Roman"/>
                <w:color w:val="00B050"/>
                <w:sz w:val="20"/>
                <w:szCs w:val="20"/>
              </w:rPr>
            </w:pPr>
            <w:r w:rsidRPr="00504A02">
              <w:rPr>
                <w:rFonts w:cs="Times New Roman"/>
                <w:color w:val="00B050"/>
                <w:sz w:val="20"/>
                <w:szCs w:val="20"/>
              </w:rPr>
              <w:t>254</w:t>
            </w:r>
          </w:p>
        </w:tc>
        <w:tc>
          <w:tcPr>
            <w:tcW w:w="851" w:type="dxa"/>
            <w:tcBorders>
              <w:top w:val="single" w:sz="4" w:space="0" w:color="808080" w:themeColor="background1" w:themeShade="80"/>
              <w:bottom w:val="single" w:sz="4" w:space="0" w:color="808080" w:themeColor="background1" w:themeShade="80"/>
            </w:tcBorders>
            <w:vAlign w:val="bottom"/>
          </w:tcPr>
          <w:p w14:paraId="05CC442C" w14:textId="56BB8A34" w:rsidR="006143AE" w:rsidRPr="00504A02" w:rsidRDefault="006143AE" w:rsidP="006143AE">
            <w:pPr>
              <w:contextualSpacing/>
              <w:jc w:val="center"/>
              <w:rPr>
                <w:rFonts w:cs="Times New Roman"/>
                <w:color w:val="00B050"/>
                <w:sz w:val="20"/>
                <w:szCs w:val="20"/>
              </w:rPr>
            </w:pPr>
            <w:r w:rsidRPr="00504A02">
              <w:rPr>
                <w:rFonts w:cs="Times New Roman"/>
                <w:color w:val="00B050"/>
                <w:sz w:val="20"/>
                <w:szCs w:val="20"/>
              </w:rPr>
              <w:t>296</w:t>
            </w:r>
          </w:p>
        </w:tc>
        <w:tc>
          <w:tcPr>
            <w:tcW w:w="850" w:type="dxa"/>
            <w:tcBorders>
              <w:top w:val="single" w:sz="4" w:space="0" w:color="808080" w:themeColor="background1" w:themeShade="80"/>
              <w:bottom w:val="single" w:sz="4" w:space="0" w:color="808080" w:themeColor="background1" w:themeShade="80"/>
            </w:tcBorders>
            <w:shd w:val="clear" w:color="auto" w:fill="FFFFFF" w:themeFill="background1"/>
            <w:vAlign w:val="bottom"/>
          </w:tcPr>
          <w:p w14:paraId="08600DA0" w14:textId="005D58B4" w:rsidR="006143AE" w:rsidRPr="00504A02" w:rsidRDefault="006143AE" w:rsidP="006143AE">
            <w:pPr>
              <w:jc w:val="center"/>
              <w:rPr>
                <w:rFonts w:cs="Times New Roman"/>
                <w:color w:val="00B050"/>
                <w:sz w:val="20"/>
                <w:szCs w:val="20"/>
                <w:lang w:eastAsia="lv-LV"/>
              </w:rPr>
            </w:pPr>
            <w:r w:rsidRPr="00504A02">
              <w:rPr>
                <w:rFonts w:cs="Times New Roman"/>
                <w:color w:val="00B050"/>
                <w:sz w:val="20"/>
                <w:szCs w:val="20"/>
              </w:rPr>
              <w:t>346</w:t>
            </w:r>
          </w:p>
        </w:tc>
      </w:tr>
      <w:tr w:rsidR="006143AE" w:rsidRPr="00057801" w14:paraId="2CA47C66" w14:textId="77777777" w:rsidTr="00317EFA">
        <w:trPr>
          <w:trHeight w:val="85"/>
        </w:trPr>
        <w:tc>
          <w:tcPr>
            <w:tcW w:w="4678" w:type="dxa"/>
            <w:vMerge/>
            <w:tcBorders>
              <w:bottom w:val="single" w:sz="4" w:space="0" w:color="A6A6A6" w:themeColor="background1" w:themeShade="A6"/>
            </w:tcBorders>
            <w:shd w:val="clear" w:color="auto" w:fill="auto"/>
            <w:vAlign w:val="center"/>
          </w:tcPr>
          <w:p w14:paraId="4F529321" w14:textId="77777777" w:rsidR="006143AE" w:rsidRPr="00976D16" w:rsidRDefault="006143AE" w:rsidP="006143AE">
            <w:pPr>
              <w:contextualSpacing/>
              <w:rPr>
                <w:b/>
                <w:bCs/>
                <w:sz w:val="20"/>
                <w:szCs w:val="20"/>
              </w:rPr>
            </w:pPr>
          </w:p>
        </w:tc>
        <w:tc>
          <w:tcPr>
            <w:tcW w:w="851" w:type="dxa"/>
            <w:tcBorders>
              <w:top w:val="single" w:sz="4" w:space="0" w:color="808080" w:themeColor="background1" w:themeShade="80"/>
              <w:bottom w:val="single" w:sz="4" w:space="0" w:color="A6A6A6" w:themeColor="background1" w:themeShade="A6"/>
            </w:tcBorders>
          </w:tcPr>
          <w:p w14:paraId="01213981" w14:textId="2F64850A" w:rsidR="006143AE" w:rsidRPr="00504A02" w:rsidRDefault="006143AE" w:rsidP="006143AE">
            <w:pPr>
              <w:contextualSpacing/>
              <w:jc w:val="center"/>
              <w:rPr>
                <w:sz w:val="20"/>
                <w:szCs w:val="20"/>
              </w:rPr>
            </w:pPr>
            <w:r w:rsidRPr="00504A02">
              <w:rPr>
                <w:color w:val="0070C0"/>
                <w:sz w:val="20"/>
                <w:szCs w:val="20"/>
              </w:rPr>
              <w:t>EE</w:t>
            </w:r>
          </w:p>
        </w:tc>
        <w:tc>
          <w:tcPr>
            <w:tcW w:w="992" w:type="dxa"/>
            <w:tcBorders>
              <w:top w:val="single" w:sz="4" w:space="0" w:color="808080" w:themeColor="background1" w:themeShade="80"/>
              <w:bottom w:val="single" w:sz="4" w:space="0" w:color="A6A6A6" w:themeColor="background1" w:themeShade="A6"/>
            </w:tcBorders>
            <w:shd w:val="clear" w:color="auto" w:fill="FFFFFF" w:themeFill="background1"/>
            <w:vAlign w:val="bottom"/>
          </w:tcPr>
          <w:p w14:paraId="2DE331C8" w14:textId="711A02B0" w:rsidR="006143AE" w:rsidRPr="00504A02" w:rsidRDefault="006143AE" w:rsidP="006143AE">
            <w:pPr>
              <w:contextualSpacing/>
              <w:jc w:val="center"/>
              <w:rPr>
                <w:rFonts w:cs="Times New Roman"/>
                <w:color w:val="0070C0"/>
                <w:sz w:val="20"/>
                <w:szCs w:val="20"/>
              </w:rPr>
            </w:pPr>
            <w:r w:rsidRPr="00504A02">
              <w:rPr>
                <w:rFonts w:cs="Times New Roman"/>
                <w:color w:val="0070C0"/>
                <w:sz w:val="20"/>
                <w:szCs w:val="20"/>
              </w:rPr>
              <w:t>155,21</w:t>
            </w:r>
          </w:p>
        </w:tc>
        <w:tc>
          <w:tcPr>
            <w:tcW w:w="850" w:type="dxa"/>
            <w:tcBorders>
              <w:top w:val="single" w:sz="4" w:space="0" w:color="808080" w:themeColor="background1" w:themeShade="80"/>
              <w:bottom w:val="single" w:sz="4" w:space="0" w:color="A6A6A6" w:themeColor="background1" w:themeShade="A6"/>
            </w:tcBorders>
            <w:vAlign w:val="bottom"/>
          </w:tcPr>
          <w:p w14:paraId="7FF9827F" w14:textId="0DE5FE0C" w:rsidR="006143AE" w:rsidRPr="00504A02" w:rsidRDefault="006143AE" w:rsidP="006143AE">
            <w:pPr>
              <w:contextualSpacing/>
              <w:jc w:val="center"/>
              <w:rPr>
                <w:rFonts w:cs="Times New Roman"/>
                <w:color w:val="0070C0"/>
                <w:sz w:val="20"/>
                <w:szCs w:val="20"/>
              </w:rPr>
            </w:pPr>
            <w:r w:rsidRPr="00504A02">
              <w:rPr>
                <w:rFonts w:cs="Times New Roman"/>
                <w:color w:val="0070C0"/>
                <w:sz w:val="20"/>
                <w:szCs w:val="20"/>
              </w:rPr>
              <w:t>162,97</w:t>
            </w:r>
          </w:p>
        </w:tc>
        <w:tc>
          <w:tcPr>
            <w:tcW w:w="851" w:type="dxa"/>
            <w:tcBorders>
              <w:top w:val="single" w:sz="4" w:space="0" w:color="808080" w:themeColor="background1" w:themeShade="80"/>
              <w:bottom w:val="single" w:sz="4" w:space="0" w:color="A6A6A6" w:themeColor="background1" w:themeShade="A6"/>
            </w:tcBorders>
            <w:vAlign w:val="bottom"/>
          </w:tcPr>
          <w:p w14:paraId="22102EDC" w14:textId="4B4FB93F" w:rsidR="006143AE" w:rsidRPr="00504A02" w:rsidRDefault="006143AE" w:rsidP="006143AE">
            <w:pPr>
              <w:contextualSpacing/>
              <w:jc w:val="center"/>
              <w:rPr>
                <w:rFonts w:cs="Times New Roman"/>
                <w:color w:val="0070C0"/>
                <w:sz w:val="20"/>
                <w:szCs w:val="20"/>
              </w:rPr>
            </w:pPr>
            <w:r w:rsidRPr="00504A02">
              <w:rPr>
                <w:rFonts w:cs="Times New Roman"/>
                <w:color w:val="0070C0"/>
                <w:sz w:val="20"/>
                <w:szCs w:val="20"/>
              </w:rPr>
              <w:t>171,12</w:t>
            </w:r>
          </w:p>
        </w:tc>
        <w:tc>
          <w:tcPr>
            <w:tcW w:w="850" w:type="dxa"/>
            <w:tcBorders>
              <w:top w:val="single" w:sz="4" w:space="0" w:color="808080" w:themeColor="background1" w:themeShade="80"/>
            </w:tcBorders>
            <w:shd w:val="clear" w:color="auto" w:fill="FFFFFF" w:themeFill="background1"/>
            <w:vAlign w:val="bottom"/>
          </w:tcPr>
          <w:p w14:paraId="61E276FA" w14:textId="4C828A24" w:rsidR="006143AE" w:rsidRPr="00504A02" w:rsidRDefault="006143AE" w:rsidP="006143AE">
            <w:pPr>
              <w:jc w:val="center"/>
              <w:rPr>
                <w:rFonts w:cs="Times New Roman"/>
                <w:color w:val="0070C0"/>
                <w:sz w:val="20"/>
                <w:szCs w:val="20"/>
                <w:lang w:eastAsia="lv-LV"/>
              </w:rPr>
            </w:pPr>
            <w:r w:rsidRPr="00504A02">
              <w:rPr>
                <w:rFonts w:cs="Times New Roman"/>
                <w:color w:val="0070C0"/>
                <w:sz w:val="20"/>
                <w:szCs w:val="20"/>
              </w:rPr>
              <w:t>171,12</w:t>
            </w:r>
          </w:p>
        </w:tc>
      </w:tr>
      <w:tr w:rsidR="006143AE" w:rsidRPr="00057801" w14:paraId="69D08E3A" w14:textId="77777777" w:rsidTr="00317EFA">
        <w:trPr>
          <w:trHeight w:val="85"/>
        </w:trPr>
        <w:tc>
          <w:tcPr>
            <w:tcW w:w="4678" w:type="dxa"/>
            <w:vMerge w:val="restart"/>
            <w:tcBorders>
              <w:top w:val="single" w:sz="4" w:space="0" w:color="000000"/>
            </w:tcBorders>
            <w:shd w:val="clear" w:color="auto" w:fill="auto"/>
            <w:vAlign w:val="center"/>
          </w:tcPr>
          <w:p w14:paraId="30658E18" w14:textId="18B6B972" w:rsidR="006143AE" w:rsidRPr="00976D16" w:rsidRDefault="006143AE" w:rsidP="006143AE">
            <w:pPr>
              <w:contextualSpacing/>
              <w:rPr>
                <w:b/>
                <w:bCs/>
                <w:sz w:val="20"/>
                <w:szCs w:val="20"/>
              </w:rPr>
            </w:pPr>
            <w:r w:rsidRPr="00976D16">
              <w:rPr>
                <w:b/>
                <w:bCs/>
                <w:sz w:val="20"/>
                <w:szCs w:val="20"/>
              </w:rPr>
              <w:t xml:space="preserve">Starpprodukti (līdz 15%), </w:t>
            </w:r>
            <w:r w:rsidRPr="00976D16">
              <w:rPr>
                <w:i/>
                <w:iCs/>
                <w:sz w:val="20"/>
                <w:szCs w:val="20"/>
              </w:rPr>
              <w:t>euro par 100 litriem</w:t>
            </w:r>
          </w:p>
        </w:tc>
        <w:tc>
          <w:tcPr>
            <w:tcW w:w="851" w:type="dxa"/>
            <w:tcBorders>
              <w:top w:val="single" w:sz="4" w:space="0" w:color="000000"/>
              <w:bottom w:val="single" w:sz="4" w:space="0" w:color="808080" w:themeColor="background1" w:themeShade="80"/>
            </w:tcBorders>
            <w:shd w:val="clear" w:color="auto" w:fill="FFF2CC" w:themeFill="accent4" w:themeFillTint="33"/>
          </w:tcPr>
          <w:p w14:paraId="0FAD821A" w14:textId="7B3F48B5" w:rsidR="006143AE" w:rsidRPr="00976D16" w:rsidRDefault="006143AE" w:rsidP="006143AE">
            <w:pPr>
              <w:contextualSpacing/>
              <w:jc w:val="center"/>
              <w:rPr>
                <w:b/>
                <w:bCs/>
                <w:sz w:val="20"/>
                <w:szCs w:val="20"/>
              </w:rPr>
            </w:pPr>
            <w:r w:rsidRPr="00215B60">
              <w:rPr>
                <w:b/>
                <w:bCs/>
                <w:color w:val="C00000"/>
                <w:sz w:val="20"/>
                <w:szCs w:val="20"/>
              </w:rPr>
              <w:t>LV</w:t>
            </w:r>
          </w:p>
        </w:tc>
        <w:tc>
          <w:tcPr>
            <w:tcW w:w="992" w:type="dxa"/>
            <w:tcBorders>
              <w:top w:val="single" w:sz="4" w:space="0" w:color="000000"/>
              <w:bottom w:val="single" w:sz="4" w:space="0" w:color="808080" w:themeColor="background1" w:themeShade="80"/>
            </w:tcBorders>
            <w:shd w:val="clear" w:color="auto" w:fill="FFF2CC" w:themeFill="accent4" w:themeFillTint="33"/>
            <w:vAlign w:val="bottom"/>
          </w:tcPr>
          <w:p w14:paraId="4308F694" w14:textId="45FA3B3D" w:rsidR="006143AE" w:rsidRPr="00976D16" w:rsidRDefault="006143AE" w:rsidP="006143AE">
            <w:pPr>
              <w:contextualSpacing/>
              <w:jc w:val="center"/>
              <w:rPr>
                <w:b/>
                <w:bCs/>
                <w:sz w:val="20"/>
                <w:szCs w:val="20"/>
              </w:rPr>
            </w:pPr>
            <w:r w:rsidRPr="00976D16">
              <w:rPr>
                <w:rFonts w:eastAsia="Times New Roman" w:cs="Times New Roman"/>
                <w:b/>
                <w:bCs/>
                <w:color w:val="C00000"/>
                <w:sz w:val="20"/>
                <w:szCs w:val="20"/>
                <w:lang w:eastAsia="lv-LV"/>
              </w:rPr>
              <w:t>122</w:t>
            </w:r>
          </w:p>
        </w:tc>
        <w:tc>
          <w:tcPr>
            <w:tcW w:w="850" w:type="dxa"/>
            <w:tcBorders>
              <w:top w:val="single" w:sz="4" w:space="0" w:color="000000"/>
              <w:bottom w:val="single" w:sz="4" w:space="0" w:color="808080" w:themeColor="background1" w:themeShade="80"/>
            </w:tcBorders>
            <w:shd w:val="clear" w:color="auto" w:fill="FFF2CC" w:themeFill="accent4" w:themeFillTint="33"/>
            <w:vAlign w:val="bottom"/>
          </w:tcPr>
          <w:p w14:paraId="49E85DA9" w14:textId="27238621" w:rsidR="006143AE" w:rsidRPr="00976D16" w:rsidRDefault="006143AE" w:rsidP="006143AE">
            <w:pPr>
              <w:contextualSpacing/>
              <w:jc w:val="center"/>
              <w:rPr>
                <w:b/>
                <w:bCs/>
                <w:color w:val="C00000"/>
                <w:sz w:val="20"/>
                <w:szCs w:val="20"/>
              </w:rPr>
            </w:pPr>
            <w:r w:rsidRPr="00976D16">
              <w:rPr>
                <w:rFonts w:eastAsia="Times New Roman" w:cs="Times New Roman"/>
                <w:b/>
                <w:bCs/>
                <w:color w:val="C00000"/>
                <w:sz w:val="20"/>
                <w:szCs w:val="20"/>
                <w:lang w:eastAsia="lv-LV"/>
              </w:rPr>
              <w:t>134</w:t>
            </w:r>
          </w:p>
        </w:tc>
        <w:tc>
          <w:tcPr>
            <w:tcW w:w="851" w:type="dxa"/>
            <w:tcBorders>
              <w:top w:val="single" w:sz="4" w:space="0" w:color="000000"/>
              <w:bottom w:val="single" w:sz="4" w:space="0" w:color="808080" w:themeColor="background1" w:themeShade="80"/>
            </w:tcBorders>
            <w:shd w:val="clear" w:color="auto" w:fill="FFF2CC" w:themeFill="accent4" w:themeFillTint="33"/>
            <w:vAlign w:val="bottom"/>
          </w:tcPr>
          <w:p w14:paraId="725E0AB0" w14:textId="17DB555D" w:rsidR="006143AE" w:rsidRPr="00976D16" w:rsidRDefault="006143AE" w:rsidP="006143AE">
            <w:pPr>
              <w:contextualSpacing/>
              <w:jc w:val="center"/>
              <w:rPr>
                <w:b/>
                <w:bCs/>
                <w:color w:val="C00000"/>
                <w:sz w:val="20"/>
                <w:szCs w:val="20"/>
              </w:rPr>
            </w:pPr>
            <w:r w:rsidRPr="00976D16">
              <w:rPr>
                <w:rFonts w:eastAsia="Times New Roman" w:cs="Times New Roman"/>
                <w:b/>
                <w:bCs/>
                <w:color w:val="C00000"/>
                <w:sz w:val="20"/>
                <w:szCs w:val="20"/>
                <w:lang w:eastAsia="lv-LV"/>
              </w:rPr>
              <w:t>148</w:t>
            </w:r>
          </w:p>
        </w:tc>
        <w:tc>
          <w:tcPr>
            <w:tcW w:w="850" w:type="dxa"/>
            <w:tcBorders>
              <w:bottom w:val="single" w:sz="4" w:space="0" w:color="808080" w:themeColor="background1" w:themeShade="80"/>
            </w:tcBorders>
            <w:shd w:val="clear" w:color="auto" w:fill="FFF2CC" w:themeFill="accent4" w:themeFillTint="33"/>
            <w:vAlign w:val="bottom"/>
          </w:tcPr>
          <w:p w14:paraId="1CCCEA2A" w14:textId="1B571440" w:rsidR="006143AE" w:rsidRPr="00976D16" w:rsidRDefault="006143AE" w:rsidP="006143AE">
            <w:pPr>
              <w:jc w:val="center"/>
              <w:rPr>
                <w:b/>
                <w:bCs/>
                <w:sz w:val="20"/>
                <w:szCs w:val="20"/>
                <w:lang w:eastAsia="lv-LV"/>
              </w:rPr>
            </w:pPr>
            <w:r w:rsidRPr="00976D16">
              <w:rPr>
                <w:rFonts w:eastAsia="Times New Roman" w:cs="Times New Roman"/>
                <w:b/>
                <w:bCs/>
                <w:color w:val="FF0000"/>
                <w:sz w:val="20"/>
                <w:szCs w:val="20"/>
                <w:lang w:eastAsia="lv-LV"/>
              </w:rPr>
              <w:t>155</w:t>
            </w:r>
          </w:p>
        </w:tc>
      </w:tr>
      <w:tr w:rsidR="006143AE" w:rsidRPr="000D3D63" w14:paraId="106CFC46" w14:textId="6317D0B5" w:rsidTr="00504A02">
        <w:trPr>
          <w:trHeight w:val="50"/>
        </w:trPr>
        <w:tc>
          <w:tcPr>
            <w:tcW w:w="4678" w:type="dxa"/>
            <w:vMerge/>
            <w:shd w:val="clear" w:color="auto" w:fill="auto"/>
            <w:vAlign w:val="center"/>
          </w:tcPr>
          <w:p w14:paraId="02CA179F" w14:textId="5A2DA9C0" w:rsidR="006143AE" w:rsidRPr="00976D16" w:rsidRDefault="006143AE" w:rsidP="006143AE">
            <w:pPr>
              <w:contextualSpacing/>
              <w:rPr>
                <w:b/>
                <w:bCs/>
                <w:sz w:val="20"/>
                <w:szCs w:val="20"/>
              </w:rPr>
            </w:pPr>
          </w:p>
        </w:tc>
        <w:tc>
          <w:tcPr>
            <w:tcW w:w="851" w:type="dxa"/>
            <w:tcBorders>
              <w:top w:val="single" w:sz="4" w:space="0" w:color="808080" w:themeColor="background1" w:themeShade="80"/>
              <w:bottom w:val="single" w:sz="4" w:space="0" w:color="808080" w:themeColor="background1" w:themeShade="80"/>
            </w:tcBorders>
          </w:tcPr>
          <w:p w14:paraId="4FB13A3D" w14:textId="45D53526" w:rsidR="006143AE" w:rsidRPr="00504A02" w:rsidRDefault="006143AE" w:rsidP="006143AE">
            <w:pPr>
              <w:contextualSpacing/>
              <w:jc w:val="center"/>
              <w:rPr>
                <w:sz w:val="20"/>
                <w:szCs w:val="20"/>
              </w:rPr>
            </w:pPr>
            <w:r w:rsidRPr="00504A02">
              <w:rPr>
                <w:color w:val="00B050"/>
                <w:sz w:val="20"/>
                <w:szCs w:val="20"/>
              </w:rPr>
              <w:t>LT</w:t>
            </w:r>
          </w:p>
        </w:tc>
        <w:tc>
          <w:tcPr>
            <w:tcW w:w="992" w:type="dxa"/>
            <w:tcBorders>
              <w:top w:val="single" w:sz="4" w:space="0" w:color="808080" w:themeColor="background1" w:themeShade="80"/>
              <w:bottom w:val="single" w:sz="4" w:space="0" w:color="808080" w:themeColor="background1" w:themeShade="80"/>
            </w:tcBorders>
            <w:shd w:val="clear" w:color="auto" w:fill="FFFFFF" w:themeFill="background1"/>
            <w:vAlign w:val="bottom"/>
          </w:tcPr>
          <w:p w14:paraId="1DF8DB59" w14:textId="70D62C4D" w:rsidR="006143AE" w:rsidRPr="00504A02" w:rsidRDefault="006143AE" w:rsidP="006143AE">
            <w:pPr>
              <w:contextualSpacing/>
              <w:jc w:val="center"/>
              <w:rPr>
                <w:rFonts w:cs="Times New Roman"/>
                <w:color w:val="00B050"/>
                <w:sz w:val="20"/>
                <w:szCs w:val="20"/>
              </w:rPr>
            </w:pPr>
            <w:r w:rsidRPr="00504A02">
              <w:rPr>
                <w:rFonts w:cs="Times New Roman"/>
                <w:color w:val="00B050"/>
                <w:sz w:val="20"/>
                <w:szCs w:val="20"/>
              </w:rPr>
              <w:t>234</w:t>
            </w:r>
          </w:p>
        </w:tc>
        <w:tc>
          <w:tcPr>
            <w:tcW w:w="850" w:type="dxa"/>
            <w:tcBorders>
              <w:top w:val="single" w:sz="4" w:space="0" w:color="808080" w:themeColor="background1" w:themeShade="80"/>
              <w:bottom w:val="single" w:sz="4" w:space="0" w:color="808080" w:themeColor="background1" w:themeShade="80"/>
            </w:tcBorders>
            <w:vAlign w:val="bottom"/>
          </w:tcPr>
          <w:p w14:paraId="6F039BBB" w14:textId="69FBD69A" w:rsidR="006143AE" w:rsidRPr="00504A02" w:rsidRDefault="006143AE" w:rsidP="006143AE">
            <w:pPr>
              <w:contextualSpacing/>
              <w:jc w:val="center"/>
              <w:rPr>
                <w:rFonts w:cs="Times New Roman"/>
                <w:color w:val="00B050"/>
                <w:sz w:val="20"/>
                <w:szCs w:val="20"/>
              </w:rPr>
            </w:pPr>
            <w:r w:rsidRPr="00504A02">
              <w:rPr>
                <w:rFonts w:cs="Times New Roman"/>
                <w:color w:val="00B050"/>
                <w:sz w:val="20"/>
                <w:szCs w:val="20"/>
              </w:rPr>
              <w:t>292</w:t>
            </w:r>
          </w:p>
        </w:tc>
        <w:tc>
          <w:tcPr>
            <w:tcW w:w="851" w:type="dxa"/>
            <w:tcBorders>
              <w:top w:val="single" w:sz="4" w:space="0" w:color="808080" w:themeColor="background1" w:themeShade="80"/>
              <w:bottom w:val="single" w:sz="4" w:space="0" w:color="808080" w:themeColor="background1" w:themeShade="80"/>
            </w:tcBorders>
            <w:vAlign w:val="bottom"/>
          </w:tcPr>
          <w:p w14:paraId="787A40D4" w14:textId="77992809" w:rsidR="006143AE" w:rsidRPr="00504A02" w:rsidRDefault="006143AE" w:rsidP="006143AE">
            <w:pPr>
              <w:contextualSpacing/>
              <w:jc w:val="center"/>
              <w:rPr>
                <w:rFonts w:cs="Times New Roman"/>
                <w:color w:val="00B050"/>
                <w:sz w:val="20"/>
                <w:szCs w:val="20"/>
              </w:rPr>
            </w:pPr>
            <w:r w:rsidRPr="00504A02">
              <w:rPr>
                <w:rFonts w:cs="Times New Roman"/>
                <w:color w:val="00B050"/>
                <w:sz w:val="20"/>
                <w:szCs w:val="20"/>
              </w:rPr>
              <w:t>365</w:t>
            </w:r>
          </w:p>
        </w:tc>
        <w:tc>
          <w:tcPr>
            <w:tcW w:w="850" w:type="dxa"/>
            <w:tcBorders>
              <w:top w:val="single" w:sz="4" w:space="0" w:color="808080" w:themeColor="background1" w:themeShade="80"/>
              <w:bottom w:val="single" w:sz="4" w:space="0" w:color="808080" w:themeColor="background1" w:themeShade="80"/>
            </w:tcBorders>
            <w:shd w:val="clear" w:color="auto" w:fill="FFFFFF" w:themeFill="background1"/>
            <w:vAlign w:val="bottom"/>
          </w:tcPr>
          <w:p w14:paraId="19723BE1" w14:textId="47C6CE6E" w:rsidR="006143AE" w:rsidRPr="00504A02" w:rsidRDefault="006143AE" w:rsidP="006143AE">
            <w:pPr>
              <w:contextualSpacing/>
              <w:jc w:val="center"/>
              <w:rPr>
                <w:rFonts w:cs="Times New Roman"/>
                <w:color w:val="00B050"/>
                <w:sz w:val="20"/>
                <w:szCs w:val="20"/>
              </w:rPr>
            </w:pPr>
            <w:r w:rsidRPr="00504A02">
              <w:rPr>
                <w:rFonts w:cs="Times New Roman"/>
                <w:color w:val="00B050"/>
                <w:sz w:val="20"/>
                <w:szCs w:val="20"/>
              </w:rPr>
              <w:t>457</w:t>
            </w:r>
          </w:p>
        </w:tc>
      </w:tr>
      <w:tr w:rsidR="006143AE" w:rsidRPr="000D3D63" w14:paraId="08D7FFF8" w14:textId="77777777" w:rsidTr="00317EFA">
        <w:trPr>
          <w:trHeight w:val="85"/>
        </w:trPr>
        <w:tc>
          <w:tcPr>
            <w:tcW w:w="4678" w:type="dxa"/>
            <w:vMerge/>
            <w:tcBorders>
              <w:bottom w:val="single" w:sz="4" w:space="0" w:color="A6A6A6" w:themeColor="background1" w:themeShade="A6"/>
            </w:tcBorders>
            <w:shd w:val="clear" w:color="auto" w:fill="auto"/>
            <w:vAlign w:val="center"/>
          </w:tcPr>
          <w:p w14:paraId="702CD11A" w14:textId="77777777" w:rsidR="006143AE" w:rsidRPr="00976D16" w:rsidRDefault="006143AE" w:rsidP="006143AE">
            <w:pPr>
              <w:contextualSpacing/>
              <w:rPr>
                <w:b/>
                <w:bCs/>
                <w:sz w:val="20"/>
                <w:szCs w:val="20"/>
              </w:rPr>
            </w:pPr>
          </w:p>
        </w:tc>
        <w:tc>
          <w:tcPr>
            <w:tcW w:w="851" w:type="dxa"/>
            <w:tcBorders>
              <w:top w:val="single" w:sz="4" w:space="0" w:color="808080" w:themeColor="background1" w:themeShade="80"/>
              <w:bottom w:val="single" w:sz="4" w:space="0" w:color="A6A6A6" w:themeColor="background1" w:themeShade="A6"/>
            </w:tcBorders>
          </w:tcPr>
          <w:p w14:paraId="025ED1F1" w14:textId="1F64D424" w:rsidR="006143AE" w:rsidRPr="00504A02" w:rsidRDefault="006143AE" w:rsidP="006143AE">
            <w:pPr>
              <w:contextualSpacing/>
              <w:jc w:val="center"/>
              <w:rPr>
                <w:sz w:val="20"/>
                <w:szCs w:val="20"/>
              </w:rPr>
            </w:pPr>
            <w:r w:rsidRPr="00504A02">
              <w:rPr>
                <w:color w:val="0070C0"/>
                <w:sz w:val="20"/>
                <w:szCs w:val="20"/>
              </w:rPr>
              <w:t>EE</w:t>
            </w:r>
          </w:p>
        </w:tc>
        <w:tc>
          <w:tcPr>
            <w:tcW w:w="992" w:type="dxa"/>
            <w:tcBorders>
              <w:top w:val="single" w:sz="4" w:space="0" w:color="808080" w:themeColor="background1" w:themeShade="80"/>
              <w:bottom w:val="single" w:sz="4" w:space="0" w:color="A6A6A6" w:themeColor="background1" w:themeShade="A6"/>
            </w:tcBorders>
            <w:shd w:val="clear" w:color="auto" w:fill="FFFFFF" w:themeFill="background1"/>
            <w:vAlign w:val="bottom"/>
          </w:tcPr>
          <w:p w14:paraId="0AA8AD3F" w14:textId="2146524A" w:rsidR="006143AE" w:rsidRPr="00504A02" w:rsidRDefault="006143AE" w:rsidP="006143AE">
            <w:pPr>
              <w:contextualSpacing/>
              <w:jc w:val="center"/>
              <w:rPr>
                <w:rFonts w:cs="Times New Roman"/>
                <w:color w:val="0070C0"/>
                <w:sz w:val="20"/>
                <w:szCs w:val="20"/>
              </w:rPr>
            </w:pPr>
            <w:r w:rsidRPr="00504A02">
              <w:rPr>
                <w:rFonts w:cs="Times New Roman"/>
                <w:color w:val="0070C0"/>
                <w:sz w:val="20"/>
                <w:szCs w:val="20"/>
              </w:rPr>
              <w:t>303,80</w:t>
            </w:r>
          </w:p>
        </w:tc>
        <w:tc>
          <w:tcPr>
            <w:tcW w:w="850" w:type="dxa"/>
            <w:tcBorders>
              <w:top w:val="single" w:sz="4" w:space="0" w:color="808080" w:themeColor="background1" w:themeShade="80"/>
              <w:bottom w:val="single" w:sz="4" w:space="0" w:color="A6A6A6" w:themeColor="background1" w:themeShade="A6"/>
            </w:tcBorders>
            <w:vAlign w:val="bottom"/>
          </w:tcPr>
          <w:p w14:paraId="040B0131" w14:textId="2821121C" w:rsidR="006143AE" w:rsidRPr="00504A02" w:rsidRDefault="006143AE" w:rsidP="006143AE">
            <w:pPr>
              <w:contextualSpacing/>
              <w:jc w:val="center"/>
              <w:rPr>
                <w:rFonts w:cs="Times New Roman"/>
                <w:color w:val="0070C0"/>
                <w:sz w:val="20"/>
                <w:szCs w:val="20"/>
              </w:rPr>
            </w:pPr>
            <w:r w:rsidRPr="00504A02">
              <w:rPr>
                <w:rFonts w:cs="Times New Roman"/>
                <w:color w:val="0070C0"/>
                <w:sz w:val="20"/>
                <w:szCs w:val="20"/>
              </w:rPr>
              <w:t>319,00</w:t>
            </w:r>
          </w:p>
        </w:tc>
        <w:tc>
          <w:tcPr>
            <w:tcW w:w="851" w:type="dxa"/>
            <w:tcBorders>
              <w:top w:val="single" w:sz="4" w:space="0" w:color="808080" w:themeColor="background1" w:themeShade="80"/>
              <w:bottom w:val="single" w:sz="4" w:space="0" w:color="A6A6A6" w:themeColor="background1" w:themeShade="A6"/>
            </w:tcBorders>
            <w:vAlign w:val="bottom"/>
          </w:tcPr>
          <w:p w14:paraId="35395ADB" w14:textId="20358BB2" w:rsidR="006143AE" w:rsidRPr="00504A02" w:rsidRDefault="006143AE" w:rsidP="006143AE">
            <w:pPr>
              <w:contextualSpacing/>
              <w:jc w:val="center"/>
              <w:rPr>
                <w:rFonts w:cs="Times New Roman"/>
                <w:color w:val="0070C0"/>
                <w:sz w:val="20"/>
                <w:szCs w:val="20"/>
              </w:rPr>
            </w:pPr>
            <w:r w:rsidRPr="00504A02">
              <w:rPr>
                <w:rFonts w:cs="Times New Roman"/>
                <w:color w:val="0070C0"/>
                <w:sz w:val="20"/>
                <w:szCs w:val="20"/>
              </w:rPr>
              <w:t>334,95</w:t>
            </w:r>
          </w:p>
        </w:tc>
        <w:tc>
          <w:tcPr>
            <w:tcW w:w="850" w:type="dxa"/>
            <w:tcBorders>
              <w:top w:val="single" w:sz="4" w:space="0" w:color="808080" w:themeColor="background1" w:themeShade="80"/>
            </w:tcBorders>
            <w:shd w:val="clear" w:color="auto" w:fill="FFFFFF" w:themeFill="background1"/>
            <w:vAlign w:val="bottom"/>
          </w:tcPr>
          <w:p w14:paraId="745F58A1" w14:textId="413CE835" w:rsidR="006143AE" w:rsidRPr="00504A02" w:rsidRDefault="006143AE" w:rsidP="006143AE">
            <w:pPr>
              <w:contextualSpacing/>
              <w:jc w:val="center"/>
              <w:rPr>
                <w:rFonts w:cs="Times New Roman"/>
                <w:color w:val="0070C0"/>
                <w:sz w:val="20"/>
                <w:szCs w:val="20"/>
              </w:rPr>
            </w:pPr>
            <w:r w:rsidRPr="00504A02">
              <w:rPr>
                <w:rFonts w:cs="Times New Roman"/>
                <w:color w:val="0070C0"/>
                <w:sz w:val="20"/>
                <w:szCs w:val="20"/>
              </w:rPr>
              <w:t>334,95</w:t>
            </w:r>
          </w:p>
        </w:tc>
      </w:tr>
      <w:tr w:rsidR="006143AE" w:rsidRPr="000D3D63" w14:paraId="4016FF14" w14:textId="7DEC2F54" w:rsidTr="00317EFA">
        <w:trPr>
          <w:trHeight w:val="85"/>
        </w:trPr>
        <w:tc>
          <w:tcPr>
            <w:tcW w:w="4678" w:type="dxa"/>
            <w:vMerge w:val="restart"/>
            <w:tcBorders>
              <w:top w:val="single" w:sz="4" w:space="0" w:color="000000"/>
            </w:tcBorders>
            <w:shd w:val="clear" w:color="auto" w:fill="auto"/>
            <w:vAlign w:val="center"/>
          </w:tcPr>
          <w:p w14:paraId="746D4FCC" w14:textId="2E2AB7D2" w:rsidR="006143AE" w:rsidRPr="00976D16" w:rsidRDefault="006143AE" w:rsidP="006143AE">
            <w:pPr>
              <w:contextualSpacing/>
              <w:rPr>
                <w:b/>
                <w:bCs/>
                <w:sz w:val="20"/>
                <w:szCs w:val="20"/>
              </w:rPr>
            </w:pPr>
            <w:r w:rsidRPr="00976D16">
              <w:rPr>
                <w:b/>
                <w:bCs/>
                <w:sz w:val="20"/>
                <w:szCs w:val="20"/>
              </w:rPr>
              <w:t xml:space="preserve">Starpprodukti (no 15% un līdz 22%), </w:t>
            </w:r>
            <w:r w:rsidRPr="00976D16">
              <w:rPr>
                <w:i/>
                <w:iCs/>
                <w:sz w:val="20"/>
                <w:szCs w:val="20"/>
              </w:rPr>
              <w:t>euro par 100 litriem</w:t>
            </w:r>
          </w:p>
        </w:tc>
        <w:tc>
          <w:tcPr>
            <w:tcW w:w="851" w:type="dxa"/>
            <w:tcBorders>
              <w:top w:val="single" w:sz="4" w:space="0" w:color="000000"/>
              <w:bottom w:val="single" w:sz="4" w:space="0" w:color="808080" w:themeColor="background1" w:themeShade="80"/>
            </w:tcBorders>
            <w:shd w:val="clear" w:color="auto" w:fill="FFF2CC" w:themeFill="accent4" w:themeFillTint="33"/>
          </w:tcPr>
          <w:p w14:paraId="66493B13" w14:textId="7E28A8EB" w:rsidR="006143AE" w:rsidRPr="00976D16" w:rsidRDefault="006143AE" w:rsidP="006143AE">
            <w:pPr>
              <w:contextualSpacing/>
              <w:jc w:val="center"/>
              <w:rPr>
                <w:b/>
                <w:bCs/>
                <w:sz w:val="20"/>
                <w:szCs w:val="20"/>
              </w:rPr>
            </w:pPr>
            <w:r w:rsidRPr="00215B60">
              <w:rPr>
                <w:b/>
                <w:bCs/>
                <w:color w:val="C00000"/>
                <w:sz w:val="20"/>
                <w:szCs w:val="20"/>
              </w:rPr>
              <w:t>LV</w:t>
            </w:r>
          </w:p>
        </w:tc>
        <w:tc>
          <w:tcPr>
            <w:tcW w:w="992" w:type="dxa"/>
            <w:tcBorders>
              <w:top w:val="single" w:sz="4" w:space="0" w:color="000000"/>
              <w:bottom w:val="single" w:sz="4" w:space="0" w:color="808080" w:themeColor="background1" w:themeShade="80"/>
            </w:tcBorders>
            <w:shd w:val="clear" w:color="auto" w:fill="FFF2CC" w:themeFill="accent4" w:themeFillTint="33"/>
            <w:vAlign w:val="bottom"/>
          </w:tcPr>
          <w:p w14:paraId="209B40BE" w14:textId="70FE2CA8" w:rsidR="006143AE" w:rsidRPr="00215B60" w:rsidRDefault="006143AE" w:rsidP="006143AE">
            <w:pPr>
              <w:contextualSpacing/>
              <w:jc w:val="center"/>
              <w:rPr>
                <w:rFonts w:cs="Times New Roman"/>
                <w:b/>
                <w:bCs/>
                <w:color w:val="C00000"/>
                <w:sz w:val="20"/>
                <w:szCs w:val="20"/>
              </w:rPr>
            </w:pPr>
            <w:r w:rsidRPr="00215B60">
              <w:rPr>
                <w:rFonts w:cs="Times New Roman"/>
                <w:b/>
                <w:bCs/>
                <w:color w:val="C00000"/>
                <w:sz w:val="20"/>
                <w:szCs w:val="20"/>
              </w:rPr>
              <w:t>203</w:t>
            </w:r>
          </w:p>
        </w:tc>
        <w:tc>
          <w:tcPr>
            <w:tcW w:w="850" w:type="dxa"/>
            <w:tcBorders>
              <w:top w:val="single" w:sz="4" w:space="0" w:color="000000"/>
              <w:bottom w:val="single" w:sz="4" w:space="0" w:color="808080" w:themeColor="background1" w:themeShade="80"/>
            </w:tcBorders>
            <w:shd w:val="clear" w:color="auto" w:fill="FFF2CC" w:themeFill="accent4" w:themeFillTint="33"/>
            <w:vAlign w:val="bottom"/>
          </w:tcPr>
          <w:p w14:paraId="7F0F87C5" w14:textId="438E28A4" w:rsidR="006143AE" w:rsidRPr="00215B60" w:rsidRDefault="006143AE" w:rsidP="006143AE">
            <w:pPr>
              <w:contextualSpacing/>
              <w:jc w:val="center"/>
              <w:rPr>
                <w:rFonts w:cs="Times New Roman"/>
                <w:b/>
                <w:bCs/>
                <w:color w:val="C00000"/>
                <w:sz w:val="20"/>
                <w:szCs w:val="20"/>
              </w:rPr>
            </w:pPr>
            <w:r w:rsidRPr="00215B60">
              <w:rPr>
                <w:rFonts w:cs="Times New Roman"/>
                <w:b/>
                <w:bCs/>
                <w:color w:val="C00000"/>
                <w:sz w:val="20"/>
                <w:szCs w:val="20"/>
              </w:rPr>
              <w:t>222</w:t>
            </w:r>
          </w:p>
        </w:tc>
        <w:tc>
          <w:tcPr>
            <w:tcW w:w="851" w:type="dxa"/>
            <w:tcBorders>
              <w:top w:val="single" w:sz="4" w:space="0" w:color="000000"/>
              <w:bottom w:val="single" w:sz="4" w:space="0" w:color="808080" w:themeColor="background1" w:themeShade="80"/>
            </w:tcBorders>
            <w:shd w:val="clear" w:color="auto" w:fill="FFF2CC" w:themeFill="accent4" w:themeFillTint="33"/>
            <w:vAlign w:val="bottom"/>
          </w:tcPr>
          <w:p w14:paraId="11D88D1A" w14:textId="18626649" w:rsidR="006143AE" w:rsidRPr="00215B60" w:rsidRDefault="006143AE" w:rsidP="006143AE">
            <w:pPr>
              <w:contextualSpacing/>
              <w:jc w:val="center"/>
              <w:rPr>
                <w:rFonts w:cs="Times New Roman"/>
                <w:b/>
                <w:bCs/>
                <w:color w:val="C00000"/>
                <w:sz w:val="20"/>
                <w:szCs w:val="20"/>
              </w:rPr>
            </w:pPr>
            <w:r w:rsidRPr="00215B60">
              <w:rPr>
                <w:rFonts w:cs="Times New Roman"/>
                <w:b/>
                <w:bCs/>
                <w:color w:val="C00000"/>
                <w:sz w:val="20"/>
                <w:szCs w:val="20"/>
              </w:rPr>
              <w:t>244</w:t>
            </w:r>
          </w:p>
        </w:tc>
        <w:tc>
          <w:tcPr>
            <w:tcW w:w="850" w:type="dxa"/>
            <w:tcBorders>
              <w:bottom w:val="single" w:sz="4" w:space="0" w:color="808080" w:themeColor="background1" w:themeShade="80"/>
            </w:tcBorders>
            <w:shd w:val="clear" w:color="auto" w:fill="FFF2CC" w:themeFill="accent4" w:themeFillTint="33"/>
            <w:vAlign w:val="bottom"/>
          </w:tcPr>
          <w:p w14:paraId="365DA745" w14:textId="1E2035F9" w:rsidR="006143AE" w:rsidRPr="00215B60" w:rsidRDefault="006143AE" w:rsidP="006143AE">
            <w:pPr>
              <w:contextualSpacing/>
              <w:jc w:val="center"/>
              <w:rPr>
                <w:rFonts w:cs="Times New Roman"/>
                <w:b/>
                <w:bCs/>
                <w:color w:val="C00000"/>
                <w:sz w:val="20"/>
                <w:szCs w:val="20"/>
              </w:rPr>
            </w:pPr>
            <w:r w:rsidRPr="00215B60">
              <w:rPr>
                <w:rFonts w:cs="Times New Roman"/>
                <w:b/>
                <w:bCs/>
                <w:color w:val="FF0000"/>
                <w:sz w:val="20"/>
                <w:szCs w:val="20"/>
              </w:rPr>
              <w:t>256</w:t>
            </w:r>
          </w:p>
        </w:tc>
      </w:tr>
      <w:tr w:rsidR="006143AE" w:rsidRPr="00EE7219" w14:paraId="1B806004" w14:textId="77777777" w:rsidTr="00317EFA">
        <w:trPr>
          <w:trHeight w:val="85"/>
        </w:trPr>
        <w:tc>
          <w:tcPr>
            <w:tcW w:w="4678" w:type="dxa"/>
            <w:vMerge/>
            <w:shd w:val="clear" w:color="auto" w:fill="auto"/>
            <w:vAlign w:val="center"/>
          </w:tcPr>
          <w:p w14:paraId="643D6A05" w14:textId="77777777" w:rsidR="006143AE" w:rsidRPr="00976D16" w:rsidRDefault="006143AE" w:rsidP="006143AE">
            <w:pPr>
              <w:contextualSpacing/>
              <w:rPr>
                <w:b/>
                <w:bCs/>
                <w:sz w:val="20"/>
                <w:szCs w:val="20"/>
              </w:rPr>
            </w:pPr>
          </w:p>
        </w:tc>
        <w:tc>
          <w:tcPr>
            <w:tcW w:w="851" w:type="dxa"/>
            <w:tcBorders>
              <w:top w:val="single" w:sz="4" w:space="0" w:color="808080" w:themeColor="background1" w:themeShade="80"/>
              <w:bottom w:val="single" w:sz="4" w:space="0" w:color="808080" w:themeColor="background1" w:themeShade="80"/>
            </w:tcBorders>
          </w:tcPr>
          <w:p w14:paraId="2319374E" w14:textId="78E548B6" w:rsidR="006143AE" w:rsidRPr="00504A02" w:rsidRDefault="006143AE" w:rsidP="006143AE">
            <w:pPr>
              <w:contextualSpacing/>
              <w:jc w:val="center"/>
              <w:rPr>
                <w:sz w:val="20"/>
                <w:szCs w:val="20"/>
              </w:rPr>
            </w:pPr>
            <w:r w:rsidRPr="00504A02">
              <w:rPr>
                <w:color w:val="00B050"/>
                <w:sz w:val="20"/>
                <w:szCs w:val="20"/>
              </w:rPr>
              <w:t>LT</w:t>
            </w:r>
          </w:p>
        </w:tc>
        <w:tc>
          <w:tcPr>
            <w:tcW w:w="992" w:type="dxa"/>
            <w:tcBorders>
              <w:top w:val="single" w:sz="4" w:space="0" w:color="808080" w:themeColor="background1" w:themeShade="80"/>
              <w:bottom w:val="single" w:sz="4" w:space="0" w:color="808080" w:themeColor="background1" w:themeShade="80"/>
            </w:tcBorders>
            <w:shd w:val="clear" w:color="auto" w:fill="FFFFFF" w:themeFill="background1"/>
            <w:vAlign w:val="bottom"/>
          </w:tcPr>
          <w:p w14:paraId="196B7DFC" w14:textId="11081A92" w:rsidR="006143AE" w:rsidRPr="00504A02" w:rsidRDefault="006143AE" w:rsidP="006143AE">
            <w:pPr>
              <w:contextualSpacing/>
              <w:jc w:val="center"/>
              <w:rPr>
                <w:rFonts w:cs="Times New Roman"/>
                <w:color w:val="00B050"/>
                <w:sz w:val="20"/>
                <w:szCs w:val="20"/>
              </w:rPr>
            </w:pPr>
            <w:r w:rsidRPr="00504A02">
              <w:rPr>
                <w:rFonts w:cs="Times New Roman"/>
                <w:color w:val="00B050"/>
                <w:sz w:val="20"/>
                <w:szCs w:val="20"/>
              </w:rPr>
              <w:t>333</w:t>
            </w:r>
          </w:p>
        </w:tc>
        <w:tc>
          <w:tcPr>
            <w:tcW w:w="850" w:type="dxa"/>
            <w:tcBorders>
              <w:top w:val="single" w:sz="4" w:space="0" w:color="808080" w:themeColor="background1" w:themeShade="80"/>
              <w:bottom w:val="single" w:sz="4" w:space="0" w:color="808080" w:themeColor="background1" w:themeShade="80"/>
            </w:tcBorders>
            <w:vAlign w:val="bottom"/>
          </w:tcPr>
          <w:p w14:paraId="4BCCED6F" w14:textId="79150DB4" w:rsidR="006143AE" w:rsidRPr="00504A02" w:rsidRDefault="006143AE" w:rsidP="006143AE">
            <w:pPr>
              <w:contextualSpacing/>
              <w:jc w:val="center"/>
              <w:rPr>
                <w:rFonts w:cs="Times New Roman"/>
                <w:i/>
                <w:iCs/>
                <w:color w:val="00B050"/>
                <w:sz w:val="20"/>
                <w:szCs w:val="20"/>
              </w:rPr>
            </w:pPr>
            <w:r w:rsidRPr="00504A02">
              <w:rPr>
                <w:rFonts w:cs="Times New Roman"/>
                <w:color w:val="00B050"/>
                <w:sz w:val="20"/>
                <w:szCs w:val="20"/>
              </w:rPr>
              <w:t>370</w:t>
            </w:r>
          </w:p>
        </w:tc>
        <w:tc>
          <w:tcPr>
            <w:tcW w:w="851" w:type="dxa"/>
            <w:tcBorders>
              <w:top w:val="single" w:sz="4" w:space="0" w:color="808080" w:themeColor="background1" w:themeShade="80"/>
              <w:bottom w:val="single" w:sz="4" w:space="0" w:color="808080" w:themeColor="background1" w:themeShade="80"/>
            </w:tcBorders>
            <w:vAlign w:val="bottom"/>
          </w:tcPr>
          <w:p w14:paraId="0FBDA0B5" w14:textId="0A6E38A8" w:rsidR="006143AE" w:rsidRPr="00504A02" w:rsidRDefault="006143AE" w:rsidP="006143AE">
            <w:pPr>
              <w:contextualSpacing/>
              <w:jc w:val="center"/>
              <w:rPr>
                <w:rFonts w:cs="Times New Roman"/>
                <w:i/>
                <w:iCs/>
                <w:color w:val="00B050"/>
                <w:sz w:val="20"/>
                <w:szCs w:val="20"/>
              </w:rPr>
            </w:pPr>
            <w:r w:rsidRPr="00504A02">
              <w:rPr>
                <w:rFonts w:cs="Times New Roman"/>
                <w:color w:val="00B050"/>
                <w:sz w:val="20"/>
                <w:szCs w:val="20"/>
              </w:rPr>
              <w:t>411</w:t>
            </w:r>
          </w:p>
        </w:tc>
        <w:tc>
          <w:tcPr>
            <w:tcW w:w="850" w:type="dxa"/>
            <w:tcBorders>
              <w:top w:val="single" w:sz="4" w:space="0" w:color="808080" w:themeColor="background1" w:themeShade="80"/>
              <w:bottom w:val="single" w:sz="4" w:space="0" w:color="808080" w:themeColor="background1" w:themeShade="80"/>
            </w:tcBorders>
            <w:shd w:val="clear" w:color="auto" w:fill="FFFFFF" w:themeFill="background1"/>
            <w:vAlign w:val="bottom"/>
          </w:tcPr>
          <w:p w14:paraId="78CAEA03" w14:textId="0A070F24" w:rsidR="006143AE" w:rsidRPr="00504A02" w:rsidRDefault="006143AE" w:rsidP="006143AE">
            <w:pPr>
              <w:contextualSpacing/>
              <w:jc w:val="center"/>
              <w:rPr>
                <w:rFonts w:cs="Times New Roman"/>
                <w:color w:val="00B050"/>
                <w:sz w:val="20"/>
                <w:szCs w:val="20"/>
              </w:rPr>
            </w:pPr>
            <w:r w:rsidRPr="00504A02">
              <w:rPr>
                <w:rFonts w:cs="Times New Roman"/>
                <w:color w:val="00B050"/>
                <w:sz w:val="20"/>
                <w:szCs w:val="20"/>
              </w:rPr>
              <w:t>457</w:t>
            </w:r>
          </w:p>
        </w:tc>
      </w:tr>
      <w:tr w:rsidR="006143AE" w:rsidRPr="00EE7219" w14:paraId="40A1E139" w14:textId="77777777" w:rsidTr="00317EFA">
        <w:trPr>
          <w:trHeight w:val="85"/>
        </w:trPr>
        <w:tc>
          <w:tcPr>
            <w:tcW w:w="4678" w:type="dxa"/>
            <w:vMerge/>
            <w:tcBorders>
              <w:bottom w:val="single" w:sz="4" w:space="0" w:color="A6A6A6" w:themeColor="background1" w:themeShade="A6"/>
            </w:tcBorders>
            <w:shd w:val="clear" w:color="auto" w:fill="auto"/>
            <w:vAlign w:val="center"/>
          </w:tcPr>
          <w:p w14:paraId="7F3DCECC" w14:textId="77777777" w:rsidR="006143AE" w:rsidRPr="00976D16" w:rsidRDefault="006143AE" w:rsidP="006143AE">
            <w:pPr>
              <w:contextualSpacing/>
              <w:rPr>
                <w:b/>
                <w:bCs/>
                <w:sz w:val="20"/>
                <w:szCs w:val="20"/>
              </w:rPr>
            </w:pPr>
          </w:p>
        </w:tc>
        <w:tc>
          <w:tcPr>
            <w:tcW w:w="851" w:type="dxa"/>
            <w:tcBorders>
              <w:top w:val="single" w:sz="4" w:space="0" w:color="808080" w:themeColor="background1" w:themeShade="80"/>
              <w:bottom w:val="single" w:sz="4" w:space="0" w:color="auto"/>
            </w:tcBorders>
          </w:tcPr>
          <w:p w14:paraId="01335DE7" w14:textId="0F236C60" w:rsidR="006143AE" w:rsidRPr="00504A02" w:rsidRDefault="006143AE" w:rsidP="006143AE">
            <w:pPr>
              <w:contextualSpacing/>
              <w:jc w:val="center"/>
              <w:rPr>
                <w:sz w:val="20"/>
                <w:szCs w:val="20"/>
              </w:rPr>
            </w:pPr>
            <w:r w:rsidRPr="00504A02">
              <w:rPr>
                <w:color w:val="0070C0"/>
                <w:sz w:val="20"/>
                <w:szCs w:val="20"/>
              </w:rPr>
              <w:t>EE</w:t>
            </w:r>
          </w:p>
        </w:tc>
        <w:tc>
          <w:tcPr>
            <w:tcW w:w="992" w:type="dxa"/>
            <w:tcBorders>
              <w:top w:val="single" w:sz="4" w:space="0" w:color="808080" w:themeColor="background1" w:themeShade="80"/>
              <w:bottom w:val="single" w:sz="4" w:space="0" w:color="auto"/>
            </w:tcBorders>
            <w:shd w:val="clear" w:color="auto" w:fill="FFFFFF" w:themeFill="background1"/>
            <w:vAlign w:val="bottom"/>
          </w:tcPr>
          <w:p w14:paraId="2AA608B6" w14:textId="03B2D143" w:rsidR="006143AE" w:rsidRPr="00504A02" w:rsidRDefault="006143AE" w:rsidP="006143AE">
            <w:pPr>
              <w:contextualSpacing/>
              <w:jc w:val="center"/>
              <w:rPr>
                <w:rFonts w:cs="Times New Roman"/>
                <w:color w:val="0070C0"/>
                <w:sz w:val="20"/>
                <w:szCs w:val="20"/>
              </w:rPr>
            </w:pPr>
            <w:r w:rsidRPr="00504A02">
              <w:rPr>
                <w:rFonts w:cs="Times New Roman"/>
                <w:color w:val="0070C0"/>
                <w:sz w:val="20"/>
                <w:szCs w:val="20"/>
              </w:rPr>
              <w:t>303,80</w:t>
            </w:r>
          </w:p>
        </w:tc>
        <w:tc>
          <w:tcPr>
            <w:tcW w:w="850" w:type="dxa"/>
            <w:tcBorders>
              <w:top w:val="single" w:sz="4" w:space="0" w:color="808080" w:themeColor="background1" w:themeShade="80"/>
              <w:bottom w:val="single" w:sz="4" w:space="0" w:color="auto"/>
            </w:tcBorders>
            <w:vAlign w:val="bottom"/>
          </w:tcPr>
          <w:p w14:paraId="3EA904E3" w14:textId="2AD5CD08" w:rsidR="006143AE" w:rsidRPr="00504A02" w:rsidRDefault="006143AE" w:rsidP="006143AE">
            <w:pPr>
              <w:contextualSpacing/>
              <w:jc w:val="center"/>
              <w:rPr>
                <w:rFonts w:cs="Times New Roman"/>
                <w:i/>
                <w:iCs/>
                <w:color w:val="0070C0"/>
                <w:sz w:val="20"/>
                <w:szCs w:val="20"/>
              </w:rPr>
            </w:pPr>
            <w:r w:rsidRPr="00504A02">
              <w:rPr>
                <w:rFonts w:cs="Times New Roman"/>
                <w:color w:val="0070C0"/>
                <w:sz w:val="20"/>
                <w:szCs w:val="20"/>
              </w:rPr>
              <w:t>319,00</w:t>
            </w:r>
          </w:p>
        </w:tc>
        <w:tc>
          <w:tcPr>
            <w:tcW w:w="851" w:type="dxa"/>
            <w:tcBorders>
              <w:top w:val="single" w:sz="4" w:space="0" w:color="808080" w:themeColor="background1" w:themeShade="80"/>
              <w:bottom w:val="single" w:sz="4" w:space="0" w:color="auto"/>
            </w:tcBorders>
            <w:vAlign w:val="bottom"/>
          </w:tcPr>
          <w:p w14:paraId="752D447A" w14:textId="0F959AD9" w:rsidR="006143AE" w:rsidRPr="00504A02" w:rsidRDefault="006143AE" w:rsidP="006143AE">
            <w:pPr>
              <w:contextualSpacing/>
              <w:jc w:val="center"/>
              <w:rPr>
                <w:rFonts w:cs="Times New Roman"/>
                <w:i/>
                <w:iCs/>
                <w:color w:val="0070C0"/>
                <w:sz w:val="20"/>
                <w:szCs w:val="20"/>
              </w:rPr>
            </w:pPr>
            <w:r w:rsidRPr="00504A02">
              <w:rPr>
                <w:rFonts w:cs="Times New Roman"/>
                <w:color w:val="0070C0"/>
                <w:sz w:val="20"/>
                <w:szCs w:val="20"/>
              </w:rPr>
              <w:t>334,95</w:t>
            </w:r>
          </w:p>
        </w:tc>
        <w:tc>
          <w:tcPr>
            <w:tcW w:w="850" w:type="dxa"/>
            <w:tcBorders>
              <w:top w:val="single" w:sz="4" w:space="0" w:color="808080" w:themeColor="background1" w:themeShade="80"/>
              <w:bottom w:val="single" w:sz="4" w:space="0" w:color="auto"/>
            </w:tcBorders>
            <w:shd w:val="clear" w:color="auto" w:fill="FFFFFF" w:themeFill="background1"/>
            <w:vAlign w:val="bottom"/>
          </w:tcPr>
          <w:p w14:paraId="64A8F3E7" w14:textId="79623A7D" w:rsidR="006143AE" w:rsidRPr="00504A02" w:rsidRDefault="006143AE" w:rsidP="006143AE">
            <w:pPr>
              <w:contextualSpacing/>
              <w:jc w:val="center"/>
              <w:rPr>
                <w:rFonts w:cs="Times New Roman"/>
                <w:color w:val="0070C0"/>
                <w:sz w:val="20"/>
                <w:szCs w:val="20"/>
              </w:rPr>
            </w:pPr>
            <w:r w:rsidRPr="00504A02">
              <w:rPr>
                <w:rFonts w:cs="Times New Roman"/>
                <w:color w:val="0070C0"/>
                <w:sz w:val="20"/>
                <w:szCs w:val="20"/>
              </w:rPr>
              <w:t>334,95</w:t>
            </w:r>
          </w:p>
        </w:tc>
      </w:tr>
      <w:tr w:rsidR="006143AE" w14:paraId="24352F89" w14:textId="6E6176EE" w:rsidTr="00317EFA">
        <w:trPr>
          <w:trHeight w:val="85"/>
        </w:trPr>
        <w:tc>
          <w:tcPr>
            <w:tcW w:w="4678" w:type="dxa"/>
            <w:vMerge w:val="restart"/>
            <w:shd w:val="clear" w:color="auto" w:fill="auto"/>
            <w:vAlign w:val="center"/>
          </w:tcPr>
          <w:p w14:paraId="2CC4F53F" w14:textId="77777777" w:rsidR="006143AE" w:rsidRPr="00976D16" w:rsidRDefault="006143AE" w:rsidP="006143AE">
            <w:pPr>
              <w:contextualSpacing/>
              <w:rPr>
                <w:b/>
                <w:bCs/>
                <w:sz w:val="20"/>
                <w:szCs w:val="20"/>
              </w:rPr>
            </w:pPr>
            <w:r w:rsidRPr="00976D16">
              <w:rPr>
                <w:b/>
                <w:bCs/>
                <w:sz w:val="20"/>
                <w:szCs w:val="20"/>
              </w:rPr>
              <w:t>Spirts un pārējie alkoholiskie dzērieni,</w:t>
            </w:r>
          </w:p>
          <w:p w14:paraId="69FA2F35" w14:textId="1B01498E" w:rsidR="006143AE" w:rsidRPr="00976D16" w:rsidRDefault="006143AE" w:rsidP="006143AE">
            <w:pPr>
              <w:contextualSpacing/>
              <w:rPr>
                <w:i/>
                <w:iCs/>
                <w:sz w:val="20"/>
                <w:szCs w:val="20"/>
              </w:rPr>
            </w:pPr>
            <w:r w:rsidRPr="00976D16">
              <w:rPr>
                <w:i/>
                <w:iCs/>
                <w:sz w:val="20"/>
                <w:szCs w:val="20"/>
              </w:rPr>
              <w:t>euro par 100 litriem absolūta spirta</w:t>
            </w:r>
          </w:p>
        </w:tc>
        <w:tc>
          <w:tcPr>
            <w:tcW w:w="851" w:type="dxa"/>
            <w:tcBorders>
              <w:bottom w:val="single" w:sz="4" w:space="0" w:color="808080" w:themeColor="background1" w:themeShade="80"/>
            </w:tcBorders>
            <w:shd w:val="clear" w:color="auto" w:fill="FFF2CC" w:themeFill="accent4" w:themeFillTint="33"/>
          </w:tcPr>
          <w:p w14:paraId="110E193C" w14:textId="180C6377" w:rsidR="006143AE" w:rsidRPr="00976D16" w:rsidRDefault="006143AE" w:rsidP="006143AE">
            <w:pPr>
              <w:contextualSpacing/>
              <w:jc w:val="center"/>
              <w:rPr>
                <w:b/>
                <w:bCs/>
                <w:sz w:val="20"/>
                <w:szCs w:val="20"/>
              </w:rPr>
            </w:pPr>
            <w:r w:rsidRPr="00215B60">
              <w:rPr>
                <w:b/>
                <w:bCs/>
                <w:color w:val="C00000"/>
                <w:sz w:val="20"/>
                <w:szCs w:val="20"/>
              </w:rPr>
              <w:t>LV</w:t>
            </w:r>
          </w:p>
        </w:tc>
        <w:tc>
          <w:tcPr>
            <w:tcW w:w="992" w:type="dxa"/>
            <w:tcBorders>
              <w:bottom w:val="single" w:sz="4" w:space="0" w:color="808080" w:themeColor="background1" w:themeShade="80"/>
            </w:tcBorders>
            <w:shd w:val="clear" w:color="auto" w:fill="FFF2CC" w:themeFill="accent4" w:themeFillTint="33"/>
            <w:vAlign w:val="bottom"/>
          </w:tcPr>
          <w:p w14:paraId="3DF205E1" w14:textId="3784CA5A" w:rsidR="006143AE" w:rsidRPr="009A77B1" w:rsidRDefault="006143AE" w:rsidP="006143AE">
            <w:pPr>
              <w:contextualSpacing/>
              <w:jc w:val="center"/>
              <w:rPr>
                <w:rFonts w:cs="Times New Roman"/>
                <w:b/>
                <w:bCs/>
                <w:color w:val="C00000"/>
                <w:sz w:val="20"/>
                <w:szCs w:val="20"/>
              </w:rPr>
            </w:pPr>
            <w:r w:rsidRPr="009A77B1">
              <w:rPr>
                <w:rFonts w:cs="Times New Roman"/>
                <w:b/>
                <w:bCs/>
                <w:color w:val="C00000"/>
                <w:sz w:val="20"/>
                <w:szCs w:val="20"/>
              </w:rPr>
              <w:t>1 862</w:t>
            </w:r>
          </w:p>
        </w:tc>
        <w:tc>
          <w:tcPr>
            <w:tcW w:w="850" w:type="dxa"/>
            <w:tcBorders>
              <w:bottom w:val="single" w:sz="4" w:space="0" w:color="808080" w:themeColor="background1" w:themeShade="80"/>
            </w:tcBorders>
            <w:shd w:val="clear" w:color="auto" w:fill="FFF2CC" w:themeFill="accent4" w:themeFillTint="33"/>
            <w:vAlign w:val="bottom"/>
          </w:tcPr>
          <w:p w14:paraId="08D86BB9" w14:textId="7C53C15F" w:rsidR="006143AE" w:rsidRPr="009A77B1" w:rsidRDefault="006143AE" w:rsidP="006143AE">
            <w:pPr>
              <w:contextualSpacing/>
              <w:jc w:val="center"/>
              <w:rPr>
                <w:rFonts w:cs="Times New Roman"/>
                <w:b/>
                <w:bCs/>
                <w:color w:val="C00000"/>
                <w:sz w:val="20"/>
                <w:szCs w:val="20"/>
              </w:rPr>
            </w:pPr>
            <w:r w:rsidRPr="009A77B1">
              <w:rPr>
                <w:rFonts w:cs="Times New Roman"/>
                <w:b/>
                <w:bCs/>
                <w:color w:val="C00000"/>
                <w:sz w:val="20"/>
                <w:szCs w:val="20"/>
              </w:rPr>
              <w:t>1 955</w:t>
            </w:r>
          </w:p>
        </w:tc>
        <w:tc>
          <w:tcPr>
            <w:tcW w:w="851" w:type="dxa"/>
            <w:tcBorders>
              <w:bottom w:val="single" w:sz="4" w:space="0" w:color="808080" w:themeColor="background1" w:themeShade="80"/>
            </w:tcBorders>
            <w:shd w:val="clear" w:color="auto" w:fill="FFF2CC" w:themeFill="accent4" w:themeFillTint="33"/>
            <w:vAlign w:val="bottom"/>
          </w:tcPr>
          <w:p w14:paraId="71A949A8" w14:textId="342E622F" w:rsidR="006143AE" w:rsidRPr="009A77B1" w:rsidRDefault="006143AE" w:rsidP="006143AE">
            <w:pPr>
              <w:contextualSpacing/>
              <w:jc w:val="center"/>
              <w:rPr>
                <w:rFonts w:cs="Times New Roman"/>
                <w:b/>
                <w:bCs/>
                <w:color w:val="C00000"/>
                <w:sz w:val="20"/>
                <w:szCs w:val="20"/>
              </w:rPr>
            </w:pPr>
            <w:r w:rsidRPr="009A77B1">
              <w:rPr>
                <w:rFonts w:cs="Times New Roman"/>
                <w:b/>
                <w:bCs/>
                <w:color w:val="C00000"/>
                <w:sz w:val="20"/>
                <w:szCs w:val="20"/>
              </w:rPr>
              <w:t>2 053</w:t>
            </w:r>
          </w:p>
        </w:tc>
        <w:tc>
          <w:tcPr>
            <w:tcW w:w="850" w:type="dxa"/>
            <w:tcBorders>
              <w:bottom w:val="single" w:sz="4" w:space="0" w:color="808080" w:themeColor="background1" w:themeShade="80"/>
            </w:tcBorders>
            <w:shd w:val="clear" w:color="auto" w:fill="FFF2CC" w:themeFill="accent4" w:themeFillTint="33"/>
            <w:vAlign w:val="bottom"/>
          </w:tcPr>
          <w:p w14:paraId="1908AED7" w14:textId="3812ECFA" w:rsidR="006143AE" w:rsidRPr="009A77B1" w:rsidRDefault="006143AE" w:rsidP="006143AE">
            <w:pPr>
              <w:contextualSpacing/>
              <w:jc w:val="center"/>
              <w:rPr>
                <w:rFonts w:cs="Times New Roman"/>
                <w:b/>
                <w:bCs/>
                <w:color w:val="00B050"/>
                <w:sz w:val="20"/>
                <w:szCs w:val="20"/>
              </w:rPr>
            </w:pPr>
            <w:r w:rsidRPr="009A77B1">
              <w:rPr>
                <w:rFonts w:cs="Times New Roman"/>
                <w:b/>
                <w:bCs/>
                <w:color w:val="FF0000"/>
                <w:sz w:val="20"/>
                <w:szCs w:val="20"/>
              </w:rPr>
              <w:t>2</w:t>
            </w:r>
            <w:r>
              <w:rPr>
                <w:rFonts w:cs="Times New Roman"/>
                <w:b/>
                <w:bCs/>
                <w:color w:val="FF0000"/>
                <w:sz w:val="20"/>
                <w:szCs w:val="20"/>
              </w:rPr>
              <w:t xml:space="preserve"> </w:t>
            </w:r>
            <w:r w:rsidRPr="009A77B1">
              <w:rPr>
                <w:rFonts w:cs="Times New Roman"/>
                <w:b/>
                <w:bCs/>
                <w:color w:val="FF0000"/>
                <w:sz w:val="20"/>
                <w:szCs w:val="20"/>
              </w:rPr>
              <w:t>115</w:t>
            </w:r>
          </w:p>
        </w:tc>
      </w:tr>
      <w:tr w:rsidR="006143AE" w14:paraId="4C358691" w14:textId="77777777" w:rsidTr="00317EFA">
        <w:trPr>
          <w:trHeight w:val="85"/>
        </w:trPr>
        <w:tc>
          <w:tcPr>
            <w:tcW w:w="4678" w:type="dxa"/>
            <w:vMerge/>
            <w:shd w:val="clear" w:color="auto" w:fill="auto"/>
            <w:vAlign w:val="center"/>
          </w:tcPr>
          <w:p w14:paraId="53534EDF" w14:textId="77777777" w:rsidR="006143AE" w:rsidRPr="00976D16" w:rsidRDefault="006143AE" w:rsidP="006143AE">
            <w:pPr>
              <w:contextualSpacing/>
              <w:rPr>
                <w:b/>
                <w:bCs/>
                <w:sz w:val="20"/>
                <w:szCs w:val="20"/>
              </w:rPr>
            </w:pPr>
          </w:p>
        </w:tc>
        <w:tc>
          <w:tcPr>
            <w:tcW w:w="851" w:type="dxa"/>
            <w:tcBorders>
              <w:top w:val="single" w:sz="4" w:space="0" w:color="808080" w:themeColor="background1" w:themeShade="80"/>
              <w:bottom w:val="single" w:sz="4" w:space="0" w:color="808080" w:themeColor="background1" w:themeShade="80"/>
            </w:tcBorders>
          </w:tcPr>
          <w:p w14:paraId="3E05A963" w14:textId="2E509D14" w:rsidR="006143AE" w:rsidRPr="00504A02" w:rsidRDefault="006143AE" w:rsidP="006143AE">
            <w:pPr>
              <w:contextualSpacing/>
              <w:jc w:val="center"/>
              <w:rPr>
                <w:sz w:val="20"/>
                <w:szCs w:val="20"/>
              </w:rPr>
            </w:pPr>
            <w:r w:rsidRPr="00504A02">
              <w:rPr>
                <w:color w:val="00B050"/>
                <w:sz w:val="20"/>
                <w:szCs w:val="20"/>
              </w:rPr>
              <w:t>LT</w:t>
            </w:r>
          </w:p>
        </w:tc>
        <w:tc>
          <w:tcPr>
            <w:tcW w:w="992" w:type="dxa"/>
            <w:tcBorders>
              <w:top w:val="single" w:sz="4" w:space="0" w:color="808080" w:themeColor="background1" w:themeShade="80"/>
              <w:bottom w:val="single" w:sz="4" w:space="0" w:color="808080" w:themeColor="background1" w:themeShade="80"/>
            </w:tcBorders>
            <w:shd w:val="clear" w:color="auto" w:fill="FFFFFF" w:themeFill="background1"/>
            <w:vAlign w:val="bottom"/>
          </w:tcPr>
          <w:p w14:paraId="7A4015C6" w14:textId="72796489" w:rsidR="006143AE" w:rsidRPr="00504A02" w:rsidRDefault="006143AE" w:rsidP="006143AE">
            <w:pPr>
              <w:contextualSpacing/>
              <w:jc w:val="center"/>
              <w:rPr>
                <w:rFonts w:cs="Times New Roman"/>
                <w:color w:val="00B050"/>
                <w:sz w:val="20"/>
                <w:szCs w:val="20"/>
              </w:rPr>
            </w:pPr>
            <w:r w:rsidRPr="00504A02">
              <w:rPr>
                <w:rFonts w:cs="Times New Roman"/>
                <w:color w:val="00B050"/>
                <w:sz w:val="20"/>
                <w:szCs w:val="20"/>
              </w:rPr>
              <w:t>2 467</w:t>
            </w:r>
          </w:p>
        </w:tc>
        <w:tc>
          <w:tcPr>
            <w:tcW w:w="850" w:type="dxa"/>
            <w:tcBorders>
              <w:top w:val="single" w:sz="4" w:space="0" w:color="808080" w:themeColor="background1" w:themeShade="80"/>
              <w:bottom w:val="single" w:sz="4" w:space="0" w:color="808080" w:themeColor="background1" w:themeShade="80"/>
            </w:tcBorders>
            <w:vAlign w:val="bottom"/>
          </w:tcPr>
          <w:p w14:paraId="079052D5" w14:textId="3612D634" w:rsidR="006143AE" w:rsidRPr="00504A02" w:rsidRDefault="006143AE" w:rsidP="006143AE">
            <w:pPr>
              <w:contextualSpacing/>
              <w:jc w:val="center"/>
              <w:rPr>
                <w:rFonts w:cs="Times New Roman"/>
                <w:color w:val="00B050"/>
                <w:sz w:val="20"/>
                <w:szCs w:val="20"/>
              </w:rPr>
            </w:pPr>
            <w:r w:rsidRPr="00504A02">
              <w:rPr>
                <w:rFonts w:cs="Times New Roman"/>
                <w:color w:val="00B050"/>
                <w:sz w:val="20"/>
                <w:szCs w:val="20"/>
              </w:rPr>
              <w:t>2 778</w:t>
            </w:r>
          </w:p>
        </w:tc>
        <w:tc>
          <w:tcPr>
            <w:tcW w:w="851" w:type="dxa"/>
            <w:tcBorders>
              <w:top w:val="single" w:sz="4" w:space="0" w:color="808080" w:themeColor="background1" w:themeShade="80"/>
              <w:bottom w:val="single" w:sz="4" w:space="0" w:color="808080" w:themeColor="background1" w:themeShade="80"/>
            </w:tcBorders>
            <w:vAlign w:val="bottom"/>
          </w:tcPr>
          <w:p w14:paraId="46C65945" w14:textId="0BB05B3E" w:rsidR="006143AE" w:rsidRPr="00504A02" w:rsidRDefault="006143AE" w:rsidP="006143AE">
            <w:pPr>
              <w:contextualSpacing/>
              <w:jc w:val="center"/>
              <w:rPr>
                <w:rFonts w:cs="Times New Roman"/>
                <w:color w:val="00B050"/>
                <w:sz w:val="20"/>
                <w:szCs w:val="20"/>
              </w:rPr>
            </w:pPr>
            <w:r w:rsidRPr="00504A02">
              <w:rPr>
                <w:rFonts w:cs="Times New Roman"/>
                <w:color w:val="00B050"/>
                <w:sz w:val="20"/>
                <w:szCs w:val="20"/>
              </w:rPr>
              <w:t>3 130</w:t>
            </w:r>
          </w:p>
        </w:tc>
        <w:tc>
          <w:tcPr>
            <w:tcW w:w="850" w:type="dxa"/>
            <w:tcBorders>
              <w:top w:val="single" w:sz="4" w:space="0" w:color="808080" w:themeColor="background1" w:themeShade="80"/>
              <w:bottom w:val="single" w:sz="4" w:space="0" w:color="808080" w:themeColor="background1" w:themeShade="80"/>
            </w:tcBorders>
            <w:shd w:val="clear" w:color="auto" w:fill="FFFFFF" w:themeFill="background1"/>
            <w:vAlign w:val="bottom"/>
          </w:tcPr>
          <w:p w14:paraId="425B8621" w14:textId="07A8FE8B" w:rsidR="006143AE" w:rsidRPr="00504A02" w:rsidRDefault="006143AE" w:rsidP="006143AE">
            <w:pPr>
              <w:contextualSpacing/>
              <w:jc w:val="center"/>
              <w:rPr>
                <w:rFonts w:cs="Times New Roman"/>
                <w:color w:val="00B050"/>
                <w:sz w:val="20"/>
                <w:szCs w:val="20"/>
              </w:rPr>
            </w:pPr>
            <w:r w:rsidRPr="00504A02">
              <w:rPr>
                <w:rFonts w:cs="Times New Roman"/>
                <w:color w:val="00B050"/>
                <w:sz w:val="20"/>
                <w:szCs w:val="20"/>
              </w:rPr>
              <w:t>3 530</w:t>
            </w:r>
          </w:p>
        </w:tc>
      </w:tr>
      <w:tr w:rsidR="006143AE" w14:paraId="161A6F6F" w14:textId="77777777" w:rsidTr="00317EFA">
        <w:trPr>
          <w:trHeight w:val="85"/>
        </w:trPr>
        <w:tc>
          <w:tcPr>
            <w:tcW w:w="4678" w:type="dxa"/>
            <w:vMerge/>
            <w:tcBorders>
              <w:bottom w:val="single" w:sz="4" w:space="0" w:color="auto"/>
            </w:tcBorders>
            <w:shd w:val="clear" w:color="auto" w:fill="auto"/>
            <w:vAlign w:val="center"/>
          </w:tcPr>
          <w:p w14:paraId="5E45019C" w14:textId="77777777" w:rsidR="006143AE" w:rsidRPr="00976D16" w:rsidRDefault="006143AE" w:rsidP="006143AE">
            <w:pPr>
              <w:contextualSpacing/>
              <w:rPr>
                <w:b/>
                <w:bCs/>
                <w:sz w:val="20"/>
                <w:szCs w:val="20"/>
              </w:rPr>
            </w:pPr>
          </w:p>
        </w:tc>
        <w:tc>
          <w:tcPr>
            <w:tcW w:w="851" w:type="dxa"/>
            <w:tcBorders>
              <w:top w:val="single" w:sz="4" w:space="0" w:color="808080" w:themeColor="background1" w:themeShade="80"/>
              <w:bottom w:val="single" w:sz="4" w:space="0" w:color="auto"/>
            </w:tcBorders>
          </w:tcPr>
          <w:p w14:paraId="185BAD05" w14:textId="65A6E1BA" w:rsidR="006143AE" w:rsidRPr="00504A02" w:rsidRDefault="006143AE" w:rsidP="006143AE">
            <w:pPr>
              <w:contextualSpacing/>
              <w:jc w:val="center"/>
              <w:rPr>
                <w:sz w:val="20"/>
                <w:szCs w:val="20"/>
              </w:rPr>
            </w:pPr>
            <w:r w:rsidRPr="00504A02">
              <w:rPr>
                <w:color w:val="0070C0"/>
                <w:sz w:val="20"/>
                <w:szCs w:val="20"/>
              </w:rPr>
              <w:t>EE</w:t>
            </w:r>
          </w:p>
        </w:tc>
        <w:tc>
          <w:tcPr>
            <w:tcW w:w="992" w:type="dxa"/>
            <w:tcBorders>
              <w:top w:val="single" w:sz="4" w:space="0" w:color="808080" w:themeColor="background1" w:themeShade="80"/>
              <w:bottom w:val="single" w:sz="4" w:space="0" w:color="auto"/>
            </w:tcBorders>
            <w:shd w:val="clear" w:color="auto" w:fill="FFFFFF" w:themeFill="background1"/>
            <w:vAlign w:val="bottom"/>
          </w:tcPr>
          <w:p w14:paraId="10094926" w14:textId="5B508D0F" w:rsidR="006143AE" w:rsidRPr="00504A02" w:rsidRDefault="006143AE" w:rsidP="006143AE">
            <w:pPr>
              <w:contextualSpacing/>
              <w:jc w:val="center"/>
              <w:rPr>
                <w:rFonts w:cs="Times New Roman"/>
                <w:color w:val="0070C0"/>
                <w:sz w:val="20"/>
                <w:szCs w:val="20"/>
              </w:rPr>
            </w:pPr>
            <w:r w:rsidRPr="00504A02">
              <w:rPr>
                <w:rFonts w:cs="Times New Roman"/>
                <w:color w:val="0070C0"/>
                <w:sz w:val="20"/>
                <w:szCs w:val="20"/>
              </w:rPr>
              <w:t>1 975</w:t>
            </w:r>
          </w:p>
        </w:tc>
        <w:tc>
          <w:tcPr>
            <w:tcW w:w="850" w:type="dxa"/>
            <w:tcBorders>
              <w:top w:val="single" w:sz="4" w:space="0" w:color="808080" w:themeColor="background1" w:themeShade="80"/>
              <w:bottom w:val="single" w:sz="4" w:space="0" w:color="auto"/>
            </w:tcBorders>
            <w:vAlign w:val="bottom"/>
          </w:tcPr>
          <w:p w14:paraId="4F47F059" w14:textId="06508D7C" w:rsidR="006143AE" w:rsidRPr="00504A02" w:rsidRDefault="006143AE" w:rsidP="006143AE">
            <w:pPr>
              <w:contextualSpacing/>
              <w:jc w:val="center"/>
              <w:rPr>
                <w:rFonts w:cs="Times New Roman"/>
                <w:color w:val="0070C0"/>
                <w:sz w:val="20"/>
                <w:szCs w:val="20"/>
              </w:rPr>
            </w:pPr>
            <w:r w:rsidRPr="00504A02">
              <w:rPr>
                <w:rFonts w:cs="Times New Roman"/>
                <w:color w:val="0070C0"/>
                <w:sz w:val="20"/>
                <w:szCs w:val="20"/>
              </w:rPr>
              <w:t>2 074</w:t>
            </w:r>
          </w:p>
        </w:tc>
        <w:tc>
          <w:tcPr>
            <w:tcW w:w="851" w:type="dxa"/>
            <w:tcBorders>
              <w:top w:val="single" w:sz="4" w:space="0" w:color="808080" w:themeColor="background1" w:themeShade="80"/>
              <w:bottom w:val="single" w:sz="4" w:space="0" w:color="auto"/>
            </w:tcBorders>
            <w:vAlign w:val="bottom"/>
          </w:tcPr>
          <w:p w14:paraId="15DC735B" w14:textId="491A0577" w:rsidR="006143AE" w:rsidRPr="00504A02" w:rsidRDefault="006143AE" w:rsidP="006143AE">
            <w:pPr>
              <w:contextualSpacing/>
              <w:jc w:val="center"/>
              <w:rPr>
                <w:rFonts w:cs="Times New Roman"/>
                <w:color w:val="0070C0"/>
                <w:sz w:val="20"/>
                <w:szCs w:val="20"/>
              </w:rPr>
            </w:pPr>
            <w:r w:rsidRPr="00504A02">
              <w:rPr>
                <w:rFonts w:cs="Times New Roman"/>
                <w:color w:val="0070C0"/>
                <w:sz w:val="20"/>
                <w:szCs w:val="20"/>
              </w:rPr>
              <w:t>2 178</w:t>
            </w:r>
          </w:p>
        </w:tc>
        <w:tc>
          <w:tcPr>
            <w:tcW w:w="850" w:type="dxa"/>
            <w:tcBorders>
              <w:top w:val="single" w:sz="4" w:space="0" w:color="808080" w:themeColor="background1" w:themeShade="80"/>
              <w:bottom w:val="single" w:sz="4" w:space="0" w:color="auto"/>
            </w:tcBorders>
            <w:shd w:val="clear" w:color="auto" w:fill="FFFFFF" w:themeFill="background1"/>
            <w:vAlign w:val="bottom"/>
          </w:tcPr>
          <w:p w14:paraId="4542288C" w14:textId="7939C3A1" w:rsidR="006143AE" w:rsidRPr="00504A02" w:rsidRDefault="006143AE" w:rsidP="006143AE">
            <w:pPr>
              <w:contextualSpacing/>
              <w:jc w:val="center"/>
              <w:rPr>
                <w:rFonts w:cs="Times New Roman"/>
                <w:color w:val="0070C0"/>
                <w:sz w:val="20"/>
                <w:szCs w:val="20"/>
              </w:rPr>
            </w:pPr>
            <w:r w:rsidRPr="00504A02">
              <w:rPr>
                <w:rFonts w:cs="Times New Roman"/>
                <w:color w:val="0070C0"/>
                <w:sz w:val="20"/>
                <w:szCs w:val="20"/>
              </w:rPr>
              <w:t>2 178</w:t>
            </w:r>
          </w:p>
        </w:tc>
      </w:tr>
    </w:tbl>
    <w:p w14:paraId="76E3CC4C" w14:textId="77777777" w:rsidR="005C1FD5" w:rsidRPr="00965109" w:rsidRDefault="005C1FD5" w:rsidP="00965109">
      <w:pPr>
        <w:rPr>
          <w:sz w:val="12"/>
          <w:szCs w:val="12"/>
        </w:rPr>
      </w:pPr>
    </w:p>
    <w:p w14:paraId="343C595B" w14:textId="77777777" w:rsidR="006143AE" w:rsidRDefault="006143AE" w:rsidP="009475A8">
      <w:pPr>
        <w:spacing w:after="120"/>
        <w:jc w:val="center"/>
        <w:rPr>
          <w:rFonts w:cs="Times New Roman"/>
          <w:sz w:val="20"/>
        </w:rPr>
      </w:pPr>
    </w:p>
    <w:p w14:paraId="575098A0" w14:textId="77777777" w:rsidR="006143AE" w:rsidRDefault="006143AE" w:rsidP="009475A8">
      <w:pPr>
        <w:spacing w:after="120"/>
        <w:jc w:val="center"/>
        <w:rPr>
          <w:rFonts w:cs="Times New Roman"/>
          <w:sz w:val="20"/>
        </w:rPr>
      </w:pPr>
    </w:p>
    <w:p w14:paraId="689FAF28" w14:textId="77777777" w:rsidR="006143AE" w:rsidRDefault="006143AE" w:rsidP="009475A8">
      <w:pPr>
        <w:spacing w:after="120"/>
        <w:jc w:val="center"/>
        <w:rPr>
          <w:rFonts w:cs="Times New Roman"/>
          <w:sz w:val="20"/>
        </w:rPr>
      </w:pPr>
    </w:p>
    <w:p w14:paraId="1E87B6E3" w14:textId="77777777" w:rsidR="00C75DA0" w:rsidRDefault="00C75DA0" w:rsidP="009475A8">
      <w:pPr>
        <w:spacing w:after="120"/>
        <w:jc w:val="center"/>
        <w:rPr>
          <w:rFonts w:cs="Times New Roman"/>
          <w:sz w:val="20"/>
        </w:rPr>
      </w:pPr>
    </w:p>
    <w:p w14:paraId="2C114FB5" w14:textId="510F6D51" w:rsidR="009475A8" w:rsidRPr="002E0A09" w:rsidRDefault="00725CD9" w:rsidP="009475A8">
      <w:pPr>
        <w:spacing w:after="120"/>
        <w:jc w:val="center"/>
        <w:rPr>
          <w:rFonts w:cs="Times New Roman"/>
          <w:sz w:val="20"/>
        </w:rPr>
      </w:pPr>
      <w:r>
        <w:rPr>
          <w:rFonts w:cs="Times New Roman"/>
          <w:sz w:val="20"/>
        </w:rPr>
        <w:lastRenderedPageBreak/>
        <w:t>29</w:t>
      </w:r>
      <w:r w:rsidR="009475A8" w:rsidRPr="006F5E64">
        <w:rPr>
          <w:rFonts w:cs="Times New Roman"/>
          <w:sz w:val="20"/>
        </w:rPr>
        <w:t>.</w:t>
      </w:r>
      <w:r w:rsidR="009475A8" w:rsidRPr="002E0A09">
        <w:rPr>
          <w:rFonts w:cs="Times New Roman"/>
          <w:sz w:val="20"/>
        </w:rPr>
        <w:t>tab</w:t>
      </w:r>
      <w:r w:rsidR="009475A8" w:rsidRPr="002E0A09">
        <w:rPr>
          <w:rFonts w:cs="Times New Roman"/>
          <w:bCs/>
          <w:sz w:val="20"/>
        </w:rPr>
        <w:t>.</w:t>
      </w:r>
      <w:r w:rsidR="009475A8" w:rsidRPr="002E0A09">
        <w:rPr>
          <w:rFonts w:cs="Times New Roman"/>
          <w:b/>
          <w:sz w:val="20"/>
        </w:rPr>
        <w:t xml:space="preserve"> Priekšlikuma indikatīva fiskālā ietekme</w:t>
      </w:r>
      <w:r w:rsidR="009475A8" w:rsidRPr="002E0A09">
        <w:rPr>
          <w:rFonts w:cs="Times New Roman"/>
          <w:bCs/>
          <w:sz w:val="20"/>
        </w:rPr>
        <w:t>,</w:t>
      </w:r>
      <w:r w:rsidR="009475A8" w:rsidRPr="002E0A09">
        <w:rPr>
          <w:rFonts w:cs="Times New Roman"/>
          <w:bCs/>
          <w:i/>
          <w:iCs/>
          <w:sz w:val="20"/>
        </w:rPr>
        <w:t> euro</w:t>
      </w:r>
    </w:p>
    <w:tbl>
      <w:tblPr>
        <w:tblStyle w:val="TableGrid"/>
        <w:tblW w:w="9067" w:type="dxa"/>
        <w:tblInd w:w="5" w:type="dxa"/>
        <w:tblLook w:val="04A0" w:firstRow="1" w:lastRow="0" w:firstColumn="1" w:lastColumn="0" w:noHBand="0" w:noVBand="1"/>
      </w:tblPr>
      <w:tblGrid>
        <w:gridCol w:w="3672"/>
        <w:gridCol w:w="1376"/>
        <w:gridCol w:w="1375"/>
        <w:gridCol w:w="1375"/>
        <w:gridCol w:w="1269"/>
      </w:tblGrid>
      <w:tr w:rsidR="009475A8" w:rsidRPr="00D738ED" w14:paraId="45509264" w14:textId="77777777" w:rsidTr="00005BE2">
        <w:tc>
          <w:tcPr>
            <w:tcW w:w="3672" w:type="dxa"/>
            <w:tcBorders>
              <w:top w:val="nil"/>
              <w:left w:val="nil"/>
              <w:bottom w:val="single" w:sz="8" w:space="0" w:color="auto"/>
              <w:right w:val="nil"/>
            </w:tcBorders>
            <w:shd w:val="clear" w:color="auto" w:fill="FFFFFF" w:themeFill="background1"/>
          </w:tcPr>
          <w:p w14:paraId="2F2BA40D" w14:textId="77777777" w:rsidR="009475A8" w:rsidRPr="00C11875" w:rsidRDefault="009475A8" w:rsidP="00005BE2">
            <w:pPr>
              <w:pStyle w:val="ListParagraph"/>
              <w:ind w:left="0"/>
              <w:contextualSpacing w:val="0"/>
              <w:jc w:val="center"/>
              <w:rPr>
                <w:b/>
                <w:bCs/>
                <w:sz w:val="20"/>
                <w:szCs w:val="20"/>
              </w:rPr>
            </w:pPr>
          </w:p>
        </w:tc>
        <w:tc>
          <w:tcPr>
            <w:tcW w:w="1376" w:type="dxa"/>
            <w:tcBorders>
              <w:top w:val="nil"/>
              <w:left w:val="nil"/>
              <w:bottom w:val="single" w:sz="8" w:space="0" w:color="auto"/>
              <w:right w:val="nil"/>
            </w:tcBorders>
            <w:shd w:val="clear" w:color="auto" w:fill="FFFFFF" w:themeFill="background1"/>
            <w:vAlign w:val="bottom"/>
          </w:tcPr>
          <w:p w14:paraId="384163A2" w14:textId="77777777" w:rsidR="009475A8" w:rsidRPr="00C11875" w:rsidRDefault="009475A8" w:rsidP="00005BE2">
            <w:pPr>
              <w:pStyle w:val="ListParagraph"/>
              <w:ind w:left="0"/>
              <w:contextualSpacing w:val="0"/>
              <w:jc w:val="center"/>
              <w:rPr>
                <w:b/>
                <w:bCs/>
                <w:sz w:val="20"/>
                <w:szCs w:val="20"/>
              </w:rPr>
            </w:pPr>
            <w:r w:rsidRPr="00C11875">
              <w:rPr>
                <w:b/>
                <w:bCs/>
                <w:sz w:val="20"/>
                <w:szCs w:val="20"/>
              </w:rPr>
              <w:t>2025</w:t>
            </w:r>
          </w:p>
        </w:tc>
        <w:tc>
          <w:tcPr>
            <w:tcW w:w="1375" w:type="dxa"/>
            <w:tcBorders>
              <w:top w:val="nil"/>
              <w:left w:val="nil"/>
              <w:bottom w:val="single" w:sz="8" w:space="0" w:color="auto"/>
              <w:right w:val="nil"/>
            </w:tcBorders>
            <w:shd w:val="clear" w:color="auto" w:fill="FFFFFF" w:themeFill="background1"/>
            <w:vAlign w:val="bottom"/>
          </w:tcPr>
          <w:p w14:paraId="3F9820AF" w14:textId="77777777" w:rsidR="009475A8" w:rsidRPr="00C11875" w:rsidRDefault="009475A8" w:rsidP="00005BE2">
            <w:pPr>
              <w:pStyle w:val="ListParagraph"/>
              <w:ind w:left="0"/>
              <w:contextualSpacing w:val="0"/>
              <w:jc w:val="center"/>
              <w:rPr>
                <w:b/>
                <w:bCs/>
                <w:sz w:val="20"/>
                <w:szCs w:val="20"/>
              </w:rPr>
            </w:pPr>
            <w:r w:rsidRPr="00C11875">
              <w:rPr>
                <w:b/>
                <w:bCs/>
                <w:sz w:val="20"/>
                <w:szCs w:val="20"/>
              </w:rPr>
              <w:t>2026</w:t>
            </w:r>
          </w:p>
        </w:tc>
        <w:tc>
          <w:tcPr>
            <w:tcW w:w="1375" w:type="dxa"/>
            <w:tcBorders>
              <w:top w:val="nil"/>
              <w:left w:val="nil"/>
              <w:bottom w:val="single" w:sz="8" w:space="0" w:color="auto"/>
              <w:right w:val="nil"/>
            </w:tcBorders>
            <w:shd w:val="clear" w:color="auto" w:fill="FFFFFF" w:themeFill="background1"/>
            <w:vAlign w:val="bottom"/>
          </w:tcPr>
          <w:p w14:paraId="4A2AA374" w14:textId="77777777" w:rsidR="009475A8" w:rsidRPr="00C11875" w:rsidRDefault="009475A8" w:rsidP="00005BE2">
            <w:pPr>
              <w:pStyle w:val="ListParagraph"/>
              <w:ind w:left="0"/>
              <w:contextualSpacing w:val="0"/>
              <w:jc w:val="center"/>
              <w:rPr>
                <w:b/>
                <w:bCs/>
                <w:sz w:val="20"/>
                <w:szCs w:val="20"/>
              </w:rPr>
            </w:pPr>
            <w:r w:rsidRPr="00C11875">
              <w:rPr>
                <w:b/>
                <w:bCs/>
                <w:sz w:val="20"/>
                <w:szCs w:val="20"/>
              </w:rPr>
              <w:t>2027</w:t>
            </w:r>
          </w:p>
        </w:tc>
        <w:tc>
          <w:tcPr>
            <w:tcW w:w="1269" w:type="dxa"/>
            <w:tcBorders>
              <w:top w:val="nil"/>
              <w:left w:val="nil"/>
              <w:bottom w:val="single" w:sz="8" w:space="0" w:color="auto"/>
              <w:right w:val="nil"/>
            </w:tcBorders>
            <w:shd w:val="clear" w:color="auto" w:fill="FFFFFF" w:themeFill="background1"/>
          </w:tcPr>
          <w:p w14:paraId="60CD76B9" w14:textId="77777777" w:rsidR="009475A8" w:rsidRPr="00C11875" w:rsidRDefault="009475A8" w:rsidP="00005BE2">
            <w:pPr>
              <w:pStyle w:val="ListParagraph"/>
              <w:ind w:left="0"/>
              <w:contextualSpacing w:val="0"/>
              <w:jc w:val="center"/>
              <w:rPr>
                <w:b/>
                <w:bCs/>
                <w:sz w:val="20"/>
                <w:szCs w:val="20"/>
              </w:rPr>
            </w:pPr>
            <w:r w:rsidRPr="00C11875">
              <w:rPr>
                <w:b/>
                <w:bCs/>
                <w:sz w:val="20"/>
                <w:szCs w:val="20"/>
              </w:rPr>
              <w:t>2028</w:t>
            </w:r>
          </w:p>
        </w:tc>
      </w:tr>
      <w:tr w:rsidR="00FC125C" w:rsidRPr="00F53BA5" w14:paraId="0AD5E29E" w14:textId="77777777" w:rsidTr="00005BE2">
        <w:tc>
          <w:tcPr>
            <w:tcW w:w="3672" w:type="dxa"/>
            <w:tcBorders>
              <w:top w:val="single" w:sz="8" w:space="0" w:color="auto"/>
              <w:left w:val="nil"/>
              <w:bottom w:val="single" w:sz="4" w:space="0" w:color="auto"/>
            </w:tcBorders>
            <w:shd w:val="clear" w:color="auto" w:fill="FFFFFF" w:themeFill="background1"/>
            <w:vAlign w:val="center"/>
          </w:tcPr>
          <w:p w14:paraId="3F0CD17B" w14:textId="77777777" w:rsidR="00FC125C" w:rsidRPr="002B6702" w:rsidRDefault="00FC125C" w:rsidP="00FC125C">
            <w:pPr>
              <w:pStyle w:val="ListParagraph"/>
              <w:ind w:left="0"/>
              <w:contextualSpacing w:val="0"/>
              <w:jc w:val="left"/>
              <w:rPr>
                <w:sz w:val="20"/>
                <w:szCs w:val="20"/>
              </w:rPr>
            </w:pPr>
            <w:r w:rsidRPr="002B6702">
              <w:rPr>
                <w:sz w:val="20"/>
                <w:szCs w:val="20"/>
              </w:rPr>
              <w:t>AN ieņēmumi</w:t>
            </w:r>
          </w:p>
        </w:tc>
        <w:tc>
          <w:tcPr>
            <w:tcW w:w="1376" w:type="dxa"/>
            <w:tcBorders>
              <w:top w:val="single" w:sz="8" w:space="0" w:color="auto"/>
              <w:bottom w:val="single" w:sz="4" w:space="0" w:color="auto"/>
            </w:tcBorders>
            <w:shd w:val="clear" w:color="auto" w:fill="FFFFFF" w:themeFill="background1"/>
            <w:vAlign w:val="center"/>
          </w:tcPr>
          <w:p w14:paraId="69CD3CA3" w14:textId="78834764" w:rsidR="00FC125C" w:rsidRPr="00FC125C" w:rsidRDefault="00FC125C" w:rsidP="00FC125C">
            <w:pPr>
              <w:pStyle w:val="ListParagraph"/>
              <w:ind w:left="0"/>
              <w:contextualSpacing w:val="0"/>
              <w:jc w:val="center"/>
              <w:rPr>
                <w:sz w:val="20"/>
                <w:szCs w:val="20"/>
              </w:rPr>
            </w:pPr>
            <w:r w:rsidRPr="00FC125C">
              <w:rPr>
                <w:sz w:val="20"/>
                <w:szCs w:val="20"/>
              </w:rPr>
              <w:t>-</w:t>
            </w:r>
          </w:p>
        </w:tc>
        <w:tc>
          <w:tcPr>
            <w:tcW w:w="1375" w:type="dxa"/>
            <w:tcBorders>
              <w:top w:val="single" w:sz="8" w:space="0" w:color="auto"/>
              <w:bottom w:val="single" w:sz="4" w:space="0" w:color="auto"/>
            </w:tcBorders>
            <w:shd w:val="clear" w:color="auto" w:fill="FFFFFF" w:themeFill="background1"/>
            <w:vAlign w:val="center"/>
          </w:tcPr>
          <w:p w14:paraId="019C3B12" w14:textId="190E36E0" w:rsidR="00FC125C" w:rsidRPr="002B6702" w:rsidRDefault="00FC125C" w:rsidP="00FC125C">
            <w:pPr>
              <w:pStyle w:val="ListParagraph"/>
              <w:ind w:left="0"/>
              <w:contextualSpacing w:val="0"/>
              <w:jc w:val="center"/>
              <w:rPr>
                <w:color w:val="00B050"/>
                <w:sz w:val="20"/>
                <w:szCs w:val="20"/>
              </w:rPr>
            </w:pPr>
            <w:r w:rsidRPr="00FC125C">
              <w:rPr>
                <w:sz w:val="20"/>
                <w:szCs w:val="20"/>
              </w:rPr>
              <w:t>-</w:t>
            </w:r>
          </w:p>
        </w:tc>
        <w:tc>
          <w:tcPr>
            <w:tcW w:w="1375" w:type="dxa"/>
            <w:tcBorders>
              <w:top w:val="single" w:sz="8" w:space="0" w:color="auto"/>
              <w:bottom w:val="single" w:sz="4" w:space="0" w:color="auto"/>
            </w:tcBorders>
            <w:shd w:val="clear" w:color="auto" w:fill="FFFFFF" w:themeFill="background1"/>
            <w:vAlign w:val="center"/>
          </w:tcPr>
          <w:p w14:paraId="6192CCB2" w14:textId="2889C50A" w:rsidR="00FC125C" w:rsidRPr="002B6702" w:rsidRDefault="00794C43" w:rsidP="00FC125C">
            <w:pPr>
              <w:pStyle w:val="ListParagraph"/>
              <w:ind w:left="0"/>
              <w:contextualSpacing w:val="0"/>
              <w:jc w:val="center"/>
              <w:rPr>
                <w:color w:val="00B050"/>
                <w:sz w:val="20"/>
                <w:szCs w:val="20"/>
              </w:rPr>
            </w:pPr>
            <w:r>
              <w:rPr>
                <w:color w:val="00B050"/>
                <w:sz w:val="20"/>
                <w:szCs w:val="20"/>
              </w:rPr>
              <w:t>+</w:t>
            </w:r>
            <w:r w:rsidR="00FC125C">
              <w:rPr>
                <w:color w:val="00B050"/>
                <w:sz w:val="20"/>
                <w:szCs w:val="20"/>
              </w:rPr>
              <w:t>7</w:t>
            </w:r>
            <w:r>
              <w:rPr>
                <w:color w:val="00B050"/>
                <w:sz w:val="20"/>
                <w:szCs w:val="20"/>
              </w:rPr>
              <w:t> </w:t>
            </w:r>
            <w:r w:rsidR="00FC125C">
              <w:rPr>
                <w:color w:val="00B050"/>
                <w:sz w:val="20"/>
                <w:szCs w:val="20"/>
              </w:rPr>
              <w:t>000</w:t>
            </w:r>
            <w:r>
              <w:rPr>
                <w:color w:val="00B050"/>
                <w:sz w:val="20"/>
                <w:szCs w:val="20"/>
              </w:rPr>
              <w:t xml:space="preserve"> 000</w:t>
            </w:r>
          </w:p>
        </w:tc>
        <w:tc>
          <w:tcPr>
            <w:tcW w:w="1269" w:type="dxa"/>
            <w:tcBorders>
              <w:top w:val="single" w:sz="8" w:space="0" w:color="auto"/>
              <w:bottom w:val="single" w:sz="4" w:space="0" w:color="auto"/>
              <w:right w:val="nil"/>
            </w:tcBorders>
            <w:shd w:val="clear" w:color="auto" w:fill="FFFFFF" w:themeFill="background1"/>
            <w:vAlign w:val="center"/>
          </w:tcPr>
          <w:p w14:paraId="57C3BA7B" w14:textId="00CDDB9F" w:rsidR="00FC125C" w:rsidRPr="002B6702" w:rsidRDefault="00794C43" w:rsidP="00FC125C">
            <w:pPr>
              <w:pStyle w:val="ListParagraph"/>
              <w:ind w:left="0"/>
              <w:contextualSpacing w:val="0"/>
              <w:jc w:val="center"/>
              <w:rPr>
                <w:color w:val="00B050"/>
                <w:sz w:val="20"/>
                <w:szCs w:val="20"/>
              </w:rPr>
            </w:pPr>
            <w:r>
              <w:rPr>
                <w:color w:val="00B050"/>
                <w:sz w:val="20"/>
                <w:szCs w:val="20"/>
              </w:rPr>
              <w:t>+6 000 000</w:t>
            </w:r>
          </w:p>
        </w:tc>
      </w:tr>
      <w:tr w:rsidR="00794C43" w:rsidRPr="00F53BA5" w14:paraId="38A1502A" w14:textId="77777777" w:rsidTr="00005BE2">
        <w:tc>
          <w:tcPr>
            <w:tcW w:w="3672" w:type="dxa"/>
            <w:tcBorders>
              <w:top w:val="single" w:sz="4" w:space="0" w:color="auto"/>
              <w:left w:val="nil"/>
              <w:bottom w:val="single" w:sz="4" w:space="0" w:color="auto"/>
            </w:tcBorders>
            <w:shd w:val="clear" w:color="auto" w:fill="FFFFFF" w:themeFill="background1"/>
            <w:vAlign w:val="center"/>
          </w:tcPr>
          <w:p w14:paraId="4A638A62" w14:textId="77777777" w:rsidR="00794C43" w:rsidRPr="002B6702" w:rsidRDefault="00794C43" w:rsidP="00794C43">
            <w:pPr>
              <w:pStyle w:val="ListParagraph"/>
              <w:ind w:left="0"/>
              <w:contextualSpacing w:val="0"/>
              <w:jc w:val="left"/>
              <w:rPr>
                <w:sz w:val="20"/>
                <w:szCs w:val="20"/>
              </w:rPr>
            </w:pPr>
            <w:r w:rsidRPr="002B6702">
              <w:rPr>
                <w:sz w:val="20"/>
                <w:szCs w:val="20"/>
              </w:rPr>
              <w:t>PVN ieņēmumi</w:t>
            </w:r>
          </w:p>
        </w:tc>
        <w:tc>
          <w:tcPr>
            <w:tcW w:w="1376" w:type="dxa"/>
            <w:tcBorders>
              <w:top w:val="single" w:sz="4" w:space="0" w:color="auto"/>
              <w:bottom w:val="single" w:sz="4" w:space="0" w:color="auto"/>
            </w:tcBorders>
            <w:shd w:val="clear" w:color="auto" w:fill="FFFFFF" w:themeFill="background1"/>
            <w:vAlign w:val="center"/>
          </w:tcPr>
          <w:p w14:paraId="67C0BA46" w14:textId="5F56B2D9" w:rsidR="00794C43" w:rsidRPr="00FC125C" w:rsidRDefault="00794C43" w:rsidP="00794C43">
            <w:pPr>
              <w:pStyle w:val="ListParagraph"/>
              <w:ind w:left="0"/>
              <w:contextualSpacing w:val="0"/>
              <w:jc w:val="center"/>
              <w:rPr>
                <w:sz w:val="20"/>
                <w:szCs w:val="20"/>
              </w:rPr>
            </w:pPr>
            <w:r w:rsidRPr="00FC125C">
              <w:rPr>
                <w:sz w:val="20"/>
                <w:szCs w:val="20"/>
              </w:rPr>
              <w:t>-</w:t>
            </w:r>
          </w:p>
        </w:tc>
        <w:tc>
          <w:tcPr>
            <w:tcW w:w="1375" w:type="dxa"/>
            <w:tcBorders>
              <w:top w:val="single" w:sz="4" w:space="0" w:color="auto"/>
              <w:bottom w:val="single" w:sz="4" w:space="0" w:color="auto"/>
            </w:tcBorders>
            <w:shd w:val="clear" w:color="auto" w:fill="FFFFFF" w:themeFill="background1"/>
            <w:vAlign w:val="center"/>
          </w:tcPr>
          <w:p w14:paraId="67B7061D" w14:textId="515BDF67" w:rsidR="00794C43" w:rsidRPr="002B6702" w:rsidRDefault="00794C43" w:rsidP="00794C43">
            <w:pPr>
              <w:pStyle w:val="ListParagraph"/>
              <w:ind w:left="0"/>
              <w:contextualSpacing w:val="0"/>
              <w:jc w:val="center"/>
              <w:rPr>
                <w:color w:val="00B050"/>
                <w:sz w:val="20"/>
                <w:szCs w:val="20"/>
              </w:rPr>
            </w:pPr>
            <w:r w:rsidRPr="00FC125C">
              <w:rPr>
                <w:sz w:val="20"/>
                <w:szCs w:val="20"/>
              </w:rPr>
              <w:t>-</w:t>
            </w:r>
          </w:p>
        </w:tc>
        <w:tc>
          <w:tcPr>
            <w:tcW w:w="1375" w:type="dxa"/>
            <w:tcBorders>
              <w:top w:val="single" w:sz="4" w:space="0" w:color="auto"/>
              <w:bottom w:val="single" w:sz="4" w:space="0" w:color="auto"/>
            </w:tcBorders>
            <w:shd w:val="clear" w:color="auto" w:fill="FFFFFF" w:themeFill="background1"/>
            <w:vAlign w:val="center"/>
          </w:tcPr>
          <w:p w14:paraId="73727BF2" w14:textId="4858D9C3" w:rsidR="00794C43" w:rsidRPr="002B6702" w:rsidRDefault="00794C43" w:rsidP="00794C43">
            <w:pPr>
              <w:pStyle w:val="ListParagraph"/>
              <w:ind w:left="0"/>
              <w:contextualSpacing w:val="0"/>
              <w:jc w:val="center"/>
              <w:rPr>
                <w:color w:val="00B050"/>
                <w:sz w:val="20"/>
                <w:szCs w:val="20"/>
              </w:rPr>
            </w:pPr>
            <w:r>
              <w:rPr>
                <w:color w:val="00B050"/>
                <w:sz w:val="20"/>
                <w:szCs w:val="20"/>
              </w:rPr>
              <w:t>+1 470 000</w:t>
            </w:r>
          </w:p>
        </w:tc>
        <w:tc>
          <w:tcPr>
            <w:tcW w:w="1269" w:type="dxa"/>
            <w:tcBorders>
              <w:top w:val="single" w:sz="4" w:space="0" w:color="auto"/>
              <w:bottom w:val="single" w:sz="4" w:space="0" w:color="auto"/>
              <w:right w:val="nil"/>
            </w:tcBorders>
            <w:shd w:val="clear" w:color="auto" w:fill="FFFFFF" w:themeFill="background1"/>
            <w:vAlign w:val="center"/>
          </w:tcPr>
          <w:p w14:paraId="0A09E4F5" w14:textId="2A079AE4" w:rsidR="00794C43" w:rsidRPr="002B6702" w:rsidRDefault="00794C43" w:rsidP="00794C43">
            <w:pPr>
              <w:pStyle w:val="ListParagraph"/>
              <w:ind w:left="0"/>
              <w:contextualSpacing w:val="0"/>
              <w:jc w:val="center"/>
              <w:rPr>
                <w:color w:val="00B050"/>
                <w:sz w:val="20"/>
                <w:szCs w:val="20"/>
              </w:rPr>
            </w:pPr>
            <w:r>
              <w:rPr>
                <w:color w:val="00B050"/>
                <w:sz w:val="20"/>
                <w:szCs w:val="20"/>
              </w:rPr>
              <w:t>+1 260 000</w:t>
            </w:r>
          </w:p>
        </w:tc>
      </w:tr>
      <w:tr w:rsidR="00794C43" w:rsidRPr="002B6702" w14:paraId="275E36DC" w14:textId="77777777" w:rsidTr="00005BE2">
        <w:tc>
          <w:tcPr>
            <w:tcW w:w="3672" w:type="dxa"/>
            <w:tcBorders>
              <w:left w:val="nil"/>
              <w:bottom w:val="nil"/>
            </w:tcBorders>
            <w:shd w:val="clear" w:color="auto" w:fill="E7E6E6" w:themeFill="background2"/>
            <w:vAlign w:val="center"/>
          </w:tcPr>
          <w:p w14:paraId="1F8D27D6" w14:textId="77777777" w:rsidR="00794C43" w:rsidRPr="002B6702" w:rsidRDefault="00794C43" w:rsidP="00794C43">
            <w:pPr>
              <w:rPr>
                <w:i/>
                <w:iCs/>
                <w:sz w:val="20"/>
                <w:szCs w:val="20"/>
              </w:rPr>
            </w:pPr>
            <w:r w:rsidRPr="002B6702">
              <w:rPr>
                <w:b/>
                <w:bCs/>
                <w:sz w:val="20"/>
                <w:szCs w:val="20"/>
              </w:rPr>
              <w:t>KOPĀ</w:t>
            </w:r>
            <w:r w:rsidRPr="002B6702">
              <w:rPr>
                <w:i/>
                <w:iCs/>
                <w:sz w:val="20"/>
                <w:szCs w:val="20"/>
              </w:rPr>
              <w:t>, no tā:</w:t>
            </w:r>
          </w:p>
        </w:tc>
        <w:tc>
          <w:tcPr>
            <w:tcW w:w="1376" w:type="dxa"/>
            <w:tcBorders>
              <w:bottom w:val="nil"/>
            </w:tcBorders>
            <w:shd w:val="clear" w:color="auto" w:fill="E7E6E6" w:themeFill="background2"/>
            <w:vAlign w:val="center"/>
          </w:tcPr>
          <w:p w14:paraId="053E08A6" w14:textId="1C1821D9" w:rsidR="00794C43" w:rsidRPr="00FC125C" w:rsidRDefault="00794C43" w:rsidP="00794C43">
            <w:pPr>
              <w:pStyle w:val="ListParagraph"/>
              <w:ind w:left="0"/>
              <w:contextualSpacing w:val="0"/>
              <w:jc w:val="center"/>
              <w:rPr>
                <w:i/>
                <w:iCs/>
                <w:sz w:val="20"/>
                <w:szCs w:val="20"/>
              </w:rPr>
            </w:pPr>
            <w:r w:rsidRPr="00FC125C">
              <w:rPr>
                <w:i/>
                <w:iCs/>
                <w:sz w:val="20"/>
                <w:szCs w:val="20"/>
              </w:rPr>
              <w:t>-</w:t>
            </w:r>
          </w:p>
        </w:tc>
        <w:tc>
          <w:tcPr>
            <w:tcW w:w="1375" w:type="dxa"/>
            <w:tcBorders>
              <w:bottom w:val="nil"/>
            </w:tcBorders>
            <w:shd w:val="clear" w:color="auto" w:fill="E7E6E6" w:themeFill="background2"/>
            <w:vAlign w:val="center"/>
          </w:tcPr>
          <w:p w14:paraId="37DE7BDB" w14:textId="4C965CD1" w:rsidR="00794C43" w:rsidRPr="002B6702" w:rsidRDefault="00794C43" w:rsidP="00794C43">
            <w:pPr>
              <w:pStyle w:val="ListParagraph"/>
              <w:ind w:left="0"/>
              <w:contextualSpacing w:val="0"/>
              <w:jc w:val="center"/>
              <w:rPr>
                <w:i/>
                <w:iCs/>
                <w:color w:val="00B050"/>
                <w:sz w:val="20"/>
                <w:szCs w:val="20"/>
              </w:rPr>
            </w:pPr>
            <w:r w:rsidRPr="00FC125C">
              <w:rPr>
                <w:i/>
                <w:iCs/>
                <w:sz w:val="20"/>
                <w:szCs w:val="20"/>
              </w:rPr>
              <w:t>-</w:t>
            </w:r>
          </w:p>
        </w:tc>
        <w:tc>
          <w:tcPr>
            <w:tcW w:w="1375" w:type="dxa"/>
            <w:tcBorders>
              <w:bottom w:val="nil"/>
            </w:tcBorders>
            <w:shd w:val="clear" w:color="auto" w:fill="E7E6E6" w:themeFill="background2"/>
            <w:vAlign w:val="center"/>
          </w:tcPr>
          <w:p w14:paraId="6D425932" w14:textId="13A6F279" w:rsidR="00794C43" w:rsidRPr="00794C43" w:rsidRDefault="00794C43" w:rsidP="00794C43">
            <w:pPr>
              <w:pStyle w:val="ListParagraph"/>
              <w:ind w:left="0"/>
              <w:contextualSpacing w:val="0"/>
              <w:jc w:val="center"/>
              <w:rPr>
                <w:b/>
                <w:bCs/>
                <w:color w:val="00B050"/>
                <w:sz w:val="20"/>
                <w:szCs w:val="20"/>
              </w:rPr>
            </w:pPr>
            <w:r>
              <w:rPr>
                <w:b/>
                <w:bCs/>
                <w:color w:val="00B050"/>
                <w:sz w:val="20"/>
                <w:szCs w:val="20"/>
              </w:rPr>
              <w:t>+</w:t>
            </w:r>
            <w:r w:rsidRPr="00794C43">
              <w:rPr>
                <w:b/>
                <w:bCs/>
                <w:color w:val="00B050"/>
                <w:sz w:val="20"/>
                <w:szCs w:val="20"/>
              </w:rPr>
              <w:t>8 470 000</w:t>
            </w:r>
          </w:p>
        </w:tc>
        <w:tc>
          <w:tcPr>
            <w:tcW w:w="1269" w:type="dxa"/>
            <w:tcBorders>
              <w:bottom w:val="nil"/>
              <w:right w:val="nil"/>
            </w:tcBorders>
            <w:shd w:val="clear" w:color="auto" w:fill="E7E6E6" w:themeFill="background2"/>
            <w:vAlign w:val="center"/>
          </w:tcPr>
          <w:p w14:paraId="2564CECC" w14:textId="14C6CF33" w:rsidR="00794C43" w:rsidRPr="00794C43" w:rsidRDefault="00794C43" w:rsidP="00794C43">
            <w:pPr>
              <w:pStyle w:val="ListParagraph"/>
              <w:ind w:left="0"/>
              <w:contextualSpacing w:val="0"/>
              <w:jc w:val="center"/>
              <w:rPr>
                <w:b/>
                <w:bCs/>
                <w:color w:val="00B050"/>
                <w:sz w:val="20"/>
                <w:szCs w:val="20"/>
              </w:rPr>
            </w:pPr>
            <w:r>
              <w:rPr>
                <w:b/>
                <w:bCs/>
                <w:color w:val="00B050"/>
                <w:sz w:val="20"/>
                <w:szCs w:val="20"/>
              </w:rPr>
              <w:t>+</w:t>
            </w:r>
            <w:r w:rsidRPr="00794C43">
              <w:rPr>
                <w:b/>
                <w:bCs/>
                <w:color w:val="00B050"/>
                <w:sz w:val="20"/>
                <w:szCs w:val="20"/>
              </w:rPr>
              <w:t>7 260 000</w:t>
            </w:r>
          </w:p>
        </w:tc>
      </w:tr>
      <w:tr w:rsidR="00794C43" w:rsidRPr="002B6702" w14:paraId="58DCD21D" w14:textId="77777777" w:rsidTr="00005BE2">
        <w:tc>
          <w:tcPr>
            <w:tcW w:w="3672" w:type="dxa"/>
            <w:tcBorders>
              <w:left w:val="nil"/>
              <w:bottom w:val="nil"/>
            </w:tcBorders>
            <w:shd w:val="clear" w:color="auto" w:fill="FFFFFF" w:themeFill="background1"/>
            <w:vAlign w:val="center"/>
          </w:tcPr>
          <w:p w14:paraId="646B6C16" w14:textId="77777777" w:rsidR="00794C43" w:rsidRPr="002B6702" w:rsidRDefault="00794C43" w:rsidP="00794C43">
            <w:pPr>
              <w:pStyle w:val="ListParagraph"/>
              <w:numPr>
                <w:ilvl w:val="0"/>
                <w:numId w:val="9"/>
              </w:numPr>
              <w:tabs>
                <w:tab w:val="clear" w:pos="720"/>
                <w:tab w:val="num" w:pos="306"/>
              </w:tabs>
              <w:ind w:hanging="698"/>
              <w:contextualSpacing w:val="0"/>
              <w:jc w:val="left"/>
              <w:rPr>
                <w:i/>
                <w:iCs/>
                <w:sz w:val="20"/>
                <w:szCs w:val="20"/>
              </w:rPr>
            </w:pPr>
            <w:r w:rsidRPr="002B6702">
              <w:rPr>
                <w:i/>
                <w:iCs/>
                <w:sz w:val="20"/>
                <w:szCs w:val="20"/>
              </w:rPr>
              <w:t>valsts pamatbudžetā</w:t>
            </w:r>
          </w:p>
        </w:tc>
        <w:tc>
          <w:tcPr>
            <w:tcW w:w="1376" w:type="dxa"/>
            <w:tcBorders>
              <w:bottom w:val="nil"/>
            </w:tcBorders>
            <w:shd w:val="clear" w:color="auto" w:fill="FFFFFF" w:themeFill="background1"/>
            <w:vAlign w:val="center"/>
          </w:tcPr>
          <w:p w14:paraId="081E83DA" w14:textId="64D754B3" w:rsidR="00794C43" w:rsidRPr="00FC125C" w:rsidRDefault="00794C43" w:rsidP="00794C43">
            <w:pPr>
              <w:pStyle w:val="ListParagraph"/>
              <w:ind w:left="0"/>
              <w:contextualSpacing w:val="0"/>
              <w:jc w:val="center"/>
              <w:rPr>
                <w:i/>
                <w:iCs/>
                <w:sz w:val="20"/>
                <w:szCs w:val="20"/>
              </w:rPr>
            </w:pPr>
            <w:r w:rsidRPr="00FC125C">
              <w:rPr>
                <w:i/>
                <w:iCs/>
                <w:sz w:val="20"/>
                <w:szCs w:val="20"/>
              </w:rPr>
              <w:t>-</w:t>
            </w:r>
          </w:p>
        </w:tc>
        <w:tc>
          <w:tcPr>
            <w:tcW w:w="1375" w:type="dxa"/>
            <w:tcBorders>
              <w:bottom w:val="nil"/>
            </w:tcBorders>
            <w:shd w:val="clear" w:color="auto" w:fill="FFFFFF" w:themeFill="background1"/>
            <w:vAlign w:val="center"/>
          </w:tcPr>
          <w:p w14:paraId="15B4FF57" w14:textId="3F739511" w:rsidR="00794C43" w:rsidRPr="002B6702" w:rsidRDefault="00794C43" w:rsidP="00794C43">
            <w:pPr>
              <w:pStyle w:val="ListParagraph"/>
              <w:ind w:left="0"/>
              <w:contextualSpacing w:val="0"/>
              <w:jc w:val="center"/>
              <w:rPr>
                <w:i/>
                <w:iCs/>
                <w:color w:val="00B050"/>
                <w:sz w:val="20"/>
                <w:szCs w:val="20"/>
              </w:rPr>
            </w:pPr>
            <w:r w:rsidRPr="00FC125C">
              <w:rPr>
                <w:i/>
                <w:iCs/>
                <w:sz w:val="20"/>
                <w:szCs w:val="20"/>
              </w:rPr>
              <w:t>-</w:t>
            </w:r>
          </w:p>
        </w:tc>
        <w:tc>
          <w:tcPr>
            <w:tcW w:w="1375" w:type="dxa"/>
            <w:tcBorders>
              <w:bottom w:val="nil"/>
            </w:tcBorders>
            <w:shd w:val="clear" w:color="auto" w:fill="FFFFFF" w:themeFill="background1"/>
            <w:vAlign w:val="center"/>
          </w:tcPr>
          <w:p w14:paraId="5BB46879" w14:textId="06B0BD44" w:rsidR="00794C43" w:rsidRPr="00794C43" w:rsidRDefault="00794C43" w:rsidP="00794C43">
            <w:pPr>
              <w:pStyle w:val="ListParagraph"/>
              <w:ind w:left="0"/>
              <w:contextualSpacing w:val="0"/>
              <w:jc w:val="center"/>
              <w:rPr>
                <w:i/>
                <w:iCs/>
                <w:color w:val="00B050"/>
                <w:sz w:val="20"/>
                <w:szCs w:val="20"/>
              </w:rPr>
            </w:pPr>
            <w:r>
              <w:rPr>
                <w:i/>
                <w:iCs/>
                <w:color w:val="00B050"/>
                <w:sz w:val="20"/>
                <w:szCs w:val="20"/>
              </w:rPr>
              <w:t>+</w:t>
            </w:r>
            <w:r w:rsidRPr="00794C43">
              <w:rPr>
                <w:i/>
                <w:iCs/>
                <w:color w:val="00B050"/>
                <w:sz w:val="20"/>
                <w:szCs w:val="20"/>
              </w:rPr>
              <w:t>8 470 000</w:t>
            </w:r>
          </w:p>
        </w:tc>
        <w:tc>
          <w:tcPr>
            <w:tcW w:w="1269" w:type="dxa"/>
            <w:tcBorders>
              <w:bottom w:val="nil"/>
              <w:right w:val="nil"/>
            </w:tcBorders>
            <w:shd w:val="clear" w:color="auto" w:fill="FFFFFF" w:themeFill="background1"/>
            <w:vAlign w:val="center"/>
          </w:tcPr>
          <w:p w14:paraId="3318C8D1" w14:textId="45597ABF" w:rsidR="00794C43" w:rsidRPr="00794C43" w:rsidRDefault="00794C43" w:rsidP="00794C43">
            <w:pPr>
              <w:pStyle w:val="ListParagraph"/>
              <w:ind w:left="0"/>
              <w:contextualSpacing w:val="0"/>
              <w:jc w:val="center"/>
              <w:rPr>
                <w:i/>
                <w:iCs/>
                <w:color w:val="00B050"/>
                <w:sz w:val="20"/>
                <w:szCs w:val="20"/>
              </w:rPr>
            </w:pPr>
            <w:r>
              <w:rPr>
                <w:i/>
                <w:iCs/>
                <w:color w:val="00B050"/>
                <w:sz w:val="20"/>
                <w:szCs w:val="20"/>
              </w:rPr>
              <w:t>+</w:t>
            </w:r>
            <w:r w:rsidRPr="00794C43">
              <w:rPr>
                <w:i/>
                <w:iCs/>
                <w:color w:val="00B050"/>
                <w:sz w:val="20"/>
                <w:szCs w:val="20"/>
              </w:rPr>
              <w:t>7 260 000</w:t>
            </w:r>
          </w:p>
        </w:tc>
      </w:tr>
    </w:tbl>
    <w:p w14:paraId="6524D945" w14:textId="77777777" w:rsidR="00FA7FB6" w:rsidRDefault="00FA7FB6" w:rsidP="00FA7FB6">
      <w:pPr>
        <w:tabs>
          <w:tab w:val="left" w:pos="426"/>
        </w:tabs>
        <w:spacing w:before="120" w:after="120"/>
        <w:rPr>
          <w:rFonts w:cs="Times New Roman"/>
          <w:i/>
          <w:sz w:val="18"/>
        </w:rPr>
      </w:pPr>
      <w:r w:rsidRPr="000203BA">
        <w:rPr>
          <w:rFonts w:cs="Times New Roman"/>
          <w:b/>
          <w:bCs/>
          <w:i/>
          <w:sz w:val="18"/>
        </w:rPr>
        <w:t>Avots</w:t>
      </w:r>
      <w:r w:rsidRPr="000203BA">
        <w:rPr>
          <w:rFonts w:cs="Times New Roman"/>
          <w:i/>
          <w:sz w:val="18"/>
        </w:rPr>
        <w:t>: FM aprēķini.</w:t>
      </w:r>
    </w:p>
    <w:p w14:paraId="4069B1BA" w14:textId="77777777" w:rsidR="006143AE" w:rsidRPr="000203BA" w:rsidRDefault="006143AE" w:rsidP="00FA7FB6">
      <w:pPr>
        <w:tabs>
          <w:tab w:val="left" w:pos="426"/>
        </w:tabs>
        <w:spacing w:before="120" w:after="120"/>
        <w:rPr>
          <w:rFonts w:cs="Times New Roman"/>
          <w:i/>
          <w:sz w:val="18"/>
        </w:rPr>
      </w:pPr>
    </w:p>
    <w:p w14:paraId="2E7E8BBF" w14:textId="486F59B4" w:rsidR="009475A8" w:rsidRDefault="009475A8" w:rsidP="009475A8">
      <w:pPr>
        <w:pStyle w:val="Heading2"/>
        <w:tabs>
          <w:tab w:val="left" w:pos="567"/>
        </w:tabs>
        <w:ind w:left="567" w:hanging="567"/>
        <w:rPr>
          <w:bCs/>
        </w:rPr>
      </w:pPr>
      <w:bookmarkStart w:id="59" w:name="_Toc177627717"/>
      <w:r>
        <w:rPr>
          <w:bCs/>
        </w:rPr>
        <w:t>3.</w:t>
      </w:r>
      <w:r w:rsidR="00594671">
        <w:rPr>
          <w:bCs/>
        </w:rPr>
        <w:t>6</w:t>
      </w:r>
      <w:r>
        <w:rPr>
          <w:bCs/>
        </w:rPr>
        <w:t xml:space="preserve">. </w:t>
      </w:r>
      <w:r>
        <w:rPr>
          <w:bCs/>
        </w:rPr>
        <w:tab/>
      </w:r>
      <w:r w:rsidRPr="005C1FD5">
        <w:rPr>
          <w:bCs/>
        </w:rPr>
        <w:t>A</w:t>
      </w:r>
      <w:r>
        <w:rPr>
          <w:bCs/>
        </w:rPr>
        <w:t>kcīzes nodokļa</w:t>
      </w:r>
      <w:r w:rsidRPr="005C1FD5">
        <w:rPr>
          <w:bCs/>
        </w:rPr>
        <w:t xml:space="preserve"> likm</w:t>
      </w:r>
      <w:r>
        <w:rPr>
          <w:bCs/>
        </w:rPr>
        <w:t>ju</w:t>
      </w:r>
      <w:r w:rsidRPr="005C1FD5">
        <w:rPr>
          <w:bCs/>
        </w:rPr>
        <w:t xml:space="preserve"> paaugstināšana tabakas izstrādājumiem </w:t>
      </w:r>
      <w:r>
        <w:t xml:space="preserve">un pēc </w:t>
      </w:r>
      <w:r w:rsidR="008258DC">
        <w:t xml:space="preserve">izmantošanas </w:t>
      </w:r>
      <w:r>
        <w:t xml:space="preserve">mērķa līdzīgiem produktiem </w:t>
      </w:r>
      <w:r w:rsidRPr="005C1FD5">
        <w:rPr>
          <w:bCs/>
        </w:rPr>
        <w:t>no 2027.</w:t>
      </w:r>
      <w:r w:rsidR="00FA7FB6">
        <w:rPr>
          <w:bCs/>
        </w:rPr>
        <w:t> </w:t>
      </w:r>
      <w:r w:rsidRPr="005C1FD5">
        <w:rPr>
          <w:bCs/>
        </w:rPr>
        <w:t>gada</w:t>
      </w:r>
      <w:bookmarkEnd w:id="59"/>
    </w:p>
    <w:p w14:paraId="704972B0" w14:textId="5BF3369D" w:rsidR="00F92642" w:rsidRDefault="00F92642" w:rsidP="00F92642">
      <w:pPr>
        <w:ind w:firstLine="567"/>
        <w:jc w:val="both"/>
      </w:pPr>
      <w:r w:rsidRPr="00F92642">
        <w:t xml:space="preserve">Šobrīd ir spēkā trīs gadu AN paaugstināšanas tabakas izstrādājumiem un pēc </w:t>
      </w:r>
      <w:r w:rsidR="008258DC">
        <w:t xml:space="preserve">izmantošanas </w:t>
      </w:r>
      <w:r w:rsidRPr="00F92642">
        <w:t xml:space="preserve">mērķa līdzīgiem produktiem grafiks līdz 2026. gadam, pēc  kura </w:t>
      </w:r>
      <w:r>
        <w:t>plānots arī</w:t>
      </w:r>
      <w:r w:rsidRPr="00F92642">
        <w:t xml:space="preserve"> turpmāks likmju paaugstinājums </w:t>
      </w:r>
      <w:r w:rsidRPr="00F92642">
        <w:rPr>
          <w:b/>
          <w:bCs/>
        </w:rPr>
        <w:t>vidēji</w:t>
      </w:r>
      <w:r w:rsidRPr="00F92642">
        <w:t xml:space="preserve"> par </w:t>
      </w:r>
      <w:r w:rsidRPr="00F92642">
        <w:rPr>
          <w:b/>
          <w:bCs/>
          <w:color w:val="FF0000"/>
        </w:rPr>
        <w:t>10 procentiem</w:t>
      </w:r>
      <w:r w:rsidRPr="00F92642">
        <w:t xml:space="preserve">. </w:t>
      </w:r>
    </w:p>
    <w:p w14:paraId="430B46C5" w14:textId="77777777" w:rsidR="009475A8" w:rsidRDefault="009475A8" w:rsidP="009475A8">
      <w:pPr>
        <w:jc w:val="center"/>
        <w:rPr>
          <w:sz w:val="20"/>
          <w:szCs w:val="20"/>
        </w:rPr>
      </w:pPr>
    </w:p>
    <w:p w14:paraId="5D0FC80C" w14:textId="2887F253" w:rsidR="0033499C" w:rsidRPr="00DA2A6D" w:rsidRDefault="002111E5" w:rsidP="0033499C">
      <w:pPr>
        <w:spacing w:after="120"/>
        <w:jc w:val="center"/>
        <w:rPr>
          <w:sz w:val="20"/>
          <w:szCs w:val="20"/>
        </w:rPr>
      </w:pPr>
      <w:r>
        <w:rPr>
          <w:rFonts w:cs="Times New Roman"/>
          <w:sz w:val="20"/>
        </w:rPr>
        <w:t>3</w:t>
      </w:r>
      <w:r w:rsidR="00725CD9">
        <w:rPr>
          <w:rFonts w:cs="Times New Roman"/>
          <w:sz w:val="20"/>
        </w:rPr>
        <w:t>0</w:t>
      </w:r>
      <w:r w:rsidR="0033499C">
        <w:rPr>
          <w:sz w:val="20"/>
          <w:szCs w:val="20"/>
        </w:rPr>
        <w:t>.</w:t>
      </w:r>
      <w:r w:rsidR="0033499C" w:rsidRPr="00DA2A6D">
        <w:rPr>
          <w:sz w:val="20"/>
          <w:szCs w:val="20"/>
        </w:rPr>
        <w:t xml:space="preserve">tab. </w:t>
      </w:r>
      <w:r w:rsidR="0033499C" w:rsidRPr="00DA2A6D">
        <w:rPr>
          <w:b/>
          <w:bCs/>
          <w:sz w:val="20"/>
          <w:szCs w:val="20"/>
        </w:rPr>
        <w:t xml:space="preserve">AN </w:t>
      </w:r>
      <w:r w:rsidR="0033499C">
        <w:rPr>
          <w:b/>
          <w:bCs/>
          <w:sz w:val="20"/>
          <w:szCs w:val="20"/>
        </w:rPr>
        <w:t xml:space="preserve">likmes </w:t>
      </w:r>
      <w:r w:rsidR="0033499C" w:rsidRPr="00B40EEA">
        <w:rPr>
          <w:b/>
          <w:bCs/>
          <w:sz w:val="20"/>
          <w:szCs w:val="20"/>
        </w:rPr>
        <w:t>tabakas izstrādājumiem un pēc mērķa līdzīgiem produktiem</w:t>
      </w:r>
    </w:p>
    <w:tbl>
      <w:tblPr>
        <w:tblStyle w:val="TableGrid"/>
        <w:tblW w:w="9072" w:type="dxa"/>
        <w:tblInd w:w="-5" w:type="dxa"/>
        <w:tblLayout w:type="fixed"/>
        <w:tblLook w:val="04A0" w:firstRow="1" w:lastRow="0" w:firstColumn="1" w:lastColumn="0" w:noHBand="0" w:noVBand="1"/>
      </w:tblPr>
      <w:tblGrid>
        <w:gridCol w:w="4678"/>
        <w:gridCol w:w="851"/>
        <w:gridCol w:w="992"/>
        <w:gridCol w:w="850"/>
        <w:gridCol w:w="851"/>
        <w:gridCol w:w="850"/>
      </w:tblGrid>
      <w:tr w:rsidR="00317EFA" w:rsidRPr="005C1FD5" w14:paraId="35DCBC90" w14:textId="77777777" w:rsidTr="00B4173B">
        <w:trPr>
          <w:trHeight w:val="93"/>
        </w:trPr>
        <w:tc>
          <w:tcPr>
            <w:tcW w:w="4678" w:type="dxa"/>
            <w:tcBorders>
              <w:top w:val="single" w:sz="4" w:space="0" w:color="FFFFFF" w:themeColor="background1"/>
              <w:bottom w:val="single" w:sz="4" w:space="0" w:color="000000"/>
              <w:right w:val="single" w:sz="4" w:space="0" w:color="FFFFFF" w:themeColor="background1"/>
            </w:tcBorders>
            <w:shd w:val="clear" w:color="auto" w:fill="002060"/>
            <w:vAlign w:val="center"/>
          </w:tcPr>
          <w:p w14:paraId="238183F6" w14:textId="77777777" w:rsidR="00317EFA" w:rsidRPr="00976D16" w:rsidRDefault="00317EFA" w:rsidP="00FE4F85">
            <w:pPr>
              <w:contextualSpacing/>
              <w:rPr>
                <w:b/>
                <w:bCs/>
                <w:color w:val="FFFFFF" w:themeColor="background1"/>
                <w:sz w:val="20"/>
                <w:szCs w:val="20"/>
              </w:rPr>
            </w:pPr>
          </w:p>
        </w:tc>
        <w:tc>
          <w:tcPr>
            <w:tcW w:w="851"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2060"/>
          </w:tcPr>
          <w:p w14:paraId="3AB04A9C" w14:textId="77777777" w:rsidR="00317EFA" w:rsidRPr="00976D16" w:rsidRDefault="00317EFA" w:rsidP="00B4173B">
            <w:pPr>
              <w:contextualSpacing/>
              <w:jc w:val="center"/>
              <w:rPr>
                <w:rFonts w:cstheme="minorHAnsi"/>
                <w:b/>
                <w:color w:val="FFFFFF" w:themeColor="background1"/>
                <w:sz w:val="20"/>
                <w:szCs w:val="20"/>
              </w:rPr>
            </w:pPr>
            <w:r>
              <w:rPr>
                <w:rFonts w:cstheme="minorHAnsi"/>
                <w:b/>
                <w:color w:val="FFFFFF" w:themeColor="background1"/>
                <w:sz w:val="20"/>
                <w:szCs w:val="20"/>
              </w:rPr>
              <w:t>Valsts kods</w:t>
            </w:r>
          </w:p>
        </w:tc>
        <w:tc>
          <w:tcPr>
            <w:tcW w:w="992"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002060"/>
            <w:vAlign w:val="center"/>
          </w:tcPr>
          <w:p w14:paraId="182B1F23" w14:textId="5C2866B1" w:rsidR="00317EFA" w:rsidRPr="00976D16" w:rsidRDefault="00317EFA" w:rsidP="00FE4F85">
            <w:pPr>
              <w:contextualSpacing/>
              <w:jc w:val="center"/>
              <w:rPr>
                <w:b/>
                <w:bCs/>
                <w:color w:val="FFFFFF" w:themeColor="background1"/>
                <w:sz w:val="20"/>
                <w:szCs w:val="20"/>
              </w:rPr>
            </w:pPr>
            <w:r w:rsidRPr="00976D16">
              <w:rPr>
                <w:rFonts w:cstheme="minorHAnsi"/>
                <w:b/>
                <w:color w:val="FFFFFF" w:themeColor="background1"/>
                <w:sz w:val="20"/>
                <w:szCs w:val="20"/>
              </w:rPr>
              <w:t>2024</w:t>
            </w:r>
          </w:p>
        </w:tc>
        <w:tc>
          <w:tcPr>
            <w:tcW w:w="850"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002060"/>
            <w:vAlign w:val="center"/>
          </w:tcPr>
          <w:p w14:paraId="49563ABC" w14:textId="77777777" w:rsidR="00317EFA" w:rsidRPr="00976D16" w:rsidRDefault="00317EFA" w:rsidP="00FE4F85">
            <w:pPr>
              <w:contextualSpacing/>
              <w:jc w:val="center"/>
              <w:rPr>
                <w:b/>
                <w:bCs/>
                <w:color w:val="FFFFFF" w:themeColor="background1"/>
                <w:sz w:val="20"/>
                <w:szCs w:val="20"/>
              </w:rPr>
            </w:pPr>
            <w:r w:rsidRPr="00976D16">
              <w:rPr>
                <w:rFonts w:cstheme="minorHAnsi"/>
                <w:b/>
                <w:color w:val="FFFFFF" w:themeColor="background1"/>
                <w:sz w:val="20"/>
                <w:szCs w:val="20"/>
              </w:rPr>
              <w:t>2025</w:t>
            </w:r>
          </w:p>
        </w:tc>
        <w:tc>
          <w:tcPr>
            <w:tcW w:w="85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002060"/>
            <w:vAlign w:val="center"/>
          </w:tcPr>
          <w:p w14:paraId="0C1820E8" w14:textId="77777777" w:rsidR="00317EFA" w:rsidRPr="00976D16" w:rsidRDefault="00317EFA" w:rsidP="00FE4F85">
            <w:pPr>
              <w:contextualSpacing/>
              <w:jc w:val="center"/>
              <w:rPr>
                <w:b/>
                <w:bCs/>
                <w:color w:val="FFFFFF" w:themeColor="background1"/>
                <w:sz w:val="20"/>
                <w:szCs w:val="20"/>
              </w:rPr>
            </w:pPr>
            <w:r w:rsidRPr="00976D16">
              <w:rPr>
                <w:rFonts w:cstheme="minorHAnsi"/>
                <w:b/>
                <w:color w:val="FFFFFF" w:themeColor="background1"/>
                <w:sz w:val="20"/>
                <w:szCs w:val="20"/>
              </w:rPr>
              <w:t>2026</w:t>
            </w:r>
          </w:p>
        </w:tc>
        <w:tc>
          <w:tcPr>
            <w:tcW w:w="850" w:type="dxa"/>
            <w:tcBorders>
              <w:top w:val="single" w:sz="4" w:space="0" w:color="FFFFFF" w:themeColor="background1"/>
              <w:left w:val="single" w:sz="4" w:space="0" w:color="FFFFFF" w:themeColor="background1"/>
              <w:right w:val="single" w:sz="4" w:space="0" w:color="FFFFFF" w:themeColor="background1"/>
            </w:tcBorders>
            <w:shd w:val="clear" w:color="auto" w:fill="002060"/>
            <w:vAlign w:val="center"/>
          </w:tcPr>
          <w:p w14:paraId="14B31942" w14:textId="77777777" w:rsidR="00317EFA" w:rsidRPr="00976D16" w:rsidRDefault="00317EFA" w:rsidP="00FE4F85">
            <w:pPr>
              <w:contextualSpacing/>
              <w:jc w:val="center"/>
              <w:rPr>
                <w:rFonts w:cstheme="minorHAnsi"/>
                <w:b/>
                <w:color w:val="FFFFFF" w:themeColor="background1"/>
                <w:sz w:val="20"/>
                <w:szCs w:val="20"/>
              </w:rPr>
            </w:pPr>
            <w:r w:rsidRPr="00976D16">
              <w:rPr>
                <w:rFonts w:cstheme="minorHAnsi"/>
                <w:b/>
                <w:color w:val="FFFFFF" w:themeColor="background1"/>
                <w:sz w:val="20"/>
                <w:szCs w:val="20"/>
              </w:rPr>
              <w:t>2027</w:t>
            </w:r>
          </w:p>
        </w:tc>
      </w:tr>
      <w:tr w:rsidR="00317EFA" w:rsidRPr="00FE35AA" w14:paraId="366C5964" w14:textId="77777777" w:rsidTr="00317EFA">
        <w:trPr>
          <w:trHeight w:val="212"/>
        </w:trPr>
        <w:tc>
          <w:tcPr>
            <w:tcW w:w="4678" w:type="dxa"/>
            <w:vMerge w:val="restart"/>
            <w:tcBorders>
              <w:top w:val="single" w:sz="4" w:space="0" w:color="000000"/>
            </w:tcBorders>
            <w:shd w:val="clear" w:color="auto" w:fill="auto"/>
            <w:vAlign w:val="center"/>
          </w:tcPr>
          <w:p w14:paraId="703AB401" w14:textId="391895CE" w:rsidR="00317EFA" w:rsidRDefault="00317EFA" w:rsidP="00317EFA">
            <w:pPr>
              <w:contextualSpacing/>
              <w:rPr>
                <w:b/>
                <w:bCs/>
                <w:sz w:val="20"/>
                <w:szCs w:val="20"/>
              </w:rPr>
            </w:pPr>
            <w:r w:rsidRPr="009E0481">
              <w:rPr>
                <w:b/>
                <w:bCs/>
                <w:sz w:val="20"/>
                <w:szCs w:val="20"/>
              </w:rPr>
              <w:t>Cigaretes</w:t>
            </w:r>
            <w:r>
              <w:rPr>
                <w:b/>
                <w:bCs/>
                <w:sz w:val="20"/>
                <w:szCs w:val="20"/>
              </w:rPr>
              <w:t>,</w:t>
            </w:r>
            <w:r w:rsidRPr="00317EFA">
              <w:rPr>
                <w:i/>
                <w:iCs/>
                <w:sz w:val="16"/>
                <w:szCs w:val="16"/>
              </w:rPr>
              <w:t xml:space="preserve"> </w:t>
            </w:r>
            <w:r w:rsidRPr="00317EFA">
              <w:rPr>
                <w:i/>
                <w:iCs/>
                <w:sz w:val="20"/>
                <w:szCs w:val="20"/>
              </w:rPr>
              <w:t>euro par 1000 gab.</w:t>
            </w:r>
            <w:r w:rsidRPr="00317EFA">
              <w:rPr>
                <w:sz w:val="16"/>
                <w:szCs w:val="16"/>
              </w:rPr>
              <w:t xml:space="preserve"> </w:t>
            </w:r>
            <w:r>
              <w:t xml:space="preserve"> </w:t>
            </w:r>
            <w:r w:rsidRPr="00317EFA">
              <w:rPr>
                <w:sz w:val="20"/>
                <w:szCs w:val="20"/>
              </w:rPr>
              <w:t>+</w:t>
            </w:r>
            <w:r w:rsidRPr="00317EFA">
              <w:rPr>
                <w:rFonts w:cs="Times New Roman"/>
                <w:i/>
                <w:iCs/>
                <w:sz w:val="20"/>
                <w:szCs w:val="20"/>
              </w:rPr>
              <w:t xml:space="preserve"> </w:t>
            </w:r>
            <w:proofErr w:type="spellStart"/>
            <w:r w:rsidRPr="00317EFA">
              <w:rPr>
                <w:rFonts w:cs="Times New Roman"/>
                <w:i/>
                <w:iCs/>
                <w:sz w:val="20"/>
                <w:szCs w:val="20"/>
              </w:rPr>
              <w:t>Ad</w:t>
            </w:r>
            <w:proofErr w:type="spellEnd"/>
            <w:r w:rsidRPr="00317EFA">
              <w:rPr>
                <w:rFonts w:cs="Times New Roman"/>
                <w:i/>
                <w:iCs/>
                <w:sz w:val="20"/>
                <w:szCs w:val="20"/>
              </w:rPr>
              <w:t xml:space="preserve"> </w:t>
            </w:r>
            <w:proofErr w:type="spellStart"/>
            <w:r w:rsidRPr="00317EFA">
              <w:rPr>
                <w:rFonts w:cs="Times New Roman"/>
                <w:i/>
                <w:iCs/>
                <w:sz w:val="20"/>
                <w:szCs w:val="20"/>
              </w:rPr>
              <w:t>valorem</w:t>
            </w:r>
            <w:proofErr w:type="spellEnd"/>
            <w:r w:rsidRPr="00317EFA">
              <w:rPr>
                <w:rFonts w:cs="Times New Roman"/>
                <w:i/>
                <w:iCs/>
                <w:sz w:val="20"/>
                <w:szCs w:val="20"/>
              </w:rPr>
              <w:t>, %</w:t>
            </w:r>
          </w:p>
        </w:tc>
        <w:tc>
          <w:tcPr>
            <w:tcW w:w="851" w:type="dxa"/>
            <w:vMerge w:val="restart"/>
            <w:tcBorders>
              <w:top w:val="single" w:sz="4" w:space="0" w:color="000000"/>
            </w:tcBorders>
            <w:shd w:val="clear" w:color="auto" w:fill="FFF2CC" w:themeFill="accent4" w:themeFillTint="33"/>
            <w:vAlign w:val="center"/>
          </w:tcPr>
          <w:p w14:paraId="17188673" w14:textId="77777777" w:rsidR="00317EFA" w:rsidRPr="00215B60" w:rsidRDefault="00317EFA" w:rsidP="00317EFA">
            <w:pPr>
              <w:contextualSpacing/>
              <w:jc w:val="center"/>
              <w:rPr>
                <w:b/>
                <w:bCs/>
                <w:color w:val="C00000"/>
                <w:sz w:val="20"/>
                <w:szCs w:val="20"/>
              </w:rPr>
            </w:pPr>
            <w:r w:rsidRPr="00215B60">
              <w:rPr>
                <w:b/>
                <w:bCs/>
                <w:color w:val="C00000"/>
                <w:sz w:val="20"/>
                <w:szCs w:val="20"/>
              </w:rPr>
              <w:t>LV</w:t>
            </w:r>
          </w:p>
        </w:tc>
        <w:tc>
          <w:tcPr>
            <w:tcW w:w="992" w:type="dxa"/>
            <w:tcBorders>
              <w:top w:val="single" w:sz="4" w:space="0" w:color="000000"/>
              <w:bottom w:val="nil"/>
            </w:tcBorders>
            <w:shd w:val="clear" w:color="auto" w:fill="FFF2CC" w:themeFill="accent4" w:themeFillTint="33"/>
            <w:vAlign w:val="center"/>
          </w:tcPr>
          <w:p w14:paraId="22EA9576" w14:textId="00C2D989" w:rsidR="00317EFA" w:rsidRPr="00317EFA" w:rsidRDefault="00317EFA" w:rsidP="00317EFA">
            <w:pPr>
              <w:contextualSpacing/>
              <w:jc w:val="center"/>
              <w:rPr>
                <w:rFonts w:eastAsia="Times New Roman" w:cs="Times New Roman"/>
                <w:b/>
                <w:bCs/>
                <w:color w:val="C00000"/>
                <w:sz w:val="20"/>
                <w:szCs w:val="20"/>
                <w:lang w:eastAsia="lv-LV"/>
              </w:rPr>
            </w:pPr>
            <w:r w:rsidRPr="00317EFA">
              <w:rPr>
                <w:rFonts w:eastAsia="Times New Roman" w:cs="Times New Roman"/>
                <w:b/>
                <w:bCs/>
                <w:color w:val="C00000"/>
                <w:sz w:val="20"/>
                <w:szCs w:val="20"/>
                <w:lang w:eastAsia="lv-LV"/>
              </w:rPr>
              <w:t>119,6</w:t>
            </w:r>
          </w:p>
        </w:tc>
        <w:tc>
          <w:tcPr>
            <w:tcW w:w="850" w:type="dxa"/>
            <w:tcBorders>
              <w:top w:val="single" w:sz="4" w:space="0" w:color="000000"/>
              <w:bottom w:val="nil"/>
            </w:tcBorders>
            <w:shd w:val="clear" w:color="auto" w:fill="FFF2CC" w:themeFill="accent4" w:themeFillTint="33"/>
            <w:vAlign w:val="center"/>
          </w:tcPr>
          <w:p w14:paraId="1C74A5BD" w14:textId="3D0E0A3A" w:rsidR="00317EFA" w:rsidRPr="00317EFA" w:rsidRDefault="00317EFA" w:rsidP="00317EFA">
            <w:pPr>
              <w:contextualSpacing/>
              <w:jc w:val="center"/>
              <w:rPr>
                <w:rFonts w:eastAsia="Times New Roman" w:cs="Times New Roman"/>
                <w:b/>
                <w:bCs/>
                <w:color w:val="C00000"/>
                <w:sz w:val="20"/>
                <w:szCs w:val="20"/>
                <w:lang w:eastAsia="lv-LV"/>
              </w:rPr>
            </w:pPr>
            <w:r w:rsidRPr="00317EFA">
              <w:rPr>
                <w:rFonts w:eastAsia="Times New Roman" w:cs="Times New Roman"/>
                <w:b/>
                <w:bCs/>
                <w:color w:val="C00000"/>
                <w:sz w:val="20"/>
                <w:szCs w:val="20"/>
                <w:lang w:eastAsia="lv-LV"/>
              </w:rPr>
              <w:t>131,6</w:t>
            </w:r>
          </w:p>
        </w:tc>
        <w:tc>
          <w:tcPr>
            <w:tcW w:w="851" w:type="dxa"/>
            <w:tcBorders>
              <w:top w:val="single" w:sz="4" w:space="0" w:color="000000"/>
              <w:bottom w:val="nil"/>
            </w:tcBorders>
            <w:shd w:val="clear" w:color="auto" w:fill="FFF2CC" w:themeFill="accent4" w:themeFillTint="33"/>
            <w:vAlign w:val="center"/>
          </w:tcPr>
          <w:p w14:paraId="4206FD48" w14:textId="67963BEF" w:rsidR="00317EFA" w:rsidRPr="00317EFA" w:rsidRDefault="00317EFA" w:rsidP="00317EFA">
            <w:pPr>
              <w:contextualSpacing/>
              <w:jc w:val="center"/>
              <w:rPr>
                <w:rFonts w:eastAsia="Times New Roman" w:cs="Times New Roman"/>
                <w:b/>
                <w:bCs/>
                <w:color w:val="C00000"/>
                <w:sz w:val="20"/>
                <w:szCs w:val="20"/>
                <w:lang w:eastAsia="lv-LV"/>
              </w:rPr>
            </w:pPr>
            <w:r w:rsidRPr="00317EFA">
              <w:rPr>
                <w:rFonts w:eastAsia="Times New Roman" w:cs="Times New Roman"/>
                <w:b/>
                <w:bCs/>
                <w:color w:val="C00000"/>
                <w:sz w:val="20"/>
                <w:szCs w:val="20"/>
                <w:lang w:eastAsia="lv-LV"/>
              </w:rPr>
              <w:t>144,8</w:t>
            </w:r>
          </w:p>
        </w:tc>
        <w:tc>
          <w:tcPr>
            <w:tcW w:w="850" w:type="dxa"/>
            <w:tcBorders>
              <w:bottom w:val="nil"/>
            </w:tcBorders>
            <w:shd w:val="clear" w:color="auto" w:fill="FFF2CC" w:themeFill="accent4" w:themeFillTint="33"/>
            <w:vAlign w:val="center"/>
          </w:tcPr>
          <w:p w14:paraId="212F80C9" w14:textId="7E4D5E78" w:rsidR="00317EFA" w:rsidRPr="00317EFA" w:rsidRDefault="00317EFA" w:rsidP="00317EFA">
            <w:pPr>
              <w:contextualSpacing/>
              <w:jc w:val="center"/>
              <w:rPr>
                <w:rFonts w:eastAsia="Times New Roman" w:cs="Times New Roman"/>
                <w:b/>
                <w:bCs/>
                <w:color w:val="FF0000"/>
                <w:sz w:val="20"/>
                <w:szCs w:val="20"/>
                <w:lang w:eastAsia="lv-LV"/>
              </w:rPr>
            </w:pPr>
            <w:r w:rsidRPr="00317EFA">
              <w:rPr>
                <w:rFonts w:eastAsia="Times New Roman" w:cs="Times New Roman"/>
                <w:b/>
                <w:bCs/>
                <w:color w:val="FF0000"/>
                <w:sz w:val="20"/>
                <w:szCs w:val="20"/>
                <w:lang w:eastAsia="lv-LV"/>
              </w:rPr>
              <w:t>159,3</w:t>
            </w:r>
          </w:p>
        </w:tc>
      </w:tr>
      <w:tr w:rsidR="00317EFA" w:rsidRPr="00FE35AA" w14:paraId="0F5AC2B8" w14:textId="77777777" w:rsidTr="000B07FC">
        <w:trPr>
          <w:trHeight w:val="212"/>
        </w:trPr>
        <w:tc>
          <w:tcPr>
            <w:tcW w:w="4678" w:type="dxa"/>
            <w:vMerge/>
            <w:shd w:val="clear" w:color="auto" w:fill="auto"/>
            <w:vAlign w:val="center"/>
          </w:tcPr>
          <w:p w14:paraId="6E8D4F73" w14:textId="77777777" w:rsidR="00317EFA" w:rsidRPr="009E0481" w:rsidRDefault="00317EFA" w:rsidP="00317EFA">
            <w:pPr>
              <w:contextualSpacing/>
              <w:rPr>
                <w:b/>
                <w:bCs/>
                <w:sz w:val="20"/>
                <w:szCs w:val="20"/>
              </w:rPr>
            </w:pPr>
          </w:p>
        </w:tc>
        <w:tc>
          <w:tcPr>
            <w:tcW w:w="851" w:type="dxa"/>
            <w:vMerge/>
            <w:tcBorders>
              <w:bottom w:val="single" w:sz="4" w:space="0" w:color="808080" w:themeColor="background1" w:themeShade="80"/>
            </w:tcBorders>
            <w:shd w:val="clear" w:color="auto" w:fill="FFF2CC" w:themeFill="accent4" w:themeFillTint="33"/>
          </w:tcPr>
          <w:p w14:paraId="3E2DE0DB" w14:textId="77777777" w:rsidR="00317EFA" w:rsidRPr="00215B60" w:rsidRDefault="00317EFA" w:rsidP="00317EFA">
            <w:pPr>
              <w:contextualSpacing/>
              <w:jc w:val="center"/>
              <w:rPr>
                <w:b/>
                <w:bCs/>
                <w:color w:val="C00000"/>
                <w:sz w:val="20"/>
                <w:szCs w:val="20"/>
              </w:rPr>
            </w:pPr>
          </w:p>
        </w:tc>
        <w:tc>
          <w:tcPr>
            <w:tcW w:w="3543" w:type="dxa"/>
            <w:gridSpan w:val="4"/>
            <w:tcBorders>
              <w:top w:val="nil"/>
              <w:bottom w:val="single" w:sz="4" w:space="0" w:color="808080" w:themeColor="background1" w:themeShade="80"/>
            </w:tcBorders>
            <w:shd w:val="clear" w:color="auto" w:fill="FFF2CC" w:themeFill="accent4" w:themeFillTint="33"/>
            <w:vAlign w:val="center"/>
          </w:tcPr>
          <w:p w14:paraId="275F555E" w14:textId="653B0DDB" w:rsidR="00317EFA" w:rsidRPr="00317EFA" w:rsidRDefault="00317EFA" w:rsidP="00317EFA">
            <w:pPr>
              <w:contextualSpacing/>
              <w:jc w:val="center"/>
              <w:rPr>
                <w:rFonts w:eastAsia="Times New Roman" w:cs="Times New Roman"/>
                <w:b/>
                <w:bCs/>
                <w:color w:val="FF0000"/>
                <w:sz w:val="20"/>
                <w:szCs w:val="20"/>
                <w:lang w:eastAsia="lv-LV"/>
              </w:rPr>
            </w:pPr>
            <w:r w:rsidRPr="00317EFA">
              <w:rPr>
                <w:rFonts w:eastAsia="Times New Roman" w:cs="Times New Roman"/>
                <w:b/>
                <w:bCs/>
                <w:color w:val="C00000"/>
                <w:sz w:val="20"/>
                <w:szCs w:val="20"/>
                <w:lang w:eastAsia="lv-LV"/>
              </w:rPr>
              <w:t>+ 15%</w:t>
            </w:r>
          </w:p>
        </w:tc>
      </w:tr>
      <w:tr w:rsidR="00317EFA" w:rsidRPr="00FE35AA" w14:paraId="550DFEFD" w14:textId="77777777" w:rsidTr="000B07FC">
        <w:trPr>
          <w:trHeight w:val="212"/>
        </w:trPr>
        <w:tc>
          <w:tcPr>
            <w:tcW w:w="4678" w:type="dxa"/>
            <w:vMerge/>
            <w:shd w:val="clear" w:color="auto" w:fill="auto"/>
            <w:vAlign w:val="center"/>
          </w:tcPr>
          <w:p w14:paraId="75AE17E8" w14:textId="77777777" w:rsidR="00317EFA" w:rsidRDefault="00317EFA" w:rsidP="00317EFA">
            <w:pPr>
              <w:contextualSpacing/>
              <w:rPr>
                <w:b/>
                <w:bCs/>
                <w:sz w:val="20"/>
                <w:szCs w:val="20"/>
              </w:rPr>
            </w:pPr>
          </w:p>
        </w:tc>
        <w:tc>
          <w:tcPr>
            <w:tcW w:w="851" w:type="dxa"/>
            <w:vMerge w:val="restart"/>
            <w:tcBorders>
              <w:top w:val="single" w:sz="4" w:space="0" w:color="808080" w:themeColor="background1" w:themeShade="80"/>
            </w:tcBorders>
            <w:vAlign w:val="center"/>
          </w:tcPr>
          <w:p w14:paraId="32D82388" w14:textId="77777777" w:rsidR="00317EFA" w:rsidRPr="00504A02" w:rsidRDefault="00317EFA" w:rsidP="00317EFA">
            <w:pPr>
              <w:contextualSpacing/>
              <w:jc w:val="center"/>
              <w:rPr>
                <w:color w:val="C00000"/>
                <w:sz w:val="20"/>
                <w:szCs w:val="20"/>
              </w:rPr>
            </w:pPr>
            <w:r w:rsidRPr="00504A02">
              <w:rPr>
                <w:color w:val="00B050"/>
                <w:sz w:val="20"/>
                <w:szCs w:val="20"/>
              </w:rPr>
              <w:t>LT</w:t>
            </w:r>
          </w:p>
        </w:tc>
        <w:tc>
          <w:tcPr>
            <w:tcW w:w="992" w:type="dxa"/>
            <w:tcBorders>
              <w:top w:val="single" w:sz="4" w:space="0" w:color="808080" w:themeColor="background1" w:themeShade="80"/>
              <w:bottom w:val="single" w:sz="4" w:space="0" w:color="FFFFFF" w:themeColor="background1"/>
            </w:tcBorders>
            <w:shd w:val="clear" w:color="auto" w:fill="FFFFFF" w:themeFill="background1"/>
            <w:vAlign w:val="center"/>
          </w:tcPr>
          <w:p w14:paraId="28D7E2D0" w14:textId="6A51CAD2" w:rsidR="00317EFA" w:rsidRPr="00504A02" w:rsidRDefault="00317EFA" w:rsidP="00317EFA">
            <w:pPr>
              <w:contextualSpacing/>
              <w:jc w:val="center"/>
              <w:rPr>
                <w:rFonts w:eastAsia="Times New Roman" w:cs="Times New Roman"/>
                <w:color w:val="00B050"/>
                <w:sz w:val="20"/>
                <w:szCs w:val="20"/>
                <w:lang w:eastAsia="lv-LV"/>
              </w:rPr>
            </w:pPr>
            <w:r w:rsidRPr="00504A02">
              <w:rPr>
                <w:rFonts w:cs="Times New Roman"/>
                <w:color w:val="00B050"/>
                <w:sz w:val="20"/>
                <w:szCs w:val="20"/>
              </w:rPr>
              <w:t>85,3</w:t>
            </w:r>
          </w:p>
        </w:tc>
        <w:tc>
          <w:tcPr>
            <w:tcW w:w="850" w:type="dxa"/>
            <w:tcBorders>
              <w:top w:val="single" w:sz="4" w:space="0" w:color="808080" w:themeColor="background1" w:themeShade="80"/>
              <w:bottom w:val="single" w:sz="4" w:space="0" w:color="FFFFFF" w:themeColor="background1"/>
            </w:tcBorders>
            <w:vAlign w:val="center"/>
          </w:tcPr>
          <w:p w14:paraId="7D250732" w14:textId="236028C1" w:rsidR="00317EFA" w:rsidRPr="00504A02" w:rsidRDefault="00317EFA" w:rsidP="00317EFA">
            <w:pPr>
              <w:contextualSpacing/>
              <w:jc w:val="center"/>
              <w:rPr>
                <w:rFonts w:eastAsia="Times New Roman" w:cs="Times New Roman"/>
                <w:color w:val="00B050"/>
                <w:sz w:val="20"/>
                <w:szCs w:val="20"/>
                <w:lang w:eastAsia="lv-LV"/>
              </w:rPr>
            </w:pPr>
            <w:r w:rsidRPr="00504A02">
              <w:rPr>
                <w:rFonts w:cs="Times New Roman"/>
                <w:color w:val="00B050"/>
                <w:sz w:val="20"/>
                <w:szCs w:val="20"/>
              </w:rPr>
              <w:t>92,6</w:t>
            </w:r>
          </w:p>
        </w:tc>
        <w:tc>
          <w:tcPr>
            <w:tcW w:w="851" w:type="dxa"/>
            <w:tcBorders>
              <w:top w:val="single" w:sz="4" w:space="0" w:color="808080" w:themeColor="background1" w:themeShade="80"/>
              <w:bottom w:val="single" w:sz="4" w:space="0" w:color="FFFFFF" w:themeColor="background1"/>
            </w:tcBorders>
            <w:vAlign w:val="center"/>
          </w:tcPr>
          <w:p w14:paraId="10920DDE" w14:textId="44B268B5" w:rsidR="00317EFA" w:rsidRPr="00504A02" w:rsidRDefault="00317EFA" w:rsidP="00317EFA">
            <w:pPr>
              <w:contextualSpacing/>
              <w:jc w:val="center"/>
              <w:rPr>
                <w:rFonts w:eastAsia="Times New Roman" w:cs="Times New Roman"/>
                <w:color w:val="00B050"/>
                <w:sz w:val="20"/>
                <w:szCs w:val="20"/>
                <w:lang w:eastAsia="lv-LV"/>
              </w:rPr>
            </w:pPr>
            <w:r w:rsidRPr="00504A02">
              <w:rPr>
                <w:rFonts w:cs="Times New Roman"/>
                <w:color w:val="00B050"/>
                <w:sz w:val="20"/>
                <w:szCs w:val="20"/>
              </w:rPr>
              <w:t>100,5</w:t>
            </w:r>
          </w:p>
        </w:tc>
        <w:tc>
          <w:tcPr>
            <w:tcW w:w="850" w:type="dxa"/>
            <w:tcBorders>
              <w:top w:val="single" w:sz="4" w:space="0" w:color="808080" w:themeColor="background1" w:themeShade="80"/>
              <w:bottom w:val="single" w:sz="4" w:space="0" w:color="FFFFFF" w:themeColor="background1"/>
            </w:tcBorders>
            <w:shd w:val="clear" w:color="auto" w:fill="FFFFFF" w:themeFill="background1"/>
            <w:vAlign w:val="center"/>
          </w:tcPr>
          <w:p w14:paraId="4E2AA523" w14:textId="24B76A32" w:rsidR="00317EFA" w:rsidRPr="00504A02" w:rsidRDefault="00317EFA" w:rsidP="00317EFA">
            <w:pPr>
              <w:contextualSpacing/>
              <w:jc w:val="center"/>
              <w:rPr>
                <w:rFonts w:eastAsia="Times New Roman" w:cs="Times New Roman"/>
                <w:color w:val="00B050"/>
                <w:sz w:val="20"/>
                <w:szCs w:val="20"/>
                <w:lang w:eastAsia="lv-LV"/>
              </w:rPr>
            </w:pPr>
            <w:r w:rsidRPr="00504A02">
              <w:rPr>
                <w:rFonts w:cs="Times New Roman"/>
                <w:color w:val="00B050"/>
                <w:sz w:val="20"/>
                <w:szCs w:val="20"/>
              </w:rPr>
              <w:t>109,0</w:t>
            </w:r>
          </w:p>
        </w:tc>
      </w:tr>
      <w:tr w:rsidR="00317EFA" w:rsidRPr="00FE35AA" w14:paraId="114D1F87" w14:textId="77777777" w:rsidTr="000B07FC">
        <w:trPr>
          <w:trHeight w:val="212"/>
        </w:trPr>
        <w:tc>
          <w:tcPr>
            <w:tcW w:w="4678" w:type="dxa"/>
            <w:vMerge/>
            <w:shd w:val="clear" w:color="auto" w:fill="auto"/>
            <w:vAlign w:val="center"/>
          </w:tcPr>
          <w:p w14:paraId="7AF9C83E" w14:textId="77777777" w:rsidR="00317EFA" w:rsidRDefault="00317EFA" w:rsidP="00FE4F85">
            <w:pPr>
              <w:contextualSpacing/>
              <w:rPr>
                <w:b/>
                <w:bCs/>
                <w:sz w:val="20"/>
                <w:szCs w:val="20"/>
              </w:rPr>
            </w:pPr>
          </w:p>
        </w:tc>
        <w:tc>
          <w:tcPr>
            <w:tcW w:w="851" w:type="dxa"/>
            <w:vMerge/>
            <w:tcBorders>
              <w:bottom w:val="single" w:sz="4" w:space="0" w:color="808080" w:themeColor="background1" w:themeShade="80"/>
            </w:tcBorders>
          </w:tcPr>
          <w:p w14:paraId="5B83F7E5" w14:textId="77777777" w:rsidR="00317EFA" w:rsidRPr="00504A02" w:rsidRDefault="00317EFA" w:rsidP="00FE4F85">
            <w:pPr>
              <w:contextualSpacing/>
              <w:jc w:val="center"/>
              <w:rPr>
                <w:color w:val="0070C0"/>
                <w:sz w:val="20"/>
                <w:szCs w:val="20"/>
              </w:rPr>
            </w:pPr>
          </w:p>
        </w:tc>
        <w:tc>
          <w:tcPr>
            <w:tcW w:w="3543" w:type="dxa"/>
            <w:gridSpan w:val="4"/>
            <w:tcBorders>
              <w:top w:val="single" w:sz="4" w:space="0" w:color="FFFFFF" w:themeColor="background1"/>
              <w:bottom w:val="single" w:sz="4" w:space="0" w:color="808080" w:themeColor="background1" w:themeShade="80"/>
            </w:tcBorders>
            <w:shd w:val="clear" w:color="auto" w:fill="FFFFFF" w:themeFill="background1"/>
            <w:vAlign w:val="bottom"/>
          </w:tcPr>
          <w:p w14:paraId="5B561AC0" w14:textId="039FF095" w:rsidR="00317EFA" w:rsidRPr="00504A02" w:rsidRDefault="00317EFA" w:rsidP="00FE4F85">
            <w:pPr>
              <w:contextualSpacing/>
              <w:jc w:val="center"/>
              <w:rPr>
                <w:rFonts w:cs="Times New Roman"/>
                <w:color w:val="00B050"/>
                <w:sz w:val="20"/>
                <w:szCs w:val="20"/>
              </w:rPr>
            </w:pPr>
            <w:r w:rsidRPr="00504A02">
              <w:rPr>
                <w:rFonts w:cs="Times New Roman"/>
                <w:color w:val="00B050"/>
                <w:sz w:val="20"/>
                <w:szCs w:val="20"/>
              </w:rPr>
              <w:t>+25%</w:t>
            </w:r>
          </w:p>
        </w:tc>
      </w:tr>
      <w:tr w:rsidR="00317EFA" w:rsidRPr="00FE35AA" w14:paraId="566789E5" w14:textId="77777777" w:rsidTr="000B07FC">
        <w:trPr>
          <w:trHeight w:val="212"/>
        </w:trPr>
        <w:tc>
          <w:tcPr>
            <w:tcW w:w="4678" w:type="dxa"/>
            <w:vMerge/>
            <w:shd w:val="clear" w:color="auto" w:fill="auto"/>
            <w:vAlign w:val="center"/>
          </w:tcPr>
          <w:p w14:paraId="14FC107F" w14:textId="77777777" w:rsidR="00317EFA" w:rsidRDefault="00317EFA" w:rsidP="00317EFA">
            <w:pPr>
              <w:contextualSpacing/>
              <w:rPr>
                <w:b/>
                <w:bCs/>
                <w:sz w:val="20"/>
                <w:szCs w:val="20"/>
              </w:rPr>
            </w:pPr>
          </w:p>
        </w:tc>
        <w:tc>
          <w:tcPr>
            <w:tcW w:w="851" w:type="dxa"/>
            <w:vMerge w:val="restart"/>
            <w:tcBorders>
              <w:top w:val="single" w:sz="4" w:space="0" w:color="808080" w:themeColor="background1" w:themeShade="80"/>
            </w:tcBorders>
          </w:tcPr>
          <w:p w14:paraId="251190C9" w14:textId="77777777" w:rsidR="00317EFA" w:rsidRPr="00504A02" w:rsidRDefault="00317EFA" w:rsidP="00317EFA">
            <w:pPr>
              <w:contextualSpacing/>
              <w:jc w:val="center"/>
              <w:rPr>
                <w:color w:val="C00000"/>
                <w:sz w:val="20"/>
                <w:szCs w:val="20"/>
              </w:rPr>
            </w:pPr>
            <w:r w:rsidRPr="00504A02">
              <w:rPr>
                <w:color w:val="0070C0"/>
                <w:sz w:val="20"/>
                <w:szCs w:val="20"/>
              </w:rPr>
              <w:t>EE</w:t>
            </w:r>
          </w:p>
        </w:tc>
        <w:tc>
          <w:tcPr>
            <w:tcW w:w="992" w:type="dxa"/>
            <w:tcBorders>
              <w:top w:val="single" w:sz="4" w:space="0" w:color="808080" w:themeColor="background1" w:themeShade="80"/>
              <w:bottom w:val="single" w:sz="4" w:space="0" w:color="FFFFFF" w:themeColor="background1"/>
            </w:tcBorders>
            <w:shd w:val="clear" w:color="auto" w:fill="FFFFFF" w:themeFill="background1"/>
            <w:vAlign w:val="center"/>
          </w:tcPr>
          <w:p w14:paraId="2DEC2EC9" w14:textId="314B0E47" w:rsidR="00317EFA" w:rsidRPr="00504A02" w:rsidRDefault="00317EFA" w:rsidP="00317EFA">
            <w:pPr>
              <w:contextualSpacing/>
              <w:jc w:val="center"/>
              <w:rPr>
                <w:rFonts w:eastAsia="Times New Roman" w:cs="Times New Roman"/>
                <w:color w:val="0070C0"/>
                <w:sz w:val="20"/>
                <w:szCs w:val="20"/>
                <w:lang w:eastAsia="lv-LV"/>
              </w:rPr>
            </w:pPr>
            <w:r w:rsidRPr="00504A02">
              <w:rPr>
                <w:rFonts w:cs="Times New Roman"/>
                <w:color w:val="0070C0"/>
                <w:sz w:val="20"/>
                <w:szCs w:val="20"/>
              </w:rPr>
              <w:t>100,5</w:t>
            </w:r>
          </w:p>
        </w:tc>
        <w:tc>
          <w:tcPr>
            <w:tcW w:w="850" w:type="dxa"/>
            <w:tcBorders>
              <w:top w:val="single" w:sz="4" w:space="0" w:color="808080" w:themeColor="background1" w:themeShade="80"/>
              <w:bottom w:val="single" w:sz="4" w:space="0" w:color="FFFFFF" w:themeColor="background1"/>
            </w:tcBorders>
            <w:vAlign w:val="center"/>
          </w:tcPr>
          <w:p w14:paraId="58CB9E99" w14:textId="7D93CA20" w:rsidR="00317EFA" w:rsidRPr="00504A02" w:rsidRDefault="00317EFA" w:rsidP="00317EFA">
            <w:pPr>
              <w:contextualSpacing/>
              <w:jc w:val="center"/>
              <w:rPr>
                <w:rFonts w:eastAsia="Times New Roman" w:cs="Times New Roman"/>
                <w:color w:val="0070C0"/>
                <w:sz w:val="20"/>
                <w:szCs w:val="20"/>
                <w:lang w:eastAsia="lv-LV"/>
              </w:rPr>
            </w:pPr>
            <w:r w:rsidRPr="00504A02">
              <w:rPr>
                <w:rFonts w:cs="Times New Roman"/>
                <w:color w:val="0070C0"/>
                <w:sz w:val="20"/>
                <w:szCs w:val="20"/>
              </w:rPr>
              <w:t>106,0</w:t>
            </w:r>
          </w:p>
        </w:tc>
        <w:tc>
          <w:tcPr>
            <w:tcW w:w="851" w:type="dxa"/>
            <w:tcBorders>
              <w:top w:val="single" w:sz="4" w:space="0" w:color="808080" w:themeColor="background1" w:themeShade="80"/>
              <w:bottom w:val="single" w:sz="4" w:space="0" w:color="FFFFFF" w:themeColor="background1"/>
            </w:tcBorders>
            <w:vAlign w:val="center"/>
          </w:tcPr>
          <w:p w14:paraId="16903BA9" w14:textId="7EC5FD35" w:rsidR="00317EFA" w:rsidRPr="00504A02" w:rsidRDefault="00317EFA" w:rsidP="00317EFA">
            <w:pPr>
              <w:contextualSpacing/>
              <w:jc w:val="center"/>
              <w:rPr>
                <w:rFonts w:eastAsia="Times New Roman" w:cs="Times New Roman"/>
                <w:color w:val="0070C0"/>
                <w:sz w:val="20"/>
                <w:szCs w:val="20"/>
                <w:lang w:eastAsia="lv-LV"/>
              </w:rPr>
            </w:pPr>
            <w:r w:rsidRPr="00504A02">
              <w:rPr>
                <w:rFonts w:cs="Times New Roman"/>
                <w:color w:val="0070C0"/>
                <w:sz w:val="20"/>
                <w:szCs w:val="20"/>
              </w:rPr>
              <w:t>111,5</w:t>
            </w:r>
          </w:p>
        </w:tc>
        <w:tc>
          <w:tcPr>
            <w:tcW w:w="850" w:type="dxa"/>
            <w:tcBorders>
              <w:top w:val="single" w:sz="4" w:space="0" w:color="808080" w:themeColor="background1" w:themeShade="80"/>
              <w:bottom w:val="single" w:sz="4" w:space="0" w:color="FFFFFF" w:themeColor="background1"/>
            </w:tcBorders>
            <w:shd w:val="clear" w:color="auto" w:fill="FFFFFF" w:themeFill="background1"/>
            <w:vAlign w:val="center"/>
          </w:tcPr>
          <w:p w14:paraId="364D8156" w14:textId="07B395B3" w:rsidR="00317EFA" w:rsidRPr="00504A02" w:rsidRDefault="00317EFA" w:rsidP="00317EFA">
            <w:pPr>
              <w:contextualSpacing/>
              <w:jc w:val="center"/>
              <w:rPr>
                <w:rFonts w:eastAsia="Times New Roman" w:cs="Times New Roman"/>
                <w:color w:val="0070C0"/>
                <w:sz w:val="20"/>
                <w:szCs w:val="20"/>
                <w:lang w:eastAsia="lv-LV"/>
              </w:rPr>
            </w:pPr>
            <w:r w:rsidRPr="00504A02">
              <w:rPr>
                <w:rFonts w:cs="Times New Roman"/>
                <w:color w:val="0070C0"/>
                <w:sz w:val="20"/>
                <w:szCs w:val="20"/>
              </w:rPr>
              <w:t>111,5</w:t>
            </w:r>
          </w:p>
        </w:tc>
      </w:tr>
      <w:tr w:rsidR="00317EFA" w:rsidRPr="00FE35AA" w14:paraId="22DD7A86" w14:textId="77777777" w:rsidTr="000B07FC">
        <w:trPr>
          <w:trHeight w:val="212"/>
        </w:trPr>
        <w:tc>
          <w:tcPr>
            <w:tcW w:w="4678" w:type="dxa"/>
            <w:vMerge/>
            <w:shd w:val="clear" w:color="auto" w:fill="auto"/>
            <w:vAlign w:val="center"/>
          </w:tcPr>
          <w:p w14:paraId="706F51FE" w14:textId="77777777" w:rsidR="00317EFA" w:rsidRDefault="00317EFA" w:rsidP="00FE4F85">
            <w:pPr>
              <w:contextualSpacing/>
              <w:rPr>
                <w:b/>
                <w:bCs/>
                <w:sz w:val="20"/>
                <w:szCs w:val="20"/>
              </w:rPr>
            </w:pPr>
          </w:p>
        </w:tc>
        <w:tc>
          <w:tcPr>
            <w:tcW w:w="851" w:type="dxa"/>
            <w:vMerge/>
            <w:tcBorders>
              <w:bottom w:val="single" w:sz="4" w:space="0" w:color="808080" w:themeColor="background1" w:themeShade="80"/>
            </w:tcBorders>
          </w:tcPr>
          <w:p w14:paraId="79A96845" w14:textId="77777777" w:rsidR="00317EFA" w:rsidRPr="00504A02" w:rsidRDefault="00317EFA" w:rsidP="00FE4F85">
            <w:pPr>
              <w:contextualSpacing/>
              <w:jc w:val="center"/>
              <w:rPr>
                <w:color w:val="0070C0"/>
                <w:sz w:val="20"/>
                <w:szCs w:val="20"/>
              </w:rPr>
            </w:pPr>
          </w:p>
        </w:tc>
        <w:tc>
          <w:tcPr>
            <w:tcW w:w="3543" w:type="dxa"/>
            <w:gridSpan w:val="4"/>
            <w:tcBorders>
              <w:top w:val="single" w:sz="4" w:space="0" w:color="FFFFFF" w:themeColor="background1"/>
              <w:bottom w:val="single" w:sz="4" w:space="0" w:color="808080" w:themeColor="background1" w:themeShade="80"/>
            </w:tcBorders>
            <w:shd w:val="clear" w:color="auto" w:fill="FFFFFF" w:themeFill="background1"/>
            <w:vAlign w:val="bottom"/>
          </w:tcPr>
          <w:p w14:paraId="1BEB09A3" w14:textId="067ABC8F" w:rsidR="00317EFA" w:rsidRPr="00504A02" w:rsidRDefault="00317EFA" w:rsidP="00FE4F85">
            <w:pPr>
              <w:contextualSpacing/>
              <w:jc w:val="center"/>
              <w:rPr>
                <w:rFonts w:cs="Times New Roman"/>
                <w:color w:val="0070C0"/>
                <w:sz w:val="20"/>
                <w:szCs w:val="20"/>
              </w:rPr>
            </w:pPr>
            <w:r w:rsidRPr="00504A02">
              <w:rPr>
                <w:rFonts w:cs="Times New Roman"/>
                <w:color w:val="0070C0"/>
                <w:sz w:val="20"/>
                <w:szCs w:val="20"/>
              </w:rPr>
              <w:t>+30%</w:t>
            </w:r>
          </w:p>
        </w:tc>
      </w:tr>
      <w:tr w:rsidR="00D12B60" w:rsidRPr="00057801" w14:paraId="5DA6E2A5" w14:textId="77777777" w:rsidTr="00457695">
        <w:trPr>
          <w:trHeight w:val="85"/>
        </w:trPr>
        <w:tc>
          <w:tcPr>
            <w:tcW w:w="4678" w:type="dxa"/>
            <w:vMerge w:val="restart"/>
            <w:tcBorders>
              <w:top w:val="single" w:sz="4" w:space="0" w:color="000000"/>
            </w:tcBorders>
            <w:shd w:val="clear" w:color="auto" w:fill="auto"/>
            <w:vAlign w:val="center"/>
          </w:tcPr>
          <w:p w14:paraId="6ACA7FC4" w14:textId="29DE7F33" w:rsidR="00D12B60" w:rsidRPr="000B07FC" w:rsidRDefault="00D12B60" w:rsidP="00D12B60">
            <w:pPr>
              <w:contextualSpacing/>
              <w:rPr>
                <w:b/>
                <w:bCs/>
                <w:sz w:val="20"/>
                <w:szCs w:val="20"/>
              </w:rPr>
            </w:pPr>
            <w:r>
              <w:rPr>
                <w:b/>
                <w:bCs/>
                <w:sz w:val="20"/>
                <w:szCs w:val="20"/>
              </w:rPr>
              <w:t>Minimālā likme c</w:t>
            </w:r>
            <w:r w:rsidRPr="009E0481">
              <w:rPr>
                <w:b/>
                <w:bCs/>
                <w:sz w:val="20"/>
                <w:szCs w:val="20"/>
              </w:rPr>
              <w:t>igaret</w:t>
            </w:r>
            <w:r>
              <w:rPr>
                <w:b/>
                <w:bCs/>
                <w:sz w:val="20"/>
                <w:szCs w:val="20"/>
              </w:rPr>
              <w:t>ēm,</w:t>
            </w:r>
            <w:r w:rsidRPr="00317EFA">
              <w:rPr>
                <w:i/>
                <w:iCs/>
                <w:sz w:val="16"/>
                <w:szCs w:val="16"/>
              </w:rPr>
              <w:t xml:space="preserve"> </w:t>
            </w:r>
            <w:r w:rsidRPr="00317EFA">
              <w:rPr>
                <w:i/>
                <w:iCs/>
                <w:sz w:val="20"/>
                <w:szCs w:val="20"/>
              </w:rPr>
              <w:t>euro par 1000 gab.</w:t>
            </w:r>
          </w:p>
        </w:tc>
        <w:tc>
          <w:tcPr>
            <w:tcW w:w="851" w:type="dxa"/>
            <w:tcBorders>
              <w:top w:val="single" w:sz="4" w:space="0" w:color="000000"/>
              <w:bottom w:val="single" w:sz="4" w:space="0" w:color="808080" w:themeColor="background1" w:themeShade="80"/>
            </w:tcBorders>
            <w:shd w:val="clear" w:color="auto" w:fill="FFF2CC" w:themeFill="accent4" w:themeFillTint="33"/>
            <w:vAlign w:val="center"/>
          </w:tcPr>
          <w:p w14:paraId="759482ED" w14:textId="1126C138" w:rsidR="00D12B60" w:rsidRPr="00215B60" w:rsidRDefault="00D12B60" w:rsidP="00D12B60">
            <w:pPr>
              <w:contextualSpacing/>
              <w:jc w:val="center"/>
              <w:rPr>
                <w:b/>
                <w:bCs/>
                <w:color w:val="C00000"/>
                <w:sz w:val="20"/>
                <w:szCs w:val="20"/>
              </w:rPr>
            </w:pPr>
            <w:r w:rsidRPr="00215B60">
              <w:rPr>
                <w:b/>
                <w:bCs/>
                <w:color w:val="C00000"/>
                <w:sz w:val="20"/>
                <w:szCs w:val="20"/>
              </w:rPr>
              <w:t>LV</w:t>
            </w:r>
          </w:p>
        </w:tc>
        <w:tc>
          <w:tcPr>
            <w:tcW w:w="992" w:type="dxa"/>
            <w:tcBorders>
              <w:top w:val="single" w:sz="4" w:space="0" w:color="000000"/>
              <w:bottom w:val="single" w:sz="4" w:space="0" w:color="808080" w:themeColor="background1" w:themeShade="80"/>
            </w:tcBorders>
            <w:shd w:val="clear" w:color="auto" w:fill="FFF2CC" w:themeFill="accent4" w:themeFillTint="33"/>
            <w:vAlign w:val="center"/>
          </w:tcPr>
          <w:p w14:paraId="5D6FC0B2" w14:textId="3210A164" w:rsidR="00D12B60" w:rsidRPr="000B07FC" w:rsidRDefault="00D12B60" w:rsidP="00D12B60">
            <w:pPr>
              <w:contextualSpacing/>
              <w:jc w:val="center"/>
              <w:rPr>
                <w:rFonts w:cs="Times New Roman"/>
                <w:b/>
                <w:bCs/>
                <w:color w:val="C00000"/>
                <w:sz w:val="20"/>
                <w:szCs w:val="20"/>
              </w:rPr>
            </w:pPr>
            <w:r>
              <w:rPr>
                <w:rFonts w:cs="Times New Roman"/>
                <w:b/>
                <w:bCs/>
                <w:color w:val="C00000"/>
                <w:sz w:val="20"/>
                <w:szCs w:val="20"/>
              </w:rPr>
              <w:t>156,3</w:t>
            </w:r>
          </w:p>
        </w:tc>
        <w:tc>
          <w:tcPr>
            <w:tcW w:w="850" w:type="dxa"/>
            <w:tcBorders>
              <w:top w:val="single" w:sz="4" w:space="0" w:color="000000"/>
              <w:bottom w:val="single" w:sz="4" w:space="0" w:color="808080" w:themeColor="background1" w:themeShade="80"/>
            </w:tcBorders>
            <w:shd w:val="clear" w:color="auto" w:fill="FFF2CC" w:themeFill="accent4" w:themeFillTint="33"/>
            <w:vAlign w:val="center"/>
          </w:tcPr>
          <w:p w14:paraId="23405D95" w14:textId="41433B46" w:rsidR="00D12B60" w:rsidRPr="000B07FC" w:rsidRDefault="00D12B60" w:rsidP="00D12B60">
            <w:pPr>
              <w:contextualSpacing/>
              <w:jc w:val="center"/>
              <w:rPr>
                <w:rFonts w:cs="Times New Roman"/>
                <w:b/>
                <w:bCs/>
                <w:color w:val="C00000"/>
                <w:sz w:val="20"/>
                <w:szCs w:val="20"/>
              </w:rPr>
            </w:pPr>
            <w:r>
              <w:rPr>
                <w:rFonts w:cs="Times New Roman"/>
                <w:b/>
                <w:bCs/>
                <w:color w:val="C00000"/>
                <w:sz w:val="20"/>
                <w:szCs w:val="20"/>
              </w:rPr>
              <w:t>171,9</w:t>
            </w:r>
          </w:p>
        </w:tc>
        <w:tc>
          <w:tcPr>
            <w:tcW w:w="851" w:type="dxa"/>
            <w:tcBorders>
              <w:top w:val="single" w:sz="4" w:space="0" w:color="000000"/>
              <w:bottom w:val="single" w:sz="4" w:space="0" w:color="808080" w:themeColor="background1" w:themeShade="80"/>
            </w:tcBorders>
            <w:shd w:val="clear" w:color="auto" w:fill="FFF2CC" w:themeFill="accent4" w:themeFillTint="33"/>
            <w:vAlign w:val="center"/>
          </w:tcPr>
          <w:p w14:paraId="7752ECB3" w14:textId="12E65241" w:rsidR="00D12B60" w:rsidRPr="000B07FC" w:rsidRDefault="00D12B60" w:rsidP="00D12B60">
            <w:pPr>
              <w:contextualSpacing/>
              <w:jc w:val="center"/>
              <w:rPr>
                <w:rFonts w:cs="Times New Roman"/>
                <w:b/>
                <w:bCs/>
                <w:color w:val="C00000"/>
                <w:sz w:val="20"/>
                <w:szCs w:val="20"/>
              </w:rPr>
            </w:pPr>
            <w:r>
              <w:rPr>
                <w:rFonts w:cs="Times New Roman"/>
                <w:b/>
                <w:bCs/>
                <w:color w:val="C00000"/>
                <w:sz w:val="20"/>
                <w:szCs w:val="20"/>
              </w:rPr>
              <w:t>189,1</w:t>
            </w:r>
          </w:p>
        </w:tc>
        <w:tc>
          <w:tcPr>
            <w:tcW w:w="850" w:type="dxa"/>
            <w:tcBorders>
              <w:bottom w:val="single" w:sz="4" w:space="0" w:color="808080" w:themeColor="background1" w:themeShade="80"/>
            </w:tcBorders>
            <w:shd w:val="clear" w:color="auto" w:fill="FFF2CC" w:themeFill="accent4" w:themeFillTint="33"/>
            <w:vAlign w:val="center"/>
          </w:tcPr>
          <w:p w14:paraId="434F8B7C" w14:textId="63D7D644" w:rsidR="00D12B60" w:rsidRPr="000B07FC" w:rsidRDefault="00D12B60" w:rsidP="00D12B60">
            <w:pPr>
              <w:jc w:val="center"/>
              <w:rPr>
                <w:rFonts w:cs="Times New Roman"/>
                <w:b/>
                <w:bCs/>
                <w:color w:val="FF0000"/>
                <w:sz w:val="20"/>
                <w:szCs w:val="20"/>
              </w:rPr>
            </w:pPr>
            <w:r>
              <w:rPr>
                <w:rFonts w:cs="Times New Roman"/>
                <w:b/>
                <w:bCs/>
                <w:color w:val="FF0000"/>
                <w:sz w:val="20"/>
                <w:szCs w:val="20"/>
              </w:rPr>
              <w:t>208,0</w:t>
            </w:r>
          </w:p>
        </w:tc>
      </w:tr>
      <w:tr w:rsidR="00D12B60" w:rsidRPr="00057801" w14:paraId="5D5B6B8F" w14:textId="77777777" w:rsidTr="00D12B60">
        <w:trPr>
          <w:trHeight w:val="85"/>
        </w:trPr>
        <w:tc>
          <w:tcPr>
            <w:tcW w:w="4678" w:type="dxa"/>
            <w:vMerge/>
            <w:shd w:val="clear" w:color="auto" w:fill="auto"/>
            <w:vAlign w:val="center"/>
          </w:tcPr>
          <w:p w14:paraId="6651C289" w14:textId="77777777" w:rsidR="00D12B60" w:rsidRPr="000B07FC" w:rsidRDefault="00D12B60" w:rsidP="00D12B60">
            <w:pPr>
              <w:contextualSpacing/>
              <w:rPr>
                <w:b/>
                <w:bCs/>
                <w:sz w:val="20"/>
                <w:szCs w:val="20"/>
              </w:rPr>
            </w:pPr>
          </w:p>
        </w:tc>
        <w:tc>
          <w:tcPr>
            <w:tcW w:w="851" w:type="dxa"/>
            <w:tcBorders>
              <w:top w:val="single" w:sz="4" w:space="0" w:color="000000"/>
              <w:bottom w:val="single" w:sz="4" w:space="0" w:color="808080" w:themeColor="background1" w:themeShade="80"/>
            </w:tcBorders>
            <w:shd w:val="clear" w:color="auto" w:fill="auto"/>
          </w:tcPr>
          <w:p w14:paraId="69A0DF81" w14:textId="3537F5BA" w:rsidR="00D12B60" w:rsidRPr="00D12B60" w:rsidRDefault="00D12B60" w:rsidP="00D12B60">
            <w:pPr>
              <w:contextualSpacing/>
              <w:jc w:val="center"/>
              <w:rPr>
                <w:color w:val="00B050"/>
                <w:sz w:val="20"/>
                <w:szCs w:val="20"/>
              </w:rPr>
            </w:pPr>
            <w:r w:rsidRPr="00D12B60">
              <w:rPr>
                <w:color w:val="00B050"/>
                <w:sz w:val="20"/>
                <w:szCs w:val="20"/>
              </w:rPr>
              <w:t>LT</w:t>
            </w:r>
          </w:p>
        </w:tc>
        <w:tc>
          <w:tcPr>
            <w:tcW w:w="992" w:type="dxa"/>
            <w:tcBorders>
              <w:top w:val="single" w:sz="4" w:space="0" w:color="000000"/>
              <w:bottom w:val="single" w:sz="4" w:space="0" w:color="808080" w:themeColor="background1" w:themeShade="80"/>
            </w:tcBorders>
            <w:shd w:val="clear" w:color="auto" w:fill="auto"/>
            <w:vAlign w:val="center"/>
          </w:tcPr>
          <w:p w14:paraId="5BAB3A9E" w14:textId="0D708CF9" w:rsidR="00D12B60" w:rsidRPr="00D12B60" w:rsidRDefault="00D12B60" w:rsidP="00D12B60">
            <w:pPr>
              <w:contextualSpacing/>
              <w:jc w:val="center"/>
              <w:rPr>
                <w:rFonts w:cs="Times New Roman"/>
                <w:color w:val="00B050"/>
                <w:sz w:val="20"/>
                <w:szCs w:val="20"/>
              </w:rPr>
            </w:pPr>
            <w:r w:rsidRPr="00D12B60">
              <w:rPr>
                <w:rFonts w:cs="Times New Roman"/>
                <w:color w:val="00B050"/>
                <w:sz w:val="20"/>
                <w:szCs w:val="20"/>
              </w:rPr>
              <w:t>138,0</w:t>
            </w:r>
          </w:p>
        </w:tc>
        <w:tc>
          <w:tcPr>
            <w:tcW w:w="850" w:type="dxa"/>
            <w:tcBorders>
              <w:top w:val="single" w:sz="4" w:space="0" w:color="000000"/>
              <w:bottom w:val="single" w:sz="4" w:space="0" w:color="808080" w:themeColor="background1" w:themeShade="80"/>
            </w:tcBorders>
            <w:shd w:val="clear" w:color="auto" w:fill="auto"/>
            <w:vAlign w:val="center"/>
          </w:tcPr>
          <w:p w14:paraId="52F4A8AC" w14:textId="3C697240" w:rsidR="00D12B60" w:rsidRPr="00D12B60" w:rsidRDefault="00D12B60" w:rsidP="00D12B60">
            <w:pPr>
              <w:contextualSpacing/>
              <w:jc w:val="center"/>
              <w:rPr>
                <w:rFonts w:cs="Times New Roman"/>
                <w:color w:val="00B050"/>
                <w:sz w:val="20"/>
                <w:szCs w:val="20"/>
              </w:rPr>
            </w:pPr>
            <w:r w:rsidRPr="00D12B60">
              <w:rPr>
                <w:rFonts w:cs="Times New Roman"/>
                <w:color w:val="00B050"/>
                <w:sz w:val="20"/>
                <w:szCs w:val="20"/>
              </w:rPr>
              <w:t>149,7</w:t>
            </w:r>
          </w:p>
        </w:tc>
        <w:tc>
          <w:tcPr>
            <w:tcW w:w="851" w:type="dxa"/>
            <w:tcBorders>
              <w:top w:val="single" w:sz="4" w:space="0" w:color="000000"/>
              <w:bottom w:val="single" w:sz="4" w:space="0" w:color="808080" w:themeColor="background1" w:themeShade="80"/>
            </w:tcBorders>
            <w:shd w:val="clear" w:color="auto" w:fill="auto"/>
            <w:vAlign w:val="center"/>
          </w:tcPr>
          <w:p w14:paraId="0EF7B032" w14:textId="67E8951E" w:rsidR="00D12B60" w:rsidRPr="00D12B60" w:rsidRDefault="00D12B60" w:rsidP="00D12B60">
            <w:pPr>
              <w:contextualSpacing/>
              <w:jc w:val="center"/>
              <w:rPr>
                <w:rFonts w:cs="Times New Roman"/>
                <w:color w:val="00B050"/>
                <w:sz w:val="20"/>
                <w:szCs w:val="20"/>
              </w:rPr>
            </w:pPr>
            <w:r w:rsidRPr="00D12B60">
              <w:rPr>
                <w:rFonts w:cs="Times New Roman"/>
                <w:color w:val="00B050"/>
                <w:sz w:val="20"/>
                <w:szCs w:val="20"/>
              </w:rPr>
              <w:t>162,4</w:t>
            </w:r>
          </w:p>
        </w:tc>
        <w:tc>
          <w:tcPr>
            <w:tcW w:w="850" w:type="dxa"/>
            <w:tcBorders>
              <w:bottom w:val="single" w:sz="4" w:space="0" w:color="808080" w:themeColor="background1" w:themeShade="80"/>
            </w:tcBorders>
            <w:shd w:val="clear" w:color="auto" w:fill="auto"/>
            <w:vAlign w:val="center"/>
          </w:tcPr>
          <w:p w14:paraId="4F2F1C3F" w14:textId="32F7713D" w:rsidR="00D12B60" w:rsidRPr="00D12B60" w:rsidRDefault="00D12B60" w:rsidP="00D12B60">
            <w:pPr>
              <w:jc w:val="center"/>
              <w:rPr>
                <w:rFonts w:cs="Times New Roman"/>
                <w:color w:val="00B050"/>
                <w:sz w:val="20"/>
                <w:szCs w:val="20"/>
              </w:rPr>
            </w:pPr>
            <w:r w:rsidRPr="00D12B60">
              <w:rPr>
                <w:rFonts w:cs="Times New Roman"/>
                <w:color w:val="00B050"/>
                <w:sz w:val="20"/>
                <w:szCs w:val="20"/>
              </w:rPr>
              <w:t>176,2</w:t>
            </w:r>
          </w:p>
        </w:tc>
      </w:tr>
      <w:tr w:rsidR="00D12B60" w:rsidRPr="00057801" w14:paraId="32F78AFE" w14:textId="77777777" w:rsidTr="00D12B60">
        <w:trPr>
          <w:trHeight w:val="85"/>
        </w:trPr>
        <w:tc>
          <w:tcPr>
            <w:tcW w:w="4678" w:type="dxa"/>
            <w:vMerge/>
            <w:shd w:val="clear" w:color="auto" w:fill="auto"/>
            <w:vAlign w:val="center"/>
          </w:tcPr>
          <w:p w14:paraId="173A4284" w14:textId="77777777" w:rsidR="00D12B60" w:rsidRPr="000B07FC" w:rsidRDefault="00D12B60" w:rsidP="00D12B60">
            <w:pPr>
              <w:contextualSpacing/>
              <w:rPr>
                <w:b/>
                <w:bCs/>
                <w:sz w:val="20"/>
                <w:szCs w:val="20"/>
              </w:rPr>
            </w:pPr>
          </w:p>
        </w:tc>
        <w:tc>
          <w:tcPr>
            <w:tcW w:w="851" w:type="dxa"/>
            <w:tcBorders>
              <w:top w:val="single" w:sz="4" w:space="0" w:color="000000"/>
              <w:bottom w:val="single" w:sz="4" w:space="0" w:color="808080" w:themeColor="background1" w:themeShade="80"/>
            </w:tcBorders>
            <w:shd w:val="clear" w:color="auto" w:fill="auto"/>
            <w:vAlign w:val="center"/>
          </w:tcPr>
          <w:p w14:paraId="31167535" w14:textId="68873BCE" w:rsidR="00D12B60" w:rsidRPr="00D12B60" w:rsidRDefault="00D12B60" w:rsidP="00D12B60">
            <w:pPr>
              <w:contextualSpacing/>
              <w:jc w:val="center"/>
              <w:rPr>
                <w:color w:val="0070C0"/>
                <w:sz w:val="20"/>
                <w:szCs w:val="20"/>
              </w:rPr>
            </w:pPr>
            <w:r w:rsidRPr="00D12B60">
              <w:rPr>
                <w:color w:val="0070C0"/>
                <w:sz w:val="20"/>
                <w:szCs w:val="20"/>
              </w:rPr>
              <w:t>EE</w:t>
            </w:r>
          </w:p>
        </w:tc>
        <w:tc>
          <w:tcPr>
            <w:tcW w:w="992" w:type="dxa"/>
            <w:tcBorders>
              <w:top w:val="single" w:sz="4" w:space="0" w:color="000000"/>
              <w:bottom w:val="single" w:sz="4" w:space="0" w:color="808080" w:themeColor="background1" w:themeShade="80"/>
            </w:tcBorders>
            <w:shd w:val="clear" w:color="auto" w:fill="auto"/>
            <w:vAlign w:val="center"/>
          </w:tcPr>
          <w:p w14:paraId="459B2F05" w14:textId="12598E41" w:rsidR="00D12B60" w:rsidRPr="00D12B60" w:rsidRDefault="00D12B60" w:rsidP="00D12B60">
            <w:pPr>
              <w:contextualSpacing/>
              <w:jc w:val="center"/>
              <w:rPr>
                <w:rFonts w:cs="Times New Roman"/>
                <w:color w:val="0070C0"/>
                <w:sz w:val="20"/>
                <w:szCs w:val="20"/>
              </w:rPr>
            </w:pPr>
            <w:r w:rsidRPr="00D12B60">
              <w:rPr>
                <w:rFonts w:cs="Times New Roman"/>
                <w:color w:val="0070C0"/>
                <w:sz w:val="20"/>
                <w:szCs w:val="20"/>
              </w:rPr>
              <w:t>169,1</w:t>
            </w:r>
          </w:p>
        </w:tc>
        <w:tc>
          <w:tcPr>
            <w:tcW w:w="850" w:type="dxa"/>
            <w:tcBorders>
              <w:top w:val="single" w:sz="4" w:space="0" w:color="000000"/>
              <w:bottom w:val="single" w:sz="4" w:space="0" w:color="808080" w:themeColor="background1" w:themeShade="80"/>
            </w:tcBorders>
            <w:shd w:val="clear" w:color="auto" w:fill="auto"/>
            <w:vAlign w:val="center"/>
          </w:tcPr>
          <w:p w14:paraId="6D67B891" w14:textId="3D7AF9DD" w:rsidR="00D12B60" w:rsidRPr="00D12B60" w:rsidRDefault="00D12B60" w:rsidP="00D12B60">
            <w:pPr>
              <w:contextualSpacing/>
              <w:jc w:val="center"/>
              <w:rPr>
                <w:rFonts w:cs="Times New Roman"/>
                <w:color w:val="0070C0"/>
                <w:sz w:val="20"/>
                <w:szCs w:val="20"/>
              </w:rPr>
            </w:pPr>
            <w:r w:rsidRPr="00D12B60">
              <w:rPr>
                <w:rFonts w:cs="Times New Roman"/>
                <w:color w:val="0070C0"/>
                <w:sz w:val="20"/>
                <w:szCs w:val="20"/>
              </w:rPr>
              <w:t>177,7</w:t>
            </w:r>
          </w:p>
        </w:tc>
        <w:tc>
          <w:tcPr>
            <w:tcW w:w="851" w:type="dxa"/>
            <w:tcBorders>
              <w:top w:val="single" w:sz="4" w:space="0" w:color="000000"/>
              <w:bottom w:val="single" w:sz="4" w:space="0" w:color="808080" w:themeColor="background1" w:themeShade="80"/>
            </w:tcBorders>
            <w:shd w:val="clear" w:color="auto" w:fill="auto"/>
            <w:vAlign w:val="center"/>
          </w:tcPr>
          <w:p w14:paraId="3F208624" w14:textId="702962BB" w:rsidR="00D12B60" w:rsidRPr="00D12B60" w:rsidRDefault="00D12B60" w:rsidP="00D12B60">
            <w:pPr>
              <w:contextualSpacing/>
              <w:jc w:val="center"/>
              <w:rPr>
                <w:rFonts w:cs="Times New Roman"/>
                <w:color w:val="0070C0"/>
                <w:sz w:val="20"/>
                <w:szCs w:val="20"/>
              </w:rPr>
            </w:pPr>
            <w:r w:rsidRPr="00D12B60">
              <w:rPr>
                <w:rFonts w:cs="Times New Roman"/>
                <w:color w:val="0070C0"/>
                <w:sz w:val="20"/>
                <w:szCs w:val="20"/>
              </w:rPr>
              <w:t>186,7</w:t>
            </w:r>
          </w:p>
        </w:tc>
        <w:tc>
          <w:tcPr>
            <w:tcW w:w="850" w:type="dxa"/>
            <w:tcBorders>
              <w:bottom w:val="single" w:sz="4" w:space="0" w:color="808080" w:themeColor="background1" w:themeShade="80"/>
            </w:tcBorders>
            <w:shd w:val="clear" w:color="auto" w:fill="auto"/>
            <w:vAlign w:val="center"/>
          </w:tcPr>
          <w:p w14:paraId="5DC6E978" w14:textId="06CD63F9" w:rsidR="00D12B60" w:rsidRPr="00D12B60" w:rsidRDefault="00D12B60" w:rsidP="00D12B60">
            <w:pPr>
              <w:jc w:val="center"/>
              <w:rPr>
                <w:rFonts w:cs="Times New Roman"/>
                <w:color w:val="0070C0"/>
                <w:sz w:val="20"/>
                <w:szCs w:val="20"/>
              </w:rPr>
            </w:pPr>
            <w:r w:rsidRPr="00D12B60">
              <w:rPr>
                <w:rFonts w:cs="Times New Roman"/>
                <w:color w:val="0070C0"/>
                <w:sz w:val="20"/>
                <w:szCs w:val="20"/>
              </w:rPr>
              <w:t>186,7</w:t>
            </w:r>
          </w:p>
        </w:tc>
      </w:tr>
      <w:tr w:rsidR="00D12B60" w:rsidRPr="00057801" w14:paraId="7B4264BC" w14:textId="77777777" w:rsidTr="007326FC">
        <w:trPr>
          <w:trHeight w:val="85"/>
        </w:trPr>
        <w:tc>
          <w:tcPr>
            <w:tcW w:w="4678" w:type="dxa"/>
            <w:vMerge w:val="restart"/>
            <w:tcBorders>
              <w:top w:val="single" w:sz="4" w:space="0" w:color="000000"/>
            </w:tcBorders>
            <w:shd w:val="clear" w:color="auto" w:fill="auto"/>
            <w:vAlign w:val="center"/>
          </w:tcPr>
          <w:p w14:paraId="5D22053C" w14:textId="709AA81E" w:rsidR="00D12B60" w:rsidRPr="00976D16" w:rsidRDefault="00D12B60" w:rsidP="00D12B60">
            <w:pPr>
              <w:contextualSpacing/>
              <w:rPr>
                <w:sz w:val="20"/>
                <w:szCs w:val="20"/>
              </w:rPr>
            </w:pPr>
            <w:r w:rsidRPr="000B07FC">
              <w:rPr>
                <w:b/>
                <w:bCs/>
                <w:sz w:val="20"/>
                <w:szCs w:val="20"/>
              </w:rPr>
              <w:t xml:space="preserve">Karsējamā tabaka, </w:t>
            </w:r>
            <w:r w:rsidRPr="000B07FC">
              <w:rPr>
                <w:i/>
                <w:iCs/>
                <w:sz w:val="20"/>
                <w:szCs w:val="20"/>
              </w:rPr>
              <w:t>euro par 1000 gr.</w:t>
            </w:r>
          </w:p>
        </w:tc>
        <w:tc>
          <w:tcPr>
            <w:tcW w:w="851" w:type="dxa"/>
            <w:tcBorders>
              <w:top w:val="single" w:sz="4" w:space="0" w:color="000000"/>
              <w:bottom w:val="single" w:sz="4" w:space="0" w:color="808080" w:themeColor="background1" w:themeShade="80"/>
            </w:tcBorders>
            <w:shd w:val="clear" w:color="auto" w:fill="FFF2CC" w:themeFill="accent4" w:themeFillTint="33"/>
          </w:tcPr>
          <w:p w14:paraId="7D2FAFFA" w14:textId="77777777" w:rsidR="00D12B60" w:rsidRPr="00976D16" w:rsidRDefault="00D12B60" w:rsidP="00D12B60">
            <w:pPr>
              <w:contextualSpacing/>
              <w:jc w:val="center"/>
              <w:rPr>
                <w:b/>
                <w:bCs/>
                <w:sz w:val="20"/>
                <w:szCs w:val="20"/>
              </w:rPr>
            </w:pPr>
            <w:r w:rsidRPr="00215B60">
              <w:rPr>
                <w:b/>
                <w:bCs/>
                <w:color w:val="C00000"/>
                <w:sz w:val="20"/>
                <w:szCs w:val="20"/>
              </w:rPr>
              <w:t>LV</w:t>
            </w:r>
          </w:p>
        </w:tc>
        <w:tc>
          <w:tcPr>
            <w:tcW w:w="992" w:type="dxa"/>
            <w:tcBorders>
              <w:top w:val="single" w:sz="4" w:space="0" w:color="000000"/>
              <w:bottom w:val="single" w:sz="4" w:space="0" w:color="808080" w:themeColor="background1" w:themeShade="80"/>
            </w:tcBorders>
            <w:shd w:val="clear" w:color="auto" w:fill="FFF2CC" w:themeFill="accent4" w:themeFillTint="33"/>
            <w:vAlign w:val="center"/>
          </w:tcPr>
          <w:p w14:paraId="297EFA37" w14:textId="0CCF3A1E" w:rsidR="00D12B60" w:rsidRPr="000B07FC" w:rsidRDefault="00D12B60" w:rsidP="00D12B60">
            <w:pPr>
              <w:contextualSpacing/>
              <w:jc w:val="center"/>
              <w:rPr>
                <w:rFonts w:eastAsia="Times New Roman" w:cs="Times New Roman"/>
                <w:b/>
                <w:bCs/>
                <w:color w:val="C00000"/>
                <w:sz w:val="20"/>
                <w:szCs w:val="20"/>
                <w:lang w:eastAsia="lv-LV"/>
              </w:rPr>
            </w:pPr>
            <w:r w:rsidRPr="000B07FC">
              <w:rPr>
                <w:rFonts w:cs="Times New Roman"/>
                <w:b/>
                <w:bCs/>
                <w:color w:val="C00000"/>
                <w:sz w:val="20"/>
                <w:szCs w:val="20"/>
              </w:rPr>
              <w:t>251</w:t>
            </w:r>
          </w:p>
        </w:tc>
        <w:tc>
          <w:tcPr>
            <w:tcW w:w="850" w:type="dxa"/>
            <w:tcBorders>
              <w:top w:val="single" w:sz="4" w:space="0" w:color="000000"/>
              <w:bottom w:val="single" w:sz="4" w:space="0" w:color="808080" w:themeColor="background1" w:themeShade="80"/>
            </w:tcBorders>
            <w:shd w:val="clear" w:color="auto" w:fill="FFF2CC" w:themeFill="accent4" w:themeFillTint="33"/>
            <w:vAlign w:val="center"/>
          </w:tcPr>
          <w:p w14:paraId="0751D525" w14:textId="536644DA" w:rsidR="00D12B60" w:rsidRPr="000B07FC" w:rsidRDefault="00D12B60" w:rsidP="00D12B60">
            <w:pPr>
              <w:contextualSpacing/>
              <w:jc w:val="center"/>
              <w:rPr>
                <w:rFonts w:eastAsia="Times New Roman" w:cs="Times New Roman"/>
                <w:b/>
                <w:bCs/>
                <w:color w:val="C00000"/>
                <w:sz w:val="20"/>
                <w:szCs w:val="20"/>
                <w:lang w:eastAsia="lv-LV"/>
              </w:rPr>
            </w:pPr>
            <w:r w:rsidRPr="000B07FC">
              <w:rPr>
                <w:rFonts w:cs="Times New Roman"/>
                <w:b/>
                <w:bCs/>
                <w:color w:val="C00000"/>
                <w:sz w:val="20"/>
                <w:szCs w:val="20"/>
              </w:rPr>
              <w:t>276</w:t>
            </w:r>
          </w:p>
        </w:tc>
        <w:tc>
          <w:tcPr>
            <w:tcW w:w="851" w:type="dxa"/>
            <w:tcBorders>
              <w:top w:val="single" w:sz="4" w:space="0" w:color="000000"/>
              <w:bottom w:val="single" w:sz="4" w:space="0" w:color="808080" w:themeColor="background1" w:themeShade="80"/>
            </w:tcBorders>
            <w:shd w:val="clear" w:color="auto" w:fill="FFF2CC" w:themeFill="accent4" w:themeFillTint="33"/>
            <w:vAlign w:val="center"/>
          </w:tcPr>
          <w:p w14:paraId="696A92A7" w14:textId="75C90970" w:rsidR="00D12B60" w:rsidRPr="000B07FC" w:rsidRDefault="00D12B60" w:rsidP="00D12B60">
            <w:pPr>
              <w:contextualSpacing/>
              <w:jc w:val="center"/>
              <w:rPr>
                <w:rFonts w:eastAsia="Times New Roman" w:cs="Times New Roman"/>
                <w:b/>
                <w:bCs/>
                <w:color w:val="C00000"/>
                <w:sz w:val="20"/>
                <w:szCs w:val="20"/>
                <w:lang w:eastAsia="lv-LV"/>
              </w:rPr>
            </w:pPr>
            <w:r w:rsidRPr="000B07FC">
              <w:rPr>
                <w:rFonts w:cs="Times New Roman"/>
                <w:b/>
                <w:bCs/>
                <w:color w:val="C00000"/>
                <w:sz w:val="20"/>
                <w:szCs w:val="20"/>
              </w:rPr>
              <w:t>304</w:t>
            </w:r>
          </w:p>
        </w:tc>
        <w:tc>
          <w:tcPr>
            <w:tcW w:w="850" w:type="dxa"/>
            <w:tcBorders>
              <w:bottom w:val="single" w:sz="4" w:space="0" w:color="808080" w:themeColor="background1" w:themeShade="80"/>
            </w:tcBorders>
            <w:shd w:val="clear" w:color="auto" w:fill="FFF2CC" w:themeFill="accent4" w:themeFillTint="33"/>
            <w:vAlign w:val="center"/>
          </w:tcPr>
          <w:p w14:paraId="388902EF" w14:textId="7A22E421" w:rsidR="00D12B60" w:rsidRPr="000B07FC" w:rsidRDefault="00D12B60" w:rsidP="00D12B60">
            <w:pPr>
              <w:jc w:val="center"/>
              <w:rPr>
                <w:rFonts w:eastAsia="Times New Roman" w:cs="Times New Roman"/>
                <w:b/>
                <w:bCs/>
                <w:color w:val="C00000"/>
                <w:sz w:val="20"/>
                <w:szCs w:val="20"/>
                <w:lang w:eastAsia="lv-LV"/>
              </w:rPr>
            </w:pPr>
            <w:r w:rsidRPr="000B07FC">
              <w:rPr>
                <w:rFonts w:cs="Times New Roman"/>
                <w:b/>
                <w:bCs/>
                <w:color w:val="FF0000"/>
                <w:sz w:val="20"/>
                <w:szCs w:val="20"/>
              </w:rPr>
              <w:t>334,4</w:t>
            </w:r>
          </w:p>
        </w:tc>
      </w:tr>
      <w:tr w:rsidR="00D12B60" w:rsidRPr="00057801" w14:paraId="1C817597" w14:textId="77777777" w:rsidTr="00C06B53">
        <w:trPr>
          <w:trHeight w:val="85"/>
        </w:trPr>
        <w:tc>
          <w:tcPr>
            <w:tcW w:w="4678" w:type="dxa"/>
            <w:vMerge/>
            <w:shd w:val="clear" w:color="auto" w:fill="auto"/>
            <w:vAlign w:val="center"/>
          </w:tcPr>
          <w:p w14:paraId="3D1F7F4D" w14:textId="77777777" w:rsidR="00D12B60" w:rsidRPr="00976D16" w:rsidRDefault="00D12B60" w:rsidP="00D12B60">
            <w:pPr>
              <w:contextualSpacing/>
              <w:rPr>
                <w:b/>
                <w:bCs/>
                <w:sz w:val="20"/>
                <w:szCs w:val="20"/>
              </w:rPr>
            </w:pPr>
          </w:p>
        </w:tc>
        <w:tc>
          <w:tcPr>
            <w:tcW w:w="851" w:type="dxa"/>
            <w:tcBorders>
              <w:top w:val="single" w:sz="4" w:space="0" w:color="808080" w:themeColor="background1" w:themeShade="80"/>
              <w:bottom w:val="single" w:sz="4" w:space="0" w:color="808080" w:themeColor="background1" w:themeShade="80"/>
            </w:tcBorders>
          </w:tcPr>
          <w:p w14:paraId="7C638250" w14:textId="0D574E00" w:rsidR="00D12B60" w:rsidRPr="00504A02" w:rsidRDefault="006019B8" w:rsidP="00D12B60">
            <w:pPr>
              <w:contextualSpacing/>
              <w:jc w:val="center"/>
              <w:rPr>
                <w:sz w:val="20"/>
                <w:szCs w:val="20"/>
              </w:rPr>
            </w:pPr>
            <w:r w:rsidRPr="00D12B60">
              <w:rPr>
                <w:color w:val="00B050"/>
                <w:sz w:val="20"/>
                <w:szCs w:val="20"/>
              </w:rPr>
              <w:t>LT</w:t>
            </w:r>
          </w:p>
        </w:tc>
        <w:tc>
          <w:tcPr>
            <w:tcW w:w="992"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108B32FF" w14:textId="1A270293" w:rsidR="00D12B60" w:rsidRPr="00504A02" w:rsidRDefault="00D12B60" w:rsidP="00D12B60">
            <w:pPr>
              <w:contextualSpacing/>
              <w:jc w:val="center"/>
              <w:rPr>
                <w:rFonts w:eastAsia="Times New Roman" w:cs="Times New Roman"/>
                <w:color w:val="00B050"/>
                <w:sz w:val="20"/>
                <w:szCs w:val="20"/>
                <w:lang w:eastAsia="lv-LV"/>
              </w:rPr>
            </w:pPr>
            <w:r w:rsidRPr="00504A02">
              <w:rPr>
                <w:rFonts w:cs="Times New Roman"/>
                <w:color w:val="00B050"/>
                <w:sz w:val="20"/>
                <w:szCs w:val="20"/>
              </w:rPr>
              <w:t>300,00</w:t>
            </w:r>
          </w:p>
        </w:tc>
        <w:tc>
          <w:tcPr>
            <w:tcW w:w="850" w:type="dxa"/>
            <w:tcBorders>
              <w:top w:val="single" w:sz="4" w:space="0" w:color="808080" w:themeColor="background1" w:themeShade="80"/>
              <w:bottom w:val="single" w:sz="4" w:space="0" w:color="808080" w:themeColor="background1" w:themeShade="80"/>
            </w:tcBorders>
            <w:vAlign w:val="center"/>
          </w:tcPr>
          <w:p w14:paraId="473024E5" w14:textId="75512191" w:rsidR="00D12B60" w:rsidRPr="00504A02" w:rsidRDefault="00D12B60" w:rsidP="00D12B60">
            <w:pPr>
              <w:contextualSpacing/>
              <w:jc w:val="center"/>
              <w:rPr>
                <w:rFonts w:eastAsia="Times New Roman" w:cs="Times New Roman"/>
                <w:color w:val="00B050"/>
                <w:sz w:val="20"/>
                <w:szCs w:val="20"/>
                <w:lang w:eastAsia="lv-LV"/>
              </w:rPr>
            </w:pPr>
            <w:r w:rsidRPr="00504A02">
              <w:rPr>
                <w:rFonts w:cs="Times New Roman"/>
                <w:color w:val="00B050"/>
                <w:sz w:val="20"/>
                <w:szCs w:val="20"/>
              </w:rPr>
              <w:t>337,36</w:t>
            </w:r>
          </w:p>
        </w:tc>
        <w:tc>
          <w:tcPr>
            <w:tcW w:w="851" w:type="dxa"/>
            <w:tcBorders>
              <w:top w:val="single" w:sz="4" w:space="0" w:color="808080" w:themeColor="background1" w:themeShade="80"/>
              <w:bottom w:val="single" w:sz="4" w:space="0" w:color="808080" w:themeColor="background1" w:themeShade="80"/>
            </w:tcBorders>
            <w:vAlign w:val="center"/>
          </w:tcPr>
          <w:p w14:paraId="1D04513E" w14:textId="3D0280BC" w:rsidR="00D12B60" w:rsidRPr="00504A02" w:rsidRDefault="00D12B60" w:rsidP="00D12B60">
            <w:pPr>
              <w:contextualSpacing/>
              <w:jc w:val="center"/>
              <w:rPr>
                <w:rFonts w:eastAsia="Times New Roman" w:cs="Times New Roman"/>
                <w:color w:val="00B050"/>
                <w:sz w:val="20"/>
                <w:szCs w:val="20"/>
                <w:lang w:eastAsia="lv-LV"/>
              </w:rPr>
            </w:pPr>
            <w:r w:rsidRPr="00504A02">
              <w:rPr>
                <w:rFonts w:cs="Times New Roman"/>
                <w:color w:val="00B050"/>
                <w:sz w:val="20"/>
                <w:szCs w:val="20"/>
              </w:rPr>
              <w:t>379,62</w:t>
            </w:r>
          </w:p>
        </w:tc>
        <w:tc>
          <w:tcPr>
            <w:tcW w:w="850"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49AD6827" w14:textId="4C87FE97" w:rsidR="00D12B60" w:rsidRPr="00504A02" w:rsidRDefault="00D12B60" w:rsidP="00D12B60">
            <w:pPr>
              <w:jc w:val="center"/>
              <w:rPr>
                <w:rFonts w:eastAsia="Times New Roman" w:cs="Times New Roman"/>
                <w:color w:val="00B050"/>
                <w:sz w:val="20"/>
                <w:szCs w:val="20"/>
                <w:lang w:eastAsia="lv-LV"/>
              </w:rPr>
            </w:pPr>
            <w:r w:rsidRPr="00504A02">
              <w:rPr>
                <w:rFonts w:cs="Times New Roman"/>
                <w:color w:val="00B050"/>
                <w:sz w:val="20"/>
                <w:szCs w:val="20"/>
              </w:rPr>
              <w:t>427,17</w:t>
            </w:r>
          </w:p>
        </w:tc>
      </w:tr>
      <w:tr w:rsidR="00D12B60" w:rsidRPr="00057801" w14:paraId="1D2BAD34" w14:textId="77777777" w:rsidTr="007B6505">
        <w:trPr>
          <w:trHeight w:val="85"/>
        </w:trPr>
        <w:tc>
          <w:tcPr>
            <w:tcW w:w="4678" w:type="dxa"/>
            <w:vMerge/>
            <w:tcBorders>
              <w:bottom w:val="single" w:sz="4" w:space="0" w:color="A6A6A6" w:themeColor="background1" w:themeShade="A6"/>
            </w:tcBorders>
            <w:shd w:val="clear" w:color="auto" w:fill="auto"/>
            <w:vAlign w:val="center"/>
          </w:tcPr>
          <w:p w14:paraId="2D88D808" w14:textId="77777777" w:rsidR="00D12B60" w:rsidRPr="00976D16" w:rsidRDefault="00D12B60" w:rsidP="00D12B60">
            <w:pPr>
              <w:contextualSpacing/>
              <w:rPr>
                <w:b/>
                <w:bCs/>
                <w:sz w:val="20"/>
                <w:szCs w:val="20"/>
              </w:rPr>
            </w:pPr>
          </w:p>
        </w:tc>
        <w:tc>
          <w:tcPr>
            <w:tcW w:w="851" w:type="dxa"/>
            <w:tcBorders>
              <w:top w:val="single" w:sz="4" w:space="0" w:color="808080" w:themeColor="background1" w:themeShade="80"/>
              <w:bottom w:val="single" w:sz="4" w:space="0" w:color="A6A6A6" w:themeColor="background1" w:themeShade="A6"/>
            </w:tcBorders>
          </w:tcPr>
          <w:p w14:paraId="75D46AE4" w14:textId="77777777" w:rsidR="00D12B60" w:rsidRPr="00504A02" w:rsidRDefault="00D12B60" w:rsidP="00D12B60">
            <w:pPr>
              <w:contextualSpacing/>
              <w:jc w:val="center"/>
              <w:rPr>
                <w:sz w:val="20"/>
                <w:szCs w:val="20"/>
              </w:rPr>
            </w:pPr>
            <w:r w:rsidRPr="00504A02">
              <w:rPr>
                <w:color w:val="0070C0"/>
                <w:sz w:val="20"/>
                <w:szCs w:val="20"/>
              </w:rPr>
              <w:t>EE</w:t>
            </w:r>
          </w:p>
        </w:tc>
        <w:tc>
          <w:tcPr>
            <w:tcW w:w="992" w:type="dxa"/>
            <w:tcBorders>
              <w:top w:val="single" w:sz="4" w:space="0" w:color="808080" w:themeColor="background1" w:themeShade="80"/>
              <w:bottom w:val="single" w:sz="4" w:space="0" w:color="A6A6A6" w:themeColor="background1" w:themeShade="A6"/>
            </w:tcBorders>
            <w:shd w:val="clear" w:color="auto" w:fill="FFFFFF" w:themeFill="background1"/>
            <w:vAlign w:val="center"/>
          </w:tcPr>
          <w:p w14:paraId="7115B1AC" w14:textId="30F24FC9" w:rsidR="00D12B60" w:rsidRPr="00504A02" w:rsidRDefault="00D12B60" w:rsidP="00D12B60">
            <w:pPr>
              <w:contextualSpacing/>
              <w:jc w:val="center"/>
              <w:rPr>
                <w:rFonts w:eastAsia="Times New Roman" w:cs="Times New Roman"/>
                <w:color w:val="0070C0"/>
                <w:sz w:val="20"/>
                <w:szCs w:val="20"/>
                <w:lang w:eastAsia="lv-LV"/>
              </w:rPr>
            </w:pPr>
            <w:r w:rsidRPr="00504A02">
              <w:rPr>
                <w:rFonts w:cs="Times New Roman"/>
                <w:color w:val="0070C0"/>
                <w:sz w:val="20"/>
                <w:szCs w:val="20"/>
              </w:rPr>
              <w:t>112,4</w:t>
            </w:r>
          </w:p>
        </w:tc>
        <w:tc>
          <w:tcPr>
            <w:tcW w:w="850" w:type="dxa"/>
            <w:tcBorders>
              <w:top w:val="single" w:sz="4" w:space="0" w:color="808080" w:themeColor="background1" w:themeShade="80"/>
              <w:bottom w:val="single" w:sz="4" w:space="0" w:color="A6A6A6" w:themeColor="background1" w:themeShade="A6"/>
            </w:tcBorders>
            <w:vAlign w:val="center"/>
          </w:tcPr>
          <w:p w14:paraId="684E15A2" w14:textId="56FF01EA" w:rsidR="00D12B60" w:rsidRPr="00504A02" w:rsidRDefault="00D12B60" w:rsidP="00D12B60">
            <w:pPr>
              <w:contextualSpacing/>
              <w:jc w:val="center"/>
              <w:rPr>
                <w:rFonts w:eastAsia="Times New Roman" w:cs="Times New Roman"/>
                <w:color w:val="0070C0"/>
                <w:sz w:val="20"/>
                <w:szCs w:val="20"/>
                <w:lang w:eastAsia="lv-LV"/>
              </w:rPr>
            </w:pPr>
            <w:r w:rsidRPr="00504A02">
              <w:rPr>
                <w:rFonts w:cs="Times New Roman"/>
                <w:color w:val="0070C0"/>
                <w:sz w:val="20"/>
                <w:szCs w:val="20"/>
              </w:rPr>
              <w:t>118,0</w:t>
            </w:r>
          </w:p>
        </w:tc>
        <w:tc>
          <w:tcPr>
            <w:tcW w:w="851" w:type="dxa"/>
            <w:tcBorders>
              <w:top w:val="single" w:sz="4" w:space="0" w:color="808080" w:themeColor="background1" w:themeShade="80"/>
              <w:bottom w:val="single" w:sz="4" w:space="0" w:color="A6A6A6" w:themeColor="background1" w:themeShade="A6"/>
            </w:tcBorders>
            <w:vAlign w:val="center"/>
          </w:tcPr>
          <w:p w14:paraId="16A0D553" w14:textId="6B7C6806" w:rsidR="00D12B60" w:rsidRPr="00504A02" w:rsidRDefault="00D12B60" w:rsidP="00D12B60">
            <w:pPr>
              <w:contextualSpacing/>
              <w:jc w:val="center"/>
              <w:rPr>
                <w:rFonts w:eastAsia="Times New Roman" w:cs="Times New Roman"/>
                <w:color w:val="0070C0"/>
                <w:sz w:val="20"/>
                <w:szCs w:val="20"/>
                <w:lang w:eastAsia="lv-LV"/>
              </w:rPr>
            </w:pPr>
            <w:r w:rsidRPr="00504A02">
              <w:rPr>
                <w:rFonts w:cs="Times New Roman"/>
                <w:color w:val="0070C0"/>
                <w:sz w:val="20"/>
                <w:szCs w:val="20"/>
              </w:rPr>
              <w:t>124,0</w:t>
            </w:r>
          </w:p>
        </w:tc>
        <w:tc>
          <w:tcPr>
            <w:tcW w:w="850" w:type="dxa"/>
            <w:tcBorders>
              <w:top w:val="single" w:sz="4" w:space="0" w:color="808080" w:themeColor="background1" w:themeShade="80"/>
            </w:tcBorders>
            <w:shd w:val="clear" w:color="auto" w:fill="FFFFFF" w:themeFill="background1"/>
            <w:vAlign w:val="center"/>
          </w:tcPr>
          <w:p w14:paraId="33249317" w14:textId="53C1E2EF" w:rsidR="00D12B60" w:rsidRPr="00504A02" w:rsidRDefault="00D12B60" w:rsidP="00D12B60">
            <w:pPr>
              <w:jc w:val="center"/>
              <w:rPr>
                <w:rFonts w:eastAsia="Times New Roman" w:cs="Times New Roman"/>
                <w:color w:val="0070C0"/>
                <w:sz w:val="20"/>
                <w:szCs w:val="20"/>
                <w:lang w:eastAsia="lv-LV"/>
              </w:rPr>
            </w:pPr>
            <w:r w:rsidRPr="00504A02">
              <w:rPr>
                <w:rFonts w:cs="Times New Roman"/>
                <w:color w:val="0070C0"/>
                <w:sz w:val="20"/>
                <w:szCs w:val="20"/>
              </w:rPr>
              <w:t>124,0</w:t>
            </w:r>
          </w:p>
        </w:tc>
      </w:tr>
      <w:tr w:rsidR="00D12B60" w:rsidRPr="00FE35AA" w14:paraId="60EC44A8" w14:textId="77777777" w:rsidTr="00665F6B">
        <w:trPr>
          <w:trHeight w:val="212"/>
        </w:trPr>
        <w:tc>
          <w:tcPr>
            <w:tcW w:w="4678" w:type="dxa"/>
            <w:vMerge w:val="restart"/>
            <w:tcBorders>
              <w:top w:val="single" w:sz="4" w:space="0" w:color="000000"/>
            </w:tcBorders>
            <w:shd w:val="clear" w:color="auto" w:fill="auto"/>
            <w:vAlign w:val="center"/>
          </w:tcPr>
          <w:p w14:paraId="2FA0612F" w14:textId="75226AEB" w:rsidR="00D12B60" w:rsidRPr="00976D16" w:rsidRDefault="00D12B60" w:rsidP="00D12B60">
            <w:pPr>
              <w:contextualSpacing/>
              <w:rPr>
                <w:b/>
                <w:bCs/>
                <w:sz w:val="20"/>
                <w:szCs w:val="20"/>
              </w:rPr>
            </w:pPr>
            <w:r w:rsidRPr="000B07FC">
              <w:rPr>
                <w:b/>
                <w:bCs/>
                <w:sz w:val="20"/>
                <w:szCs w:val="20"/>
              </w:rPr>
              <w:t xml:space="preserve">Smēķējamā (tinamā) tabaka, tabakas lapas, </w:t>
            </w:r>
            <w:r w:rsidRPr="000B07FC">
              <w:rPr>
                <w:i/>
                <w:iCs/>
                <w:sz w:val="20"/>
                <w:szCs w:val="20"/>
              </w:rPr>
              <w:t>euro par 1000 gr.</w:t>
            </w:r>
          </w:p>
        </w:tc>
        <w:tc>
          <w:tcPr>
            <w:tcW w:w="851" w:type="dxa"/>
            <w:tcBorders>
              <w:top w:val="single" w:sz="4" w:space="0" w:color="000000"/>
              <w:bottom w:val="single" w:sz="4" w:space="0" w:color="808080" w:themeColor="background1" w:themeShade="80"/>
            </w:tcBorders>
            <w:shd w:val="clear" w:color="auto" w:fill="FFF2CC" w:themeFill="accent4" w:themeFillTint="33"/>
          </w:tcPr>
          <w:p w14:paraId="36BD11E1" w14:textId="77777777" w:rsidR="00D12B60" w:rsidRPr="00976D16" w:rsidRDefault="00D12B60" w:rsidP="00D12B60">
            <w:pPr>
              <w:contextualSpacing/>
              <w:jc w:val="center"/>
              <w:rPr>
                <w:b/>
                <w:bCs/>
                <w:sz w:val="20"/>
                <w:szCs w:val="20"/>
              </w:rPr>
            </w:pPr>
            <w:r w:rsidRPr="00215B60">
              <w:rPr>
                <w:b/>
                <w:bCs/>
                <w:color w:val="C00000"/>
                <w:sz w:val="20"/>
                <w:szCs w:val="20"/>
              </w:rPr>
              <w:t>LV</w:t>
            </w:r>
          </w:p>
        </w:tc>
        <w:tc>
          <w:tcPr>
            <w:tcW w:w="992" w:type="dxa"/>
            <w:tcBorders>
              <w:top w:val="single" w:sz="4" w:space="0" w:color="000000"/>
              <w:bottom w:val="single" w:sz="4" w:space="0" w:color="808080" w:themeColor="background1" w:themeShade="80"/>
            </w:tcBorders>
            <w:shd w:val="clear" w:color="auto" w:fill="FFF2CC" w:themeFill="accent4" w:themeFillTint="33"/>
            <w:vAlign w:val="center"/>
          </w:tcPr>
          <w:p w14:paraId="0E63BB5C" w14:textId="5C2796CB" w:rsidR="00D12B60" w:rsidRPr="000B07FC" w:rsidRDefault="00D12B60" w:rsidP="00D12B60">
            <w:pPr>
              <w:contextualSpacing/>
              <w:jc w:val="center"/>
              <w:rPr>
                <w:rFonts w:cs="Times New Roman"/>
                <w:b/>
                <w:bCs/>
                <w:color w:val="C00000"/>
                <w:sz w:val="20"/>
                <w:szCs w:val="20"/>
              </w:rPr>
            </w:pPr>
            <w:r w:rsidRPr="000B07FC">
              <w:rPr>
                <w:rFonts w:cs="Times New Roman"/>
                <w:b/>
                <w:bCs/>
                <w:color w:val="C00000"/>
                <w:sz w:val="20"/>
                <w:szCs w:val="20"/>
              </w:rPr>
              <w:t>105,7</w:t>
            </w:r>
          </w:p>
        </w:tc>
        <w:tc>
          <w:tcPr>
            <w:tcW w:w="850" w:type="dxa"/>
            <w:tcBorders>
              <w:top w:val="single" w:sz="4" w:space="0" w:color="000000"/>
              <w:bottom w:val="single" w:sz="4" w:space="0" w:color="808080" w:themeColor="background1" w:themeShade="80"/>
            </w:tcBorders>
            <w:shd w:val="clear" w:color="auto" w:fill="FFF2CC" w:themeFill="accent4" w:themeFillTint="33"/>
            <w:vAlign w:val="center"/>
          </w:tcPr>
          <w:p w14:paraId="23176B00" w14:textId="65705D37" w:rsidR="00D12B60" w:rsidRPr="000B07FC" w:rsidRDefault="00D12B60" w:rsidP="00D12B60">
            <w:pPr>
              <w:contextualSpacing/>
              <w:jc w:val="center"/>
              <w:rPr>
                <w:rFonts w:cs="Times New Roman"/>
                <w:b/>
                <w:bCs/>
                <w:color w:val="C00000"/>
                <w:sz w:val="20"/>
                <w:szCs w:val="20"/>
              </w:rPr>
            </w:pPr>
            <w:r w:rsidRPr="000B07FC">
              <w:rPr>
                <w:rFonts w:cs="Times New Roman"/>
                <w:b/>
                <w:bCs/>
                <w:color w:val="C00000"/>
                <w:sz w:val="20"/>
                <w:szCs w:val="20"/>
              </w:rPr>
              <w:t>116,3</w:t>
            </w:r>
          </w:p>
        </w:tc>
        <w:tc>
          <w:tcPr>
            <w:tcW w:w="851" w:type="dxa"/>
            <w:tcBorders>
              <w:top w:val="single" w:sz="4" w:space="0" w:color="000000"/>
              <w:bottom w:val="single" w:sz="4" w:space="0" w:color="808080" w:themeColor="background1" w:themeShade="80"/>
            </w:tcBorders>
            <w:shd w:val="clear" w:color="auto" w:fill="FFF2CC" w:themeFill="accent4" w:themeFillTint="33"/>
            <w:vAlign w:val="center"/>
          </w:tcPr>
          <w:p w14:paraId="5470A9C7" w14:textId="1066A6DC" w:rsidR="00D12B60" w:rsidRPr="000B07FC" w:rsidRDefault="00D12B60" w:rsidP="00D12B60">
            <w:pPr>
              <w:contextualSpacing/>
              <w:jc w:val="center"/>
              <w:rPr>
                <w:rFonts w:cs="Times New Roman"/>
                <w:b/>
                <w:bCs/>
                <w:color w:val="C00000"/>
                <w:sz w:val="20"/>
                <w:szCs w:val="20"/>
              </w:rPr>
            </w:pPr>
            <w:r w:rsidRPr="000B07FC">
              <w:rPr>
                <w:rFonts w:cs="Times New Roman"/>
                <w:b/>
                <w:bCs/>
                <w:color w:val="C00000"/>
                <w:sz w:val="20"/>
                <w:szCs w:val="20"/>
              </w:rPr>
              <w:t>127,9</w:t>
            </w:r>
          </w:p>
        </w:tc>
        <w:tc>
          <w:tcPr>
            <w:tcW w:w="850" w:type="dxa"/>
            <w:tcBorders>
              <w:bottom w:val="single" w:sz="4" w:space="0" w:color="808080" w:themeColor="background1" w:themeShade="80"/>
            </w:tcBorders>
            <w:shd w:val="clear" w:color="auto" w:fill="FFF2CC" w:themeFill="accent4" w:themeFillTint="33"/>
            <w:vAlign w:val="center"/>
          </w:tcPr>
          <w:p w14:paraId="012E1BC7" w14:textId="47973491" w:rsidR="00D12B60" w:rsidRPr="000B07FC" w:rsidRDefault="00D12B60" w:rsidP="00D12B60">
            <w:pPr>
              <w:contextualSpacing/>
              <w:jc w:val="center"/>
              <w:rPr>
                <w:rFonts w:cs="Times New Roman"/>
                <w:b/>
                <w:bCs/>
                <w:color w:val="C00000"/>
                <w:sz w:val="20"/>
                <w:szCs w:val="20"/>
              </w:rPr>
            </w:pPr>
            <w:r w:rsidRPr="000B07FC">
              <w:rPr>
                <w:rFonts w:cs="Times New Roman"/>
                <w:b/>
                <w:bCs/>
                <w:color w:val="FF0000"/>
                <w:sz w:val="20"/>
                <w:szCs w:val="20"/>
              </w:rPr>
              <w:t>140,7</w:t>
            </w:r>
          </w:p>
        </w:tc>
      </w:tr>
      <w:tr w:rsidR="00D12B60" w:rsidRPr="00057801" w14:paraId="65EFAEDB" w14:textId="77777777" w:rsidTr="00C054F1">
        <w:trPr>
          <w:trHeight w:val="85"/>
        </w:trPr>
        <w:tc>
          <w:tcPr>
            <w:tcW w:w="4678" w:type="dxa"/>
            <w:vMerge/>
            <w:shd w:val="clear" w:color="auto" w:fill="auto"/>
            <w:vAlign w:val="center"/>
          </w:tcPr>
          <w:p w14:paraId="6312D70B" w14:textId="77777777" w:rsidR="00D12B60" w:rsidRPr="00976D16" w:rsidRDefault="00D12B60" w:rsidP="00D12B60">
            <w:pPr>
              <w:contextualSpacing/>
              <w:rPr>
                <w:b/>
                <w:bCs/>
                <w:sz w:val="20"/>
                <w:szCs w:val="20"/>
              </w:rPr>
            </w:pPr>
          </w:p>
        </w:tc>
        <w:tc>
          <w:tcPr>
            <w:tcW w:w="851" w:type="dxa"/>
            <w:tcBorders>
              <w:top w:val="single" w:sz="4" w:space="0" w:color="808080" w:themeColor="background1" w:themeShade="80"/>
              <w:bottom w:val="single" w:sz="4" w:space="0" w:color="808080" w:themeColor="background1" w:themeShade="80"/>
            </w:tcBorders>
          </w:tcPr>
          <w:p w14:paraId="64D0A985" w14:textId="77777777" w:rsidR="00D12B60" w:rsidRPr="00504A02" w:rsidRDefault="00D12B60" w:rsidP="00D12B60">
            <w:pPr>
              <w:contextualSpacing/>
              <w:jc w:val="center"/>
              <w:rPr>
                <w:sz w:val="20"/>
                <w:szCs w:val="20"/>
              </w:rPr>
            </w:pPr>
            <w:r w:rsidRPr="00504A02">
              <w:rPr>
                <w:color w:val="00B050"/>
                <w:sz w:val="20"/>
                <w:szCs w:val="20"/>
              </w:rPr>
              <w:t>LT</w:t>
            </w:r>
          </w:p>
        </w:tc>
        <w:tc>
          <w:tcPr>
            <w:tcW w:w="992"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34043C11" w14:textId="2BEF2260" w:rsidR="00D12B60" w:rsidRPr="00504A02" w:rsidRDefault="00D12B60" w:rsidP="00D12B60">
            <w:pPr>
              <w:contextualSpacing/>
              <w:jc w:val="center"/>
              <w:rPr>
                <w:rFonts w:cs="Times New Roman"/>
                <w:color w:val="00B050"/>
                <w:sz w:val="20"/>
                <w:szCs w:val="20"/>
              </w:rPr>
            </w:pPr>
            <w:r w:rsidRPr="00504A02">
              <w:rPr>
                <w:rFonts w:cs="Times New Roman"/>
                <w:color w:val="00B050"/>
                <w:sz w:val="20"/>
                <w:szCs w:val="20"/>
              </w:rPr>
              <w:t>112,8</w:t>
            </w:r>
          </w:p>
        </w:tc>
        <w:tc>
          <w:tcPr>
            <w:tcW w:w="850" w:type="dxa"/>
            <w:tcBorders>
              <w:top w:val="single" w:sz="4" w:space="0" w:color="808080" w:themeColor="background1" w:themeShade="80"/>
              <w:bottom w:val="single" w:sz="4" w:space="0" w:color="808080" w:themeColor="background1" w:themeShade="80"/>
            </w:tcBorders>
            <w:vAlign w:val="center"/>
          </w:tcPr>
          <w:p w14:paraId="21812F78" w14:textId="62E2D4ED" w:rsidR="00D12B60" w:rsidRPr="00504A02" w:rsidRDefault="00D12B60" w:rsidP="00D12B60">
            <w:pPr>
              <w:contextualSpacing/>
              <w:jc w:val="center"/>
              <w:rPr>
                <w:rFonts w:cs="Times New Roman"/>
                <w:color w:val="00B050"/>
                <w:sz w:val="20"/>
                <w:szCs w:val="20"/>
              </w:rPr>
            </w:pPr>
            <w:r w:rsidRPr="00504A02">
              <w:rPr>
                <w:rFonts w:cs="Times New Roman"/>
                <w:color w:val="00B050"/>
                <w:sz w:val="20"/>
                <w:szCs w:val="20"/>
              </w:rPr>
              <w:t>123,5</w:t>
            </w:r>
          </w:p>
        </w:tc>
        <w:tc>
          <w:tcPr>
            <w:tcW w:w="851" w:type="dxa"/>
            <w:tcBorders>
              <w:top w:val="single" w:sz="4" w:space="0" w:color="808080" w:themeColor="background1" w:themeShade="80"/>
              <w:bottom w:val="single" w:sz="4" w:space="0" w:color="808080" w:themeColor="background1" w:themeShade="80"/>
            </w:tcBorders>
            <w:vAlign w:val="center"/>
          </w:tcPr>
          <w:p w14:paraId="7406D985" w14:textId="71049C28" w:rsidR="00D12B60" w:rsidRPr="00504A02" w:rsidRDefault="00D12B60" w:rsidP="00D12B60">
            <w:pPr>
              <w:contextualSpacing/>
              <w:jc w:val="center"/>
              <w:rPr>
                <w:rFonts w:cs="Times New Roman"/>
                <w:color w:val="00B050"/>
                <w:sz w:val="20"/>
                <w:szCs w:val="20"/>
              </w:rPr>
            </w:pPr>
            <w:r w:rsidRPr="00504A02">
              <w:rPr>
                <w:rFonts w:cs="Times New Roman"/>
                <w:color w:val="00B050"/>
                <w:sz w:val="20"/>
                <w:szCs w:val="20"/>
              </w:rPr>
              <w:t>135,2</w:t>
            </w:r>
          </w:p>
        </w:tc>
        <w:tc>
          <w:tcPr>
            <w:tcW w:w="850"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45D3B5BB" w14:textId="4A29247F" w:rsidR="00D12B60" w:rsidRPr="00504A02" w:rsidRDefault="00D12B60" w:rsidP="00D12B60">
            <w:pPr>
              <w:jc w:val="center"/>
              <w:rPr>
                <w:rFonts w:cs="Times New Roman"/>
                <w:color w:val="00B050"/>
                <w:sz w:val="20"/>
                <w:szCs w:val="20"/>
                <w:lang w:eastAsia="lv-LV"/>
              </w:rPr>
            </w:pPr>
            <w:r w:rsidRPr="00504A02">
              <w:rPr>
                <w:rFonts w:cs="Times New Roman"/>
                <w:color w:val="00B050"/>
                <w:sz w:val="20"/>
                <w:szCs w:val="20"/>
              </w:rPr>
              <w:t>148,0</w:t>
            </w:r>
          </w:p>
        </w:tc>
      </w:tr>
      <w:tr w:rsidR="00D12B60" w:rsidRPr="00057801" w14:paraId="61B87544" w14:textId="77777777" w:rsidTr="008A7075">
        <w:trPr>
          <w:trHeight w:val="85"/>
        </w:trPr>
        <w:tc>
          <w:tcPr>
            <w:tcW w:w="4678" w:type="dxa"/>
            <w:vMerge/>
            <w:tcBorders>
              <w:bottom w:val="single" w:sz="4" w:space="0" w:color="A6A6A6" w:themeColor="background1" w:themeShade="A6"/>
            </w:tcBorders>
            <w:shd w:val="clear" w:color="auto" w:fill="auto"/>
            <w:vAlign w:val="center"/>
          </w:tcPr>
          <w:p w14:paraId="3714054A" w14:textId="77777777" w:rsidR="00D12B60" w:rsidRPr="00976D16" w:rsidRDefault="00D12B60" w:rsidP="00D12B60">
            <w:pPr>
              <w:contextualSpacing/>
              <w:rPr>
                <w:b/>
                <w:bCs/>
                <w:sz w:val="20"/>
                <w:szCs w:val="20"/>
              </w:rPr>
            </w:pPr>
          </w:p>
        </w:tc>
        <w:tc>
          <w:tcPr>
            <w:tcW w:w="851" w:type="dxa"/>
            <w:tcBorders>
              <w:top w:val="single" w:sz="4" w:space="0" w:color="808080" w:themeColor="background1" w:themeShade="80"/>
              <w:bottom w:val="single" w:sz="4" w:space="0" w:color="A6A6A6" w:themeColor="background1" w:themeShade="A6"/>
            </w:tcBorders>
          </w:tcPr>
          <w:p w14:paraId="161BB9C8" w14:textId="77777777" w:rsidR="00D12B60" w:rsidRPr="00504A02" w:rsidRDefault="00D12B60" w:rsidP="00D12B60">
            <w:pPr>
              <w:contextualSpacing/>
              <w:jc w:val="center"/>
              <w:rPr>
                <w:sz w:val="20"/>
                <w:szCs w:val="20"/>
              </w:rPr>
            </w:pPr>
            <w:r w:rsidRPr="00504A02">
              <w:rPr>
                <w:color w:val="0070C0"/>
                <w:sz w:val="20"/>
                <w:szCs w:val="20"/>
              </w:rPr>
              <w:t>EE</w:t>
            </w:r>
          </w:p>
        </w:tc>
        <w:tc>
          <w:tcPr>
            <w:tcW w:w="992" w:type="dxa"/>
            <w:tcBorders>
              <w:top w:val="single" w:sz="4" w:space="0" w:color="808080" w:themeColor="background1" w:themeShade="80"/>
              <w:bottom w:val="single" w:sz="4" w:space="0" w:color="A6A6A6" w:themeColor="background1" w:themeShade="A6"/>
            </w:tcBorders>
            <w:shd w:val="clear" w:color="auto" w:fill="FFFFFF" w:themeFill="background1"/>
            <w:vAlign w:val="center"/>
          </w:tcPr>
          <w:p w14:paraId="40B2F596" w14:textId="16074450" w:rsidR="00D12B60" w:rsidRPr="00504A02" w:rsidRDefault="00D12B60" w:rsidP="00D12B60">
            <w:pPr>
              <w:contextualSpacing/>
              <w:jc w:val="center"/>
              <w:rPr>
                <w:rFonts w:cs="Times New Roman"/>
                <w:color w:val="0070C0"/>
                <w:sz w:val="20"/>
                <w:szCs w:val="20"/>
              </w:rPr>
            </w:pPr>
            <w:r w:rsidRPr="00504A02">
              <w:rPr>
                <w:rFonts w:cs="Times New Roman"/>
                <w:color w:val="0070C0"/>
                <w:sz w:val="20"/>
                <w:szCs w:val="20"/>
              </w:rPr>
              <w:t>112,4</w:t>
            </w:r>
          </w:p>
        </w:tc>
        <w:tc>
          <w:tcPr>
            <w:tcW w:w="850" w:type="dxa"/>
            <w:tcBorders>
              <w:top w:val="single" w:sz="4" w:space="0" w:color="808080" w:themeColor="background1" w:themeShade="80"/>
              <w:bottom w:val="single" w:sz="4" w:space="0" w:color="A6A6A6" w:themeColor="background1" w:themeShade="A6"/>
            </w:tcBorders>
            <w:vAlign w:val="center"/>
          </w:tcPr>
          <w:p w14:paraId="2C8463B8" w14:textId="39A32540" w:rsidR="00D12B60" w:rsidRPr="00504A02" w:rsidRDefault="00D12B60" w:rsidP="00D12B60">
            <w:pPr>
              <w:contextualSpacing/>
              <w:jc w:val="center"/>
              <w:rPr>
                <w:rFonts w:cs="Times New Roman"/>
                <w:color w:val="0070C0"/>
                <w:sz w:val="20"/>
                <w:szCs w:val="20"/>
              </w:rPr>
            </w:pPr>
            <w:r w:rsidRPr="00504A02">
              <w:rPr>
                <w:rFonts w:cs="Times New Roman"/>
                <w:color w:val="0070C0"/>
                <w:sz w:val="20"/>
                <w:szCs w:val="20"/>
              </w:rPr>
              <w:t>118,0</w:t>
            </w:r>
          </w:p>
        </w:tc>
        <w:tc>
          <w:tcPr>
            <w:tcW w:w="851" w:type="dxa"/>
            <w:tcBorders>
              <w:top w:val="single" w:sz="4" w:space="0" w:color="808080" w:themeColor="background1" w:themeShade="80"/>
              <w:bottom w:val="single" w:sz="4" w:space="0" w:color="A6A6A6" w:themeColor="background1" w:themeShade="A6"/>
            </w:tcBorders>
            <w:vAlign w:val="center"/>
          </w:tcPr>
          <w:p w14:paraId="6DF256B8" w14:textId="1460C9CD" w:rsidR="00D12B60" w:rsidRPr="00504A02" w:rsidRDefault="00D12B60" w:rsidP="00D12B60">
            <w:pPr>
              <w:contextualSpacing/>
              <w:jc w:val="center"/>
              <w:rPr>
                <w:rFonts w:cs="Times New Roman"/>
                <w:color w:val="0070C0"/>
                <w:sz w:val="20"/>
                <w:szCs w:val="20"/>
              </w:rPr>
            </w:pPr>
            <w:r w:rsidRPr="00504A02">
              <w:rPr>
                <w:rFonts w:cs="Times New Roman"/>
                <w:color w:val="0070C0"/>
                <w:sz w:val="20"/>
                <w:szCs w:val="20"/>
              </w:rPr>
              <w:t>124,0</w:t>
            </w:r>
          </w:p>
        </w:tc>
        <w:tc>
          <w:tcPr>
            <w:tcW w:w="850" w:type="dxa"/>
            <w:tcBorders>
              <w:top w:val="single" w:sz="4" w:space="0" w:color="808080" w:themeColor="background1" w:themeShade="80"/>
            </w:tcBorders>
            <w:shd w:val="clear" w:color="auto" w:fill="FFFFFF" w:themeFill="background1"/>
            <w:vAlign w:val="center"/>
          </w:tcPr>
          <w:p w14:paraId="04F5B8A0" w14:textId="55E01B99" w:rsidR="00D12B60" w:rsidRPr="00504A02" w:rsidRDefault="00D12B60" w:rsidP="00D12B60">
            <w:pPr>
              <w:jc w:val="center"/>
              <w:rPr>
                <w:rFonts w:cs="Times New Roman"/>
                <w:color w:val="0070C0"/>
                <w:sz w:val="20"/>
                <w:szCs w:val="20"/>
                <w:lang w:eastAsia="lv-LV"/>
              </w:rPr>
            </w:pPr>
            <w:r w:rsidRPr="00504A02">
              <w:rPr>
                <w:rFonts w:cs="Times New Roman"/>
                <w:color w:val="0070C0"/>
                <w:sz w:val="20"/>
                <w:szCs w:val="20"/>
              </w:rPr>
              <w:t>124,0</w:t>
            </w:r>
          </w:p>
        </w:tc>
      </w:tr>
      <w:tr w:rsidR="00D12B60" w:rsidRPr="00057801" w14:paraId="682E8ADC" w14:textId="77777777" w:rsidTr="00D01CE1">
        <w:trPr>
          <w:trHeight w:val="85"/>
        </w:trPr>
        <w:tc>
          <w:tcPr>
            <w:tcW w:w="4678" w:type="dxa"/>
            <w:vMerge w:val="restart"/>
            <w:tcBorders>
              <w:top w:val="single" w:sz="4" w:space="0" w:color="000000"/>
            </w:tcBorders>
            <w:shd w:val="clear" w:color="auto" w:fill="auto"/>
            <w:vAlign w:val="center"/>
          </w:tcPr>
          <w:p w14:paraId="54B2A851" w14:textId="77777777" w:rsidR="00D12B60" w:rsidRPr="00976D16" w:rsidRDefault="00D12B60" w:rsidP="00D12B60">
            <w:pPr>
              <w:contextualSpacing/>
              <w:rPr>
                <w:b/>
                <w:bCs/>
                <w:sz w:val="20"/>
                <w:szCs w:val="20"/>
              </w:rPr>
            </w:pPr>
            <w:r w:rsidRPr="000B07FC">
              <w:rPr>
                <w:b/>
                <w:bCs/>
                <w:sz w:val="20"/>
                <w:szCs w:val="20"/>
              </w:rPr>
              <w:t xml:space="preserve">Cigāri un </w:t>
            </w:r>
            <w:proofErr w:type="spellStart"/>
            <w:r w:rsidRPr="000B07FC">
              <w:rPr>
                <w:b/>
                <w:bCs/>
                <w:sz w:val="20"/>
                <w:szCs w:val="20"/>
              </w:rPr>
              <w:t>cigarillas</w:t>
            </w:r>
            <w:proofErr w:type="spellEnd"/>
            <w:r w:rsidRPr="000B07FC">
              <w:rPr>
                <w:b/>
                <w:bCs/>
                <w:sz w:val="20"/>
                <w:szCs w:val="20"/>
              </w:rPr>
              <w:t xml:space="preserve">, </w:t>
            </w:r>
            <w:r w:rsidRPr="000B07FC">
              <w:rPr>
                <w:i/>
                <w:iCs/>
                <w:sz w:val="20"/>
                <w:szCs w:val="20"/>
              </w:rPr>
              <w:t>euro par 1000 gab.</w:t>
            </w:r>
          </w:p>
        </w:tc>
        <w:tc>
          <w:tcPr>
            <w:tcW w:w="851" w:type="dxa"/>
            <w:tcBorders>
              <w:top w:val="single" w:sz="4" w:space="0" w:color="000000"/>
              <w:bottom w:val="single" w:sz="4" w:space="0" w:color="808080" w:themeColor="background1" w:themeShade="80"/>
            </w:tcBorders>
            <w:shd w:val="clear" w:color="auto" w:fill="FFF2CC" w:themeFill="accent4" w:themeFillTint="33"/>
          </w:tcPr>
          <w:p w14:paraId="64F00677" w14:textId="77777777" w:rsidR="00D12B60" w:rsidRPr="00976D16" w:rsidRDefault="00D12B60" w:rsidP="00D12B60">
            <w:pPr>
              <w:contextualSpacing/>
              <w:jc w:val="center"/>
              <w:rPr>
                <w:b/>
                <w:bCs/>
                <w:sz w:val="20"/>
                <w:szCs w:val="20"/>
              </w:rPr>
            </w:pPr>
            <w:r w:rsidRPr="00215B60">
              <w:rPr>
                <w:b/>
                <w:bCs/>
                <w:color w:val="C00000"/>
                <w:sz w:val="20"/>
                <w:szCs w:val="20"/>
              </w:rPr>
              <w:t>LV</w:t>
            </w:r>
          </w:p>
        </w:tc>
        <w:tc>
          <w:tcPr>
            <w:tcW w:w="992" w:type="dxa"/>
            <w:tcBorders>
              <w:top w:val="single" w:sz="4" w:space="0" w:color="000000"/>
              <w:bottom w:val="single" w:sz="4" w:space="0" w:color="808080" w:themeColor="background1" w:themeShade="80"/>
            </w:tcBorders>
            <w:shd w:val="clear" w:color="auto" w:fill="FFF2CC" w:themeFill="accent4" w:themeFillTint="33"/>
            <w:vAlign w:val="center"/>
          </w:tcPr>
          <w:p w14:paraId="6734DCC5" w14:textId="77777777" w:rsidR="00D12B60" w:rsidRPr="000B07FC" w:rsidRDefault="00D12B60" w:rsidP="00D12B60">
            <w:pPr>
              <w:contextualSpacing/>
              <w:jc w:val="center"/>
              <w:rPr>
                <w:rFonts w:cs="Times New Roman"/>
                <w:b/>
                <w:bCs/>
                <w:color w:val="C00000"/>
                <w:sz w:val="20"/>
                <w:szCs w:val="20"/>
              </w:rPr>
            </w:pPr>
            <w:r w:rsidRPr="000B07FC">
              <w:rPr>
                <w:rFonts w:cs="Times New Roman"/>
                <w:b/>
                <w:bCs/>
                <w:color w:val="C00000"/>
                <w:sz w:val="20"/>
                <w:szCs w:val="20"/>
              </w:rPr>
              <w:t>164,7</w:t>
            </w:r>
          </w:p>
        </w:tc>
        <w:tc>
          <w:tcPr>
            <w:tcW w:w="850" w:type="dxa"/>
            <w:tcBorders>
              <w:top w:val="single" w:sz="4" w:space="0" w:color="000000"/>
              <w:bottom w:val="single" w:sz="4" w:space="0" w:color="808080" w:themeColor="background1" w:themeShade="80"/>
            </w:tcBorders>
            <w:shd w:val="clear" w:color="auto" w:fill="FFF2CC" w:themeFill="accent4" w:themeFillTint="33"/>
            <w:vAlign w:val="center"/>
          </w:tcPr>
          <w:p w14:paraId="72064DBA" w14:textId="77777777" w:rsidR="00D12B60" w:rsidRPr="000B07FC" w:rsidRDefault="00D12B60" w:rsidP="00D12B60">
            <w:pPr>
              <w:contextualSpacing/>
              <w:jc w:val="center"/>
              <w:rPr>
                <w:rFonts w:cs="Times New Roman"/>
                <w:b/>
                <w:bCs/>
                <w:color w:val="C00000"/>
                <w:sz w:val="20"/>
                <w:szCs w:val="20"/>
              </w:rPr>
            </w:pPr>
            <w:r w:rsidRPr="000B07FC">
              <w:rPr>
                <w:rFonts w:cs="Times New Roman"/>
                <w:b/>
                <w:bCs/>
                <w:color w:val="C00000"/>
                <w:sz w:val="20"/>
                <w:szCs w:val="20"/>
              </w:rPr>
              <w:t>202,7</w:t>
            </w:r>
          </w:p>
        </w:tc>
        <w:tc>
          <w:tcPr>
            <w:tcW w:w="851" w:type="dxa"/>
            <w:tcBorders>
              <w:top w:val="single" w:sz="4" w:space="0" w:color="000000"/>
              <w:bottom w:val="single" w:sz="4" w:space="0" w:color="808080" w:themeColor="background1" w:themeShade="80"/>
            </w:tcBorders>
            <w:shd w:val="clear" w:color="auto" w:fill="FFF2CC" w:themeFill="accent4" w:themeFillTint="33"/>
            <w:vAlign w:val="center"/>
          </w:tcPr>
          <w:p w14:paraId="76E0C271" w14:textId="77777777" w:rsidR="00D12B60" w:rsidRPr="000B07FC" w:rsidRDefault="00D12B60" w:rsidP="00D12B60">
            <w:pPr>
              <w:contextualSpacing/>
              <w:jc w:val="center"/>
              <w:rPr>
                <w:rFonts w:cs="Times New Roman"/>
                <w:b/>
                <w:bCs/>
                <w:color w:val="C00000"/>
                <w:sz w:val="20"/>
                <w:szCs w:val="20"/>
              </w:rPr>
            </w:pPr>
            <w:r w:rsidRPr="000B07FC">
              <w:rPr>
                <w:rFonts w:cs="Times New Roman"/>
                <w:b/>
                <w:bCs/>
                <w:color w:val="C00000"/>
                <w:sz w:val="20"/>
                <w:szCs w:val="20"/>
              </w:rPr>
              <w:t>240</w:t>
            </w:r>
            <w:r>
              <w:rPr>
                <w:rFonts w:cs="Times New Roman"/>
                <w:b/>
                <w:bCs/>
                <w:color w:val="C00000"/>
                <w:sz w:val="20"/>
                <w:szCs w:val="20"/>
              </w:rPr>
              <w:t>,0</w:t>
            </w:r>
          </w:p>
        </w:tc>
        <w:tc>
          <w:tcPr>
            <w:tcW w:w="850" w:type="dxa"/>
            <w:tcBorders>
              <w:bottom w:val="single" w:sz="4" w:space="0" w:color="808080" w:themeColor="background1" w:themeShade="80"/>
            </w:tcBorders>
            <w:shd w:val="clear" w:color="auto" w:fill="FFF2CC" w:themeFill="accent4" w:themeFillTint="33"/>
            <w:vAlign w:val="center"/>
          </w:tcPr>
          <w:p w14:paraId="27905C38" w14:textId="77777777" w:rsidR="00D12B60" w:rsidRPr="000B07FC" w:rsidRDefault="00D12B60" w:rsidP="00D12B60">
            <w:pPr>
              <w:jc w:val="center"/>
              <w:rPr>
                <w:rFonts w:cs="Times New Roman"/>
                <w:b/>
                <w:bCs/>
                <w:sz w:val="20"/>
                <w:szCs w:val="20"/>
                <w:lang w:eastAsia="lv-LV"/>
              </w:rPr>
            </w:pPr>
            <w:r w:rsidRPr="000B07FC">
              <w:rPr>
                <w:rFonts w:cs="Times New Roman"/>
                <w:b/>
                <w:bCs/>
                <w:color w:val="FF0000"/>
                <w:sz w:val="20"/>
                <w:szCs w:val="20"/>
              </w:rPr>
              <w:t>264</w:t>
            </w:r>
            <w:r>
              <w:rPr>
                <w:rFonts w:cs="Times New Roman"/>
                <w:b/>
                <w:bCs/>
                <w:color w:val="FF0000"/>
                <w:sz w:val="20"/>
                <w:szCs w:val="20"/>
              </w:rPr>
              <w:t>,0</w:t>
            </w:r>
          </w:p>
        </w:tc>
      </w:tr>
      <w:tr w:rsidR="00D12B60" w:rsidRPr="000D3D63" w14:paraId="61C8EAE2" w14:textId="77777777" w:rsidTr="00D01CE1">
        <w:trPr>
          <w:trHeight w:val="85"/>
        </w:trPr>
        <w:tc>
          <w:tcPr>
            <w:tcW w:w="4678" w:type="dxa"/>
            <w:vMerge/>
            <w:shd w:val="clear" w:color="auto" w:fill="auto"/>
            <w:vAlign w:val="center"/>
          </w:tcPr>
          <w:p w14:paraId="5C9214CE" w14:textId="77777777" w:rsidR="00D12B60" w:rsidRPr="00976D16" w:rsidRDefault="00D12B60" w:rsidP="00D12B60">
            <w:pPr>
              <w:contextualSpacing/>
              <w:rPr>
                <w:b/>
                <w:bCs/>
                <w:sz w:val="20"/>
                <w:szCs w:val="20"/>
              </w:rPr>
            </w:pPr>
          </w:p>
        </w:tc>
        <w:tc>
          <w:tcPr>
            <w:tcW w:w="851" w:type="dxa"/>
            <w:tcBorders>
              <w:top w:val="single" w:sz="4" w:space="0" w:color="808080" w:themeColor="background1" w:themeShade="80"/>
              <w:bottom w:val="single" w:sz="4" w:space="0" w:color="808080" w:themeColor="background1" w:themeShade="80"/>
            </w:tcBorders>
          </w:tcPr>
          <w:p w14:paraId="6B34F87A" w14:textId="77777777" w:rsidR="00D12B60" w:rsidRPr="00504A02" w:rsidRDefault="00D12B60" w:rsidP="00D12B60">
            <w:pPr>
              <w:contextualSpacing/>
              <w:jc w:val="center"/>
              <w:rPr>
                <w:sz w:val="20"/>
                <w:szCs w:val="20"/>
              </w:rPr>
            </w:pPr>
            <w:r w:rsidRPr="00504A02">
              <w:rPr>
                <w:color w:val="00B050"/>
                <w:sz w:val="20"/>
                <w:szCs w:val="20"/>
              </w:rPr>
              <w:t>LT</w:t>
            </w:r>
            <w:r w:rsidRPr="00504A02">
              <w:rPr>
                <w:sz w:val="20"/>
                <w:szCs w:val="20"/>
                <w:vertAlign w:val="superscript"/>
              </w:rPr>
              <w:t>*</w:t>
            </w:r>
          </w:p>
        </w:tc>
        <w:tc>
          <w:tcPr>
            <w:tcW w:w="992"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6A2D51C2" w14:textId="77777777" w:rsidR="00D12B60" w:rsidRPr="00504A02" w:rsidRDefault="00D12B60" w:rsidP="00D12B60">
            <w:pPr>
              <w:contextualSpacing/>
              <w:jc w:val="center"/>
              <w:rPr>
                <w:rFonts w:cs="Times New Roman"/>
                <w:color w:val="00B050"/>
                <w:sz w:val="20"/>
                <w:szCs w:val="20"/>
              </w:rPr>
            </w:pPr>
            <w:r w:rsidRPr="00504A02">
              <w:rPr>
                <w:rFonts w:cs="Times New Roman"/>
                <w:color w:val="00B050"/>
                <w:sz w:val="20"/>
                <w:szCs w:val="20"/>
              </w:rPr>
              <w:t>285,0</w:t>
            </w:r>
          </w:p>
        </w:tc>
        <w:tc>
          <w:tcPr>
            <w:tcW w:w="850" w:type="dxa"/>
            <w:tcBorders>
              <w:top w:val="single" w:sz="4" w:space="0" w:color="808080" w:themeColor="background1" w:themeShade="80"/>
              <w:bottom w:val="single" w:sz="4" w:space="0" w:color="808080" w:themeColor="background1" w:themeShade="80"/>
            </w:tcBorders>
            <w:vAlign w:val="center"/>
          </w:tcPr>
          <w:p w14:paraId="67A67FFA" w14:textId="77777777" w:rsidR="00D12B60" w:rsidRPr="00504A02" w:rsidRDefault="00D12B60" w:rsidP="00D12B60">
            <w:pPr>
              <w:contextualSpacing/>
              <w:jc w:val="center"/>
              <w:rPr>
                <w:rFonts w:cs="Times New Roman"/>
                <w:color w:val="00B050"/>
                <w:sz w:val="20"/>
                <w:szCs w:val="20"/>
              </w:rPr>
            </w:pPr>
            <w:r w:rsidRPr="00504A02">
              <w:rPr>
                <w:rFonts w:cs="Times New Roman"/>
                <w:color w:val="00B050"/>
                <w:sz w:val="20"/>
                <w:szCs w:val="20"/>
              </w:rPr>
              <w:t>329,1</w:t>
            </w:r>
          </w:p>
        </w:tc>
        <w:tc>
          <w:tcPr>
            <w:tcW w:w="851" w:type="dxa"/>
            <w:tcBorders>
              <w:top w:val="single" w:sz="4" w:space="0" w:color="808080" w:themeColor="background1" w:themeShade="80"/>
              <w:bottom w:val="single" w:sz="4" w:space="0" w:color="808080" w:themeColor="background1" w:themeShade="80"/>
            </w:tcBorders>
            <w:vAlign w:val="center"/>
          </w:tcPr>
          <w:p w14:paraId="7988875D" w14:textId="77777777" w:rsidR="00D12B60" w:rsidRPr="00504A02" w:rsidRDefault="00D12B60" w:rsidP="00D12B60">
            <w:pPr>
              <w:contextualSpacing/>
              <w:jc w:val="center"/>
              <w:rPr>
                <w:rFonts w:cs="Times New Roman"/>
                <w:color w:val="00B050"/>
                <w:sz w:val="20"/>
                <w:szCs w:val="20"/>
              </w:rPr>
            </w:pPr>
            <w:r w:rsidRPr="00504A02">
              <w:rPr>
                <w:rFonts w:cs="Times New Roman"/>
                <w:color w:val="00B050"/>
                <w:sz w:val="20"/>
                <w:szCs w:val="20"/>
              </w:rPr>
              <w:t>380,1</w:t>
            </w:r>
          </w:p>
        </w:tc>
        <w:tc>
          <w:tcPr>
            <w:tcW w:w="850"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05BDEA0F" w14:textId="77777777" w:rsidR="00D12B60" w:rsidRPr="00504A02" w:rsidRDefault="00D12B60" w:rsidP="00D12B60">
            <w:pPr>
              <w:contextualSpacing/>
              <w:jc w:val="center"/>
              <w:rPr>
                <w:rFonts w:cs="Times New Roman"/>
                <w:color w:val="00B050"/>
                <w:sz w:val="20"/>
                <w:szCs w:val="20"/>
              </w:rPr>
            </w:pPr>
            <w:r w:rsidRPr="00504A02">
              <w:rPr>
                <w:rFonts w:cs="Times New Roman"/>
                <w:color w:val="00B050"/>
                <w:sz w:val="20"/>
                <w:szCs w:val="20"/>
              </w:rPr>
              <w:t>438,9</w:t>
            </w:r>
          </w:p>
        </w:tc>
      </w:tr>
      <w:tr w:rsidR="00D12B60" w:rsidRPr="000D3D63" w14:paraId="23E1C39D" w14:textId="77777777" w:rsidTr="00D01CE1">
        <w:trPr>
          <w:trHeight w:val="85"/>
        </w:trPr>
        <w:tc>
          <w:tcPr>
            <w:tcW w:w="4678" w:type="dxa"/>
            <w:vMerge/>
            <w:shd w:val="clear" w:color="auto" w:fill="auto"/>
            <w:vAlign w:val="center"/>
          </w:tcPr>
          <w:p w14:paraId="73E7CB19" w14:textId="77777777" w:rsidR="00D12B60" w:rsidRPr="00976D16" w:rsidRDefault="00D12B60" w:rsidP="00D12B60">
            <w:pPr>
              <w:contextualSpacing/>
              <w:rPr>
                <w:b/>
                <w:bCs/>
                <w:sz w:val="20"/>
                <w:szCs w:val="20"/>
              </w:rPr>
            </w:pPr>
          </w:p>
        </w:tc>
        <w:tc>
          <w:tcPr>
            <w:tcW w:w="851" w:type="dxa"/>
            <w:vMerge w:val="restart"/>
            <w:tcBorders>
              <w:top w:val="single" w:sz="4" w:space="0" w:color="808080" w:themeColor="background1" w:themeShade="80"/>
            </w:tcBorders>
            <w:vAlign w:val="center"/>
          </w:tcPr>
          <w:p w14:paraId="1E67669C" w14:textId="77777777" w:rsidR="00D12B60" w:rsidRPr="00504A02" w:rsidRDefault="00D12B60" w:rsidP="00D12B60">
            <w:pPr>
              <w:contextualSpacing/>
              <w:jc w:val="center"/>
              <w:rPr>
                <w:sz w:val="20"/>
                <w:szCs w:val="20"/>
              </w:rPr>
            </w:pPr>
            <w:r w:rsidRPr="00504A02">
              <w:rPr>
                <w:color w:val="0070C0"/>
                <w:sz w:val="20"/>
                <w:szCs w:val="20"/>
              </w:rPr>
              <w:t>EE</w:t>
            </w:r>
          </w:p>
        </w:tc>
        <w:tc>
          <w:tcPr>
            <w:tcW w:w="3543" w:type="dxa"/>
            <w:gridSpan w:val="4"/>
            <w:tcBorders>
              <w:top w:val="single" w:sz="4" w:space="0" w:color="808080" w:themeColor="background1" w:themeShade="80"/>
              <w:bottom w:val="single" w:sz="4" w:space="0" w:color="FFFFFF" w:themeColor="background1"/>
            </w:tcBorders>
            <w:shd w:val="clear" w:color="auto" w:fill="FFFFFF" w:themeFill="background1"/>
            <w:vAlign w:val="center"/>
          </w:tcPr>
          <w:p w14:paraId="7FD83121" w14:textId="77777777" w:rsidR="00D12B60" w:rsidRPr="00504A02" w:rsidRDefault="00D12B60" w:rsidP="00D12B60">
            <w:pPr>
              <w:contextualSpacing/>
              <w:jc w:val="center"/>
              <w:rPr>
                <w:rFonts w:cs="Times New Roman"/>
                <w:color w:val="0070C0"/>
                <w:sz w:val="20"/>
                <w:szCs w:val="20"/>
              </w:rPr>
            </w:pPr>
            <w:r w:rsidRPr="00504A02">
              <w:rPr>
                <w:rFonts w:cs="Times New Roman"/>
                <w:color w:val="0070C0"/>
                <w:sz w:val="20"/>
                <w:szCs w:val="20"/>
              </w:rPr>
              <w:t xml:space="preserve">10% + 151 / </w:t>
            </w:r>
          </w:p>
        </w:tc>
      </w:tr>
      <w:tr w:rsidR="00D12B60" w:rsidRPr="000D3D63" w14:paraId="29BB5659" w14:textId="77777777" w:rsidTr="00D01CE1">
        <w:trPr>
          <w:trHeight w:val="85"/>
        </w:trPr>
        <w:tc>
          <w:tcPr>
            <w:tcW w:w="4678" w:type="dxa"/>
            <w:vMerge/>
            <w:tcBorders>
              <w:bottom w:val="single" w:sz="4" w:space="0" w:color="A6A6A6" w:themeColor="background1" w:themeShade="A6"/>
            </w:tcBorders>
            <w:shd w:val="clear" w:color="auto" w:fill="auto"/>
            <w:vAlign w:val="center"/>
          </w:tcPr>
          <w:p w14:paraId="271A24FE" w14:textId="77777777" w:rsidR="00D12B60" w:rsidRPr="00976D16" w:rsidRDefault="00D12B60" w:rsidP="00D12B60">
            <w:pPr>
              <w:contextualSpacing/>
              <w:rPr>
                <w:b/>
                <w:bCs/>
                <w:sz w:val="20"/>
                <w:szCs w:val="20"/>
              </w:rPr>
            </w:pPr>
          </w:p>
        </w:tc>
        <w:tc>
          <w:tcPr>
            <w:tcW w:w="851" w:type="dxa"/>
            <w:vMerge/>
            <w:tcBorders>
              <w:bottom w:val="single" w:sz="4" w:space="0" w:color="A6A6A6" w:themeColor="background1" w:themeShade="A6"/>
            </w:tcBorders>
          </w:tcPr>
          <w:p w14:paraId="3109FEA3" w14:textId="77777777" w:rsidR="00D12B60" w:rsidRPr="00504A02" w:rsidRDefault="00D12B60" w:rsidP="00D12B60">
            <w:pPr>
              <w:contextualSpacing/>
              <w:jc w:val="center"/>
              <w:rPr>
                <w:color w:val="0070C0"/>
                <w:sz w:val="20"/>
                <w:szCs w:val="20"/>
              </w:rPr>
            </w:pPr>
          </w:p>
        </w:tc>
        <w:tc>
          <w:tcPr>
            <w:tcW w:w="992" w:type="dxa"/>
            <w:tcBorders>
              <w:top w:val="single" w:sz="4" w:space="0" w:color="FFFFFF" w:themeColor="background1"/>
              <w:bottom w:val="single" w:sz="4" w:space="0" w:color="A6A6A6" w:themeColor="background1" w:themeShade="A6"/>
            </w:tcBorders>
            <w:shd w:val="clear" w:color="auto" w:fill="FFFFFF" w:themeFill="background1"/>
            <w:vAlign w:val="center"/>
          </w:tcPr>
          <w:p w14:paraId="677A8F4D" w14:textId="77777777" w:rsidR="00D12B60" w:rsidRPr="00504A02" w:rsidRDefault="00D12B60" w:rsidP="00D12B60">
            <w:pPr>
              <w:contextualSpacing/>
              <w:jc w:val="center"/>
              <w:rPr>
                <w:rFonts w:cs="Times New Roman"/>
                <w:color w:val="0070C0"/>
                <w:sz w:val="20"/>
                <w:szCs w:val="20"/>
              </w:rPr>
            </w:pPr>
            <w:r w:rsidRPr="00504A02">
              <w:rPr>
                <w:rFonts w:cs="Times New Roman"/>
                <w:color w:val="0070C0"/>
                <w:sz w:val="20"/>
                <w:szCs w:val="20"/>
              </w:rPr>
              <w:t>222</w:t>
            </w:r>
          </w:p>
        </w:tc>
        <w:tc>
          <w:tcPr>
            <w:tcW w:w="850" w:type="dxa"/>
            <w:tcBorders>
              <w:top w:val="single" w:sz="4" w:space="0" w:color="FFFFFF" w:themeColor="background1"/>
              <w:bottom w:val="single" w:sz="4" w:space="0" w:color="A6A6A6" w:themeColor="background1" w:themeShade="A6"/>
            </w:tcBorders>
            <w:vAlign w:val="center"/>
          </w:tcPr>
          <w:p w14:paraId="63D85FE0" w14:textId="77777777" w:rsidR="00D12B60" w:rsidRPr="00504A02" w:rsidRDefault="00D12B60" w:rsidP="00D12B60">
            <w:pPr>
              <w:contextualSpacing/>
              <w:jc w:val="center"/>
              <w:rPr>
                <w:rFonts w:cs="Times New Roman"/>
                <w:color w:val="0070C0"/>
                <w:sz w:val="20"/>
                <w:szCs w:val="20"/>
              </w:rPr>
            </w:pPr>
            <w:r w:rsidRPr="00504A02">
              <w:rPr>
                <w:rFonts w:cs="Times New Roman"/>
                <w:color w:val="0070C0"/>
                <w:sz w:val="20"/>
                <w:szCs w:val="20"/>
              </w:rPr>
              <w:t>233</w:t>
            </w:r>
          </w:p>
        </w:tc>
        <w:tc>
          <w:tcPr>
            <w:tcW w:w="851" w:type="dxa"/>
            <w:tcBorders>
              <w:top w:val="single" w:sz="4" w:space="0" w:color="FFFFFF" w:themeColor="background1"/>
              <w:bottom w:val="single" w:sz="4" w:space="0" w:color="A6A6A6" w:themeColor="background1" w:themeShade="A6"/>
            </w:tcBorders>
            <w:vAlign w:val="center"/>
          </w:tcPr>
          <w:p w14:paraId="7EE30B95" w14:textId="77777777" w:rsidR="00D12B60" w:rsidRPr="00504A02" w:rsidRDefault="00D12B60" w:rsidP="00D12B60">
            <w:pPr>
              <w:contextualSpacing/>
              <w:jc w:val="center"/>
              <w:rPr>
                <w:rFonts w:cs="Times New Roman"/>
                <w:color w:val="0070C0"/>
                <w:sz w:val="20"/>
                <w:szCs w:val="20"/>
              </w:rPr>
            </w:pPr>
            <w:r w:rsidRPr="00504A02">
              <w:rPr>
                <w:rFonts w:cs="Times New Roman"/>
                <w:color w:val="0070C0"/>
                <w:sz w:val="20"/>
                <w:szCs w:val="20"/>
              </w:rPr>
              <w:t>244</w:t>
            </w:r>
          </w:p>
        </w:tc>
        <w:tc>
          <w:tcPr>
            <w:tcW w:w="850" w:type="dxa"/>
            <w:tcBorders>
              <w:top w:val="single" w:sz="4" w:space="0" w:color="FFFFFF" w:themeColor="background1"/>
            </w:tcBorders>
            <w:shd w:val="clear" w:color="auto" w:fill="FFFFFF" w:themeFill="background1"/>
            <w:vAlign w:val="center"/>
          </w:tcPr>
          <w:p w14:paraId="674052F4" w14:textId="77777777" w:rsidR="00D12B60" w:rsidRPr="00504A02" w:rsidRDefault="00D12B60" w:rsidP="00D12B60">
            <w:pPr>
              <w:contextualSpacing/>
              <w:jc w:val="center"/>
              <w:rPr>
                <w:rFonts w:cs="Times New Roman"/>
                <w:color w:val="0070C0"/>
                <w:sz w:val="20"/>
                <w:szCs w:val="20"/>
              </w:rPr>
            </w:pPr>
            <w:r w:rsidRPr="00504A02">
              <w:rPr>
                <w:rFonts w:cs="Times New Roman"/>
                <w:color w:val="0070C0"/>
                <w:sz w:val="20"/>
                <w:szCs w:val="20"/>
              </w:rPr>
              <w:t>244</w:t>
            </w:r>
          </w:p>
        </w:tc>
      </w:tr>
      <w:tr w:rsidR="00D12B60" w:rsidRPr="000D3D63" w14:paraId="03AAC1BE" w14:textId="77777777" w:rsidTr="00D01CE1">
        <w:trPr>
          <w:trHeight w:val="85"/>
        </w:trPr>
        <w:tc>
          <w:tcPr>
            <w:tcW w:w="4678" w:type="dxa"/>
            <w:vMerge w:val="restart"/>
            <w:tcBorders>
              <w:top w:val="single" w:sz="4" w:space="0" w:color="000000"/>
            </w:tcBorders>
            <w:shd w:val="clear" w:color="auto" w:fill="auto"/>
            <w:vAlign w:val="center"/>
          </w:tcPr>
          <w:p w14:paraId="12EC69E7" w14:textId="77777777" w:rsidR="00D12B60" w:rsidRPr="00976D16" w:rsidRDefault="00D12B60" w:rsidP="00D12B60">
            <w:pPr>
              <w:contextualSpacing/>
              <w:rPr>
                <w:b/>
                <w:bCs/>
                <w:sz w:val="20"/>
                <w:szCs w:val="20"/>
              </w:rPr>
            </w:pPr>
            <w:r w:rsidRPr="000B07FC">
              <w:rPr>
                <w:b/>
                <w:bCs/>
                <w:sz w:val="20"/>
                <w:szCs w:val="20"/>
              </w:rPr>
              <w:t xml:space="preserve">Elektronisko cigarešu </w:t>
            </w:r>
            <w:proofErr w:type="spellStart"/>
            <w:r w:rsidRPr="000B07FC">
              <w:rPr>
                <w:b/>
                <w:bCs/>
                <w:sz w:val="20"/>
                <w:szCs w:val="20"/>
              </w:rPr>
              <w:t>uzpildes</w:t>
            </w:r>
            <w:proofErr w:type="spellEnd"/>
            <w:r w:rsidRPr="000B07FC">
              <w:rPr>
                <w:b/>
                <w:bCs/>
                <w:sz w:val="20"/>
                <w:szCs w:val="20"/>
              </w:rPr>
              <w:t xml:space="preserve"> šķidrumi un to sastāvdaļas, </w:t>
            </w:r>
            <w:r w:rsidRPr="000B07FC">
              <w:rPr>
                <w:i/>
                <w:iCs/>
                <w:sz w:val="20"/>
                <w:szCs w:val="20"/>
              </w:rPr>
              <w:t>euro par 1 ml.</w:t>
            </w:r>
          </w:p>
        </w:tc>
        <w:tc>
          <w:tcPr>
            <w:tcW w:w="851" w:type="dxa"/>
            <w:tcBorders>
              <w:top w:val="single" w:sz="4" w:space="0" w:color="000000"/>
              <w:bottom w:val="single" w:sz="4" w:space="0" w:color="808080" w:themeColor="background1" w:themeShade="80"/>
            </w:tcBorders>
            <w:shd w:val="clear" w:color="auto" w:fill="FFF2CC" w:themeFill="accent4" w:themeFillTint="33"/>
          </w:tcPr>
          <w:p w14:paraId="12A78708" w14:textId="77777777" w:rsidR="00D12B60" w:rsidRPr="00976D16" w:rsidRDefault="00D12B60" w:rsidP="00D12B60">
            <w:pPr>
              <w:contextualSpacing/>
              <w:jc w:val="center"/>
              <w:rPr>
                <w:b/>
                <w:bCs/>
                <w:sz w:val="20"/>
                <w:szCs w:val="20"/>
              </w:rPr>
            </w:pPr>
            <w:r w:rsidRPr="00215B60">
              <w:rPr>
                <w:b/>
                <w:bCs/>
                <w:color w:val="C00000"/>
                <w:sz w:val="20"/>
                <w:szCs w:val="20"/>
              </w:rPr>
              <w:t>LV</w:t>
            </w:r>
          </w:p>
        </w:tc>
        <w:tc>
          <w:tcPr>
            <w:tcW w:w="992" w:type="dxa"/>
            <w:tcBorders>
              <w:top w:val="single" w:sz="4" w:space="0" w:color="000000"/>
              <w:bottom w:val="single" w:sz="4" w:space="0" w:color="808080" w:themeColor="background1" w:themeShade="80"/>
            </w:tcBorders>
            <w:shd w:val="clear" w:color="auto" w:fill="FFF2CC" w:themeFill="accent4" w:themeFillTint="33"/>
            <w:vAlign w:val="center"/>
          </w:tcPr>
          <w:p w14:paraId="3FF3F5A7" w14:textId="77777777" w:rsidR="00D12B60" w:rsidRPr="000B07FC" w:rsidRDefault="00D12B60" w:rsidP="00D12B60">
            <w:pPr>
              <w:contextualSpacing/>
              <w:jc w:val="center"/>
              <w:rPr>
                <w:rFonts w:cs="Times New Roman"/>
                <w:b/>
                <w:bCs/>
                <w:color w:val="C00000"/>
                <w:sz w:val="20"/>
                <w:szCs w:val="20"/>
              </w:rPr>
            </w:pPr>
            <w:r w:rsidRPr="000B07FC">
              <w:rPr>
                <w:rFonts w:cs="Times New Roman"/>
                <w:b/>
                <w:bCs/>
                <w:color w:val="C00000"/>
                <w:sz w:val="20"/>
                <w:szCs w:val="20"/>
              </w:rPr>
              <w:t>0,24</w:t>
            </w:r>
          </w:p>
        </w:tc>
        <w:tc>
          <w:tcPr>
            <w:tcW w:w="850" w:type="dxa"/>
            <w:tcBorders>
              <w:top w:val="single" w:sz="4" w:space="0" w:color="000000"/>
              <w:bottom w:val="single" w:sz="4" w:space="0" w:color="808080" w:themeColor="background1" w:themeShade="80"/>
            </w:tcBorders>
            <w:shd w:val="clear" w:color="auto" w:fill="FFF2CC" w:themeFill="accent4" w:themeFillTint="33"/>
            <w:vAlign w:val="center"/>
          </w:tcPr>
          <w:p w14:paraId="0D23E6E8" w14:textId="77777777" w:rsidR="00D12B60" w:rsidRPr="000B07FC" w:rsidRDefault="00D12B60" w:rsidP="00D12B60">
            <w:pPr>
              <w:contextualSpacing/>
              <w:jc w:val="center"/>
              <w:rPr>
                <w:rFonts w:cs="Times New Roman"/>
                <w:b/>
                <w:bCs/>
                <w:color w:val="C00000"/>
                <w:sz w:val="20"/>
                <w:szCs w:val="20"/>
              </w:rPr>
            </w:pPr>
            <w:r w:rsidRPr="000B07FC">
              <w:rPr>
                <w:rFonts w:cs="Times New Roman"/>
                <w:b/>
                <w:bCs/>
                <w:color w:val="C00000"/>
                <w:sz w:val="20"/>
                <w:szCs w:val="20"/>
              </w:rPr>
              <w:t>0,29</w:t>
            </w:r>
          </w:p>
        </w:tc>
        <w:tc>
          <w:tcPr>
            <w:tcW w:w="851" w:type="dxa"/>
            <w:tcBorders>
              <w:top w:val="single" w:sz="4" w:space="0" w:color="000000"/>
              <w:bottom w:val="single" w:sz="4" w:space="0" w:color="808080" w:themeColor="background1" w:themeShade="80"/>
            </w:tcBorders>
            <w:shd w:val="clear" w:color="auto" w:fill="FFF2CC" w:themeFill="accent4" w:themeFillTint="33"/>
            <w:vAlign w:val="center"/>
          </w:tcPr>
          <w:p w14:paraId="355E0097" w14:textId="77777777" w:rsidR="00D12B60" w:rsidRPr="000B07FC" w:rsidRDefault="00D12B60" w:rsidP="00D12B60">
            <w:pPr>
              <w:contextualSpacing/>
              <w:jc w:val="center"/>
              <w:rPr>
                <w:rFonts w:cs="Times New Roman"/>
                <w:b/>
                <w:bCs/>
                <w:color w:val="C00000"/>
                <w:sz w:val="20"/>
                <w:szCs w:val="20"/>
              </w:rPr>
            </w:pPr>
            <w:r w:rsidRPr="000B07FC">
              <w:rPr>
                <w:rFonts w:cs="Times New Roman"/>
                <w:b/>
                <w:bCs/>
                <w:color w:val="C00000"/>
                <w:sz w:val="20"/>
                <w:szCs w:val="20"/>
              </w:rPr>
              <w:t>0,35</w:t>
            </w:r>
          </w:p>
        </w:tc>
        <w:tc>
          <w:tcPr>
            <w:tcW w:w="850" w:type="dxa"/>
            <w:tcBorders>
              <w:bottom w:val="single" w:sz="4" w:space="0" w:color="808080" w:themeColor="background1" w:themeShade="80"/>
            </w:tcBorders>
            <w:shd w:val="clear" w:color="auto" w:fill="FFF2CC" w:themeFill="accent4" w:themeFillTint="33"/>
            <w:vAlign w:val="center"/>
          </w:tcPr>
          <w:p w14:paraId="72495E12" w14:textId="77777777" w:rsidR="00D12B60" w:rsidRPr="000B07FC" w:rsidRDefault="00D12B60" w:rsidP="00D12B60">
            <w:pPr>
              <w:contextualSpacing/>
              <w:jc w:val="center"/>
              <w:rPr>
                <w:rFonts w:cs="Times New Roman"/>
                <w:b/>
                <w:bCs/>
                <w:color w:val="C00000"/>
                <w:sz w:val="20"/>
                <w:szCs w:val="20"/>
              </w:rPr>
            </w:pPr>
            <w:r w:rsidRPr="000B07FC">
              <w:rPr>
                <w:rFonts w:cs="Times New Roman"/>
                <w:b/>
                <w:bCs/>
                <w:color w:val="FF0000"/>
                <w:sz w:val="20"/>
                <w:szCs w:val="20"/>
              </w:rPr>
              <w:t>0,39</w:t>
            </w:r>
          </w:p>
        </w:tc>
      </w:tr>
      <w:tr w:rsidR="00D12B60" w:rsidRPr="00EE7219" w14:paraId="290A37C0" w14:textId="77777777" w:rsidTr="00D01CE1">
        <w:trPr>
          <w:trHeight w:val="85"/>
        </w:trPr>
        <w:tc>
          <w:tcPr>
            <w:tcW w:w="4678" w:type="dxa"/>
            <w:vMerge/>
            <w:shd w:val="clear" w:color="auto" w:fill="auto"/>
            <w:vAlign w:val="center"/>
          </w:tcPr>
          <w:p w14:paraId="48D74A66" w14:textId="77777777" w:rsidR="00D12B60" w:rsidRPr="00976D16" w:rsidRDefault="00D12B60" w:rsidP="00D12B60">
            <w:pPr>
              <w:contextualSpacing/>
              <w:rPr>
                <w:b/>
                <w:bCs/>
                <w:sz w:val="20"/>
                <w:szCs w:val="20"/>
              </w:rPr>
            </w:pPr>
          </w:p>
        </w:tc>
        <w:tc>
          <w:tcPr>
            <w:tcW w:w="851" w:type="dxa"/>
            <w:tcBorders>
              <w:top w:val="single" w:sz="4" w:space="0" w:color="808080" w:themeColor="background1" w:themeShade="80"/>
              <w:bottom w:val="single" w:sz="4" w:space="0" w:color="808080" w:themeColor="background1" w:themeShade="80"/>
            </w:tcBorders>
          </w:tcPr>
          <w:p w14:paraId="064E03A0" w14:textId="77777777" w:rsidR="00D12B60" w:rsidRPr="00504A02" w:rsidRDefault="00D12B60" w:rsidP="00D12B60">
            <w:pPr>
              <w:contextualSpacing/>
              <w:jc w:val="center"/>
              <w:rPr>
                <w:sz w:val="20"/>
                <w:szCs w:val="20"/>
              </w:rPr>
            </w:pPr>
            <w:r w:rsidRPr="00504A02">
              <w:rPr>
                <w:color w:val="00B050"/>
                <w:sz w:val="20"/>
                <w:szCs w:val="20"/>
              </w:rPr>
              <w:t>LT</w:t>
            </w:r>
          </w:p>
        </w:tc>
        <w:tc>
          <w:tcPr>
            <w:tcW w:w="992"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79EDB90F" w14:textId="77777777" w:rsidR="00D12B60" w:rsidRPr="00504A02" w:rsidRDefault="00D12B60" w:rsidP="00D12B60">
            <w:pPr>
              <w:contextualSpacing/>
              <w:jc w:val="center"/>
              <w:rPr>
                <w:rFonts w:cs="Times New Roman"/>
                <w:color w:val="00B050"/>
                <w:sz w:val="20"/>
                <w:szCs w:val="20"/>
              </w:rPr>
            </w:pPr>
            <w:r w:rsidRPr="00504A02">
              <w:rPr>
                <w:rFonts w:cs="Times New Roman"/>
                <w:color w:val="00B050"/>
                <w:sz w:val="20"/>
                <w:szCs w:val="20"/>
              </w:rPr>
              <w:t>0,25</w:t>
            </w:r>
          </w:p>
        </w:tc>
        <w:tc>
          <w:tcPr>
            <w:tcW w:w="850" w:type="dxa"/>
            <w:tcBorders>
              <w:top w:val="single" w:sz="4" w:space="0" w:color="808080" w:themeColor="background1" w:themeShade="80"/>
              <w:bottom w:val="single" w:sz="4" w:space="0" w:color="808080" w:themeColor="background1" w:themeShade="80"/>
            </w:tcBorders>
            <w:vAlign w:val="center"/>
          </w:tcPr>
          <w:p w14:paraId="2FE16D89" w14:textId="77777777" w:rsidR="00D12B60" w:rsidRPr="00504A02" w:rsidRDefault="00D12B60" w:rsidP="00D12B60">
            <w:pPr>
              <w:contextualSpacing/>
              <w:jc w:val="center"/>
              <w:rPr>
                <w:rFonts w:cs="Times New Roman"/>
                <w:i/>
                <w:iCs/>
                <w:color w:val="00B050"/>
                <w:sz w:val="20"/>
                <w:szCs w:val="20"/>
              </w:rPr>
            </w:pPr>
            <w:r w:rsidRPr="00504A02">
              <w:rPr>
                <w:rFonts w:cs="Times New Roman"/>
                <w:color w:val="00B050"/>
                <w:sz w:val="20"/>
                <w:szCs w:val="20"/>
              </w:rPr>
              <w:t>0,63</w:t>
            </w:r>
          </w:p>
        </w:tc>
        <w:tc>
          <w:tcPr>
            <w:tcW w:w="851" w:type="dxa"/>
            <w:tcBorders>
              <w:top w:val="single" w:sz="4" w:space="0" w:color="808080" w:themeColor="background1" w:themeShade="80"/>
              <w:bottom w:val="single" w:sz="4" w:space="0" w:color="808080" w:themeColor="background1" w:themeShade="80"/>
            </w:tcBorders>
            <w:vAlign w:val="center"/>
          </w:tcPr>
          <w:p w14:paraId="7633E89F" w14:textId="77777777" w:rsidR="00D12B60" w:rsidRPr="00504A02" w:rsidRDefault="00D12B60" w:rsidP="00D12B60">
            <w:pPr>
              <w:contextualSpacing/>
              <w:jc w:val="center"/>
              <w:rPr>
                <w:rFonts w:cs="Times New Roman"/>
                <w:i/>
                <w:iCs/>
                <w:color w:val="00B050"/>
                <w:sz w:val="20"/>
                <w:szCs w:val="20"/>
              </w:rPr>
            </w:pPr>
            <w:r w:rsidRPr="00504A02">
              <w:rPr>
                <w:rFonts w:cs="Times New Roman"/>
                <w:color w:val="00B050"/>
                <w:sz w:val="20"/>
                <w:szCs w:val="20"/>
              </w:rPr>
              <w:t>1,56</w:t>
            </w:r>
          </w:p>
        </w:tc>
        <w:tc>
          <w:tcPr>
            <w:tcW w:w="850"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40702362" w14:textId="77777777" w:rsidR="00D12B60" w:rsidRPr="00504A02" w:rsidRDefault="00D12B60" w:rsidP="00D12B60">
            <w:pPr>
              <w:contextualSpacing/>
              <w:jc w:val="center"/>
              <w:rPr>
                <w:rFonts w:cs="Times New Roman"/>
                <w:color w:val="00B050"/>
                <w:sz w:val="20"/>
                <w:szCs w:val="20"/>
              </w:rPr>
            </w:pPr>
            <w:r w:rsidRPr="00504A02">
              <w:rPr>
                <w:rFonts w:cs="Times New Roman"/>
                <w:color w:val="00B050"/>
                <w:sz w:val="20"/>
                <w:szCs w:val="20"/>
              </w:rPr>
              <w:t>3,91</w:t>
            </w:r>
          </w:p>
        </w:tc>
      </w:tr>
      <w:tr w:rsidR="00D12B60" w:rsidRPr="00EE7219" w14:paraId="300FFA99" w14:textId="77777777" w:rsidTr="00D01CE1">
        <w:trPr>
          <w:trHeight w:val="85"/>
        </w:trPr>
        <w:tc>
          <w:tcPr>
            <w:tcW w:w="4678" w:type="dxa"/>
            <w:vMerge/>
            <w:tcBorders>
              <w:bottom w:val="single" w:sz="4" w:space="0" w:color="A6A6A6" w:themeColor="background1" w:themeShade="A6"/>
            </w:tcBorders>
            <w:shd w:val="clear" w:color="auto" w:fill="auto"/>
            <w:vAlign w:val="center"/>
          </w:tcPr>
          <w:p w14:paraId="08098FBA" w14:textId="77777777" w:rsidR="00D12B60" w:rsidRPr="00976D16" w:rsidRDefault="00D12B60" w:rsidP="00D12B60">
            <w:pPr>
              <w:contextualSpacing/>
              <w:rPr>
                <w:b/>
                <w:bCs/>
                <w:sz w:val="20"/>
                <w:szCs w:val="20"/>
              </w:rPr>
            </w:pPr>
          </w:p>
        </w:tc>
        <w:tc>
          <w:tcPr>
            <w:tcW w:w="851" w:type="dxa"/>
            <w:tcBorders>
              <w:top w:val="single" w:sz="4" w:space="0" w:color="808080" w:themeColor="background1" w:themeShade="80"/>
              <w:bottom w:val="single" w:sz="4" w:space="0" w:color="auto"/>
            </w:tcBorders>
          </w:tcPr>
          <w:p w14:paraId="71DB9747" w14:textId="77777777" w:rsidR="00D12B60" w:rsidRPr="00504A02" w:rsidRDefault="00D12B60" w:rsidP="00D12B60">
            <w:pPr>
              <w:contextualSpacing/>
              <w:jc w:val="center"/>
              <w:rPr>
                <w:sz w:val="20"/>
                <w:szCs w:val="20"/>
              </w:rPr>
            </w:pPr>
            <w:r w:rsidRPr="00504A02">
              <w:rPr>
                <w:color w:val="0070C0"/>
                <w:sz w:val="20"/>
                <w:szCs w:val="20"/>
              </w:rPr>
              <w:t>EE</w:t>
            </w:r>
          </w:p>
        </w:tc>
        <w:tc>
          <w:tcPr>
            <w:tcW w:w="992" w:type="dxa"/>
            <w:tcBorders>
              <w:top w:val="single" w:sz="4" w:space="0" w:color="808080" w:themeColor="background1" w:themeShade="80"/>
              <w:bottom w:val="single" w:sz="4" w:space="0" w:color="auto"/>
            </w:tcBorders>
            <w:shd w:val="clear" w:color="auto" w:fill="FFFFFF" w:themeFill="background1"/>
            <w:vAlign w:val="center"/>
          </w:tcPr>
          <w:p w14:paraId="10476E4A" w14:textId="77777777" w:rsidR="00D12B60" w:rsidRPr="00504A02" w:rsidRDefault="00D12B60" w:rsidP="00D12B60">
            <w:pPr>
              <w:contextualSpacing/>
              <w:jc w:val="center"/>
              <w:rPr>
                <w:rFonts w:cs="Times New Roman"/>
                <w:color w:val="0070C0"/>
                <w:sz w:val="20"/>
                <w:szCs w:val="20"/>
              </w:rPr>
            </w:pPr>
            <w:r w:rsidRPr="00504A02">
              <w:rPr>
                <w:rFonts w:cs="Times New Roman"/>
                <w:color w:val="0070C0"/>
                <w:sz w:val="20"/>
                <w:szCs w:val="20"/>
              </w:rPr>
              <w:t>0,21</w:t>
            </w:r>
          </w:p>
        </w:tc>
        <w:tc>
          <w:tcPr>
            <w:tcW w:w="850" w:type="dxa"/>
            <w:tcBorders>
              <w:top w:val="single" w:sz="4" w:space="0" w:color="808080" w:themeColor="background1" w:themeShade="80"/>
              <w:bottom w:val="single" w:sz="4" w:space="0" w:color="auto"/>
            </w:tcBorders>
            <w:vAlign w:val="center"/>
          </w:tcPr>
          <w:p w14:paraId="1F5ECB27" w14:textId="77777777" w:rsidR="00D12B60" w:rsidRPr="00504A02" w:rsidRDefault="00D12B60" w:rsidP="00D12B60">
            <w:pPr>
              <w:contextualSpacing/>
              <w:jc w:val="center"/>
              <w:rPr>
                <w:rFonts w:cs="Times New Roman"/>
                <w:i/>
                <w:iCs/>
                <w:color w:val="0070C0"/>
                <w:sz w:val="20"/>
                <w:szCs w:val="20"/>
              </w:rPr>
            </w:pPr>
            <w:r w:rsidRPr="00504A02">
              <w:rPr>
                <w:rFonts w:cs="Times New Roman"/>
                <w:color w:val="0070C0"/>
                <w:sz w:val="20"/>
                <w:szCs w:val="20"/>
              </w:rPr>
              <w:t>0,22</w:t>
            </w:r>
          </w:p>
        </w:tc>
        <w:tc>
          <w:tcPr>
            <w:tcW w:w="851" w:type="dxa"/>
            <w:tcBorders>
              <w:top w:val="single" w:sz="4" w:space="0" w:color="808080" w:themeColor="background1" w:themeShade="80"/>
              <w:bottom w:val="single" w:sz="4" w:space="0" w:color="auto"/>
            </w:tcBorders>
            <w:vAlign w:val="center"/>
          </w:tcPr>
          <w:p w14:paraId="12A44879" w14:textId="77777777" w:rsidR="00D12B60" w:rsidRPr="00504A02" w:rsidRDefault="00D12B60" w:rsidP="00D12B60">
            <w:pPr>
              <w:contextualSpacing/>
              <w:jc w:val="center"/>
              <w:rPr>
                <w:rFonts w:cs="Times New Roman"/>
                <w:i/>
                <w:iCs/>
                <w:color w:val="0070C0"/>
                <w:sz w:val="20"/>
                <w:szCs w:val="20"/>
              </w:rPr>
            </w:pPr>
            <w:r w:rsidRPr="00504A02">
              <w:rPr>
                <w:rFonts w:cs="Times New Roman"/>
                <w:color w:val="0070C0"/>
                <w:sz w:val="20"/>
                <w:szCs w:val="20"/>
              </w:rPr>
              <w:t>0,23</w:t>
            </w:r>
          </w:p>
        </w:tc>
        <w:tc>
          <w:tcPr>
            <w:tcW w:w="850" w:type="dxa"/>
            <w:tcBorders>
              <w:top w:val="single" w:sz="4" w:space="0" w:color="808080" w:themeColor="background1" w:themeShade="80"/>
              <w:bottom w:val="single" w:sz="4" w:space="0" w:color="auto"/>
            </w:tcBorders>
            <w:shd w:val="clear" w:color="auto" w:fill="FFFFFF" w:themeFill="background1"/>
            <w:vAlign w:val="center"/>
          </w:tcPr>
          <w:p w14:paraId="437D115D" w14:textId="77777777" w:rsidR="00D12B60" w:rsidRPr="00504A02" w:rsidRDefault="00D12B60" w:rsidP="00D12B60">
            <w:pPr>
              <w:contextualSpacing/>
              <w:jc w:val="center"/>
              <w:rPr>
                <w:rFonts w:cs="Times New Roman"/>
                <w:color w:val="0070C0"/>
                <w:sz w:val="20"/>
                <w:szCs w:val="20"/>
              </w:rPr>
            </w:pPr>
            <w:r w:rsidRPr="00504A02">
              <w:rPr>
                <w:rFonts w:cs="Times New Roman"/>
                <w:color w:val="0070C0"/>
                <w:sz w:val="20"/>
                <w:szCs w:val="20"/>
              </w:rPr>
              <w:t>0,23</w:t>
            </w:r>
          </w:p>
        </w:tc>
      </w:tr>
      <w:tr w:rsidR="00D12B60" w14:paraId="0167E7D3" w14:textId="77777777" w:rsidTr="00652A78">
        <w:trPr>
          <w:trHeight w:val="85"/>
        </w:trPr>
        <w:tc>
          <w:tcPr>
            <w:tcW w:w="4678" w:type="dxa"/>
            <w:vMerge w:val="restart"/>
            <w:shd w:val="clear" w:color="auto" w:fill="auto"/>
            <w:vAlign w:val="center"/>
          </w:tcPr>
          <w:p w14:paraId="7AE6F0EC" w14:textId="4FD5ABEA" w:rsidR="00D12B60" w:rsidRPr="00976D16" w:rsidRDefault="00D12B60" w:rsidP="00D12B60">
            <w:pPr>
              <w:contextualSpacing/>
              <w:rPr>
                <w:i/>
                <w:iCs/>
                <w:sz w:val="20"/>
                <w:szCs w:val="20"/>
              </w:rPr>
            </w:pPr>
            <w:r w:rsidRPr="00AB2936">
              <w:rPr>
                <w:b/>
                <w:bCs/>
                <w:sz w:val="20"/>
                <w:szCs w:val="20"/>
              </w:rPr>
              <w:t xml:space="preserve">Tabakas aizstājējprodukti, </w:t>
            </w:r>
            <w:r w:rsidRPr="00AB2936">
              <w:rPr>
                <w:i/>
                <w:iCs/>
                <w:sz w:val="20"/>
                <w:szCs w:val="20"/>
              </w:rPr>
              <w:t>euro  par 1000 gr.</w:t>
            </w:r>
          </w:p>
        </w:tc>
        <w:tc>
          <w:tcPr>
            <w:tcW w:w="851" w:type="dxa"/>
            <w:tcBorders>
              <w:bottom w:val="single" w:sz="4" w:space="0" w:color="808080" w:themeColor="background1" w:themeShade="80"/>
            </w:tcBorders>
            <w:shd w:val="clear" w:color="auto" w:fill="FFF2CC" w:themeFill="accent4" w:themeFillTint="33"/>
          </w:tcPr>
          <w:p w14:paraId="08B590F0" w14:textId="77777777" w:rsidR="00D12B60" w:rsidRPr="00976D16" w:rsidRDefault="00D12B60" w:rsidP="00D12B60">
            <w:pPr>
              <w:contextualSpacing/>
              <w:jc w:val="center"/>
              <w:rPr>
                <w:b/>
                <w:bCs/>
                <w:sz w:val="20"/>
                <w:szCs w:val="20"/>
              </w:rPr>
            </w:pPr>
            <w:r w:rsidRPr="00215B60">
              <w:rPr>
                <w:b/>
                <w:bCs/>
                <w:color w:val="C00000"/>
                <w:sz w:val="20"/>
                <w:szCs w:val="20"/>
              </w:rPr>
              <w:t>LV</w:t>
            </w:r>
          </w:p>
        </w:tc>
        <w:tc>
          <w:tcPr>
            <w:tcW w:w="992" w:type="dxa"/>
            <w:tcBorders>
              <w:bottom w:val="single" w:sz="4" w:space="0" w:color="808080" w:themeColor="background1" w:themeShade="80"/>
            </w:tcBorders>
            <w:shd w:val="clear" w:color="auto" w:fill="FFF2CC" w:themeFill="accent4" w:themeFillTint="33"/>
            <w:vAlign w:val="center"/>
          </w:tcPr>
          <w:p w14:paraId="3885FCC3" w14:textId="7547D037" w:rsidR="00D12B60" w:rsidRPr="00AB2936" w:rsidRDefault="00D12B60" w:rsidP="00D12B60">
            <w:pPr>
              <w:contextualSpacing/>
              <w:jc w:val="center"/>
              <w:rPr>
                <w:rFonts w:cs="Times New Roman"/>
                <w:b/>
                <w:bCs/>
                <w:color w:val="C00000"/>
                <w:sz w:val="20"/>
                <w:szCs w:val="20"/>
              </w:rPr>
            </w:pPr>
            <w:r w:rsidRPr="00AB2936">
              <w:rPr>
                <w:rFonts w:cs="Times New Roman"/>
                <w:b/>
                <w:bCs/>
                <w:color w:val="C00000"/>
                <w:sz w:val="20"/>
                <w:szCs w:val="20"/>
              </w:rPr>
              <w:t>138</w:t>
            </w:r>
            <w:r>
              <w:rPr>
                <w:rFonts w:cs="Times New Roman"/>
                <w:b/>
                <w:bCs/>
                <w:color w:val="C00000"/>
                <w:sz w:val="20"/>
                <w:szCs w:val="20"/>
              </w:rPr>
              <w:t>,0</w:t>
            </w:r>
          </w:p>
        </w:tc>
        <w:tc>
          <w:tcPr>
            <w:tcW w:w="850" w:type="dxa"/>
            <w:tcBorders>
              <w:bottom w:val="single" w:sz="4" w:space="0" w:color="808080" w:themeColor="background1" w:themeShade="80"/>
            </w:tcBorders>
            <w:shd w:val="clear" w:color="auto" w:fill="FFF2CC" w:themeFill="accent4" w:themeFillTint="33"/>
            <w:vAlign w:val="center"/>
          </w:tcPr>
          <w:p w14:paraId="073E99D0" w14:textId="05C5E7E7" w:rsidR="00D12B60" w:rsidRPr="00AB2936" w:rsidRDefault="00D12B60" w:rsidP="00D12B60">
            <w:pPr>
              <w:contextualSpacing/>
              <w:jc w:val="center"/>
              <w:rPr>
                <w:rFonts w:cs="Times New Roman"/>
                <w:b/>
                <w:bCs/>
                <w:color w:val="C00000"/>
                <w:sz w:val="20"/>
                <w:szCs w:val="20"/>
              </w:rPr>
            </w:pPr>
            <w:r w:rsidRPr="00AB2936">
              <w:rPr>
                <w:rFonts w:cs="Times New Roman"/>
                <w:b/>
                <w:bCs/>
                <w:color w:val="C00000"/>
                <w:sz w:val="20"/>
                <w:szCs w:val="20"/>
              </w:rPr>
              <w:t>151,8</w:t>
            </w:r>
          </w:p>
        </w:tc>
        <w:tc>
          <w:tcPr>
            <w:tcW w:w="851" w:type="dxa"/>
            <w:tcBorders>
              <w:bottom w:val="single" w:sz="4" w:space="0" w:color="808080" w:themeColor="background1" w:themeShade="80"/>
            </w:tcBorders>
            <w:shd w:val="clear" w:color="auto" w:fill="FFF2CC" w:themeFill="accent4" w:themeFillTint="33"/>
            <w:vAlign w:val="center"/>
          </w:tcPr>
          <w:p w14:paraId="079F734B" w14:textId="63C94932" w:rsidR="00D12B60" w:rsidRPr="00AB2936" w:rsidRDefault="00D12B60" w:rsidP="00D12B60">
            <w:pPr>
              <w:contextualSpacing/>
              <w:jc w:val="center"/>
              <w:rPr>
                <w:rFonts w:cs="Times New Roman"/>
                <w:b/>
                <w:bCs/>
                <w:color w:val="C00000"/>
                <w:sz w:val="20"/>
                <w:szCs w:val="20"/>
              </w:rPr>
            </w:pPr>
            <w:r w:rsidRPr="00AB2936">
              <w:rPr>
                <w:rFonts w:cs="Times New Roman"/>
                <w:b/>
                <w:bCs/>
                <w:color w:val="C00000"/>
                <w:sz w:val="20"/>
                <w:szCs w:val="20"/>
              </w:rPr>
              <w:t>167</w:t>
            </w:r>
            <w:r>
              <w:rPr>
                <w:rFonts w:cs="Times New Roman"/>
                <w:b/>
                <w:bCs/>
                <w:color w:val="C00000"/>
                <w:sz w:val="20"/>
                <w:szCs w:val="20"/>
              </w:rPr>
              <w:t>,0</w:t>
            </w:r>
          </w:p>
        </w:tc>
        <w:tc>
          <w:tcPr>
            <w:tcW w:w="850" w:type="dxa"/>
            <w:tcBorders>
              <w:bottom w:val="single" w:sz="4" w:space="0" w:color="808080" w:themeColor="background1" w:themeShade="80"/>
            </w:tcBorders>
            <w:shd w:val="clear" w:color="auto" w:fill="FFF2CC" w:themeFill="accent4" w:themeFillTint="33"/>
            <w:vAlign w:val="center"/>
          </w:tcPr>
          <w:p w14:paraId="0B16B69A" w14:textId="5321B8A2" w:rsidR="00D12B60" w:rsidRPr="00AB2936" w:rsidRDefault="00D12B60" w:rsidP="00D12B60">
            <w:pPr>
              <w:contextualSpacing/>
              <w:jc w:val="center"/>
              <w:rPr>
                <w:rFonts w:cs="Times New Roman"/>
                <w:b/>
                <w:bCs/>
                <w:color w:val="00B050"/>
                <w:sz w:val="20"/>
                <w:szCs w:val="20"/>
              </w:rPr>
            </w:pPr>
            <w:r w:rsidRPr="00AB2936">
              <w:rPr>
                <w:rFonts w:cs="Times New Roman"/>
                <w:b/>
                <w:bCs/>
                <w:color w:val="FF0000"/>
                <w:sz w:val="20"/>
                <w:szCs w:val="20"/>
              </w:rPr>
              <w:t>183,7</w:t>
            </w:r>
          </w:p>
        </w:tc>
      </w:tr>
      <w:tr w:rsidR="00D12B60" w14:paraId="64AA83F4" w14:textId="77777777" w:rsidTr="001C41B1">
        <w:trPr>
          <w:trHeight w:val="85"/>
        </w:trPr>
        <w:tc>
          <w:tcPr>
            <w:tcW w:w="4678" w:type="dxa"/>
            <w:vMerge/>
            <w:shd w:val="clear" w:color="auto" w:fill="auto"/>
            <w:vAlign w:val="center"/>
          </w:tcPr>
          <w:p w14:paraId="0A352DC5" w14:textId="77777777" w:rsidR="00D12B60" w:rsidRPr="00976D16" w:rsidRDefault="00D12B60" w:rsidP="00D12B60">
            <w:pPr>
              <w:contextualSpacing/>
              <w:rPr>
                <w:b/>
                <w:bCs/>
                <w:sz w:val="20"/>
                <w:szCs w:val="20"/>
              </w:rPr>
            </w:pPr>
          </w:p>
        </w:tc>
        <w:tc>
          <w:tcPr>
            <w:tcW w:w="851" w:type="dxa"/>
            <w:tcBorders>
              <w:top w:val="single" w:sz="4" w:space="0" w:color="808080" w:themeColor="background1" w:themeShade="80"/>
              <w:bottom w:val="single" w:sz="4" w:space="0" w:color="808080" w:themeColor="background1" w:themeShade="80"/>
            </w:tcBorders>
          </w:tcPr>
          <w:p w14:paraId="3529A72D" w14:textId="77777777" w:rsidR="00D12B60" w:rsidRPr="00504A02" w:rsidRDefault="00D12B60" w:rsidP="00D12B60">
            <w:pPr>
              <w:contextualSpacing/>
              <w:jc w:val="center"/>
              <w:rPr>
                <w:sz w:val="20"/>
                <w:szCs w:val="20"/>
              </w:rPr>
            </w:pPr>
            <w:r w:rsidRPr="00504A02">
              <w:rPr>
                <w:color w:val="00B050"/>
                <w:sz w:val="20"/>
                <w:szCs w:val="20"/>
              </w:rPr>
              <w:t>LT</w:t>
            </w:r>
          </w:p>
        </w:tc>
        <w:tc>
          <w:tcPr>
            <w:tcW w:w="3543" w:type="dxa"/>
            <w:gridSpan w:val="4"/>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17564BE6" w14:textId="55DC2586" w:rsidR="00D12B60" w:rsidRPr="00504A02" w:rsidRDefault="00D12B60" w:rsidP="00D12B60">
            <w:pPr>
              <w:contextualSpacing/>
              <w:jc w:val="center"/>
              <w:rPr>
                <w:rFonts w:cs="Times New Roman"/>
                <w:color w:val="00B050"/>
                <w:sz w:val="20"/>
                <w:szCs w:val="20"/>
              </w:rPr>
            </w:pPr>
            <w:r w:rsidRPr="00504A02">
              <w:rPr>
                <w:rFonts w:cs="Times New Roman"/>
                <w:color w:val="000000"/>
                <w:sz w:val="20"/>
                <w:szCs w:val="20"/>
              </w:rPr>
              <w:t>-</w:t>
            </w:r>
          </w:p>
        </w:tc>
      </w:tr>
      <w:tr w:rsidR="00D12B60" w14:paraId="7BC03706" w14:textId="77777777" w:rsidTr="00823EDF">
        <w:trPr>
          <w:trHeight w:val="85"/>
        </w:trPr>
        <w:tc>
          <w:tcPr>
            <w:tcW w:w="4678" w:type="dxa"/>
            <w:vMerge/>
            <w:tcBorders>
              <w:bottom w:val="single" w:sz="4" w:space="0" w:color="auto"/>
            </w:tcBorders>
            <w:shd w:val="clear" w:color="auto" w:fill="auto"/>
            <w:vAlign w:val="center"/>
          </w:tcPr>
          <w:p w14:paraId="7C9519D4" w14:textId="77777777" w:rsidR="00D12B60" w:rsidRPr="00976D16" w:rsidRDefault="00D12B60" w:rsidP="00D12B60">
            <w:pPr>
              <w:contextualSpacing/>
              <w:rPr>
                <w:b/>
                <w:bCs/>
                <w:sz w:val="20"/>
                <w:szCs w:val="20"/>
              </w:rPr>
            </w:pPr>
          </w:p>
        </w:tc>
        <w:tc>
          <w:tcPr>
            <w:tcW w:w="851" w:type="dxa"/>
            <w:tcBorders>
              <w:top w:val="single" w:sz="4" w:space="0" w:color="808080" w:themeColor="background1" w:themeShade="80"/>
              <w:bottom w:val="single" w:sz="4" w:space="0" w:color="auto"/>
            </w:tcBorders>
          </w:tcPr>
          <w:p w14:paraId="7F0CD352" w14:textId="77777777" w:rsidR="00D12B60" w:rsidRPr="00504A02" w:rsidRDefault="00D12B60" w:rsidP="00D12B60">
            <w:pPr>
              <w:contextualSpacing/>
              <w:jc w:val="center"/>
              <w:rPr>
                <w:sz w:val="20"/>
                <w:szCs w:val="20"/>
              </w:rPr>
            </w:pPr>
            <w:r w:rsidRPr="00504A02">
              <w:rPr>
                <w:color w:val="0070C0"/>
                <w:sz w:val="20"/>
                <w:szCs w:val="20"/>
              </w:rPr>
              <w:t>EE</w:t>
            </w:r>
          </w:p>
        </w:tc>
        <w:tc>
          <w:tcPr>
            <w:tcW w:w="992" w:type="dxa"/>
            <w:tcBorders>
              <w:top w:val="single" w:sz="4" w:space="0" w:color="808080" w:themeColor="background1" w:themeShade="80"/>
              <w:bottom w:val="single" w:sz="4" w:space="0" w:color="auto"/>
            </w:tcBorders>
            <w:shd w:val="clear" w:color="auto" w:fill="FFFFFF" w:themeFill="background1"/>
            <w:vAlign w:val="center"/>
          </w:tcPr>
          <w:p w14:paraId="2A13F3FD" w14:textId="4F37FA7D" w:rsidR="00D12B60" w:rsidRPr="00504A02" w:rsidRDefault="00D12B60" w:rsidP="00D12B60">
            <w:pPr>
              <w:contextualSpacing/>
              <w:jc w:val="center"/>
              <w:rPr>
                <w:rFonts w:cs="Times New Roman"/>
                <w:color w:val="0070C0"/>
                <w:sz w:val="20"/>
                <w:szCs w:val="20"/>
              </w:rPr>
            </w:pPr>
            <w:r w:rsidRPr="00504A02">
              <w:rPr>
                <w:rFonts w:cs="Times New Roman"/>
                <w:color w:val="0070C0"/>
                <w:sz w:val="20"/>
                <w:szCs w:val="20"/>
              </w:rPr>
              <w:t>112,4</w:t>
            </w:r>
          </w:p>
        </w:tc>
        <w:tc>
          <w:tcPr>
            <w:tcW w:w="850" w:type="dxa"/>
            <w:tcBorders>
              <w:top w:val="single" w:sz="4" w:space="0" w:color="808080" w:themeColor="background1" w:themeShade="80"/>
              <w:bottom w:val="single" w:sz="4" w:space="0" w:color="auto"/>
            </w:tcBorders>
            <w:vAlign w:val="center"/>
          </w:tcPr>
          <w:p w14:paraId="5A840CD9" w14:textId="18611270" w:rsidR="00D12B60" w:rsidRPr="00504A02" w:rsidRDefault="00D12B60" w:rsidP="00D12B60">
            <w:pPr>
              <w:contextualSpacing/>
              <w:jc w:val="center"/>
              <w:rPr>
                <w:rFonts w:cs="Times New Roman"/>
                <w:color w:val="0070C0"/>
                <w:sz w:val="20"/>
                <w:szCs w:val="20"/>
              </w:rPr>
            </w:pPr>
            <w:r w:rsidRPr="00504A02">
              <w:rPr>
                <w:rFonts w:cs="Times New Roman"/>
                <w:color w:val="0070C0"/>
                <w:sz w:val="20"/>
                <w:szCs w:val="20"/>
              </w:rPr>
              <w:t>118,0</w:t>
            </w:r>
          </w:p>
        </w:tc>
        <w:tc>
          <w:tcPr>
            <w:tcW w:w="851" w:type="dxa"/>
            <w:tcBorders>
              <w:top w:val="single" w:sz="4" w:space="0" w:color="808080" w:themeColor="background1" w:themeShade="80"/>
              <w:bottom w:val="single" w:sz="4" w:space="0" w:color="auto"/>
            </w:tcBorders>
            <w:vAlign w:val="center"/>
          </w:tcPr>
          <w:p w14:paraId="16EDB5CE" w14:textId="10D7D4C3" w:rsidR="00D12B60" w:rsidRPr="00504A02" w:rsidRDefault="00D12B60" w:rsidP="00D12B60">
            <w:pPr>
              <w:contextualSpacing/>
              <w:jc w:val="center"/>
              <w:rPr>
                <w:rFonts w:cs="Times New Roman"/>
                <w:color w:val="0070C0"/>
                <w:sz w:val="20"/>
                <w:szCs w:val="20"/>
              </w:rPr>
            </w:pPr>
            <w:r w:rsidRPr="00504A02">
              <w:rPr>
                <w:rFonts w:cs="Times New Roman"/>
                <w:color w:val="0070C0"/>
                <w:sz w:val="20"/>
                <w:szCs w:val="20"/>
              </w:rPr>
              <w:t>124,0</w:t>
            </w:r>
          </w:p>
        </w:tc>
        <w:tc>
          <w:tcPr>
            <w:tcW w:w="850" w:type="dxa"/>
            <w:tcBorders>
              <w:top w:val="single" w:sz="4" w:space="0" w:color="808080" w:themeColor="background1" w:themeShade="80"/>
              <w:bottom w:val="single" w:sz="4" w:space="0" w:color="auto"/>
            </w:tcBorders>
            <w:shd w:val="clear" w:color="auto" w:fill="FFFFFF" w:themeFill="background1"/>
            <w:vAlign w:val="center"/>
          </w:tcPr>
          <w:p w14:paraId="38645290" w14:textId="70355B02" w:rsidR="00D12B60" w:rsidRPr="00504A02" w:rsidRDefault="00D12B60" w:rsidP="00D12B60">
            <w:pPr>
              <w:contextualSpacing/>
              <w:jc w:val="center"/>
              <w:rPr>
                <w:rFonts w:cs="Times New Roman"/>
                <w:color w:val="0070C0"/>
                <w:sz w:val="20"/>
                <w:szCs w:val="20"/>
              </w:rPr>
            </w:pPr>
            <w:r w:rsidRPr="00504A02">
              <w:rPr>
                <w:rFonts w:cs="Times New Roman"/>
                <w:color w:val="0070C0"/>
                <w:sz w:val="20"/>
                <w:szCs w:val="20"/>
              </w:rPr>
              <w:t>124,0</w:t>
            </w:r>
          </w:p>
        </w:tc>
      </w:tr>
    </w:tbl>
    <w:p w14:paraId="77FA6C0B" w14:textId="17299D4C" w:rsidR="0033499C" w:rsidRDefault="00AB2936" w:rsidP="00AB2936">
      <w:pPr>
        <w:tabs>
          <w:tab w:val="left" w:pos="284"/>
        </w:tabs>
        <w:spacing w:before="60"/>
        <w:ind w:left="284" w:hanging="284"/>
        <w:rPr>
          <w:sz w:val="16"/>
          <w:szCs w:val="16"/>
        </w:rPr>
      </w:pPr>
      <w:r w:rsidRPr="00AB2936">
        <w:rPr>
          <w:sz w:val="16"/>
          <w:szCs w:val="16"/>
          <w:vertAlign w:val="superscript"/>
        </w:rPr>
        <w:t>*</w:t>
      </w:r>
      <w:r>
        <w:rPr>
          <w:sz w:val="16"/>
          <w:szCs w:val="16"/>
        </w:rPr>
        <w:t xml:space="preserve"> </w:t>
      </w:r>
      <w:r>
        <w:rPr>
          <w:sz w:val="16"/>
          <w:szCs w:val="16"/>
        </w:rPr>
        <w:tab/>
      </w:r>
      <w:r w:rsidRPr="00AB2936">
        <w:rPr>
          <w:b/>
          <w:bCs/>
          <w:color w:val="00B050"/>
          <w:sz w:val="16"/>
          <w:szCs w:val="16"/>
        </w:rPr>
        <w:t>Lietuvā</w:t>
      </w:r>
      <w:r w:rsidRPr="00AB2936">
        <w:rPr>
          <w:color w:val="00B050"/>
          <w:sz w:val="16"/>
          <w:szCs w:val="16"/>
        </w:rPr>
        <w:t xml:space="preserve">  </w:t>
      </w:r>
      <w:r w:rsidRPr="00AB2936">
        <w:rPr>
          <w:sz w:val="16"/>
          <w:szCs w:val="16"/>
        </w:rPr>
        <w:t xml:space="preserve">likme karsējamai tabakai tiek piemērota par vienību, cigāriem un cigarillām par kg. Likmes pārrēķinātas, pieņemot, ka 1 vienība (gab.) karsējamās tabakas satur 0,265 g tabakas, bet  1 </w:t>
      </w:r>
      <w:proofErr w:type="spellStart"/>
      <w:r w:rsidRPr="00AB2936">
        <w:rPr>
          <w:sz w:val="16"/>
          <w:szCs w:val="16"/>
        </w:rPr>
        <w:t>cigarilla</w:t>
      </w:r>
      <w:proofErr w:type="spellEnd"/>
      <w:r w:rsidRPr="00AB2936">
        <w:rPr>
          <w:sz w:val="16"/>
          <w:szCs w:val="16"/>
        </w:rPr>
        <w:t>/cigārs satur 3 g tabakas</w:t>
      </w:r>
      <w:r w:rsidR="00794C43">
        <w:rPr>
          <w:sz w:val="16"/>
          <w:szCs w:val="16"/>
        </w:rPr>
        <w:t>.</w:t>
      </w:r>
    </w:p>
    <w:p w14:paraId="28BA7269" w14:textId="77777777" w:rsidR="003D5883" w:rsidRPr="00D12B60" w:rsidRDefault="003D5883" w:rsidP="00AB2936">
      <w:pPr>
        <w:tabs>
          <w:tab w:val="left" w:pos="284"/>
        </w:tabs>
        <w:spacing w:before="60"/>
        <w:ind w:left="284" w:hanging="284"/>
        <w:rPr>
          <w:szCs w:val="24"/>
        </w:rPr>
      </w:pPr>
    </w:p>
    <w:p w14:paraId="2A60319A" w14:textId="72DEA619" w:rsidR="00504A02" w:rsidRPr="002E0A09" w:rsidRDefault="008F6582" w:rsidP="00504A02">
      <w:pPr>
        <w:spacing w:after="120"/>
        <w:jc w:val="center"/>
        <w:rPr>
          <w:rFonts w:cs="Times New Roman"/>
          <w:sz w:val="20"/>
        </w:rPr>
      </w:pPr>
      <w:r>
        <w:rPr>
          <w:rFonts w:cs="Times New Roman"/>
          <w:sz w:val="20"/>
        </w:rPr>
        <w:t>3</w:t>
      </w:r>
      <w:r w:rsidR="00725CD9">
        <w:rPr>
          <w:rFonts w:cs="Times New Roman"/>
          <w:sz w:val="20"/>
        </w:rPr>
        <w:t>1</w:t>
      </w:r>
      <w:r w:rsidR="00504A02" w:rsidRPr="006F5E64">
        <w:rPr>
          <w:rFonts w:cs="Times New Roman"/>
          <w:sz w:val="20"/>
        </w:rPr>
        <w:t>.tab</w:t>
      </w:r>
      <w:r w:rsidR="00504A02" w:rsidRPr="002E0A09">
        <w:rPr>
          <w:rFonts w:cs="Times New Roman"/>
          <w:bCs/>
          <w:sz w:val="20"/>
        </w:rPr>
        <w:t>.</w:t>
      </w:r>
      <w:r w:rsidR="00504A02" w:rsidRPr="002E0A09">
        <w:rPr>
          <w:rFonts w:cs="Times New Roman"/>
          <w:b/>
          <w:sz w:val="20"/>
        </w:rPr>
        <w:t xml:space="preserve"> Priekšlikuma indikatīva fiskālā ietekme</w:t>
      </w:r>
      <w:r w:rsidR="00504A02" w:rsidRPr="002E0A09">
        <w:rPr>
          <w:rFonts w:cs="Times New Roman"/>
          <w:bCs/>
          <w:sz w:val="20"/>
        </w:rPr>
        <w:t>,</w:t>
      </w:r>
      <w:r w:rsidR="00504A02" w:rsidRPr="002E0A09">
        <w:rPr>
          <w:rFonts w:cs="Times New Roman"/>
          <w:bCs/>
          <w:i/>
          <w:iCs/>
          <w:sz w:val="20"/>
        </w:rPr>
        <w:t> euro</w:t>
      </w:r>
    </w:p>
    <w:tbl>
      <w:tblPr>
        <w:tblStyle w:val="TableGrid"/>
        <w:tblW w:w="9067" w:type="dxa"/>
        <w:tblInd w:w="5" w:type="dxa"/>
        <w:tblLook w:val="04A0" w:firstRow="1" w:lastRow="0" w:firstColumn="1" w:lastColumn="0" w:noHBand="0" w:noVBand="1"/>
      </w:tblPr>
      <w:tblGrid>
        <w:gridCol w:w="3672"/>
        <w:gridCol w:w="1376"/>
        <w:gridCol w:w="1375"/>
        <w:gridCol w:w="1375"/>
        <w:gridCol w:w="1269"/>
      </w:tblGrid>
      <w:tr w:rsidR="00504A02" w:rsidRPr="00D738ED" w14:paraId="4CFDE66B" w14:textId="77777777" w:rsidTr="00005BE2">
        <w:tc>
          <w:tcPr>
            <w:tcW w:w="3672" w:type="dxa"/>
            <w:tcBorders>
              <w:top w:val="nil"/>
              <w:left w:val="nil"/>
              <w:bottom w:val="single" w:sz="8" w:space="0" w:color="auto"/>
              <w:right w:val="nil"/>
            </w:tcBorders>
            <w:shd w:val="clear" w:color="auto" w:fill="FFFFFF" w:themeFill="background1"/>
          </w:tcPr>
          <w:p w14:paraId="475BA9B3" w14:textId="77777777" w:rsidR="00504A02" w:rsidRPr="00C11875" w:rsidRDefault="00504A02" w:rsidP="00005BE2">
            <w:pPr>
              <w:pStyle w:val="ListParagraph"/>
              <w:ind w:left="0"/>
              <w:contextualSpacing w:val="0"/>
              <w:jc w:val="center"/>
              <w:rPr>
                <w:b/>
                <w:bCs/>
                <w:sz w:val="20"/>
                <w:szCs w:val="20"/>
              </w:rPr>
            </w:pPr>
          </w:p>
        </w:tc>
        <w:tc>
          <w:tcPr>
            <w:tcW w:w="1376" w:type="dxa"/>
            <w:tcBorders>
              <w:top w:val="nil"/>
              <w:left w:val="nil"/>
              <w:bottom w:val="single" w:sz="8" w:space="0" w:color="auto"/>
              <w:right w:val="nil"/>
            </w:tcBorders>
            <w:shd w:val="clear" w:color="auto" w:fill="FFFFFF" w:themeFill="background1"/>
            <w:vAlign w:val="bottom"/>
          </w:tcPr>
          <w:p w14:paraId="228A202E" w14:textId="77777777" w:rsidR="00504A02" w:rsidRPr="00C11875" w:rsidRDefault="00504A02" w:rsidP="00005BE2">
            <w:pPr>
              <w:pStyle w:val="ListParagraph"/>
              <w:ind w:left="0"/>
              <w:contextualSpacing w:val="0"/>
              <w:jc w:val="center"/>
              <w:rPr>
                <w:b/>
                <w:bCs/>
                <w:sz w:val="20"/>
                <w:szCs w:val="20"/>
              </w:rPr>
            </w:pPr>
            <w:r w:rsidRPr="00C11875">
              <w:rPr>
                <w:b/>
                <w:bCs/>
                <w:sz w:val="20"/>
                <w:szCs w:val="20"/>
              </w:rPr>
              <w:t>2025</w:t>
            </w:r>
          </w:p>
        </w:tc>
        <w:tc>
          <w:tcPr>
            <w:tcW w:w="1375" w:type="dxa"/>
            <w:tcBorders>
              <w:top w:val="nil"/>
              <w:left w:val="nil"/>
              <w:bottom w:val="single" w:sz="8" w:space="0" w:color="auto"/>
              <w:right w:val="nil"/>
            </w:tcBorders>
            <w:shd w:val="clear" w:color="auto" w:fill="FFFFFF" w:themeFill="background1"/>
            <w:vAlign w:val="bottom"/>
          </w:tcPr>
          <w:p w14:paraId="28014A9F" w14:textId="77777777" w:rsidR="00504A02" w:rsidRPr="00C11875" w:rsidRDefault="00504A02" w:rsidP="00005BE2">
            <w:pPr>
              <w:pStyle w:val="ListParagraph"/>
              <w:ind w:left="0"/>
              <w:contextualSpacing w:val="0"/>
              <w:jc w:val="center"/>
              <w:rPr>
                <w:b/>
                <w:bCs/>
                <w:sz w:val="20"/>
                <w:szCs w:val="20"/>
              </w:rPr>
            </w:pPr>
            <w:r w:rsidRPr="00C11875">
              <w:rPr>
                <w:b/>
                <w:bCs/>
                <w:sz w:val="20"/>
                <w:szCs w:val="20"/>
              </w:rPr>
              <w:t>2026</w:t>
            </w:r>
          </w:p>
        </w:tc>
        <w:tc>
          <w:tcPr>
            <w:tcW w:w="1375" w:type="dxa"/>
            <w:tcBorders>
              <w:top w:val="nil"/>
              <w:left w:val="nil"/>
              <w:bottom w:val="single" w:sz="8" w:space="0" w:color="auto"/>
              <w:right w:val="nil"/>
            </w:tcBorders>
            <w:shd w:val="clear" w:color="auto" w:fill="FFFFFF" w:themeFill="background1"/>
            <w:vAlign w:val="bottom"/>
          </w:tcPr>
          <w:p w14:paraId="54987B4B" w14:textId="77777777" w:rsidR="00504A02" w:rsidRPr="00C11875" w:rsidRDefault="00504A02" w:rsidP="00005BE2">
            <w:pPr>
              <w:pStyle w:val="ListParagraph"/>
              <w:ind w:left="0"/>
              <w:contextualSpacing w:val="0"/>
              <w:jc w:val="center"/>
              <w:rPr>
                <w:b/>
                <w:bCs/>
                <w:sz w:val="20"/>
                <w:szCs w:val="20"/>
              </w:rPr>
            </w:pPr>
            <w:r w:rsidRPr="00C11875">
              <w:rPr>
                <w:b/>
                <w:bCs/>
                <w:sz w:val="20"/>
                <w:szCs w:val="20"/>
              </w:rPr>
              <w:t>2027</w:t>
            </w:r>
          </w:p>
        </w:tc>
        <w:tc>
          <w:tcPr>
            <w:tcW w:w="1269" w:type="dxa"/>
            <w:tcBorders>
              <w:top w:val="nil"/>
              <w:left w:val="nil"/>
              <w:bottom w:val="single" w:sz="8" w:space="0" w:color="auto"/>
              <w:right w:val="nil"/>
            </w:tcBorders>
            <w:shd w:val="clear" w:color="auto" w:fill="FFFFFF" w:themeFill="background1"/>
          </w:tcPr>
          <w:p w14:paraId="78BEDBA9" w14:textId="77777777" w:rsidR="00504A02" w:rsidRPr="00C11875" w:rsidRDefault="00504A02" w:rsidP="00005BE2">
            <w:pPr>
              <w:pStyle w:val="ListParagraph"/>
              <w:ind w:left="0"/>
              <w:contextualSpacing w:val="0"/>
              <w:jc w:val="center"/>
              <w:rPr>
                <w:b/>
                <w:bCs/>
                <w:sz w:val="20"/>
                <w:szCs w:val="20"/>
              </w:rPr>
            </w:pPr>
            <w:r w:rsidRPr="00C11875">
              <w:rPr>
                <w:b/>
                <w:bCs/>
                <w:sz w:val="20"/>
                <w:szCs w:val="20"/>
              </w:rPr>
              <w:t>2028</w:t>
            </w:r>
          </w:p>
        </w:tc>
      </w:tr>
      <w:tr w:rsidR="00794C43" w:rsidRPr="00F53BA5" w14:paraId="342646F4" w14:textId="77777777" w:rsidTr="00005BE2">
        <w:tc>
          <w:tcPr>
            <w:tcW w:w="3672" w:type="dxa"/>
            <w:tcBorders>
              <w:top w:val="single" w:sz="8" w:space="0" w:color="auto"/>
              <w:left w:val="nil"/>
              <w:bottom w:val="single" w:sz="4" w:space="0" w:color="auto"/>
            </w:tcBorders>
            <w:shd w:val="clear" w:color="auto" w:fill="FFFFFF" w:themeFill="background1"/>
            <w:vAlign w:val="center"/>
          </w:tcPr>
          <w:p w14:paraId="437D72CF" w14:textId="77777777" w:rsidR="00794C43" w:rsidRPr="002B6702" w:rsidRDefault="00794C43" w:rsidP="00794C43">
            <w:pPr>
              <w:pStyle w:val="ListParagraph"/>
              <w:ind w:left="0"/>
              <w:contextualSpacing w:val="0"/>
              <w:jc w:val="left"/>
              <w:rPr>
                <w:sz w:val="20"/>
                <w:szCs w:val="20"/>
              </w:rPr>
            </w:pPr>
            <w:r w:rsidRPr="002B6702">
              <w:rPr>
                <w:sz w:val="20"/>
                <w:szCs w:val="20"/>
              </w:rPr>
              <w:t>AN ieņēmumi</w:t>
            </w:r>
          </w:p>
        </w:tc>
        <w:tc>
          <w:tcPr>
            <w:tcW w:w="1376" w:type="dxa"/>
            <w:tcBorders>
              <w:top w:val="single" w:sz="8" w:space="0" w:color="auto"/>
              <w:bottom w:val="single" w:sz="4" w:space="0" w:color="auto"/>
            </w:tcBorders>
            <w:shd w:val="clear" w:color="auto" w:fill="FFFFFF" w:themeFill="background1"/>
            <w:vAlign w:val="center"/>
          </w:tcPr>
          <w:p w14:paraId="3EAA442B" w14:textId="03726295" w:rsidR="00794C43" w:rsidRPr="00794C43" w:rsidRDefault="00794C43" w:rsidP="00794C43">
            <w:pPr>
              <w:pStyle w:val="ListParagraph"/>
              <w:ind w:left="0"/>
              <w:contextualSpacing w:val="0"/>
              <w:jc w:val="center"/>
              <w:rPr>
                <w:sz w:val="20"/>
                <w:szCs w:val="20"/>
              </w:rPr>
            </w:pPr>
            <w:r w:rsidRPr="00794C43">
              <w:rPr>
                <w:sz w:val="20"/>
                <w:szCs w:val="20"/>
              </w:rPr>
              <w:t>-</w:t>
            </w:r>
          </w:p>
        </w:tc>
        <w:tc>
          <w:tcPr>
            <w:tcW w:w="1375" w:type="dxa"/>
            <w:tcBorders>
              <w:top w:val="single" w:sz="8" w:space="0" w:color="auto"/>
              <w:bottom w:val="single" w:sz="4" w:space="0" w:color="auto"/>
            </w:tcBorders>
            <w:shd w:val="clear" w:color="auto" w:fill="FFFFFF" w:themeFill="background1"/>
            <w:vAlign w:val="center"/>
          </w:tcPr>
          <w:p w14:paraId="2505FEB6" w14:textId="301801D5" w:rsidR="00794C43" w:rsidRPr="00794C43" w:rsidRDefault="00794C43" w:rsidP="00794C43">
            <w:pPr>
              <w:pStyle w:val="ListParagraph"/>
              <w:ind w:left="0"/>
              <w:contextualSpacing w:val="0"/>
              <w:jc w:val="center"/>
              <w:rPr>
                <w:sz w:val="20"/>
                <w:szCs w:val="20"/>
              </w:rPr>
            </w:pPr>
            <w:r w:rsidRPr="00794C43">
              <w:rPr>
                <w:sz w:val="20"/>
                <w:szCs w:val="20"/>
              </w:rPr>
              <w:t>-</w:t>
            </w:r>
          </w:p>
        </w:tc>
        <w:tc>
          <w:tcPr>
            <w:tcW w:w="1375" w:type="dxa"/>
            <w:tcBorders>
              <w:top w:val="single" w:sz="8" w:space="0" w:color="auto"/>
              <w:bottom w:val="single" w:sz="4" w:space="0" w:color="auto"/>
            </w:tcBorders>
            <w:shd w:val="clear" w:color="auto" w:fill="FFFFFF" w:themeFill="background1"/>
            <w:vAlign w:val="center"/>
          </w:tcPr>
          <w:p w14:paraId="720964D4" w14:textId="67C742D1" w:rsidR="00794C43" w:rsidRPr="002B6702" w:rsidRDefault="00794C43" w:rsidP="00794C43">
            <w:pPr>
              <w:pStyle w:val="ListParagraph"/>
              <w:ind w:left="0"/>
              <w:contextualSpacing w:val="0"/>
              <w:jc w:val="center"/>
              <w:rPr>
                <w:color w:val="00B050"/>
                <w:sz w:val="20"/>
                <w:szCs w:val="20"/>
              </w:rPr>
            </w:pPr>
            <w:r>
              <w:rPr>
                <w:color w:val="00B050"/>
                <w:sz w:val="20"/>
                <w:szCs w:val="20"/>
              </w:rPr>
              <w:t>+10 612 000</w:t>
            </w:r>
          </w:p>
        </w:tc>
        <w:tc>
          <w:tcPr>
            <w:tcW w:w="1269" w:type="dxa"/>
            <w:tcBorders>
              <w:top w:val="single" w:sz="8" w:space="0" w:color="auto"/>
              <w:bottom w:val="single" w:sz="4" w:space="0" w:color="auto"/>
              <w:right w:val="nil"/>
            </w:tcBorders>
            <w:shd w:val="clear" w:color="auto" w:fill="FFFFFF" w:themeFill="background1"/>
            <w:vAlign w:val="center"/>
          </w:tcPr>
          <w:p w14:paraId="6D6E1B9D" w14:textId="5E099EC5" w:rsidR="00794C43" w:rsidRPr="002B6702" w:rsidRDefault="00794C43" w:rsidP="00794C43">
            <w:pPr>
              <w:pStyle w:val="ListParagraph"/>
              <w:ind w:left="0"/>
              <w:contextualSpacing w:val="0"/>
              <w:jc w:val="center"/>
              <w:rPr>
                <w:color w:val="00B050"/>
                <w:sz w:val="20"/>
                <w:szCs w:val="20"/>
              </w:rPr>
            </w:pPr>
            <w:r>
              <w:rPr>
                <w:color w:val="00B050"/>
                <w:sz w:val="20"/>
                <w:szCs w:val="20"/>
              </w:rPr>
              <w:t>+8 133 000</w:t>
            </w:r>
          </w:p>
        </w:tc>
      </w:tr>
      <w:tr w:rsidR="00794C43" w:rsidRPr="00F53BA5" w14:paraId="073127AE" w14:textId="77777777" w:rsidTr="00005BE2">
        <w:tc>
          <w:tcPr>
            <w:tcW w:w="3672" w:type="dxa"/>
            <w:tcBorders>
              <w:top w:val="single" w:sz="4" w:space="0" w:color="auto"/>
              <w:left w:val="nil"/>
              <w:bottom w:val="single" w:sz="4" w:space="0" w:color="auto"/>
            </w:tcBorders>
            <w:shd w:val="clear" w:color="auto" w:fill="FFFFFF" w:themeFill="background1"/>
            <w:vAlign w:val="center"/>
          </w:tcPr>
          <w:p w14:paraId="3B7CCE4A" w14:textId="77777777" w:rsidR="00794C43" w:rsidRPr="002B6702" w:rsidRDefault="00794C43" w:rsidP="00794C43">
            <w:pPr>
              <w:pStyle w:val="ListParagraph"/>
              <w:ind w:left="0"/>
              <w:contextualSpacing w:val="0"/>
              <w:jc w:val="left"/>
              <w:rPr>
                <w:sz w:val="20"/>
                <w:szCs w:val="20"/>
              </w:rPr>
            </w:pPr>
            <w:r w:rsidRPr="002B6702">
              <w:rPr>
                <w:sz w:val="20"/>
                <w:szCs w:val="20"/>
              </w:rPr>
              <w:t>PVN ieņēmumi</w:t>
            </w:r>
          </w:p>
        </w:tc>
        <w:tc>
          <w:tcPr>
            <w:tcW w:w="1376" w:type="dxa"/>
            <w:tcBorders>
              <w:top w:val="single" w:sz="4" w:space="0" w:color="auto"/>
              <w:bottom w:val="single" w:sz="4" w:space="0" w:color="auto"/>
            </w:tcBorders>
            <w:shd w:val="clear" w:color="auto" w:fill="FFFFFF" w:themeFill="background1"/>
            <w:vAlign w:val="center"/>
          </w:tcPr>
          <w:p w14:paraId="3E02C9F2" w14:textId="563C9A69" w:rsidR="00794C43" w:rsidRPr="00794C43" w:rsidRDefault="00794C43" w:rsidP="00794C43">
            <w:pPr>
              <w:pStyle w:val="ListParagraph"/>
              <w:ind w:left="0"/>
              <w:contextualSpacing w:val="0"/>
              <w:jc w:val="center"/>
              <w:rPr>
                <w:sz w:val="20"/>
                <w:szCs w:val="20"/>
              </w:rPr>
            </w:pPr>
            <w:r w:rsidRPr="00794C43">
              <w:rPr>
                <w:sz w:val="20"/>
                <w:szCs w:val="20"/>
              </w:rPr>
              <w:t>-</w:t>
            </w:r>
          </w:p>
        </w:tc>
        <w:tc>
          <w:tcPr>
            <w:tcW w:w="1375" w:type="dxa"/>
            <w:tcBorders>
              <w:top w:val="single" w:sz="4" w:space="0" w:color="auto"/>
              <w:bottom w:val="single" w:sz="4" w:space="0" w:color="auto"/>
            </w:tcBorders>
            <w:shd w:val="clear" w:color="auto" w:fill="FFFFFF" w:themeFill="background1"/>
            <w:vAlign w:val="center"/>
          </w:tcPr>
          <w:p w14:paraId="0C0A1352" w14:textId="3472B860" w:rsidR="00794C43" w:rsidRPr="00794C43" w:rsidRDefault="00794C43" w:rsidP="00794C43">
            <w:pPr>
              <w:pStyle w:val="ListParagraph"/>
              <w:ind w:left="0"/>
              <w:contextualSpacing w:val="0"/>
              <w:jc w:val="center"/>
              <w:rPr>
                <w:sz w:val="20"/>
                <w:szCs w:val="20"/>
              </w:rPr>
            </w:pPr>
            <w:r w:rsidRPr="00794C43">
              <w:rPr>
                <w:sz w:val="20"/>
                <w:szCs w:val="20"/>
              </w:rPr>
              <w:t>-</w:t>
            </w:r>
          </w:p>
        </w:tc>
        <w:tc>
          <w:tcPr>
            <w:tcW w:w="1375" w:type="dxa"/>
            <w:tcBorders>
              <w:top w:val="single" w:sz="4" w:space="0" w:color="auto"/>
              <w:bottom w:val="single" w:sz="4" w:space="0" w:color="auto"/>
            </w:tcBorders>
            <w:shd w:val="clear" w:color="auto" w:fill="FFFFFF" w:themeFill="background1"/>
            <w:vAlign w:val="center"/>
          </w:tcPr>
          <w:p w14:paraId="7993F26C" w14:textId="625B2790" w:rsidR="00794C43" w:rsidRPr="002B6702" w:rsidRDefault="00794C43" w:rsidP="00794C43">
            <w:pPr>
              <w:pStyle w:val="ListParagraph"/>
              <w:ind w:left="0"/>
              <w:contextualSpacing w:val="0"/>
              <w:jc w:val="center"/>
              <w:rPr>
                <w:color w:val="00B050"/>
                <w:sz w:val="20"/>
                <w:szCs w:val="20"/>
              </w:rPr>
            </w:pPr>
            <w:r>
              <w:rPr>
                <w:color w:val="00B050"/>
                <w:sz w:val="20"/>
                <w:szCs w:val="20"/>
              </w:rPr>
              <w:t>+2 229 000</w:t>
            </w:r>
          </w:p>
        </w:tc>
        <w:tc>
          <w:tcPr>
            <w:tcW w:w="1269" w:type="dxa"/>
            <w:tcBorders>
              <w:top w:val="single" w:sz="4" w:space="0" w:color="auto"/>
              <w:bottom w:val="single" w:sz="4" w:space="0" w:color="auto"/>
              <w:right w:val="nil"/>
            </w:tcBorders>
            <w:shd w:val="clear" w:color="auto" w:fill="FFFFFF" w:themeFill="background1"/>
            <w:vAlign w:val="center"/>
          </w:tcPr>
          <w:p w14:paraId="3BC81DEF" w14:textId="321CD524" w:rsidR="00794C43" w:rsidRPr="002B6702" w:rsidRDefault="00794C43" w:rsidP="00794C43">
            <w:pPr>
              <w:pStyle w:val="ListParagraph"/>
              <w:ind w:left="0"/>
              <w:contextualSpacing w:val="0"/>
              <w:jc w:val="center"/>
              <w:rPr>
                <w:color w:val="00B050"/>
                <w:sz w:val="20"/>
                <w:szCs w:val="20"/>
              </w:rPr>
            </w:pPr>
            <w:r>
              <w:rPr>
                <w:color w:val="00B050"/>
                <w:sz w:val="20"/>
                <w:szCs w:val="20"/>
              </w:rPr>
              <w:t>+1 708 000</w:t>
            </w:r>
          </w:p>
        </w:tc>
      </w:tr>
      <w:tr w:rsidR="00794C43" w:rsidRPr="002B6702" w14:paraId="3BF51B22" w14:textId="77777777" w:rsidTr="00005BE2">
        <w:tc>
          <w:tcPr>
            <w:tcW w:w="3672" w:type="dxa"/>
            <w:tcBorders>
              <w:left w:val="nil"/>
              <w:bottom w:val="nil"/>
            </w:tcBorders>
            <w:shd w:val="clear" w:color="auto" w:fill="E7E6E6" w:themeFill="background2"/>
            <w:vAlign w:val="center"/>
          </w:tcPr>
          <w:p w14:paraId="03CBE720" w14:textId="77777777" w:rsidR="00794C43" w:rsidRPr="002B6702" w:rsidRDefault="00794C43" w:rsidP="00794C43">
            <w:pPr>
              <w:rPr>
                <w:i/>
                <w:iCs/>
                <w:sz w:val="20"/>
                <w:szCs w:val="20"/>
              </w:rPr>
            </w:pPr>
            <w:r w:rsidRPr="002B6702">
              <w:rPr>
                <w:b/>
                <w:bCs/>
                <w:sz w:val="20"/>
                <w:szCs w:val="20"/>
              </w:rPr>
              <w:t>KOPĀ</w:t>
            </w:r>
            <w:r w:rsidRPr="002B6702">
              <w:rPr>
                <w:i/>
                <w:iCs/>
                <w:sz w:val="20"/>
                <w:szCs w:val="20"/>
              </w:rPr>
              <w:t>, no tā:</w:t>
            </w:r>
          </w:p>
        </w:tc>
        <w:tc>
          <w:tcPr>
            <w:tcW w:w="1376" w:type="dxa"/>
            <w:tcBorders>
              <w:bottom w:val="nil"/>
            </w:tcBorders>
            <w:shd w:val="clear" w:color="auto" w:fill="E7E6E6" w:themeFill="background2"/>
            <w:vAlign w:val="center"/>
          </w:tcPr>
          <w:p w14:paraId="406E70D8" w14:textId="6DFC9565" w:rsidR="00794C43" w:rsidRPr="00794C43" w:rsidRDefault="00794C43" w:rsidP="00794C43">
            <w:pPr>
              <w:pStyle w:val="ListParagraph"/>
              <w:ind w:left="0"/>
              <w:contextualSpacing w:val="0"/>
              <w:jc w:val="center"/>
              <w:rPr>
                <w:i/>
                <w:iCs/>
                <w:sz w:val="20"/>
                <w:szCs w:val="20"/>
              </w:rPr>
            </w:pPr>
            <w:r w:rsidRPr="00794C43">
              <w:rPr>
                <w:i/>
                <w:iCs/>
                <w:sz w:val="20"/>
                <w:szCs w:val="20"/>
              </w:rPr>
              <w:t>-</w:t>
            </w:r>
          </w:p>
        </w:tc>
        <w:tc>
          <w:tcPr>
            <w:tcW w:w="1375" w:type="dxa"/>
            <w:tcBorders>
              <w:bottom w:val="nil"/>
            </w:tcBorders>
            <w:shd w:val="clear" w:color="auto" w:fill="E7E6E6" w:themeFill="background2"/>
            <w:vAlign w:val="center"/>
          </w:tcPr>
          <w:p w14:paraId="67EBED7A" w14:textId="796BB7AF" w:rsidR="00794C43" w:rsidRPr="00794C43" w:rsidRDefault="00794C43" w:rsidP="00794C43">
            <w:pPr>
              <w:pStyle w:val="ListParagraph"/>
              <w:ind w:left="0"/>
              <w:contextualSpacing w:val="0"/>
              <w:jc w:val="center"/>
              <w:rPr>
                <w:i/>
                <w:iCs/>
                <w:sz w:val="20"/>
                <w:szCs w:val="20"/>
              </w:rPr>
            </w:pPr>
            <w:r w:rsidRPr="00794C43">
              <w:rPr>
                <w:i/>
                <w:iCs/>
                <w:sz w:val="20"/>
                <w:szCs w:val="20"/>
              </w:rPr>
              <w:t>-</w:t>
            </w:r>
          </w:p>
        </w:tc>
        <w:tc>
          <w:tcPr>
            <w:tcW w:w="1375" w:type="dxa"/>
            <w:tcBorders>
              <w:bottom w:val="nil"/>
            </w:tcBorders>
            <w:shd w:val="clear" w:color="auto" w:fill="E7E6E6" w:themeFill="background2"/>
            <w:vAlign w:val="center"/>
          </w:tcPr>
          <w:p w14:paraId="61024772" w14:textId="6C707BE4" w:rsidR="00794C43" w:rsidRPr="00794C43" w:rsidRDefault="00794C43" w:rsidP="00794C43">
            <w:pPr>
              <w:pStyle w:val="ListParagraph"/>
              <w:ind w:left="0"/>
              <w:contextualSpacing w:val="0"/>
              <w:jc w:val="center"/>
              <w:rPr>
                <w:b/>
                <w:bCs/>
                <w:i/>
                <w:iCs/>
                <w:color w:val="00B050"/>
                <w:sz w:val="20"/>
                <w:szCs w:val="18"/>
              </w:rPr>
            </w:pPr>
            <w:r>
              <w:rPr>
                <w:b/>
                <w:bCs/>
                <w:color w:val="00B050"/>
                <w:sz w:val="20"/>
                <w:szCs w:val="18"/>
              </w:rPr>
              <w:t>+</w:t>
            </w:r>
            <w:r w:rsidRPr="00794C43">
              <w:rPr>
                <w:b/>
                <w:bCs/>
                <w:color w:val="00B050"/>
                <w:sz w:val="20"/>
                <w:szCs w:val="18"/>
              </w:rPr>
              <w:t>12 841 000</w:t>
            </w:r>
          </w:p>
        </w:tc>
        <w:tc>
          <w:tcPr>
            <w:tcW w:w="1269" w:type="dxa"/>
            <w:tcBorders>
              <w:bottom w:val="nil"/>
              <w:right w:val="nil"/>
            </w:tcBorders>
            <w:shd w:val="clear" w:color="auto" w:fill="E7E6E6" w:themeFill="background2"/>
            <w:vAlign w:val="center"/>
          </w:tcPr>
          <w:p w14:paraId="2F7BD05C" w14:textId="324DCA12" w:rsidR="00794C43" w:rsidRPr="00794C43" w:rsidRDefault="00794C43" w:rsidP="00794C43">
            <w:pPr>
              <w:pStyle w:val="ListParagraph"/>
              <w:ind w:left="0"/>
              <w:contextualSpacing w:val="0"/>
              <w:jc w:val="center"/>
              <w:rPr>
                <w:b/>
                <w:bCs/>
                <w:i/>
                <w:iCs/>
                <w:color w:val="00B050"/>
                <w:sz w:val="20"/>
                <w:szCs w:val="18"/>
              </w:rPr>
            </w:pPr>
            <w:r>
              <w:rPr>
                <w:b/>
                <w:bCs/>
                <w:color w:val="00B050"/>
                <w:sz w:val="20"/>
                <w:szCs w:val="18"/>
              </w:rPr>
              <w:t>+</w:t>
            </w:r>
            <w:r w:rsidRPr="00794C43">
              <w:rPr>
                <w:b/>
                <w:bCs/>
                <w:color w:val="00B050"/>
                <w:sz w:val="20"/>
                <w:szCs w:val="18"/>
              </w:rPr>
              <w:t>9 841 000</w:t>
            </w:r>
          </w:p>
        </w:tc>
      </w:tr>
      <w:tr w:rsidR="00794C43" w:rsidRPr="002B6702" w14:paraId="7620C80D" w14:textId="77777777" w:rsidTr="00005BE2">
        <w:tc>
          <w:tcPr>
            <w:tcW w:w="3672" w:type="dxa"/>
            <w:tcBorders>
              <w:left w:val="nil"/>
              <w:bottom w:val="nil"/>
            </w:tcBorders>
            <w:shd w:val="clear" w:color="auto" w:fill="FFFFFF" w:themeFill="background1"/>
            <w:vAlign w:val="center"/>
          </w:tcPr>
          <w:p w14:paraId="451ECCA8" w14:textId="77777777" w:rsidR="00794C43" w:rsidRPr="002B6702" w:rsidRDefault="00794C43" w:rsidP="00794C43">
            <w:pPr>
              <w:pStyle w:val="ListParagraph"/>
              <w:numPr>
                <w:ilvl w:val="0"/>
                <w:numId w:val="9"/>
              </w:numPr>
              <w:tabs>
                <w:tab w:val="clear" w:pos="720"/>
                <w:tab w:val="num" w:pos="306"/>
              </w:tabs>
              <w:ind w:hanging="698"/>
              <w:contextualSpacing w:val="0"/>
              <w:jc w:val="left"/>
              <w:rPr>
                <w:i/>
                <w:iCs/>
                <w:sz w:val="20"/>
                <w:szCs w:val="20"/>
              </w:rPr>
            </w:pPr>
            <w:r w:rsidRPr="002B6702">
              <w:rPr>
                <w:i/>
                <w:iCs/>
                <w:sz w:val="20"/>
                <w:szCs w:val="20"/>
              </w:rPr>
              <w:t>valsts pamatbudžetā</w:t>
            </w:r>
          </w:p>
        </w:tc>
        <w:tc>
          <w:tcPr>
            <w:tcW w:w="1376" w:type="dxa"/>
            <w:tcBorders>
              <w:bottom w:val="nil"/>
            </w:tcBorders>
            <w:shd w:val="clear" w:color="auto" w:fill="FFFFFF" w:themeFill="background1"/>
            <w:vAlign w:val="center"/>
          </w:tcPr>
          <w:p w14:paraId="499E12AF" w14:textId="0DFC2913" w:rsidR="00794C43" w:rsidRPr="00794C43" w:rsidRDefault="00794C43" w:rsidP="00794C43">
            <w:pPr>
              <w:pStyle w:val="ListParagraph"/>
              <w:ind w:left="0"/>
              <w:contextualSpacing w:val="0"/>
              <w:jc w:val="center"/>
              <w:rPr>
                <w:i/>
                <w:iCs/>
                <w:sz w:val="20"/>
                <w:szCs w:val="20"/>
              </w:rPr>
            </w:pPr>
            <w:r w:rsidRPr="00794C43">
              <w:rPr>
                <w:i/>
                <w:iCs/>
                <w:sz w:val="20"/>
                <w:szCs w:val="20"/>
              </w:rPr>
              <w:t>-</w:t>
            </w:r>
          </w:p>
        </w:tc>
        <w:tc>
          <w:tcPr>
            <w:tcW w:w="1375" w:type="dxa"/>
            <w:tcBorders>
              <w:bottom w:val="nil"/>
            </w:tcBorders>
            <w:shd w:val="clear" w:color="auto" w:fill="FFFFFF" w:themeFill="background1"/>
            <w:vAlign w:val="center"/>
          </w:tcPr>
          <w:p w14:paraId="503FB29E" w14:textId="1DC0683D" w:rsidR="00794C43" w:rsidRPr="00794C43" w:rsidRDefault="00794C43" w:rsidP="00794C43">
            <w:pPr>
              <w:pStyle w:val="ListParagraph"/>
              <w:ind w:left="0"/>
              <w:contextualSpacing w:val="0"/>
              <w:jc w:val="center"/>
              <w:rPr>
                <w:i/>
                <w:iCs/>
                <w:sz w:val="20"/>
                <w:szCs w:val="20"/>
              </w:rPr>
            </w:pPr>
            <w:r w:rsidRPr="00794C43">
              <w:rPr>
                <w:i/>
                <w:iCs/>
                <w:sz w:val="20"/>
                <w:szCs w:val="20"/>
              </w:rPr>
              <w:t>-</w:t>
            </w:r>
          </w:p>
        </w:tc>
        <w:tc>
          <w:tcPr>
            <w:tcW w:w="1375" w:type="dxa"/>
            <w:tcBorders>
              <w:bottom w:val="nil"/>
            </w:tcBorders>
            <w:shd w:val="clear" w:color="auto" w:fill="FFFFFF" w:themeFill="background1"/>
            <w:vAlign w:val="center"/>
          </w:tcPr>
          <w:p w14:paraId="36B43895" w14:textId="272431DD" w:rsidR="00794C43" w:rsidRPr="00794C43" w:rsidRDefault="00794C43" w:rsidP="00794C43">
            <w:pPr>
              <w:pStyle w:val="ListParagraph"/>
              <w:ind w:left="0"/>
              <w:contextualSpacing w:val="0"/>
              <w:jc w:val="center"/>
              <w:rPr>
                <w:i/>
                <w:iCs/>
                <w:color w:val="00B050"/>
                <w:sz w:val="20"/>
                <w:szCs w:val="20"/>
              </w:rPr>
            </w:pPr>
            <w:r w:rsidRPr="00794C43">
              <w:rPr>
                <w:i/>
                <w:iCs/>
                <w:color w:val="00B050"/>
                <w:sz w:val="20"/>
                <w:szCs w:val="18"/>
              </w:rPr>
              <w:t>+12 841 000</w:t>
            </w:r>
          </w:p>
        </w:tc>
        <w:tc>
          <w:tcPr>
            <w:tcW w:w="1269" w:type="dxa"/>
            <w:tcBorders>
              <w:bottom w:val="nil"/>
              <w:right w:val="nil"/>
            </w:tcBorders>
            <w:shd w:val="clear" w:color="auto" w:fill="FFFFFF" w:themeFill="background1"/>
            <w:vAlign w:val="center"/>
          </w:tcPr>
          <w:p w14:paraId="3AEB7629" w14:textId="4CB3F642" w:rsidR="00794C43" w:rsidRPr="00794C43" w:rsidRDefault="00794C43" w:rsidP="00794C43">
            <w:pPr>
              <w:pStyle w:val="ListParagraph"/>
              <w:ind w:left="0"/>
              <w:contextualSpacing w:val="0"/>
              <w:jc w:val="center"/>
              <w:rPr>
                <w:i/>
                <w:iCs/>
                <w:color w:val="00B050"/>
                <w:sz w:val="20"/>
                <w:szCs w:val="20"/>
              </w:rPr>
            </w:pPr>
            <w:r w:rsidRPr="00794C43">
              <w:rPr>
                <w:i/>
                <w:iCs/>
                <w:color w:val="00B050"/>
                <w:sz w:val="20"/>
                <w:szCs w:val="18"/>
              </w:rPr>
              <w:t>+9 841 000</w:t>
            </w:r>
          </w:p>
        </w:tc>
      </w:tr>
    </w:tbl>
    <w:p w14:paraId="2F3DA831" w14:textId="77777777" w:rsidR="00FA7FB6" w:rsidRPr="000203BA" w:rsidRDefault="00FA7FB6" w:rsidP="00A468EA">
      <w:pPr>
        <w:tabs>
          <w:tab w:val="left" w:pos="426"/>
        </w:tabs>
        <w:spacing w:before="120"/>
        <w:rPr>
          <w:rFonts w:cs="Times New Roman"/>
          <w:i/>
          <w:sz w:val="18"/>
        </w:rPr>
      </w:pPr>
      <w:r w:rsidRPr="000203BA">
        <w:rPr>
          <w:rFonts w:cs="Times New Roman"/>
          <w:b/>
          <w:bCs/>
          <w:i/>
          <w:sz w:val="18"/>
        </w:rPr>
        <w:t>Avots</w:t>
      </w:r>
      <w:r w:rsidRPr="000203BA">
        <w:rPr>
          <w:rFonts w:cs="Times New Roman"/>
          <w:i/>
          <w:sz w:val="18"/>
        </w:rPr>
        <w:t>: FM aprēķini.</w:t>
      </w:r>
    </w:p>
    <w:p w14:paraId="206A5589" w14:textId="77777777" w:rsidR="00504A02" w:rsidRPr="00D12B60" w:rsidRDefault="00504A02" w:rsidP="00A468EA">
      <w:pPr>
        <w:tabs>
          <w:tab w:val="left" w:pos="284"/>
        </w:tabs>
        <w:spacing w:before="60"/>
        <w:ind w:left="284" w:hanging="284"/>
        <w:rPr>
          <w:szCs w:val="24"/>
        </w:rPr>
      </w:pPr>
    </w:p>
    <w:p w14:paraId="46636164" w14:textId="47B13A96" w:rsidR="00DF35F7" w:rsidRPr="005C1FD5" w:rsidRDefault="00501035" w:rsidP="00DF35F7">
      <w:pPr>
        <w:pStyle w:val="Heading2"/>
        <w:tabs>
          <w:tab w:val="left" w:pos="567"/>
        </w:tabs>
        <w:ind w:left="567" w:hanging="567"/>
        <w:rPr>
          <w:bCs/>
        </w:rPr>
      </w:pPr>
      <w:bookmarkStart w:id="60" w:name="_Toc177627718"/>
      <w:r>
        <w:rPr>
          <w:bCs/>
        </w:rPr>
        <w:lastRenderedPageBreak/>
        <w:t>3</w:t>
      </w:r>
      <w:r w:rsidR="00DF35F7">
        <w:rPr>
          <w:bCs/>
        </w:rPr>
        <w:t>.</w:t>
      </w:r>
      <w:r w:rsidR="007F2A6D">
        <w:rPr>
          <w:bCs/>
        </w:rPr>
        <w:t>7</w:t>
      </w:r>
      <w:r w:rsidR="00DF35F7">
        <w:rPr>
          <w:bCs/>
        </w:rPr>
        <w:t xml:space="preserve">. </w:t>
      </w:r>
      <w:r w:rsidR="00DF35F7">
        <w:rPr>
          <w:bCs/>
        </w:rPr>
        <w:tab/>
      </w:r>
      <w:r w:rsidR="00914988" w:rsidRPr="00291F1C">
        <w:rPr>
          <w:rFonts w:cs="Times New Roman"/>
          <w:szCs w:val="24"/>
        </w:rPr>
        <w:t>Transportlīdzekļa ekspluatācijas nodok</w:t>
      </w:r>
      <w:r w:rsidR="00914988">
        <w:rPr>
          <w:rFonts w:cs="Times New Roman"/>
          <w:szCs w:val="24"/>
        </w:rPr>
        <w:t xml:space="preserve">ļa </w:t>
      </w:r>
      <w:r w:rsidR="00DF35F7" w:rsidRPr="005C1FD5">
        <w:rPr>
          <w:bCs/>
        </w:rPr>
        <w:t>likmju indeksēšana</w:t>
      </w:r>
      <w:bookmarkEnd w:id="60"/>
      <w:r w:rsidR="00DF35F7" w:rsidRPr="005C1FD5">
        <w:rPr>
          <w:bCs/>
        </w:rPr>
        <w:t xml:space="preserve"> </w:t>
      </w:r>
    </w:p>
    <w:p w14:paraId="7F568D67" w14:textId="6BAB85F0" w:rsidR="00DF35F7" w:rsidRPr="00D30428" w:rsidRDefault="00DF35F7" w:rsidP="00D30428">
      <w:pPr>
        <w:spacing w:after="120"/>
        <w:ind w:firstLine="567"/>
        <w:jc w:val="both"/>
        <w:rPr>
          <w:rFonts w:cs="Times New Roman"/>
          <w:szCs w:val="24"/>
        </w:rPr>
      </w:pPr>
      <w:r w:rsidRPr="00D30428">
        <w:rPr>
          <w:rFonts w:cs="Times New Roman"/>
          <w:szCs w:val="24"/>
        </w:rPr>
        <w:t xml:space="preserve">Transportlīdzekļa ekspluatācijas nodokli </w:t>
      </w:r>
      <w:r w:rsidRPr="00D30428">
        <w:rPr>
          <w:rFonts w:cs="Times New Roman"/>
          <w:i/>
          <w:iCs/>
          <w:szCs w:val="24"/>
        </w:rPr>
        <w:t>(turpmāk – TEN)</w:t>
      </w:r>
      <w:r w:rsidRPr="00D30428">
        <w:rPr>
          <w:rFonts w:cs="Times New Roman"/>
          <w:szCs w:val="24"/>
        </w:rPr>
        <w:t xml:space="preserve"> likmes vieglajiem automobiļiem aprēķina šādi:</w:t>
      </w:r>
    </w:p>
    <w:p w14:paraId="367BAE2A" w14:textId="77777777" w:rsidR="00DF35F7" w:rsidRPr="00D30428" w:rsidRDefault="00DF35F7" w:rsidP="00FF31ED">
      <w:pPr>
        <w:widowControl w:val="0"/>
        <w:numPr>
          <w:ilvl w:val="0"/>
          <w:numId w:val="1"/>
        </w:numPr>
        <w:ind w:left="993" w:hanging="284"/>
        <w:contextualSpacing/>
        <w:jc w:val="both"/>
        <w:rPr>
          <w:rFonts w:cs="Times New Roman"/>
          <w:szCs w:val="24"/>
        </w:rPr>
      </w:pPr>
      <w:r w:rsidRPr="00D30428">
        <w:rPr>
          <w:rFonts w:cs="Times New Roman"/>
          <w:szCs w:val="24"/>
        </w:rPr>
        <w:t>automobiļiem, kuri pirmo reizi reģistrēti līdz 31.12.2004.  – pēc pilnas masas;</w:t>
      </w:r>
    </w:p>
    <w:p w14:paraId="41D563F0" w14:textId="77777777" w:rsidR="00DF35F7" w:rsidRPr="00D30428" w:rsidRDefault="00DF35F7" w:rsidP="00FF31ED">
      <w:pPr>
        <w:widowControl w:val="0"/>
        <w:numPr>
          <w:ilvl w:val="0"/>
          <w:numId w:val="1"/>
        </w:numPr>
        <w:ind w:left="993" w:hanging="284"/>
        <w:contextualSpacing/>
        <w:jc w:val="both"/>
        <w:rPr>
          <w:rFonts w:cs="Times New Roman"/>
          <w:szCs w:val="24"/>
        </w:rPr>
      </w:pPr>
      <w:r w:rsidRPr="00D30428">
        <w:rPr>
          <w:rFonts w:cs="Times New Roman"/>
          <w:szCs w:val="24"/>
        </w:rPr>
        <w:t>automobiļiem, kuri pirmo reizi reģistrēti no 01.01.2005. – 31.12.2008.  – pēc pilnas masas, motora tilpuma un motora maksimālās jaudas;</w:t>
      </w:r>
    </w:p>
    <w:p w14:paraId="7C7CF9F7" w14:textId="4F9DA0EE" w:rsidR="00853CBA" w:rsidRPr="00637939" w:rsidRDefault="00DF35F7" w:rsidP="00637939">
      <w:pPr>
        <w:widowControl w:val="0"/>
        <w:numPr>
          <w:ilvl w:val="0"/>
          <w:numId w:val="1"/>
        </w:numPr>
        <w:ind w:left="993" w:hanging="284"/>
        <w:contextualSpacing/>
        <w:jc w:val="both"/>
        <w:rPr>
          <w:rFonts w:cs="Times New Roman"/>
          <w:szCs w:val="24"/>
        </w:rPr>
      </w:pPr>
      <w:r w:rsidRPr="00D30428">
        <w:rPr>
          <w:rFonts w:cs="Times New Roman"/>
          <w:szCs w:val="24"/>
        </w:rPr>
        <w:t>automobiļiem, kuri pirmo reizi reģistrēti no 01.01.2009. – pēc CO</w:t>
      </w:r>
      <w:r w:rsidRPr="00D30428">
        <w:rPr>
          <w:rFonts w:cs="Times New Roman"/>
          <w:szCs w:val="24"/>
          <w:vertAlign w:val="subscript"/>
        </w:rPr>
        <w:t>2</w:t>
      </w:r>
      <w:r w:rsidRPr="00D30428">
        <w:rPr>
          <w:rFonts w:cs="Times New Roman"/>
          <w:szCs w:val="24"/>
        </w:rPr>
        <w:t xml:space="preserve"> </w:t>
      </w:r>
      <w:proofErr w:type="spellStart"/>
      <w:r w:rsidRPr="00D30428">
        <w:rPr>
          <w:rFonts w:cs="Times New Roman"/>
          <w:szCs w:val="24"/>
        </w:rPr>
        <w:t>izmešiem</w:t>
      </w:r>
      <w:proofErr w:type="spellEnd"/>
      <w:r w:rsidR="00853CBA" w:rsidRPr="00D30428">
        <w:rPr>
          <w:rFonts w:cs="Times New Roman"/>
          <w:szCs w:val="24"/>
        </w:rPr>
        <w:t xml:space="preserve">, kas noteikti saskaņā ar NEDC </w:t>
      </w:r>
      <w:r w:rsidR="00637939" w:rsidRPr="00637939">
        <w:rPr>
          <w:rFonts w:cs="Times New Roman"/>
          <w:szCs w:val="24"/>
        </w:rPr>
        <w:t>(</w:t>
      </w:r>
      <w:proofErr w:type="spellStart"/>
      <w:r w:rsidR="00637939" w:rsidRPr="00637939">
        <w:rPr>
          <w:rFonts w:cs="Times New Roman"/>
          <w:i/>
          <w:iCs/>
          <w:szCs w:val="24"/>
        </w:rPr>
        <w:t>New</w:t>
      </w:r>
      <w:proofErr w:type="spellEnd"/>
      <w:r w:rsidR="00637939" w:rsidRPr="00637939">
        <w:rPr>
          <w:rFonts w:cs="Times New Roman"/>
          <w:i/>
          <w:iCs/>
          <w:szCs w:val="24"/>
        </w:rPr>
        <w:t xml:space="preserve"> </w:t>
      </w:r>
      <w:proofErr w:type="spellStart"/>
      <w:r w:rsidR="00637939" w:rsidRPr="00637939">
        <w:rPr>
          <w:rFonts w:cs="Times New Roman"/>
          <w:i/>
          <w:iCs/>
          <w:szCs w:val="24"/>
        </w:rPr>
        <w:t>European</w:t>
      </w:r>
      <w:proofErr w:type="spellEnd"/>
      <w:r w:rsidR="00637939" w:rsidRPr="00637939">
        <w:rPr>
          <w:rFonts w:cs="Times New Roman"/>
          <w:i/>
          <w:iCs/>
          <w:szCs w:val="24"/>
        </w:rPr>
        <w:t xml:space="preserve"> </w:t>
      </w:r>
      <w:proofErr w:type="spellStart"/>
      <w:r w:rsidR="00637939" w:rsidRPr="00637939">
        <w:rPr>
          <w:rFonts w:cs="Times New Roman"/>
          <w:i/>
          <w:iCs/>
          <w:szCs w:val="24"/>
        </w:rPr>
        <w:t>Driving</w:t>
      </w:r>
      <w:proofErr w:type="spellEnd"/>
      <w:r w:rsidR="00637939" w:rsidRPr="00637939">
        <w:rPr>
          <w:rFonts w:cs="Times New Roman"/>
          <w:i/>
          <w:iCs/>
          <w:szCs w:val="24"/>
        </w:rPr>
        <w:t xml:space="preserve"> </w:t>
      </w:r>
      <w:proofErr w:type="spellStart"/>
      <w:r w:rsidR="00637939" w:rsidRPr="00637939">
        <w:rPr>
          <w:rFonts w:cs="Times New Roman"/>
          <w:i/>
          <w:iCs/>
          <w:szCs w:val="24"/>
        </w:rPr>
        <w:t>Cycle</w:t>
      </w:r>
      <w:proofErr w:type="spellEnd"/>
      <w:r w:rsidR="00637939">
        <w:rPr>
          <w:rFonts w:cs="Times New Roman"/>
          <w:i/>
          <w:iCs/>
          <w:szCs w:val="24"/>
        </w:rPr>
        <w:t xml:space="preserve"> </w:t>
      </w:r>
      <w:r w:rsidR="00637939">
        <w:rPr>
          <w:rFonts w:cs="Times New Roman"/>
          <w:szCs w:val="24"/>
        </w:rPr>
        <w:t>–</w:t>
      </w:r>
      <w:r w:rsidR="00637939" w:rsidRPr="00637939">
        <w:rPr>
          <w:rFonts w:cs="Times New Roman"/>
          <w:szCs w:val="24"/>
        </w:rPr>
        <w:t xml:space="preserve">  Eiropas jaunā braukšanas cikla metode)</w:t>
      </w:r>
      <w:r w:rsidR="00637939">
        <w:rPr>
          <w:rFonts w:cs="Times New Roman"/>
          <w:szCs w:val="24"/>
        </w:rPr>
        <w:t xml:space="preserve"> </w:t>
      </w:r>
      <w:r w:rsidR="00853CBA" w:rsidRPr="00637939">
        <w:rPr>
          <w:rFonts w:cs="Times New Roman"/>
          <w:szCs w:val="24"/>
        </w:rPr>
        <w:t>metodi;</w:t>
      </w:r>
    </w:p>
    <w:p w14:paraId="3267D07F" w14:textId="59AF199B" w:rsidR="00DF35F7" w:rsidRPr="00D30428" w:rsidRDefault="00853CBA" w:rsidP="00FF31ED">
      <w:pPr>
        <w:widowControl w:val="0"/>
        <w:numPr>
          <w:ilvl w:val="0"/>
          <w:numId w:val="1"/>
        </w:numPr>
        <w:ind w:left="993" w:hanging="284"/>
        <w:contextualSpacing/>
        <w:jc w:val="both"/>
        <w:rPr>
          <w:rFonts w:cs="Times New Roman"/>
          <w:szCs w:val="24"/>
        </w:rPr>
      </w:pPr>
      <w:r w:rsidRPr="00D30428">
        <w:rPr>
          <w:rFonts w:cs="Times New Roman"/>
          <w:szCs w:val="24"/>
        </w:rPr>
        <w:t>automobiļiem, kuri pirmo reizi reģistrēti no 01.01.2021. – pēc CO</w:t>
      </w:r>
      <w:r w:rsidRPr="00D30428">
        <w:rPr>
          <w:rFonts w:cs="Times New Roman"/>
          <w:szCs w:val="24"/>
          <w:vertAlign w:val="subscript"/>
        </w:rPr>
        <w:t>2</w:t>
      </w:r>
      <w:r w:rsidRPr="00D30428">
        <w:rPr>
          <w:rFonts w:cs="Times New Roman"/>
          <w:szCs w:val="24"/>
        </w:rPr>
        <w:t xml:space="preserve"> </w:t>
      </w:r>
      <w:proofErr w:type="spellStart"/>
      <w:r w:rsidRPr="00D30428">
        <w:rPr>
          <w:rFonts w:cs="Times New Roman"/>
          <w:szCs w:val="24"/>
        </w:rPr>
        <w:t>izmešiem</w:t>
      </w:r>
      <w:proofErr w:type="spellEnd"/>
      <w:r w:rsidRPr="00D30428">
        <w:rPr>
          <w:rFonts w:cs="Times New Roman"/>
          <w:szCs w:val="24"/>
        </w:rPr>
        <w:t xml:space="preserve">, kas noteikti saskaņā ar WLTP </w:t>
      </w:r>
      <w:r w:rsidR="00637939" w:rsidRPr="00637939">
        <w:rPr>
          <w:rFonts w:cs="Times New Roman"/>
          <w:szCs w:val="24"/>
        </w:rPr>
        <w:t>(</w:t>
      </w:r>
      <w:proofErr w:type="spellStart"/>
      <w:r w:rsidR="00637939" w:rsidRPr="00637939">
        <w:rPr>
          <w:rFonts w:cs="Times New Roman"/>
          <w:i/>
          <w:iCs/>
          <w:szCs w:val="24"/>
        </w:rPr>
        <w:t>Worldwide</w:t>
      </w:r>
      <w:proofErr w:type="spellEnd"/>
      <w:r w:rsidR="00637939" w:rsidRPr="00637939">
        <w:rPr>
          <w:rFonts w:cs="Times New Roman"/>
          <w:i/>
          <w:iCs/>
          <w:szCs w:val="24"/>
        </w:rPr>
        <w:t xml:space="preserve"> </w:t>
      </w:r>
      <w:proofErr w:type="spellStart"/>
      <w:r w:rsidR="00637939" w:rsidRPr="00637939">
        <w:rPr>
          <w:rFonts w:cs="Times New Roman"/>
          <w:i/>
          <w:iCs/>
          <w:szCs w:val="24"/>
        </w:rPr>
        <w:t>Harmonised</w:t>
      </w:r>
      <w:proofErr w:type="spellEnd"/>
      <w:r w:rsidR="00637939" w:rsidRPr="00637939">
        <w:rPr>
          <w:rFonts w:cs="Times New Roman"/>
          <w:i/>
          <w:iCs/>
          <w:szCs w:val="24"/>
        </w:rPr>
        <w:t xml:space="preserve"> </w:t>
      </w:r>
      <w:proofErr w:type="spellStart"/>
      <w:r w:rsidR="00637939" w:rsidRPr="00637939">
        <w:rPr>
          <w:rFonts w:cs="Times New Roman"/>
          <w:i/>
          <w:iCs/>
          <w:szCs w:val="24"/>
        </w:rPr>
        <w:t>Light</w:t>
      </w:r>
      <w:proofErr w:type="spellEnd"/>
      <w:r w:rsidR="00637939" w:rsidRPr="00637939">
        <w:rPr>
          <w:rFonts w:cs="Times New Roman"/>
          <w:i/>
          <w:iCs/>
          <w:szCs w:val="24"/>
        </w:rPr>
        <w:t xml:space="preserve"> </w:t>
      </w:r>
      <w:proofErr w:type="spellStart"/>
      <w:r w:rsidR="00637939" w:rsidRPr="00637939">
        <w:rPr>
          <w:rFonts w:cs="Times New Roman"/>
          <w:i/>
          <w:iCs/>
          <w:szCs w:val="24"/>
        </w:rPr>
        <w:t>Vehicle</w:t>
      </w:r>
      <w:proofErr w:type="spellEnd"/>
      <w:r w:rsidR="00637939" w:rsidRPr="00637939">
        <w:rPr>
          <w:rFonts w:cs="Times New Roman"/>
          <w:i/>
          <w:iCs/>
          <w:szCs w:val="24"/>
        </w:rPr>
        <w:t xml:space="preserve"> Test </w:t>
      </w:r>
      <w:proofErr w:type="spellStart"/>
      <w:r w:rsidR="00637939" w:rsidRPr="00637939">
        <w:rPr>
          <w:rFonts w:cs="Times New Roman"/>
          <w:i/>
          <w:iCs/>
          <w:szCs w:val="24"/>
        </w:rPr>
        <w:t>Procedure</w:t>
      </w:r>
      <w:proofErr w:type="spellEnd"/>
      <w:r w:rsidR="00637939" w:rsidRPr="00637939">
        <w:rPr>
          <w:rFonts w:cs="Times New Roman"/>
          <w:szCs w:val="24"/>
        </w:rPr>
        <w:t xml:space="preserve"> </w:t>
      </w:r>
      <w:r w:rsidR="00637939">
        <w:rPr>
          <w:rFonts w:cs="Times New Roman"/>
          <w:szCs w:val="24"/>
        </w:rPr>
        <w:t>–</w:t>
      </w:r>
      <w:r w:rsidR="00637939" w:rsidRPr="00637939">
        <w:rPr>
          <w:rFonts w:cs="Times New Roman"/>
          <w:szCs w:val="24"/>
        </w:rPr>
        <w:t xml:space="preserve">  </w:t>
      </w:r>
      <w:r w:rsidR="00637939">
        <w:rPr>
          <w:rFonts w:cs="Times New Roman"/>
          <w:szCs w:val="24"/>
        </w:rPr>
        <w:t>P</w:t>
      </w:r>
      <w:r w:rsidR="00637939" w:rsidRPr="00637939">
        <w:rPr>
          <w:rFonts w:cs="Times New Roman"/>
          <w:szCs w:val="24"/>
        </w:rPr>
        <w:t>asaulē saskaņotā vieglo transportlīdzekļu testēšanas procedūra)</w:t>
      </w:r>
      <w:r w:rsidR="00637939">
        <w:rPr>
          <w:rFonts w:cs="Times New Roman"/>
          <w:szCs w:val="24"/>
        </w:rPr>
        <w:t xml:space="preserve"> </w:t>
      </w:r>
      <w:r w:rsidRPr="00D30428">
        <w:rPr>
          <w:rFonts w:cs="Times New Roman"/>
          <w:szCs w:val="24"/>
        </w:rPr>
        <w:t>metodi</w:t>
      </w:r>
      <w:r w:rsidR="00DF35F7" w:rsidRPr="00D30428">
        <w:rPr>
          <w:rFonts w:cs="Times New Roman"/>
          <w:szCs w:val="24"/>
        </w:rPr>
        <w:t>.</w:t>
      </w:r>
    </w:p>
    <w:p w14:paraId="28D844B4" w14:textId="77777777" w:rsidR="00DF35F7" w:rsidRPr="00D30428" w:rsidRDefault="00DF35F7" w:rsidP="00DF35F7">
      <w:pPr>
        <w:ind w:firstLine="709"/>
        <w:jc w:val="both"/>
        <w:rPr>
          <w:szCs w:val="24"/>
        </w:rPr>
      </w:pPr>
    </w:p>
    <w:p w14:paraId="70DD133F" w14:textId="7CBF9AA1" w:rsidR="00B014E6" w:rsidRPr="00D30428" w:rsidRDefault="00DF35F7" w:rsidP="00A468EA">
      <w:pPr>
        <w:spacing w:after="80"/>
        <w:ind w:firstLine="567"/>
        <w:jc w:val="both"/>
        <w:rPr>
          <w:szCs w:val="24"/>
        </w:rPr>
      </w:pPr>
      <w:r w:rsidRPr="00D30428">
        <w:rPr>
          <w:szCs w:val="24"/>
        </w:rPr>
        <w:t>Tā kā pēdējā TEN pārskatīšana tika veikta 2021. gadā, ieviešot TEN aprēķināšanu, ņemot vērā CO</w:t>
      </w:r>
      <w:r w:rsidRPr="00D30428">
        <w:rPr>
          <w:szCs w:val="24"/>
          <w:vertAlign w:val="subscript"/>
        </w:rPr>
        <w:t>2</w:t>
      </w:r>
      <w:r w:rsidRPr="00D30428">
        <w:rPr>
          <w:szCs w:val="24"/>
        </w:rPr>
        <w:t xml:space="preserve"> izmešus pēc WLTP metodes, </w:t>
      </w:r>
      <w:r w:rsidR="00D30428" w:rsidRPr="00D30428">
        <w:rPr>
          <w:b/>
          <w:bCs/>
          <w:szCs w:val="24"/>
        </w:rPr>
        <w:t>plānots</w:t>
      </w:r>
      <w:r w:rsidRPr="00D30428">
        <w:rPr>
          <w:b/>
          <w:bCs/>
          <w:szCs w:val="24"/>
        </w:rPr>
        <w:t xml:space="preserve"> indeksēt TEN likmes </w:t>
      </w:r>
      <w:r w:rsidR="003B3E01" w:rsidRPr="00D30428">
        <w:rPr>
          <w:b/>
          <w:bCs/>
          <w:szCs w:val="24"/>
        </w:rPr>
        <w:t xml:space="preserve">vidēji </w:t>
      </w:r>
      <w:r w:rsidR="00914988" w:rsidRPr="00D30428">
        <w:rPr>
          <w:b/>
          <w:bCs/>
          <w:szCs w:val="24"/>
        </w:rPr>
        <w:t>par</w:t>
      </w:r>
      <w:r w:rsidR="00914988" w:rsidRPr="00D30428">
        <w:rPr>
          <w:szCs w:val="24"/>
        </w:rPr>
        <w:t xml:space="preserve"> </w:t>
      </w:r>
      <w:r w:rsidR="00914988" w:rsidRPr="00D30428">
        <w:rPr>
          <w:b/>
          <w:bCs/>
          <w:color w:val="FF0000"/>
          <w:szCs w:val="24"/>
        </w:rPr>
        <w:t>10%</w:t>
      </w:r>
      <w:r w:rsidR="00914988" w:rsidRPr="00D30428">
        <w:rPr>
          <w:szCs w:val="24"/>
        </w:rPr>
        <w:t xml:space="preserve"> </w:t>
      </w:r>
      <w:r w:rsidRPr="00D30428">
        <w:rPr>
          <w:b/>
          <w:bCs/>
          <w:szCs w:val="24"/>
        </w:rPr>
        <w:t>visiem transportlīdzekļiem</w:t>
      </w:r>
      <w:r w:rsidRPr="00D30428">
        <w:rPr>
          <w:szCs w:val="24"/>
        </w:rPr>
        <w:t xml:space="preserve">. </w:t>
      </w:r>
    </w:p>
    <w:p w14:paraId="3E4AE29A" w14:textId="4E3AF476" w:rsidR="00705B60" w:rsidRPr="00D30428" w:rsidRDefault="00D1119D" w:rsidP="00A468EA">
      <w:pPr>
        <w:spacing w:after="80"/>
        <w:ind w:firstLine="567"/>
        <w:jc w:val="both"/>
        <w:rPr>
          <w:rFonts w:eastAsia="Times New Roman" w:cs="Times New Roman"/>
          <w:szCs w:val="24"/>
          <w:lang w:eastAsia="lv-LV"/>
        </w:rPr>
      </w:pPr>
      <w:r w:rsidRPr="00D30428">
        <w:rPr>
          <w:szCs w:val="24"/>
        </w:rPr>
        <w:t>Ņemot vērā to, ka, sākot ar 2025.</w:t>
      </w:r>
      <w:r w:rsidR="00B014E6" w:rsidRPr="00D30428">
        <w:rPr>
          <w:szCs w:val="24"/>
        </w:rPr>
        <w:t xml:space="preserve"> </w:t>
      </w:r>
      <w:r w:rsidRPr="00D30428">
        <w:rPr>
          <w:szCs w:val="24"/>
        </w:rPr>
        <w:t>gada 1.</w:t>
      </w:r>
      <w:r w:rsidR="00B014E6" w:rsidRPr="00D30428">
        <w:t> </w:t>
      </w:r>
      <w:r w:rsidRPr="00D30428">
        <w:rPr>
          <w:szCs w:val="24"/>
        </w:rPr>
        <w:t>janvāri</w:t>
      </w:r>
      <w:r w:rsidR="00B014E6" w:rsidRPr="00D30428">
        <w:rPr>
          <w:szCs w:val="24"/>
        </w:rPr>
        <w:t>,</w:t>
      </w:r>
      <w:r w:rsidRPr="00D30428">
        <w:rPr>
          <w:szCs w:val="24"/>
        </w:rPr>
        <w:t xml:space="preserve"> </w:t>
      </w:r>
      <w:r w:rsidRPr="00D30428">
        <w:rPr>
          <w:i/>
          <w:iCs/>
          <w:szCs w:val="24"/>
        </w:rPr>
        <w:t>Ceļu satiksmes likumā</w:t>
      </w:r>
      <w:r w:rsidRPr="00D30428">
        <w:rPr>
          <w:szCs w:val="24"/>
        </w:rPr>
        <w:t xml:space="preserve"> stāsies spēkā norma, kura noteiks, ka Latvijā un ārvalstīs iepriekš nereģistrētam vieglajam automobilim pirmreizējo valsts tehnisko apskati veiks ne vēlāk kā 36 mēnešus pēc tam, kad attiecīgais transportlīdzeklis pirmoreiz reģistrēts Latvijā, savukārt otro, trešo un ceturto valsts tehnisko apskati veiks ik pēc 24 mēnešiem, kā arī to, ka transportlīdzekļu īpašnieki pārsvarā TEN maksā pirms transportlīdzekļa valsts tehniskās apskates iziešanas, tad, lai nodoklis tiktu maksāts regulāri </w:t>
      </w:r>
      <w:r w:rsidR="00B014E6" w:rsidRPr="00D30428">
        <w:rPr>
          <w:szCs w:val="24"/>
        </w:rPr>
        <w:t>–</w:t>
      </w:r>
      <w:r w:rsidRPr="00D30428">
        <w:rPr>
          <w:szCs w:val="24"/>
        </w:rPr>
        <w:t xml:space="preserve"> katru gadu </w:t>
      </w:r>
      <w:r w:rsidR="00B014E6" w:rsidRPr="00D30428">
        <w:rPr>
          <w:szCs w:val="24"/>
        </w:rPr>
        <w:t>–</w:t>
      </w:r>
      <w:r w:rsidRPr="00D30428">
        <w:rPr>
          <w:szCs w:val="24"/>
        </w:rPr>
        <w:t xml:space="preserve"> paredzēts noteikt TEN samaksas termiņu</w:t>
      </w:r>
      <w:r w:rsidR="007E2389">
        <w:rPr>
          <w:szCs w:val="24"/>
        </w:rPr>
        <w:t>, t.i., kalendārajam gadam sekojošā gada 31.janvāri</w:t>
      </w:r>
      <w:r w:rsidRPr="00D30428">
        <w:rPr>
          <w:szCs w:val="24"/>
        </w:rPr>
        <w:t>. Papildus tiks noteikts</w:t>
      </w:r>
      <w:r w:rsidR="00705B60" w:rsidRPr="00D30428">
        <w:rPr>
          <w:rFonts w:eastAsia="Times New Roman" w:cs="Times New Roman"/>
          <w:szCs w:val="24"/>
          <w:lang w:eastAsia="lv-LV"/>
        </w:rPr>
        <w:t xml:space="preserve">, ka CSDD sūtīs </w:t>
      </w:r>
      <w:r w:rsidR="007E2389">
        <w:rPr>
          <w:rFonts w:eastAsia="Times New Roman" w:cs="Times New Roman"/>
          <w:szCs w:val="24"/>
          <w:lang w:eastAsia="lv-LV"/>
        </w:rPr>
        <w:t>informatīvo paziņojumu</w:t>
      </w:r>
      <w:r w:rsidR="00705B60" w:rsidRPr="00D30428">
        <w:rPr>
          <w:rFonts w:eastAsia="Times New Roman" w:cs="Times New Roman"/>
          <w:szCs w:val="24"/>
          <w:lang w:eastAsia="lv-LV"/>
        </w:rPr>
        <w:t xml:space="preserve"> tiem nodokļa maksātājiem, kuri nebūs līdz gada beigām samaksājuši TEN un līdz ar to CSDD radīsies </w:t>
      </w:r>
      <w:r w:rsidR="0076264D">
        <w:rPr>
          <w:rFonts w:eastAsia="Times New Roman" w:cs="Times New Roman"/>
          <w:szCs w:val="24"/>
          <w:lang w:eastAsia="lv-LV"/>
        </w:rPr>
        <w:t xml:space="preserve">papildu </w:t>
      </w:r>
      <w:r w:rsidR="00705B60" w:rsidRPr="00D30428">
        <w:rPr>
          <w:rFonts w:eastAsia="Times New Roman" w:cs="Times New Roman"/>
          <w:szCs w:val="24"/>
          <w:lang w:eastAsia="lv-LV"/>
        </w:rPr>
        <w:t xml:space="preserve">izdevumi. Pēc šī brīža CSDD sniegtās informācijas, tie varētu būt aptuveni 90 000 </w:t>
      </w:r>
      <w:r w:rsidR="00705B60" w:rsidRPr="00D30428">
        <w:rPr>
          <w:rFonts w:eastAsia="Times New Roman" w:cs="Times New Roman"/>
          <w:i/>
          <w:iCs/>
          <w:szCs w:val="24"/>
          <w:lang w:eastAsia="lv-LV"/>
        </w:rPr>
        <w:t>euro</w:t>
      </w:r>
      <w:r w:rsidR="00705B60" w:rsidRPr="00D30428">
        <w:rPr>
          <w:rFonts w:eastAsia="Times New Roman" w:cs="Times New Roman"/>
          <w:szCs w:val="24"/>
          <w:lang w:eastAsia="lv-LV"/>
        </w:rPr>
        <w:t xml:space="preserve"> katru gadu, sākot no 2026.</w:t>
      </w:r>
      <w:r w:rsidR="00B014E6" w:rsidRPr="00D30428">
        <w:rPr>
          <w:rFonts w:eastAsia="Times New Roman" w:cs="Times New Roman"/>
          <w:szCs w:val="24"/>
          <w:lang w:eastAsia="lv-LV"/>
        </w:rPr>
        <w:t xml:space="preserve"> </w:t>
      </w:r>
      <w:r w:rsidR="00705B60" w:rsidRPr="00D30428">
        <w:rPr>
          <w:rFonts w:eastAsia="Times New Roman" w:cs="Times New Roman"/>
          <w:szCs w:val="24"/>
          <w:lang w:eastAsia="lv-LV"/>
        </w:rPr>
        <w:t>gada, savukārt 2025.</w:t>
      </w:r>
      <w:r w:rsidR="00B014E6" w:rsidRPr="00D30428">
        <w:rPr>
          <w:rFonts w:eastAsia="Times New Roman" w:cs="Times New Roman"/>
          <w:szCs w:val="24"/>
          <w:lang w:eastAsia="lv-LV"/>
        </w:rPr>
        <w:t> </w:t>
      </w:r>
      <w:r w:rsidR="00705B60" w:rsidRPr="00D30428">
        <w:rPr>
          <w:rFonts w:eastAsia="Times New Roman" w:cs="Times New Roman"/>
          <w:szCs w:val="24"/>
          <w:lang w:eastAsia="lv-LV"/>
        </w:rPr>
        <w:t xml:space="preserve">gadā aptuveni 11 000 </w:t>
      </w:r>
      <w:r w:rsidR="00705B60" w:rsidRPr="00D30428">
        <w:rPr>
          <w:rFonts w:eastAsia="Times New Roman" w:cs="Times New Roman"/>
          <w:i/>
          <w:iCs/>
          <w:szCs w:val="24"/>
          <w:lang w:eastAsia="lv-LV"/>
        </w:rPr>
        <w:t>euro</w:t>
      </w:r>
      <w:r w:rsidR="00705B60" w:rsidRPr="00D30428">
        <w:rPr>
          <w:rFonts w:eastAsia="Times New Roman" w:cs="Times New Roman"/>
          <w:szCs w:val="24"/>
          <w:lang w:eastAsia="lv-LV"/>
        </w:rPr>
        <w:t xml:space="preserve">. </w:t>
      </w:r>
    </w:p>
    <w:p w14:paraId="459F31B6" w14:textId="55BDAB06" w:rsidR="00CB1CDF" w:rsidRPr="00D30428" w:rsidRDefault="006F5E64" w:rsidP="00CB1CDF">
      <w:pPr>
        <w:spacing w:after="120"/>
        <w:jc w:val="center"/>
        <w:rPr>
          <w:rFonts w:cs="Times New Roman"/>
          <w:sz w:val="20"/>
        </w:rPr>
      </w:pPr>
      <w:r w:rsidRPr="00D30428">
        <w:rPr>
          <w:rFonts w:cs="Times New Roman"/>
          <w:sz w:val="20"/>
        </w:rPr>
        <w:t>3</w:t>
      </w:r>
      <w:r w:rsidR="00725CD9">
        <w:rPr>
          <w:rFonts w:cs="Times New Roman"/>
          <w:sz w:val="20"/>
        </w:rPr>
        <w:t>2</w:t>
      </w:r>
      <w:r w:rsidR="00CB1CDF" w:rsidRPr="00D30428">
        <w:rPr>
          <w:rFonts w:cs="Times New Roman"/>
          <w:sz w:val="20"/>
        </w:rPr>
        <w:t>.tab</w:t>
      </w:r>
      <w:r w:rsidR="00CB1CDF" w:rsidRPr="00D30428">
        <w:rPr>
          <w:rFonts w:cs="Times New Roman"/>
          <w:bCs/>
          <w:sz w:val="20"/>
        </w:rPr>
        <w:t>.</w:t>
      </w:r>
      <w:r w:rsidR="00CB1CDF" w:rsidRPr="00D30428">
        <w:rPr>
          <w:rFonts w:cs="Times New Roman"/>
          <w:b/>
          <w:sz w:val="20"/>
        </w:rPr>
        <w:t xml:space="preserve"> Priekšlikuma indikatīva fiskālā ietekme</w:t>
      </w:r>
      <w:r w:rsidR="00CB1CDF" w:rsidRPr="00D30428">
        <w:rPr>
          <w:rFonts w:cs="Times New Roman"/>
          <w:bCs/>
          <w:sz w:val="20"/>
        </w:rPr>
        <w:t>,</w:t>
      </w:r>
      <w:r w:rsidR="00CB1CDF" w:rsidRPr="00D30428">
        <w:rPr>
          <w:rFonts w:cs="Times New Roman"/>
          <w:bCs/>
          <w:i/>
          <w:iCs/>
          <w:sz w:val="20"/>
        </w:rPr>
        <w:t> euro</w:t>
      </w:r>
    </w:p>
    <w:tbl>
      <w:tblPr>
        <w:tblStyle w:val="TableGrid"/>
        <w:tblW w:w="9067" w:type="dxa"/>
        <w:tblInd w:w="5" w:type="dxa"/>
        <w:tblLook w:val="04A0" w:firstRow="1" w:lastRow="0" w:firstColumn="1" w:lastColumn="0" w:noHBand="0" w:noVBand="1"/>
      </w:tblPr>
      <w:tblGrid>
        <w:gridCol w:w="3672"/>
        <w:gridCol w:w="1376"/>
        <w:gridCol w:w="1375"/>
        <w:gridCol w:w="1375"/>
        <w:gridCol w:w="1269"/>
      </w:tblGrid>
      <w:tr w:rsidR="00CB1CDF" w:rsidRPr="00D30428" w14:paraId="29F0BD53" w14:textId="77777777" w:rsidTr="00005BE2">
        <w:tc>
          <w:tcPr>
            <w:tcW w:w="3672" w:type="dxa"/>
            <w:tcBorders>
              <w:top w:val="nil"/>
              <w:left w:val="nil"/>
              <w:bottom w:val="single" w:sz="8" w:space="0" w:color="auto"/>
              <w:right w:val="nil"/>
            </w:tcBorders>
            <w:shd w:val="clear" w:color="auto" w:fill="FFFFFF" w:themeFill="background1"/>
          </w:tcPr>
          <w:p w14:paraId="0742E159" w14:textId="77777777" w:rsidR="00CB1CDF" w:rsidRPr="00D30428" w:rsidRDefault="00CB1CDF" w:rsidP="00005BE2">
            <w:pPr>
              <w:pStyle w:val="ListParagraph"/>
              <w:ind w:left="0"/>
              <w:contextualSpacing w:val="0"/>
              <w:jc w:val="center"/>
              <w:rPr>
                <w:b/>
                <w:bCs/>
                <w:sz w:val="20"/>
                <w:szCs w:val="20"/>
              </w:rPr>
            </w:pPr>
          </w:p>
        </w:tc>
        <w:tc>
          <w:tcPr>
            <w:tcW w:w="1376" w:type="dxa"/>
            <w:tcBorders>
              <w:top w:val="nil"/>
              <w:left w:val="nil"/>
              <w:bottom w:val="single" w:sz="8" w:space="0" w:color="auto"/>
              <w:right w:val="nil"/>
            </w:tcBorders>
            <w:shd w:val="clear" w:color="auto" w:fill="FFFFFF" w:themeFill="background1"/>
            <w:vAlign w:val="bottom"/>
          </w:tcPr>
          <w:p w14:paraId="2BCBB8B9" w14:textId="77777777" w:rsidR="00CB1CDF" w:rsidRPr="00D30428" w:rsidRDefault="00CB1CDF" w:rsidP="00005BE2">
            <w:pPr>
              <w:pStyle w:val="ListParagraph"/>
              <w:ind w:left="0"/>
              <w:contextualSpacing w:val="0"/>
              <w:jc w:val="center"/>
              <w:rPr>
                <w:b/>
                <w:bCs/>
                <w:sz w:val="20"/>
                <w:szCs w:val="20"/>
              </w:rPr>
            </w:pPr>
            <w:r w:rsidRPr="00D30428">
              <w:rPr>
                <w:b/>
                <w:bCs/>
                <w:sz w:val="20"/>
                <w:szCs w:val="20"/>
              </w:rPr>
              <w:t>2025</w:t>
            </w:r>
          </w:p>
        </w:tc>
        <w:tc>
          <w:tcPr>
            <w:tcW w:w="1375" w:type="dxa"/>
            <w:tcBorders>
              <w:top w:val="nil"/>
              <w:left w:val="nil"/>
              <w:bottom w:val="single" w:sz="8" w:space="0" w:color="auto"/>
              <w:right w:val="nil"/>
            </w:tcBorders>
            <w:shd w:val="clear" w:color="auto" w:fill="FFFFFF" w:themeFill="background1"/>
            <w:vAlign w:val="bottom"/>
          </w:tcPr>
          <w:p w14:paraId="417A5D2F" w14:textId="77777777" w:rsidR="00CB1CDF" w:rsidRPr="00D30428" w:rsidRDefault="00CB1CDF" w:rsidP="00005BE2">
            <w:pPr>
              <w:pStyle w:val="ListParagraph"/>
              <w:ind w:left="0"/>
              <w:contextualSpacing w:val="0"/>
              <w:jc w:val="center"/>
              <w:rPr>
                <w:b/>
                <w:bCs/>
                <w:sz w:val="20"/>
                <w:szCs w:val="20"/>
              </w:rPr>
            </w:pPr>
            <w:r w:rsidRPr="00D30428">
              <w:rPr>
                <w:b/>
                <w:bCs/>
                <w:sz w:val="20"/>
                <w:szCs w:val="20"/>
              </w:rPr>
              <w:t>2026</w:t>
            </w:r>
          </w:p>
        </w:tc>
        <w:tc>
          <w:tcPr>
            <w:tcW w:w="1375" w:type="dxa"/>
            <w:tcBorders>
              <w:top w:val="nil"/>
              <w:left w:val="nil"/>
              <w:bottom w:val="single" w:sz="8" w:space="0" w:color="auto"/>
              <w:right w:val="nil"/>
            </w:tcBorders>
            <w:shd w:val="clear" w:color="auto" w:fill="FFFFFF" w:themeFill="background1"/>
            <w:vAlign w:val="bottom"/>
          </w:tcPr>
          <w:p w14:paraId="0E55B4F6" w14:textId="77777777" w:rsidR="00CB1CDF" w:rsidRPr="00D30428" w:rsidRDefault="00CB1CDF" w:rsidP="00005BE2">
            <w:pPr>
              <w:pStyle w:val="ListParagraph"/>
              <w:ind w:left="0"/>
              <w:contextualSpacing w:val="0"/>
              <w:jc w:val="center"/>
              <w:rPr>
                <w:b/>
                <w:bCs/>
                <w:sz w:val="20"/>
                <w:szCs w:val="20"/>
              </w:rPr>
            </w:pPr>
            <w:r w:rsidRPr="00D30428">
              <w:rPr>
                <w:b/>
                <w:bCs/>
                <w:sz w:val="20"/>
                <w:szCs w:val="20"/>
              </w:rPr>
              <w:t>2027</w:t>
            </w:r>
          </w:p>
        </w:tc>
        <w:tc>
          <w:tcPr>
            <w:tcW w:w="1269" w:type="dxa"/>
            <w:tcBorders>
              <w:top w:val="nil"/>
              <w:left w:val="nil"/>
              <w:bottom w:val="single" w:sz="8" w:space="0" w:color="auto"/>
              <w:right w:val="nil"/>
            </w:tcBorders>
            <w:shd w:val="clear" w:color="auto" w:fill="FFFFFF" w:themeFill="background1"/>
          </w:tcPr>
          <w:p w14:paraId="090BEF87" w14:textId="77777777" w:rsidR="00CB1CDF" w:rsidRPr="00D30428" w:rsidRDefault="00CB1CDF" w:rsidP="00005BE2">
            <w:pPr>
              <w:pStyle w:val="ListParagraph"/>
              <w:ind w:left="0"/>
              <w:contextualSpacing w:val="0"/>
              <w:jc w:val="center"/>
              <w:rPr>
                <w:b/>
                <w:bCs/>
                <w:sz w:val="20"/>
                <w:szCs w:val="20"/>
              </w:rPr>
            </w:pPr>
            <w:r w:rsidRPr="00D30428">
              <w:rPr>
                <w:b/>
                <w:bCs/>
                <w:sz w:val="20"/>
                <w:szCs w:val="20"/>
              </w:rPr>
              <w:t>2028</w:t>
            </w:r>
          </w:p>
        </w:tc>
      </w:tr>
      <w:tr w:rsidR="00895713" w:rsidRPr="00D30428" w14:paraId="7B20F595" w14:textId="77777777" w:rsidTr="00005BE2">
        <w:tc>
          <w:tcPr>
            <w:tcW w:w="3672" w:type="dxa"/>
            <w:tcBorders>
              <w:top w:val="single" w:sz="8" w:space="0" w:color="auto"/>
              <w:left w:val="nil"/>
              <w:bottom w:val="single" w:sz="4" w:space="0" w:color="auto"/>
            </w:tcBorders>
            <w:shd w:val="clear" w:color="auto" w:fill="E7E6E6" w:themeFill="background2"/>
            <w:vAlign w:val="center"/>
          </w:tcPr>
          <w:p w14:paraId="139BE43C" w14:textId="412D55E9" w:rsidR="00895713" w:rsidRPr="00D30428" w:rsidRDefault="00895713" w:rsidP="00895713">
            <w:pPr>
              <w:pStyle w:val="ListParagraph"/>
              <w:ind w:left="0"/>
              <w:contextualSpacing w:val="0"/>
              <w:jc w:val="left"/>
              <w:rPr>
                <w:b/>
                <w:bCs/>
                <w:sz w:val="20"/>
                <w:szCs w:val="20"/>
              </w:rPr>
            </w:pPr>
            <w:r w:rsidRPr="00D30428">
              <w:rPr>
                <w:b/>
                <w:bCs/>
                <w:sz w:val="20"/>
                <w:szCs w:val="20"/>
              </w:rPr>
              <w:t>TEN ieņēmumi</w:t>
            </w:r>
            <w:r w:rsidRPr="00D30428">
              <w:rPr>
                <w:i/>
                <w:iCs/>
                <w:sz w:val="20"/>
                <w:szCs w:val="20"/>
              </w:rPr>
              <w:t>, no tā:</w:t>
            </w:r>
          </w:p>
        </w:tc>
        <w:tc>
          <w:tcPr>
            <w:tcW w:w="1376" w:type="dxa"/>
            <w:tcBorders>
              <w:top w:val="single" w:sz="8" w:space="0" w:color="auto"/>
              <w:bottom w:val="single" w:sz="4" w:space="0" w:color="auto"/>
            </w:tcBorders>
            <w:shd w:val="clear" w:color="auto" w:fill="E7E6E6" w:themeFill="background2"/>
            <w:vAlign w:val="center"/>
          </w:tcPr>
          <w:p w14:paraId="5E8F856C" w14:textId="4B7F0D28" w:rsidR="00895713" w:rsidRPr="00D30428" w:rsidRDefault="00895713" w:rsidP="00895713">
            <w:pPr>
              <w:pStyle w:val="ListParagraph"/>
              <w:ind w:left="0"/>
              <w:contextualSpacing w:val="0"/>
              <w:jc w:val="center"/>
              <w:rPr>
                <w:b/>
                <w:bCs/>
                <w:color w:val="00B050"/>
                <w:sz w:val="20"/>
                <w:szCs w:val="18"/>
              </w:rPr>
            </w:pPr>
            <w:r w:rsidRPr="00D30428">
              <w:rPr>
                <w:b/>
                <w:bCs/>
                <w:color w:val="00B050"/>
                <w:sz w:val="20"/>
                <w:szCs w:val="18"/>
              </w:rPr>
              <w:t>+11 384 000</w:t>
            </w:r>
          </w:p>
        </w:tc>
        <w:tc>
          <w:tcPr>
            <w:tcW w:w="1375" w:type="dxa"/>
            <w:tcBorders>
              <w:top w:val="single" w:sz="8" w:space="0" w:color="auto"/>
              <w:bottom w:val="single" w:sz="4" w:space="0" w:color="auto"/>
            </w:tcBorders>
            <w:shd w:val="clear" w:color="auto" w:fill="E7E6E6" w:themeFill="background2"/>
            <w:vAlign w:val="center"/>
          </w:tcPr>
          <w:p w14:paraId="42FE5FD8" w14:textId="64288CB9" w:rsidR="00895713" w:rsidRPr="00D30428" w:rsidRDefault="00895713" w:rsidP="00895713">
            <w:pPr>
              <w:pStyle w:val="ListParagraph"/>
              <w:ind w:left="0"/>
              <w:contextualSpacing w:val="0"/>
              <w:jc w:val="center"/>
              <w:rPr>
                <w:b/>
                <w:bCs/>
                <w:color w:val="00B050"/>
                <w:sz w:val="20"/>
                <w:szCs w:val="18"/>
              </w:rPr>
            </w:pPr>
            <w:r w:rsidRPr="00D30428">
              <w:rPr>
                <w:b/>
                <w:bCs/>
                <w:color w:val="00B050"/>
                <w:sz w:val="20"/>
                <w:szCs w:val="18"/>
              </w:rPr>
              <w:t>+12 014 000</w:t>
            </w:r>
          </w:p>
        </w:tc>
        <w:tc>
          <w:tcPr>
            <w:tcW w:w="1375" w:type="dxa"/>
            <w:tcBorders>
              <w:top w:val="single" w:sz="8" w:space="0" w:color="auto"/>
              <w:bottom w:val="single" w:sz="4" w:space="0" w:color="auto"/>
            </w:tcBorders>
            <w:shd w:val="clear" w:color="auto" w:fill="E7E6E6" w:themeFill="background2"/>
            <w:vAlign w:val="center"/>
          </w:tcPr>
          <w:p w14:paraId="33AFB29E" w14:textId="02AB8335" w:rsidR="00895713" w:rsidRPr="00D30428" w:rsidRDefault="00895713" w:rsidP="00895713">
            <w:pPr>
              <w:pStyle w:val="ListParagraph"/>
              <w:ind w:left="0"/>
              <w:contextualSpacing w:val="0"/>
              <w:jc w:val="center"/>
              <w:rPr>
                <w:b/>
                <w:bCs/>
                <w:color w:val="00B050"/>
                <w:sz w:val="20"/>
                <w:szCs w:val="18"/>
              </w:rPr>
            </w:pPr>
            <w:r w:rsidRPr="00D30428">
              <w:rPr>
                <w:b/>
                <w:bCs/>
                <w:color w:val="00B050"/>
                <w:sz w:val="20"/>
                <w:szCs w:val="18"/>
              </w:rPr>
              <w:t>+12 659 000</w:t>
            </w:r>
          </w:p>
        </w:tc>
        <w:tc>
          <w:tcPr>
            <w:tcW w:w="1269" w:type="dxa"/>
            <w:tcBorders>
              <w:top w:val="single" w:sz="8" w:space="0" w:color="auto"/>
              <w:bottom w:val="single" w:sz="4" w:space="0" w:color="auto"/>
              <w:right w:val="nil"/>
            </w:tcBorders>
            <w:shd w:val="clear" w:color="auto" w:fill="E7E6E6" w:themeFill="background2"/>
            <w:vAlign w:val="center"/>
          </w:tcPr>
          <w:p w14:paraId="7664265F" w14:textId="08D52E3F" w:rsidR="00895713" w:rsidRPr="00D30428" w:rsidRDefault="00895713" w:rsidP="00895713">
            <w:pPr>
              <w:pStyle w:val="ListParagraph"/>
              <w:ind w:left="0"/>
              <w:contextualSpacing w:val="0"/>
              <w:jc w:val="center"/>
              <w:rPr>
                <w:b/>
                <w:bCs/>
                <w:color w:val="00B050"/>
                <w:sz w:val="20"/>
                <w:szCs w:val="18"/>
              </w:rPr>
            </w:pPr>
            <w:r w:rsidRPr="00D30428">
              <w:rPr>
                <w:b/>
                <w:bCs/>
                <w:color w:val="00B050"/>
                <w:sz w:val="20"/>
                <w:szCs w:val="18"/>
              </w:rPr>
              <w:t>+13 301 000</w:t>
            </w:r>
          </w:p>
        </w:tc>
      </w:tr>
      <w:tr w:rsidR="00895713" w:rsidRPr="00D30428" w14:paraId="2A0032FD" w14:textId="77777777" w:rsidTr="00005BE2">
        <w:tc>
          <w:tcPr>
            <w:tcW w:w="3672" w:type="dxa"/>
            <w:tcBorders>
              <w:left w:val="nil"/>
              <w:bottom w:val="nil"/>
            </w:tcBorders>
            <w:shd w:val="clear" w:color="auto" w:fill="FFFFFF" w:themeFill="background1"/>
            <w:vAlign w:val="center"/>
          </w:tcPr>
          <w:p w14:paraId="3A7A44B3" w14:textId="77777777" w:rsidR="00895713" w:rsidRPr="00D30428" w:rsidRDefault="00895713" w:rsidP="00895713">
            <w:pPr>
              <w:pStyle w:val="ListParagraph"/>
              <w:numPr>
                <w:ilvl w:val="0"/>
                <w:numId w:val="9"/>
              </w:numPr>
              <w:tabs>
                <w:tab w:val="clear" w:pos="720"/>
                <w:tab w:val="num" w:pos="306"/>
              </w:tabs>
              <w:ind w:hanging="698"/>
              <w:contextualSpacing w:val="0"/>
              <w:jc w:val="left"/>
              <w:rPr>
                <w:i/>
                <w:iCs/>
                <w:sz w:val="18"/>
                <w:szCs w:val="18"/>
              </w:rPr>
            </w:pPr>
            <w:r w:rsidRPr="00D30428">
              <w:rPr>
                <w:i/>
                <w:iCs/>
                <w:sz w:val="18"/>
                <w:szCs w:val="18"/>
              </w:rPr>
              <w:t>valsts pamatbudžetā</w:t>
            </w:r>
          </w:p>
        </w:tc>
        <w:tc>
          <w:tcPr>
            <w:tcW w:w="1376" w:type="dxa"/>
            <w:tcBorders>
              <w:bottom w:val="nil"/>
            </w:tcBorders>
            <w:shd w:val="clear" w:color="auto" w:fill="FFFFFF" w:themeFill="background1"/>
            <w:vAlign w:val="center"/>
          </w:tcPr>
          <w:p w14:paraId="7FAA4C55" w14:textId="56DC20FF" w:rsidR="00895713" w:rsidRPr="00D30428" w:rsidRDefault="00895713" w:rsidP="00895713">
            <w:pPr>
              <w:pStyle w:val="ListParagraph"/>
              <w:ind w:left="0"/>
              <w:contextualSpacing w:val="0"/>
              <w:jc w:val="center"/>
              <w:rPr>
                <w:i/>
                <w:iCs/>
                <w:color w:val="00B050"/>
                <w:sz w:val="18"/>
                <w:szCs w:val="18"/>
              </w:rPr>
            </w:pPr>
            <w:r w:rsidRPr="00D30428">
              <w:rPr>
                <w:i/>
                <w:iCs/>
                <w:color w:val="00B050"/>
                <w:sz w:val="20"/>
                <w:szCs w:val="18"/>
              </w:rPr>
              <w:t>+11 384 000</w:t>
            </w:r>
          </w:p>
        </w:tc>
        <w:tc>
          <w:tcPr>
            <w:tcW w:w="1375" w:type="dxa"/>
            <w:tcBorders>
              <w:bottom w:val="nil"/>
            </w:tcBorders>
            <w:shd w:val="clear" w:color="auto" w:fill="FFFFFF" w:themeFill="background1"/>
            <w:vAlign w:val="center"/>
          </w:tcPr>
          <w:p w14:paraId="433F59C1" w14:textId="27F6E4B1" w:rsidR="00895713" w:rsidRPr="00D30428" w:rsidRDefault="00895713" w:rsidP="00895713">
            <w:pPr>
              <w:pStyle w:val="ListParagraph"/>
              <w:ind w:left="0"/>
              <w:contextualSpacing w:val="0"/>
              <w:jc w:val="center"/>
              <w:rPr>
                <w:i/>
                <w:iCs/>
                <w:color w:val="00B050"/>
                <w:sz w:val="18"/>
                <w:szCs w:val="18"/>
              </w:rPr>
            </w:pPr>
            <w:r w:rsidRPr="00D30428">
              <w:rPr>
                <w:i/>
                <w:iCs/>
                <w:color w:val="00B050"/>
                <w:sz w:val="20"/>
                <w:szCs w:val="18"/>
              </w:rPr>
              <w:t>+12 014 000</w:t>
            </w:r>
          </w:p>
        </w:tc>
        <w:tc>
          <w:tcPr>
            <w:tcW w:w="1375" w:type="dxa"/>
            <w:tcBorders>
              <w:bottom w:val="nil"/>
            </w:tcBorders>
            <w:shd w:val="clear" w:color="auto" w:fill="FFFFFF" w:themeFill="background1"/>
            <w:vAlign w:val="center"/>
          </w:tcPr>
          <w:p w14:paraId="70632B22" w14:textId="1168D64D" w:rsidR="00895713" w:rsidRPr="00D30428" w:rsidRDefault="00895713" w:rsidP="00895713">
            <w:pPr>
              <w:pStyle w:val="ListParagraph"/>
              <w:ind w:left="0"/>
              <w:contextualSpacing w:val="0"/>
              <w:jc w:val="center"/>
              <w:rPr>
                <w:i/>
                <w:iCs/>
                <w:color w:val="00B050"/>
                <w:sz w:val="18"/>
                <w:szCs w:val="18"/>
              </w:rPr>
            </w:pPr>
            <w:r w:rsidRPr="00D30428">
              <w:rPr>
                <w:i/>
                <w:iCs/>
                <w:color w:val="00B050"/>
                <w:sz w:val="20"/>
                <w:szCs w:val="18"/>
              </w:rPr>
              <w:t>+12 659 000</w:t>
            </w:r>
          </w:p>
        </w:tc>
        <w:tc>
          <w:tcPr>
            <w:tcW w:w="1269" w:type="dxa"/>
            <w:tcBorders>
              <w:bottom w:val="nil"/>
              <w:right w:val="nil"/>
            </w:tcBorders>
            <w:shd w:val="clear" w:color="auto" w:fill="FFFFFF" w:themeFill="background1"/>
            <w:vAlign w:val="center"/>
          </w:tcPr>
          <w:p w14:paraId="277AB861" w14:textId="4687A51D" w:rsidR="00895713" w:rsidRPr="00D30428" w:rsidRDefault="00895713" w:rsidP="00895713">
            <w:pPr>
              <w:pStyle w:val="ListParagraph"/>
              <w:ind w:left="0"/>
              <w:contextualSpacing w:val="0"/>
              <w:jc w:val="center"/>
              <w:rPr>
                <w:i/>
                <w:iCs/>
                <w:color w:val="00B050"/>
                <w:sz w:val="18"/>
                <w:szCs w:val="18"/>
              </w:rPr>
            </w:pPr>
            <w:r w:rsidRPr="00D30428">
              <w:rPr>
                <w:i/>
                <w:iCs/>
                <w:color w:val="00B050"/>
                <w:sz w:val="20"/>
                <w:szCs w:val="18"/>
              </w:rPr>
              <w:t>+13 301 000</w:t>
            </w:r>
          </w:p>
        </w:tc>
      </w:tr>
    </w:tbl>
    <w:p w14:paraId="46F00EE8" w14:textId="77777777" w:rsidR="00FA7FB6" w:rsidRPr="002E0A09" w:rsidRDefault="00FA7FB6" w:rsidP="00A468EA">
      <w:pPr>
        <w:tabs>
          <w:tab w:val="left" w:pos="426"/>
        </w:tabs>
        <w:spacing w:before="80"/>
        <w:rPr>
          <w:rFonts w:cs="Times New Roman"/>
          <w:i/>
          <w:sz w:val="18"/>
        </w:rPr>
      </w:pPr>
      <w:r w:rsidRPr="00D30428">
        <w:rPr>
          <w:rFonts w:cs="Times New Roman"/>
          <w:b/>
          <w:bCs/>
          <w:i/>
          <w:sz w:val="18"/>
        </w:rPr>
        <w:t>Avots</w:t>
      </w:r>
      <w:r w:rsidRPr="00D30428">
        <w:rPr>
          <w:rFonts w:cs="Times New Roman"/>
          <w:i/>
          <w:sz w:val="18"/>
        </w:rPr>
        <w:t>: FM aprēķini.</w:t>
      </w:r>
    </w:p>
    <w:p w14:paraId="31B858D1" w14:textId="77777777" w:rsidR="00FA7FB6" w:rsidRDefault="00FA7FB6" w:rsidP="00FA7FB6">
      <w:pPr>
        <w:spacing w:after="120"/>
        <w:jc w:val="both"/>
        <w:rPr>
          <w:szCs w:val="24"/>
        </w:rPr>
      </w:pPr>
    </w:p>
    <w:p w14:paraId="695F4904" w14:textId="77777777" w:rsidR="00D12B60" w:rsidRPr="00D12B60" w:rsidRDefault="00D12B60" w:rsidP="00FA7FB6">
      <w:pPr>
        <w:spacing w:after="120"/>
        <w:jc w:val="both"/>
        <w:rPr>
          <w:szCs w:val="24"/>
        </w:rPr>
      </w:pPr>
    </w:p>
    <w:p w14:paraId="0F38DFA9" w14:textId="1D8D9A7C" w:rsidR="00DF35F7" w:rsidRPr="00DF35F7" w:rsidRDefault="00501035" w:rsidP="00501035">
      <w:pPr>
        <w:pStyle w:val="Heading2"/>
        <w:tabs>
          <w:tab w:val="left" w:pos="567"/>
        </w:tabs>
        <w:rPr>
          <w:rFonts w:eastAsia="Calibri"/>
        </w:rPr>
      </w:pPr>
      <w:bookmarkStart w:id="61" w:name="_Toc177627719"/>
      <w:r>
        <w:rPr>
          <w:rFonts w:eastAsia="Calibri"/>
        </w:rPr>
        <w:t>3</w:t>
      </w:r>
      <w:r w:rsidR="00DF35F7">
        <w:rPr>
          <w:rFonts w:eastAsia="Calibri"/>
        </w:rPr>
        <w:t>.</w:t>
      </w:r>
      <w:r w:rsidR="007F2A6D">
        <w:rPr>
          <w:rFonts w:eastAsia="Calibri"/>
        </w:rPr>
        <w:t>8</w:t>
      </w:r>
      <w:r w:rsidR="00DF35F7">
        <w:rPr>
          <w:rFonts w:eastAsia="Calibri"/>
        </w:rPr>
        <w:t xml:space="preserve">. </w:t>
      </w:r>
      <w:r w:rsidR="00DF35F7">
        <w:rPr>
          <w:rFonts w:eastAsia="Calibri"/>
        </w:rPr>
        <w:tab/>
      </w:r>
      <w:r w:rsidR="00914988" w:rsidRPr="00291F1C">
        <w:rPr>
          <w:rFonts w:eastAsia="Times New Roman" w:cs="Times New Roman"/>
          <w:color w:val="000000"/>
          <w:szCs w:val="24"/>
          <w:lang w:eastAsia="lv-LV"/>
        </w:rPr>
        <w:t xml:space="preserve">Uzņēmumu vieglo transportlīdzekļu nodokļa </w:t>
      </w:r>
      <w:r w:rsidR="00DF35F7" w:rsidRPr="00DF35F7">
        <w:rPr>
          <w:rFonts w:eastAsia="Calibri"/>
        </w:rPr>
        <w:t>likmju palielināšana</w:t>
      </w:r>
      <w:bookmarkEnd w:id="61"/>
      <w:r w:rsidR="00DF35F7" w:rsidRPr="00DF35F7">
        <w:rPr>
          <w:rFonts w:eastAsia="Calibri"/>
        </w:rPr>
        <w:t xml:space="preserve"> </w:t>
      </w:r>
    </w:p>
    <w:p w14:paraId="0FFEDF77" w14:textId="77777777" w:rsidR="00291F1C" w:rsidRPr="00291F1C" w:rsidRDefault="00291F1C" w:rsidP="00291F1C">
      <w:pPr>
        <w:spacing w:after="120"/>
        <w:ind w:left="709"/>
        <w:contextualSpacing/>
        <w:jc w:val="both"/>
        <w:rPr>
          <w:rFonts w:eastAsia="Calibri" w:cs="Times New Roman"/>
          <w:sz w:val="10"/>
          <w:szCs w:val="10"/>
        </w:rPr>
      </w:pPr>
    </w:p>
    <w:p w14:paraId="1926A54E" w14:textId="7E8635AC" w:rsidR="00291F1C" w:rsidRPr="00291F1C" w:rsidRDefault="00291F1C" w:rsidP="00A468EA">
      <w:pPr>
        <w:shd w:val="clear" w:color="auto" w:fill="FFFFFF"/>
        <w:spacing w:after="80"/>
        <w:ind w:firstLine="567"/>
        <w:jc w:val="both"/>
        <w:rPr>
          <w:rFonts w:eastAsia="Times New Roman" w:cs="Times New Roman"/>
          <w:color w:val="000000"/>
          <w:szCs w:val="24"/>
          <w:lang w:eastAsia="lv-LV"/>
        </w:rPr>
      </w:pPr>
      <w:r w:rsidRPr="00291F1C">
        <w:rPr>
          <w:rFonts w:eastAsia="Times New Roman" w:cs="Times New Roman"/>
          <w:color w:val="000000"/>
          <w:szCs w:val="24"/>
          <w:lang w:eastAsia="lv-LV"/>
        </w:rPr>
        <w:t xml:space="preserve">Uzņēmumu vieglo transportlīdzekļu nodokļa </w:t>
      </w:r>
      <w:r w:rsidRPr="00DF35F7">
        <w:rPr>
          <w:rFonts w:eastAsia="Times New Roman" w:cs="Times New Roman"/>
          <w:i/>
          <w:iCs/>
          <w:color w:val="000000"/>
          <w:szCs w:val="24"/>
          <w:lang w:eastAsia="lv-LV"/>
        </w:rPr>
        <w:t>(turpmāk – UVTN)</w:t>
      </w:r>
      <w:r w:rsidRPr="00291F1C">
        <w:rPr>
          <w:rFonts w:eastAsia="Times New Roman" w:cs="Times New Roman"/>
          <w:color w:val="000000"/>
          <w:szCs w:val="24"/>
          <w:lang w:eastAsia="lv-LV"/>
        </w:rPr>
        <w:t xml:space="preserve"> </w:t>
      </w:r>
      <w:r w:rsidRPr="00291F1C">
        <w:rPr>
          <w:rFonts w:eastAsia="Times New Roman" w:cs="Times New Roman"/>
          <w:b/>
          <w:color w:val="000000"/>
          <w:szCs w:val="24"/>
          <w:lang w:eastAsia="lv-LV"/>
        </w:rPr>
        <w:t>mērķis</w:t>
      </w:r>
      <w:r w:rsidRPr="00291F1C">
        <w:rPr>
          <w:rFonts w:eastAsia="Times New Roman" w:cs="Times New Roman"/>
          <w:color w:val="000000"/>
          <w:szCs w:val="24"/>
          <w:lang w:eastAsia="lv-LV"/>
        </w:rPr>
        <w:t xml:space="preserve"> ir piemērot nodokli par automobiļiem, kuri ir uzņēmēju īpašumā vai turējumā un tiek izmantoti ne tikai saimnieciskās darbības nodrošināšanai, bet arī privātajām vajadzībām. Uzņēmēji, kuri automobiļus izmanto tikai saimnieciskajā darbībā, tos deklarē </w:t>
      </w:r>
      <w:r w:rsidR="0076264D">
        <w:rPr>
          <w:rFonts w:eastAsia="Times New Roman" w:cs="Times New Roman"/>
          <w:color w:val="000000"/>
          <w:szCs w:val="24"/>
          <w:lang w:eastAsia="lv-LV"/>
        </w:rPr>
        <w:t>CSDD</w:t>
      </w:r>
      <w:r w:rsidRPr="00291F1C">
        <w:rPr>
          <w:rFonts w:eastAsia="Times New Roman" w:cs="Times New Roman"/>
          <w:color w:val="000000"/>
          <w:szCs w:val="24"/>
          <w:lang w:eastAsia="lv-LV"/>
        </w:rPr>
        <w:t xml:space="preserve"> uzturētajā Transportlīdzekļu un to vadītāju valsts reģistrā un ir atbrīvoti no uzņēmumu vieglo transportlīdzekļu nodokļa maksāšanas.</w:t>
      </w:r>
    </w:p>
    <w:p w14:paraId="21B1863E" w14:textId="679CD434" w:rsidR="00DF35F7" w:rsidRDefault="00291F1C" w:rsidP="00A468EA">
      <w:pPr>
        <w:shd w:val="clear" w:color="auto" w:fill="FFFFFF"/>
        <w:spacing w:after="80"/>
        <w:ind w:firstLine="567"/>
        <w:jc w:val="both"/>
        <w:rPr>
          <w:rFonts w:eastAsia="Times New Roman" w:cs="Times New Roman"/>
          <w:color w:val="000000"/>
          <w:szCs w:val="24"/>
          <w:lang w:eastAsia="lv-LV"/>
        </w:rPr>
      </w:pPr>
      <w:r w:rsidRPr="00291F1C">
        <w:rPr>
          <w:rFonts w:eastAsia="Times New Roman" w:cs="Times New Roman"/>
          <w:color w:val="000000"/>
          <w:szCs w:val="24"/>
          <w:lang w:eastAsia="lv-LV"/>
        </w:rPr>
        <w:t xml:space="preserve">UVTN likmes ir noteiktas kā nemainīgs skaitlis, nevis izteiktas procentuālā izteiksmē, kā lielākajai daļai nodokļu. Tādējādi šāda veida nodokļa likmes paliek nemainīgas, neskatoties uz patēriņa cenu izmaiņām. Ņemot to vērā, ir </w:t>
      </w:r>
      <w:r w:rsidR="005F5714">
        <w:rPr>
          <w:rFonts w:eastAsia="Times New Roman" w:cs="Times New Roman"/>
          <w:color w:val="000000"/>
          <w:szCs w:val="24"/>
          <w:lang w:eastAsia="lv-LV"/>
        </w:rPr>
        <w:t>plānots</w:t>
      </w:r>
      <w:r w:rsidRPr="00291F1C">
        <w:rPr>
          <w:rFonts w:eastAsia="Times New Roman" w:cs="Times New Roman"/>
          <w:color w:val="000000"/>
          <w:szCs w:val="24"/>
          <w:lang w:eastAsia="lv-LV"/>
        </w:rPr>
        <w:t xml:space="preserve"> pārskatīt UVTN likmes ik pēc noteikta laika perioda un veikt to indeksēšanu atbilstoši inflācijas apjomam. Ievērojot šos nosacījumus</w:t>
      </w:r>
      <w:r w:rsidR="0076264D">
        <w:rPr>
          <w:rFonts w:eastAsia="Times New Roman" w:cs="Times New Roman"/>
          <w:color w:val="000000"/>
          <w:szCs w:val="24"/>
          <w:lang w:eastAsia="lv-LV"/>
        </w:rPr>
        <w:t>,</w:t>
      </w:r>
      <w:r w:rsidRPr="00291F1C">
        <w:rPr>
          <w:rFonts w:eastAsia="Times New Roman" w:cs="Times New Roman"/>
          <w:color w:val="000000"/>
          <w:szCs w:val="24"/>
          <w:lang w:eastAsia="lv-LV"/>
        </w:rPr>
        <w:t xml:space="preserve"> </w:t>
      </w:r>
      <w:r w:rsidRPr="001D4695">
        <w:rPr>
          <w:rFonts w:eastAsia="Times New Roman" w:cs="Times New Roman"/>
          <w:b/>
          <w:bCs/>
          <w:color w:val="000000"/>
          <w:szCs w:val="24"/>
          <w:lang w:eastAsia="lv-LV"/>
        </w:rPr>
        <w:t>UVTN likme</w:t>
      </w:r>
      <w:r w:rsidR="0076264D">
        <w:rPr>
          <w:rFonts w:eastAsia="Times New Roman" w:cs="Times New Roman"/>
          <w:b/>
          <w:bCs/>
          <w:color w:val="000000"/>
          <w:szCs w:val="24"/>
          <w:lang w:eastAsia="lv-LV"/>
        </w:rPr>
        <w:t>s sākot no 2027. gada</w:t>
      </w:r>
      <w:r w:rsidRPr="001D4695">
        <w:rPr>
          <w:rFonts w:eastAsia="Times New Roman" w:cs="Times New Roman"/>
          <w:b/>
          <w:bCs/>
          <w:color w:val="000000"/>
          <w:szCs w:val="24"/>
          <w:lang w:eastAsia="lv-LV"/>
        </w:rPr>
        <w:t xml:space="preserve"> tiek palielinātas</w:t>
      </w:r>
      <w:r w:rsidR="002C349F">
        <w:rPr>
          <w:rFonts w:eastAsia="Times New Roman" w:cs="Times New Roman"/>
          <w:b/>
          <w:bCs/>
          <w:color w:val="000000"/>
          <w:szCs w:val="24"/>
          <w:lang w:eastAsia="lv-LV"/>
        </w:rPr>
        <w:t xml:space="preserve"> vidēji</w:t>
      </w:r>
      <w:r w:rsidR="00914988" w:rsidRPr="001D4695">
        <w:rPr>
          <w:rFonts w:eastAsia="Times New Roman" w:cs="Times New Roman"/>
          <w:b/>
          <w:bCs/>
          <w:color w:val="000000"/>
          <w:szCs w:val="24"/>
          <w:lang w:eastAsia="lv-LV"/>
        </w:rPr>
        <w:t xml:space="preserve"> par</w:t>
      </w:r>
      <w:r w:rsidR="00914988">
        <w:rPr>
          <w:rFonts w:eastAsia="Times New Roman" w:cs="Times New Roman"/>
          <w:color w:val="000000"/>
          <w:szCs w:val="24"/>
          <w:lang w:eastAsia="lv-LV"/>
        </w:rPr>
        <w:t xml:space="preserve"> </w:t>
      </w:r>
      <w:r w:rsidR="002C3160" w:rsidRPr="002C3160">
        <w:rPr>
          <w:rFonts w:eastAsia="Times New Roman" w:cs="Times New Roman"/>
          <w:b/>
          <w:bCs/>
          <w:color w:val="FF0000"/>
          <w:szCs w:val="24"/>
          <w:lang w:eastAsia="lv-LV"/>
        </w:rPr>
        <w:t>10%</w:t>
      </w:r>
      <w:r w:rsidRPr="00291F1C">
        <w:rPr>
          <w:rFonts w:eastAsia="Times New Roman" w:cs="Times New Roman"/>
          <w:color w:val="000000"/>
          <w:szCs w:val="24"/>
          <w:lang w:eastAsia="lv-LV"/>
        </w:rPr>
        <w:t>, ņemot vērā patēriņa cenu indeksa izmaiņas</w:t>
      </w:r>
      <w:r w:rsidRPr="00637939">
        <w:rPr>
          <w:rFonts w:eastAsia="Times New Roman" w:cs="Times New Roman"/>
          <w:color w:val="000000"/>
          <w:szCs w:val="24"/>
          <w:lang w:eastAsia="lv-LV"/>
        </w:rPr>
        <w:t>.</w:t>
      </w:r>
      <w:r w:rsidRPr="00291F1C">
        <w:rPr>
          <w:rFonts w:eastAsia="Times New Roman" w:cs="Times New Roman"/>
          <w:color w:val="000000"/>
          <w:szCs w:val="24"/>
          <w:lang w:eastAsia="lv-LV"/>
        </w:rPr>
        <w:t xml:space="preserve"> </w:t>
      </w:r>
    </w:p>
    <w:p w14:paraId="02AC2AB5" w14:textId="77777777" w:rsidR="00D12B60" w:rsidRDefault="00D12B60">
      <w:pPr>
        <w:rPr>
          <w:rFonts w:eastAsia="Aptos" w:cs="Times New Roman"/>
          <w:kern w:val="2"/>
          <w:sz w:val="20"/>
          <w:szCs w:val="20"/>
          <w14:ligatures w14:val="standardContextual"/>
        </w:rPr>
      </w:pPr>
      <w:r>
        <w:rPr>
          <w:rFonts w:eastAsia="Aptos" w:cs="Times New Roman"/>
          <w:kern w:val="2"/>
          <w:sz w:val="20"/>
          <w:szCs w:val="20"/>
          <w14:ligatures w14:val="standardContextual"/>
        </w:rPr>
        <w:br w:type="page"/>
      </w:r>
    </w:p>
    <w:p w14:paraId="20B95338" w14:textId="1237D327" w:rsidR="002C349F" w:rsidRPr="002C349F" w:rsidRDefault="006F5E64" w:rsidP="005F5714">
      <w:pPr>
        <w:keepNext/>
        <w:spacing w:line="360" w:lineRule="auto"/>
        <w:jc w:val="center"/>
        <w:rPr>
          <w:rFonts w:eastAsia="Aptos" w:cs="Times New Roman"/>
          <w:b/>
          <w:bCs/>
          <w:kern w:val="2"/>
          <w:sz w:val="20"/>
          <w:szCs w:val="20"/>
          <w14:ligatures w14:val="standardContextual"/>
        </w:rPr>
      </w:pPr>
      <w:r>
        <w:rPr>
          <w:rFonts w:eastAsia="Aptos" w:cs="Times New Roman"/>
          <w:kern w:val="2"/>
          <w:sz w:val="20"/>
          <w:szCs w:val="20"/>
          <w14:ligatures w14:val="standardContextual"/>
        </w:rPr>
        <w:lastRenderedPageBreak/>
        <w:t>3</w:t>
      </w:r>
      <w:r w:rsidR="00725CD9">
        <w:rPr>
          <w:rFonts w:eastAsia="Aptos" w:cs="Times New Roman"/>
          <w:kern w:val="2"/>
          <w:sz w:val="20"/>
          <w:szCs w:val="20"/>
          <w14:ligatures w14:val="standardContextual"/>
        </w:rPr>
        <w:t>3</w:t>
      </w:r>
      <w:r w:rsidR="002C349F" w:rsidRPr="002C349F">
        <w:rPr>
          <w:rFonts w:eastAsia="Aptos" w:cs="Times New Roman"/>
          <w:kern w:val="2"/>
          <w:sz w:val="20"/>
          <w:szCs w:val="20"/>
          <w14:ligatures w14:val="standardContextual"/>
        </w:rPr>
        <w:t>. tab.</w:t>
      </w:r>
      <w:r w:rsidR="002C349F" w:rsidRPr="002C349F">
        <w:rPr>
          <w:rFonts w:eastAsia="Aptos" w:cs="Times New Roman"/>
          <w:b/>
          <w:bCs/>
          <w:kern w:val="2"/>
          <w:sz w:val="20"/>
          <w:szCs w:val="20"/>
          <w14:ligatures w14:val="standardContextual"/>
        </w:rPr>
        <w:t xml:space="preserve"> Uzņēmumu vieglo transportlīdzekļu nodokļa likmes </w:t>
      </w:r>
    </w:p>
    <w:tbl>
      <w:tblPr>
        <w:tblStyle w:val="TableGrid3"/>
        <w:tblW w:w="5209" w:type="pct"/>
        <w:tblLook w:val="04A0" w:firstRow="1" w:lastRow="0" w:firstColumn="1" w:lastColumn="0" w:noHBand="0" w:noVBand="1"/>
      </w:tblPr>
      <w:tblGrid>
        <w:gridCol w:w="562"/>
        <w:gridCol w:w="4396"/>
        <w:gridCol w:w="2268"/>
        <w:gridCol w:w="2215"/>
      </w:tblGrid>
      <w:tr w:rsidR="002C349F" w:rsidRPr="002C349F" w14:paraId="5C68BE9F" w14:textId="77777777" w:rsidTr="00ED4706">
        <w:tc>
          <w:tcPr>
            <w:tcW w:w="298" w:type="pct"/>
            <w:tcBorders>
              <w:right w:val="single" w:sz="4" w:space="0" w:color="FFFFFF" w:themeColor="background1"/>
            </w:tcBorders>
            <w:shd w:val="clear" w:color="auto" w:fill="002060"/>
            <w:vAlign w:val="center"/>
          </w:tcPr>
          <w:p w14:paraId="00BA3CA7" w14:textId="77777777" w:rsidR="002C349F" w:rsidRPr="00ED4706" w:rsidRDefault="002C349F" w:rsidP="002C349F">
            <w:pPr>
              <w:jc w:val="center"/>
              <w:rPr>
                <w:rFonts w:ascii="Times New Roman" w:eastAsia="Aptos" w:hAnsi="Times New Roman" w:cs="Times New Roman"/>
                <w:b/>
                <w:bCs/>
                <w:sz w:val="20"/>
                <w:szCs w:val="20"/>
              </w:rPr>
            </w:pPr>
            <w:r w:rsidRPr="00ED4706">
              <w:rPr>
                <w:rFonts w:ascii="Times New Roman" w:eastAsia="Aptos" w:hAnsi="Times New Roman" w:cs="Times New Roman"/>
                <w:b/>
                <w:bCs/>
                <w:sz w:val="20"/>
                <w:szCs w:val="20"/>
              </w:rPr>
              <w:t>Nr. p.k.</w:t>
            </w:r>
          </w:p>
        </w:tc>
        <w:tc>
          <w:tcPr>
            <w:tcW w:w="2328" w:type="pct"/>
            <w:tcBorders>
              <w:left w:val="single" w:sz="4" w:space="0" w:color="FFFFFF" w:themeColor="background1"/>
              <w:right w:val="single" w:sz="4" w:space="0" w:color="FFFFFF" w:themeColor="background1"/>
            </w:tcBorders>
            <w:shd w:val="clear" w:color="auto" w:fill="002060"/>
            <w:vAlign w:val="center"/>
          </w:tcPr>
          <w:p w14:paraId="03B573B7" w14:textId="77777777" w:rsidR="002C349F" w:rsidRPr="00ED4706" w:rsidRDefault="002C349F" w:rsidP="002C349F">
            <w:pPr>
              <w:jc w:val="center"/>
              <w:rPr>
                <w:rFonts w:ascii="Times New Roman" w:eastAsia="Aptos" w:hAnsi="Times New Roman" w:cs="Times New Roman"/>
                <w:b/>
                <w:bCs/>
                <w:sz w:val="20"/>
                <w:szCs w:val="20"/>
              </w:rPr>
            </w:pPr>
            <w:r w:rsidRPr="00ED4706">
              <w:rPr>
                <w:rFonts w:ascii="Times New Roman" w:eastAsia="Aptos" w:hAnsi="Times New Roman" w:cs="Times New Roman"/>
                <w:b/>
                <w:bCs/>
                <w:sz w:val="20"/>
                <w:szCs w:val="20"/>
              </w:rPr>
              <w:t>Nodokļa objekts</w:t>
            </w:r>
          </w:p>
        </w:tc>
        <w:tc>
          <w:tcPr>
            <w:tcW w:w="1201" w:type="pct"/>
            <w:tcBorders>
              <w:left w:val="single" w:sz="4" w:space="0" w:color="FFFFFF" w:themeColor="background1"/>
              <w:right w:val="single" w:sz="4" w:space="0" w:color="FFFFFF" w:themeColor="background1"/>
            </w:tcBorders>
            <w:shd w:val="clear" w:color="auto" w:fill="002060"/>
            <w:vAlign w:val="center"/>
          </w:tcPr>
          <w:p w14:paraId="6324EAED" w14:textId="77777777" w:rsidR="002C349F" w:rsidRPr="00ED4706" w:rsidRDefault="002C349F" w:rsidP="002C349F">
            <w:pPr>
              <w:jc w:val="center"/>
              <w:rPr>
                <w:rFonts w:ascii="Times New Roman" w:eastAsia="Aptos" w:hAnsi="Times New Roman" w:cs="Times New Roman"/>
                <w:b/>
                <w:bCs/>
                <w:sz w:val="20"/>
                <w:szCs w:val="20"/>
              </w:rPr>
            </w:pPr>
            <w:r w:rsidRPr="00ED4706">
              <w:rPr>
                <w:rFonts w:ascii="Times New Roman" w:eastAsia="Aptos" w:hAnsi="Times New Roman" w:cs="Times New Roman"/>
                <w:b/>
                <w:bCs/>
                <w:sz w:val="20"/>
                <w:szCs w:val="20"/>
              </w:rPr>
              <w:t xml:space="preserve">Likme, </w:t>
            </w:r>
            <w:r w:rsidRPr="00ED4706">
              <w:rPr>
                <w:rFonts w:ascii="Times New Roman" w:eastAsia="Aptos" w:hAnsi="Times New Roman" w:cs="Times New Roman"/>
                <w:i/>
                <w:iCs/>
                <w:sz w:val="20"/>
                <w:szCs w:val="20"/>
              </w:rPr>
              <w:t>euro mēnesī</w:t>
            </w:r>
            <w:r w:rsidRPr="00ED4706">
              <w:rPr>
                <w:rFonts w:ascii="Times New Roman" w:eastAsia="Aptos" w:hAnsi="Times New Roman" w:cs="Times New Roman"/>
                <w:b/>
                <w:bCs/>
                <w:sz w:val="20"/>
                <w:szCs w:val="20"/>
              </w:rPr>
              <w:t xml:space="preserve"> 2024.g.</w:t>
            </w:r>
          </w:p>
        </w:tc>
        <w:tc>
          <w:tcPr>
            <w:tcW w:w="1173" w:type="pct"/>
            <w:tcBorders>
              <w:left w:val="single" w:sz="4" w:space="0" w:color="FFFFFF" w:themeColor="background1"/>
            </w:tcBorders>
            <w:shd w:val="clear" w:color="auto" w:fill="002060"/>
          </w:tcPr>
          <w:p w14:paraId="1A557B52" w14:textId="77777777" w:rsidR="002C349F" w:rsidRPr="00ED4706" w:rsidRDefault="002C349F" w:rsidP="002C349F">
            <w:pPr>
              <w:jc w:val="center"/>
              <w:rPr>
                <w:rFonts w:ascii="Times New Roman" w:eastAsia="Aptos" w:hAnsi="Times New Roman" w:cs="Times New Roman"/>
                <w:b/>
                <w:bCs/>
                <w:sz w:val="20"/>
                <w:szCs w:val="20"/>
              </w:rPr>
            </w:pPr>
            <w:r w:rsidRPr="00ED4706">
              <w:rPr>
                <w:rFonts w:ascii="Times New Roman" w:eastAsia="Aptos" w:hAnsi="Times New Roman" w:cs="Times New Roman"/>
                <w:b/>
                <w:bCs/>
                <w:sz w:val="20"/>
                <w:szCs w:val="20"/>
              </w:rPr>
              <w:t xml:space="preserve">Likme, </w:t>
            </w:r>
            <w:r w:rsidRPr="00ED4706">
              <w:rPr>
                <w:rFonts w:ascii="Times New Roman" w:eastAsia="Aptos" w:hAnsi="Times New Roman" w:cs="Times New Roman"/>
                <w:i/>
                <w:iCs/>
                <w:sz w:val="20"/>
                <w:szCs w:val="20"/>
              </w:rPr>
              <w:t>euro mēnesī</w:t>
            </w:r>
            <w:r w:rsidRPr="00ED4706">
              <w:rPr>
                <w:rFonts w:ascii="Times New Roman" w:eastAsia="Aptos" w:hAnsi="Times New Roman" w:cs="Times New Roman"/>
                <w:b/>
                <w:bCs/>
                <w:sz w:val="20"/>
                <w:szCs w:val="20"/>
              </w:rPr>
              <w:t xml:space="preserve">  no 2027.g.</w:t>
            </w:r>
          </w:p>
        </w:tc>
      </w:tr>
      <w:tr w:rsidR="002C349F" w:rsidRPr="002C349F" w14:paraId="21D1D586" w14:textId="77777777" w:rsidTr="00ED4706">
        <w:tc>
          <w:tcPr>
            <w:tcW w:w="298" w:type="pct"/>
          </w:tcPr>
          <w:p w14:paraId="3965BEB1" w14:textId="77777777" w:rsidR="002C349F" w:rsidRPr="00ED4706" w:rsidRDefault="002C349F" w:rsidP="00ED4706">
            <w:pPr>
              <w:jc w:val="center"/>
              <w:rPr>
                <w:rFonts w:ascii="Times New Roman" w:eastAsia="Aptos" w:hAnsi="Times New Roman" w:cs="Times New Roman"/>
                <w:sz w:val="20"/>
                <w:szCs w:val="20"/>
              </w:rPr>
            </w:pPr>
            <w:r w:rsidRPr="00ED4706">
              <w:rPr>
                <w:rFonts w:ascii="Times New Roman" w:eastAsia="Aptos" w:hAnsi="Times New Roman" w:cs="Times New Roman"/>
                <w:sz w:val="20"/>
                <w:szCs w:val="20"/>
              </w:rPr>
              <w:t>1.</w:t>
            </w:r>
          </w:p>
        </w:tc>
        <w:tc>
          <w:tcPr>
            <w:tcW w:w="2328" w:type="pct"/>
          </w:tcPr>
          <w:p w14:paraId="0F51597B" w14:textId="77777777" w:rsidR="002C349F" w:rsidRPr="00ED4706" w:rsidRDefault="002C349F" w:rsidP="002C349F">
            <w:pPr>
              <w:rPr>
                <w:rFonts w:ascii="Times New Roman" w:eastAsia="Aptos" w:hAnsi="Times New Roman" w:cs="Times New Roman"/>
                <w:sz w:val="20"/>
                <w:szCs w:val="20"/>
              </w:rPr>
            </w:pPr>
            <w:r w:rsidRPr="00ED4706">
              <w:rPr>
                <w:rFonts w:ascii="Times New Roman" w:eastAsia="Aptos" w:hAnsi="Times New Roman" w:cs="Times New Roman"/>
                <w:sz w:val="20"/>
                <w:szCs w:val="20"/>
              </w:rPr>
              <w:t>Vieglie transportlīdzekļi, kuri pirmo reizi reģistrēti sākot ar 2009. gadu, ņemot vērā motora maksimālā jaudu kilovatos (kW):</w:t>
            </w:r>
          </w:p>
          <w:p w14:paraId="3EE27A9B" w14:textId="77777777" w:rsidR="002C349F" w:rsidRPr="00ED4706" w:rsidRDefault="002C349F" w:rsidP="002C349F">
            <w:pPr>
              <w:rPr>
                <w:rFonts w:ascii="Times New Roman" w:eastAsia="Aptos" w:hAnsi="Times New Roman" w:cs="Times New Roman"/>
                <w:sz w:val="20"/>
                <w:szCs w:val="20"/>
              </w:rPr>
            </w:pPr>
            <w:r w:rsidRPr="00ED4706">
              <w:rPr>
                <w:rFonts w:ascii="Times New Roman" w:eastAsia="Aptos" w:hAnsi="Times New Roman" w:cs="Times New Roman"/>
                <w:sz w:val="20"/>
                <w:szCs w:val="20"/>
              </w:rPr>
              <w:t>līdz 110 kW</w:t>
            </w:r>
          </w:p>
          <w:p w14:paraId="11866B9F" w14:textId="77777777" w:rsidR="002C349F" w:rsidRPr="00ED4706" w:rsidRDefault="002C349F" w:rsidP="002C349F">
            <w:pPr>
              <w:rPr>
                <w:rFonts w:ascii="Times New Roman" w:eastAsia="Aptos" w:hAnsi="Times New Roman" w:cs="Times New Roman"/>
                <w:sz w:val="20"/>
                <w:szCs w:val="20"/>
              </w:rPr>
            </w:pPr>
            <w:r w:rsidRPr="00ED4706">
              <w:rPr>
                <w:rFonts w:ascii="Times New Roman" w:eastAsia="Aptos" w:hAnsi="Times New Roman" w:cs="Times New Roman"/>
                <w:sz w:val="20"/>
                <w:szCs w:val="20"/>
              </w:rPr>
              <w:t>no 111kW līdz 130 kW</w:t>
            </w:r>
          </w:p>
          <w:p w14:paraId="6CDB6809" w14:textId="77777777" w:rsidR="002C349F" w:rsidRPr="00ED4706" w:rsidRDefault="002C349F" w:rsidP="002C349F">
            <w:pPr>
              <w:rPr>
                <w:rFonts w:ascii="Times New Roman" w:eastAsia="Aptos" w:hAnsi="Times New Roman" w:cs="Times New Roman"/>
                <w:sz w:val="20"/>
                <w:szCs w:val="20"/>
              </w:rPr>
            </w:pPr>
            <w:r w:rsidRPr="00ED4706">
              <w:rPr>
                <w:rFonts w:ascii="Times New Roman" w:eastAsia="Aptos" w:hAnsi="Times New Roman" w:cs="Times New Roman"/>
                <w:sz w:val="20"/>
                <w:szCs w:val="20"/>
              </w:rPr>
              <w:t>no 131 kW līdz 150 kW</w:t>
            </w:r>
          </w:p>
          <w:p w14:paraId="383300BB" w14:textId="77777777" w:rsidR="002C349F" w:rsidRPr="00ED4706" w:rsidRDefault="002C349F" w:rsidP="002C349F">
            <w:pPr>
              <w:rPr>
                <w:rFonts w:ascii="Times New Roman" w:eastAsia="Aptos" w:hAnsi="Times New Roman" w:cs="Times New Roman"/>
                <w:sz w:val="20"/>
                <w:szCs w:val="20"/>
              </w:rPr>
            </w:pPr>
            <w:r w:rsidRPr="00ED4706">
              <w:rPr>
                <w:rFonts w:ascii="Times New Roman" w:eastAsia="Aptos" w:hAnsi="Times New Roman" w:cs="Times New Roman"/>
                <w:sz w:val="20"/>
                <w:szCs w:val="20"/>
              </w:rPr>
              <w:t>no 151 kW līdz 200 kW</w:t>
            </w:r>
          </w:p>
          <w:p w14:paraId="17AFC94C" w14:textId="77777777" w:rsidR="002C349F" w:rsidRPr="00ED4706" w:rsidRDefault="002C349F" w:rsidP="002C349F">
            <w:pPr>
              <w:rPr>
                <w:rFonts w:ascii="Times New Roman" w:eastAsia="Aptos" w:hAnsi="Times New Roman" w:cs="Times New Roman"/>
                <w:sz w:val="20"/>
                <w:szCs w:val="20"/>
              </w:rPr>
            </w:pPr>
            <w:r w:rsidRPr="00ED4706">
              <w:rPr>
                <w:rFonts w:ascii="Times New Roman" w:eastAsia="Aptos" w:hAnsi="Times New Roman" w:cs="Times New Roman"/>
                <w:sz w:val="20"/>
                <w:szCs w:val="20"/>
              </w:rPr>
              <w:t>virs 200 kW</w:t>
            </w:r>
          </w:p>
        </w:tc>
        <w:tc>
          <w:tcPr>
            <w:tcW w:w="1201" w:type="pct"/>
          </w:tcPr>
          <w:p w14:paraId="4DCA2766" w14:textId="77777777" w:rsidR="002C349F" w:rsidRPr="00ED4706" w:rsidRDefault="002C349F" w:rsidP="002C349F">
            <w:pPr>
              <w:jc w:val="center"/>
              <w:rPr>
                <w:rFonts w:ascii="Times New Roman" w:eastAsia="Aptos" w:hAnsi="Times New Roman" w:cs="Times New Roman"/>
                <w:sz w:val="20"/>
                <w:szCs w:val="20"/>
              </w:rPr>
            </w:pPr>
          </w:p>
          <w:p w14:paraId="5F565622" w14:textId="77777777" w:rsidR="002C349F" w:rsidRPr="00ED4706" w:rsidRDefault="002C349F" w:rsidP="002C349F">
            <w:pPr>
              <w:jc w:val="center"/>
              <w:rPr>
                <w:rFonts w:ascii="Times New Roman" w:eastAsia="Aptos" w:hAnsi="Times New Roman" w:cs="Times New Roman"/>
                <w:sz w:val="20"/>
                <w:szCs w:val="20"/>
              </w:rPr>
            </w:pPr>
          </w:p>
          <w:p w14:paraId="0E334DA4" w14:textId="77777777" w:rsidR="002C349F" w:rsidRPr="00ED4706" w:rsidRDefault="002C349F" w:rsidP="002C349F">
            <w:pPr>
              <w:jc w:val="center"/>
              <w:rPr>
                <w:rFonts w:ascii="Times New Roman" w:eastAsia="Aptos" w:hAnsi="Times New Roman" w:cs="Times New Roman"/>
                <w:sz w:val="20"/>
                <w:szCs w:val="20"/>
              </w:rPr>
            </w:pPr>
          </w:p>
          <w:p w14:paraId="7A411F60" w14:textId="77777777" w:rsidR="002C349F" w:rsidRPr="00ED4706" w:rsidRDefault="002C349F" w:rsidP="002C349F">
            <w:pPr>
              <w:jc w:val="center"/>
              <w:rPr>
                <w:rFonts w:ascii="Times New Roman" w:eastAsia="Aptos" w:hAnsi="Times New Roman" w:cs="Times New Roman"/>
                <w:sz w:val="20"/>
                <w:szCs w:val="20"/>
              </w:rPr>
            </w:pPr>
            <w:r w:rsidRPr="00ED4706">
              <w:rPr>
                <w:rFonts w:ascii="Times New Roman" w:eastAsia="Aptos" w:hAnsi="Times New Roman" w:cs="Times New Roman"/>
                <w:b/>
                <w:bCs/>
                <w:sz w:val="20"/>
                <w:szCs w:val="20"/>
              </w:rPr>
              <w:t>33</w:t>
            </w:r>
            <w:r w:rsidRPr="00ED4706">
              <w:rPr>
                <w:rFonts w:ascii="Times New Roman" w:eastAsia="Aptos" w:hAnsi="Times New Roman" w:cs="Times New Roman"/>
                <w:sz w:val="20"/>
                <w:szCs w:val="20"/>
              </w:rPr>
              <w:t xml:space="preserve"> </w:t>
            </w:r>
            <w:r w:rsidRPr="00ED4706">
              <w:rPr>
                <w:rFonts w:ascii="Times New Roman" w:eastAsia="Aptos" w:hAnsi="Times New Roman" w:cs="Times New Roman"/>
                <w:i/>
                <w:iCs/>
                <w:sz w:val="20"/>
                <w:szCs w:val="20"/>
              </w:rPr>
              <w:t>euro</w:t>
            </w:r>
          </w:p>
          <w:p w14:paraId="2F5D943F" w14:textId="77777777" w:rsidR="002C349F" w:rsidRPr="00ED4706" w:rsidRDefault="002C349F" w:rsidP="002C349F">
            <w:pPr>
              <w:jc w:val="center"/>
              <w:rPr>
                <w:rFonts w:ascii="Times New Roman" w:eastAsia="Aptos" w:hAnsi="Times New Roman" w:cs="Times New Roman"/>
                <w:sz w:val="20"/>
                <w:szCs w:val="20"/>
              </w:rPr>
            </w:pPr>
            <w:r w:rsidRPr="00ED4706">
              <w:rPr>
                <w:rFonts w:ascii="Times New Roman" w:eastAsia="Aptos" w:hAnsi="Times New Roman" w:cs="Times New Roman"/>
                <w:b/>
                <w:bCs/>
                <w:sz w:val="20"/>
                <w:szCs w:val="20"/>
              </w:rPr>
              <w:t>0,3</w:t>
            </w:r>
            <w:r w:rsidRPr="00ED4706">
              <w:rPr>
                <w:rFonts w:ascii="Times New Roman" w:eastAsia="Aptos" w:hAnsi="Times New Roman" w:cs="Times New Roman"/>
                <w:sz w:val="20"/>
                <w:szCs w:val="20"/>
              </w:rPr>
              <w:t xml:space="preserve"> </w:t>
            </w:r>
            <w:r w:rsidRPr="00ED4706">
              <w:rPr>
                <w:rFonts w:ascii="Times New Roman" w:eastAsia="Aptos" w:hAnsi="Times New Roman" w:cs="Times New Roman"/>
                <w:i/>
                <w:iCs/>
                <w:sz w:val="20"/>
                <w:szCs w:val="20"/>
              </w:rPr>
              <w:t>euro</w:t>
            </w:r>
            <w:r w:rsidRPr="00ED4706">
              <w:rPr>
                <w:rFonts w:ascii="Times New Roman" w:eastAsia="Aptos" w:hAnsi="Times New Roman" w:cs="Times New Roman"/>
                <w:sz w:val="20"/>
                <w:szCs w:val="20"/>
              </w:rPr>
              <w:t xml:space="preserve"> par katru kW</w:t>
            </w:r>
          </w:p>
          <w:p w14:paraId="340CFDCB" w14:textId="77777777" w:rsidR="002C349F" w:rsidRPr="00ED4706" w:rsidRDefault="002C349F" w:rsidP="002C349F">
            <w:pPr>
              <w:jc w:val="center"/>
              <w:rPr>
                <w:rFonts w:ascii="Times New Roman" w:eastAsia="Aptos" w:hAnsi="Times New Roman" w:cs="Times New Roman"/>
                <w:sz w:val="20"/>
                <w:szCs w:val="20"/>
              </w:rPr>
            </w:pPr>
            <w:r w:rsidRPr="00ED4706">
              <w:rPr>
                <w:rFonts w:ascii="Times New Roman" w:eastAsia="Aptos" w:hAnsi="Times New Roman" w:cs="Times New Roman"/>
                <w:b/>
                <w:bCs/>
                <w:sz w:val="20"/>
                <w:szCs w:val="20"/>
              </w:rPr>
              <w:t>0,35</w:t>
            </w:r>
            <w:r w:rsidRPr="00ED4706">
              <w:rPr>
                <w:rFonts w:ascii="Times New Roman" w:eastAsia="Aptos" w:hAnsi="Times New Roman" w:cs="Times New Roman"/>
                <w:sz w:val="20"/>
                <w:szCs w:val="20"/>
              </w:rPr>
              <w:t xml:space="preserve"> </w:t>
            </w:r>
            <w:r w:rsidRPr="00ED4706">
              <w:rPr>
                <w:rFonts w:ascii="Times New Roman" w:eastAsia="Aptos" w:hAnsi="Times New Roman" w:cs="Times New Roman"/>
                <w:i/>
                <w:iCs/>
                <w:sz w:val="20"/>
                <w:szCs w:val="20"/>
              </w:rPr>
              <w:t>euro</w:t>
            </w:r>
            <w:r w:rsidRPr="00ED4706">
              <w:rPr>
                <w:rFonts w:ascii="Times New Roman" w:eastAsia="Aptos" w:hAnsi="Times New Roman" w:cs="Times New Roman"/>
                <w:sz w:val="20"/>
                <w:szCs w:val="20"/>
              </w:rPr>
              <w:t xml:space="preserve"> par katru kW</w:t>
            </w:r>
          </w:p>
          <w:p w14:paraId="71712478" w14:textId="77777777" w:rsidR="002C349F" w:rsidRPr="00ED4706" w:rsidRDefault="002C349F" w:rsidP="002C349F">
            <w:pPr>
              <w:jc w:val="center"/>
              <w:rPr>
                <w:rFonts w:ascii="Times New Roman" w:eastAsia="Aptos" w:hAnsi="Times New Roman" w:cs="Times New Roman"/>
                <w:sz w:val="20"/>
                <w:szCs w:val="20"/>
              </w:rPr>
            </w:pPr>
            <w:r w:rsidRPr="00ED4706">
              <w:rPr>
                <w:rFonts w:ascii="Times New Roman" w:eastAsia="Aptos" w:hAnsi="Times New Roman" w:cs="Times New Roman"/>
                <w:b/>
                <w:bCs/>
                <w:sz w:val="20"/>
                <w:szCs w:val="20"/>
              </w:rPr>
              <w:t>0,5</w:t>
            </w:r>
            <w:r w:rsidRPr="00ED4706">
              <w:rPr>
                <w:rFonts w:ascii="Times New Roman" w:eastAsia="Aptos" w:hAnsi="Times New Roman" w:cs="Times New Roman"/>
                <w:sz w:val="20"/>
                <w:szCs w:val="20"/>
              </w:rPr>
              <w:t xml:space="preserve"> </w:t>
            </w:r>
            <w:r w:rsidRPr="00ED4706">
              <w:rPr>
                <w:rFonts w:ascii="Times New Roman" w:eastAsia="Aptos" w:hAnsi="Times New Roman" w:cs="Times New Roman"/>
                <w:i/>
                <w:iCs/>
                <w:sz w:val="20"/>
                <w:szCs w:val="20"/>
              </w:rPr>
              <w:t>euro</w:t>
            </w:r>
            <w:r w:rsidRPr="00ED4706">
              <w:rPr>
                <w:rFonts w:ascii="Times New Roman" w:eastAsia="Aptos" w:hAnsi="Times New Roman" w:cs="Times New Roman"/>
                <w:sz w:val="20"/>
                <w:szCs w:val="20"/>
              </w:rPr>
              <w:t xml:space="preserve"> par katru kW</w:t>
            </w:r>
          </w:p>
          <w:p w14:paraId="1C90F3A0" w14:textId="77777777" w:rsidR="002C349F" w:rsidRPr="00ED4706" w:rsidRDefault="002C349F" w:rsidP="002C349F">
            <w:pPr>
              <w:jc w:val="center"/>
              <w:rPr>
                <w:rFonts w:ascii="Times New Roman" w:eastAsia="Aptos" w:hAnsi="Times New Roman" w:cs="Times New Roman"/>
                <w:sz w:val="20"/>
                <w:szCs w:val="20"/>
              </w:rPr>
            </w:pPr>
            <w:r w:rsidRPr="00ED4706">
              <w:rPr>
                <w:rFonts w:ascii="Times New Roman" w:eastAsia="Aptos" w:hAnsi="Times New Roman" w:cs="Times New Roman"/>
                <w:b/>
                <w:bCs/>
                <w:sz w:val="20"/>
                <w:szCs w:val="20"/>
              </w:rPr>
              <w:t>0,7</w:t>
            </w:r>
            <w:r w:rsidRPr="00ED4706">
              <w:rPr>
                <w:rFonts w:ascii="Times New Roman" w:eastAsia="Aptos" w:hAnsi="Times New Roman" w:cs="Times New Roman"/>
                <w:sz w:val="20"/>
                <w:szCs w:val="20"/>
              </w:rPr>
              <w:t xml:space="preserve"> </w:t>
            </w:r>
            <w:r w:rsidRPr="00ED4706">
              <w:rPr>
                <w:rFonts w:ascii="Times New Roman" w:eastAsia="Aptos" w:hAnsi="Times New Roman" w:cs="Times New Roman"/>
                <w:i/>
                <w:iCs/>
                <w:sz w:val="20"/>
                <w:szCs w:val="20"/>
              </w:rPr>
              <w:t>euro</w:t>
            </w:r>
            <w:r w:rsidRPr="00ED4706">
              <w:rPr>
                <w:rFonts w:ascii="Times New Roman" w:eastAsia="Aptos" w:hAnsi="Times New Roman" w:cs="Times New Roman"/>
                <w:sz w:val="20"/>
                <w:szCs w:val="20"/>
              </w:rPr>
              <w:t xml:space="preserve"> par katru kW</w:t>
            </w:r>
          </w:p>
        </w:tc>
        <w:tc>
          <w:tcPr>
            <w:tcW w:w="1173" w:type="pct"/>
          </w:tcPr>
          <w:p w14:paraId="7FDF077B" w14:textId="77777777" w:rsidR="002C349F" w:rsidRPr="00ED4706" w:rsidRDefault="002C349F" w:rsidP="002C349F">
            <w:pPr>
              <w:jc w:val="center"/>
              <w:rPr>
                <w:rFonts w:ascii="Times New Roman" w:eastAsia="Aptos" w:hAnsi="Times New Roman" w:cs="Times New Roman"/>
                <w:sz w:val="20"/>
                <w:szCs w:val="20"/>
              </w:rPr>
            </w:pPr>
          </w:p>
          <w:p w14:paraId="2A2EE907" w14:textId="77777777" w:rsidR="002C349F" w:rsidRPr="00ED4706" w:rsidRDefault="002C349F" w:rsidP="002C349F">
            <w:pPr>
              <w:jc w:val="center"/>
              <w:rPr>
                <w:rFonts w:ascii="Times New Roman" w:eastAsia="Aptos" w:hAnsi="Times New Roman" w:cs="Times New Roman"/>
                <w:sz w:val="20"/>
                <w:szCs w:val="20"/>
              </w:rPr>
            </w:pPr>
          </w:p>
          <w:p w14:paraId="64AE8862" w14:textId="77777777" w:rsidR="002C349F" w:rsidRPr="00ED4706" w:rsidRDefault="002C349F" w:rsidP="002C349F">
            <w:pPr>
              <w:jc w:val="center"/>
              <w:rPr>
                <w:rFonts w:ascii="Times New Roman" w:eastAsia="Aptos" w:hAnsi="Times New Roman" w:cs="Times New Roman"/>
                <w:sz w:val="20"/>
                <w:szCs w:val="20"/>
              </w:rPr>
            </w:pPr>
          </w:p>
          <w:p w14:paraId="6CE4CB31" w14:textId="77777777" w:rsidR="002C349F" w:rsidRPr="00ED4706" w:rsidRDefault="002C349F" w:rsidP="002C349F">
            <w:pPr>
              <w:jc w:val="center"/>
              <w:rPr>
                <w:rFonts w:ascii="Times New Roman" w:eastAsia="Aptos" w:hAnsi="Times New Roman" w:cs="Times New Roman"/>
                <w:color w:val="FF0000"/>
                <w:sz w:val="20"/>
                <w:szCs w:val="20"/>
              </w:rPr>
            </w:pPr>
            <w:r w:rsidRPr="00ED4706">
              <w:rPr>
                <w:rFonts w:ascii="Times New Roman" w:eastAsia="Aptos" w:hAnsi="Times New Roman" w:cs="Times New Roman"/>
                <w:b/>
                <w:bCs/>
                <w:color w:val="FF0000"/>
                <w:sz w:val="20"/>
                <w:szCs w:val="20"/>
              </w:rPr>
              <w:t>36</w:t>
            </w:r>
            <w:r w:rsidRPr="00ED4706">
              <w:rPr>
                <w:rFonts w:ascii="Times New Roman" w:eastAsia="Aptos" w:hAnsi="Times New Roman" w:cs="Times New Roman"/>
                <w:color w:val="FF0000"/>
                <w:sz w:val="20"/>
                <w:szCs w:val="20"/>
              </w:rPr>
              <w:t xml:space="preserve"> </w:t>
            </w:r>
            <w:r w:rsidRPr="00ED4706">
              <w:rPr>
                <w:rFonts w:ascii="Times New Roman" w:eastAsia="Aptos" w:hAnsi="Times New Roman" w:cs="Times New Roman"/>
                <w:i/>
                <w:iCs/>
                <w:sz w:val="20"/>
                <w:szCs w:val="20"/>
              </w:rPr>
              <w:t>euro</w:t>
            </w:r>
          </w:p>
          <w:p w14:paraId="2053FC68" w14:textId="77777777" w:rsidR="002C349F" w:rsidRPr="00ED4706" w:rsidRDefault="002C349F" w:rsidP="002C349F">
            <w:pPr>
              <w:jc w:val="center"/>
              <w:rPr>
                <w:rFonts w:ascii="Times New Roman" w:eastAsia="Aptos" w:hAnsi="Times New Roman" w:cs="Times New Roman"/>
                <w:sz w:val="20"/>
                <w:szCs w:val="20"/>
              </w:rPr>
            </w:pPr>
            <w:r w:rsidRPr="00ED4706">
              <w:rPr>
                <w:rFonts w:ascii="Times New Roman" w:eastAsia="Aptos" w:hAnsi="Times New Roman" w:cs="Times New Roman"/>
                <w:b/>
                <w:bCs/>
                <w:color w:val="FF0000"/>
                <w:sz w:val="20"/>
                <w:szCs w:val="20"/>
              </w:rPr>
              <w:t>0,35</w:t>
            </w:r>
            <w:r w:rsidRPr="00ED4706">
              <w:rPr>
                <w:rFonts w:ascii="Times New Roman" w:eastAsia="Aptos" w:hAnsi="Times New Roman" w:cs="Times New Roman"/>
                <w:color w:val="FF0000"/>
                <w:sz w:val="20"/>
                <w:szCs w:val="20"/>
              </w:rPr>
              <w:t xml:space="preserve"> </w:t>
            </w:r>
            <w:r w:rsidRPr="00ED4706">
              <w:rPr>
                <w:rFonts w:ascii="Times New Roman" w:eastAsia="Aptos" w:hAnsi="Times New Roman" w:cs="Times New Roman"/>
                <w:i/>
                <w:iCs/>
                <w:sz w:val="20"/>
                <w:szCs w:val="20"/>
              </w:rPr>
              <w:t>euro</w:t>
            </w:r>
            <w:r w:rsidRPr="00ED4706">
              <w:rPr>
                <w:rFonts w:ascii="Times New Roman" w:eastAsia="Aptos" w:hAnsi="Times New Roman" w:cs="Times New Roman"/>
                <w:sz w:val="20"/>
                <w:szCs w:val="20"/>
              </w:rPr>
              <w:t xml:space="preserve"> par katru kW</w:t>
            </w:r>
          </w:p>
          <w:p w14:paraId="5106E0F2" w14:textId="77777777" w:rsidR="002C349F" w:rsidRPr="00ED4706" w:rsidRDefault="002C349F" w:rsidP="002C349F">
            <w:pPr>
              <w:jc w:val="center"/>
              <w:rPr>
                <w:rFonts w:ascii="Times New Roman" w:eastAsia="Aptos" w:hAnsi="Times New Roman" w:cs="Times New Roman"/>
                <w:sz w:val="20"/>
                <w:szCs w:val="20"/>
              </w:rPr>
            </w:pPr>
            <w:r w:rsidRPr="00ED4706">
              <w:rPr>
                <w:rFonts w:ascii="Times New Roman" w:eastAsia="Aptos" w:hAnsi="Times New Roman" w:cs="Times New Roman"/>
                <w:b/>
                <w:bCs/>
                <w:color w:val="FF0000"/>
                <w:sz w:val="20"/>
                <w:szCs w:val="20"/>
              </w:rPr>
              <w:t>0,40</w:t>
            </w:r>
            <w:r w:rsidRPr="00ED4706">
              <w:rPr>
                <w:rFonts w:ascii="Times New Roman" w:eastAsia="Aptos" w:hAnsi="Times New Roman" w:cs="Times New Roman"/>
                <w:color w:val="FF0000"/>
                <w:sz w:val="20"/>
                <w:szCs w:val="20"/>
              </w:rPr>
              <w:t xml:space="preserve"> </w:t>
            </w:r>
            <w:r w:rsidRPr="00ED4706">
              <w:rPr>
                <w:rFonts w:ascii="Times New Roman" w:eastAsia="Aptos" w:hAnsi="Times New Roman" w:cs="Times New Roman"/>
                <w:i/>
                <w:iCs/>
                <w:sz w:val="20"/>
                <w:szCs w:val="20"/>
              </w:rPr>
              <w:t>euro</w:t>
            </w:r>
            <w:r w:rsidRPr="00ED4706">
              <w:rPr>
                <w:rFonts w:ascii="Times New Roman" w:eastAsia="Aptos" w:hAnsi="Times New Roman" w:cs="Times New Roman"/>
                <w:sz w:val="20"/>
                <w:szCs w:val="20"/>
              </w:rPr>
              <w:t xml:space="preserve"> par katru kW</w:t>
            </w:r>
          </w:p>
          <w:p w14:paraId="0FF0827A" w14:textId="77777777" w:rsidR="002C349F" w:rsidRPr="00ED4706" w:rsidRDefault="002C349F" w:rsidP="002C349F">
            <w:pPr>
              <w:jc w:val="center"/>
              <w:rPr>
                <w:rFonts w:ascii="Times New Roman" w:eastAsia="Aptos" w:hAnsi="Times New Roman" w:cs="Times New Roman"/>
                <w:sz w:val="20"/>
                <w:szCs w:val="20"/>
              </w:rPr>
            </w:pPr>
            <w:r w:rsidRPr="00ED4706">
              <w:rPr>
                <w:rFonts w:ascii="Times New Roman" w:eastAsia="Aptos" w:hAnsi="Times New Roman" w:cs="Times New Roman"/>
                <w:b/>
                <w:bCs/>
                <w:color w:val="FF0000"/>
                <w:sz w:val="20"/>
                <w:szCs w:val="20"/>
              </w:rPr>
              <w:t>0,55</w:t>
            </w:r>
            <w:r w:rsidRPr="00ED4706">
              <w:rPr>
                <w:rFonts w:ascii="Times New Roman" w:eastAsia="Aptos" w:hAnsi="Times New Roman" w:cs="Times New Roman"/>
                <w:color w:val="FF0000"/>
                <w:sz w:val="20"/>
                <w:szCs w:val="20"/>
              </w:rPr>
              <w:t xml:space="preserve"> </w:t>
            </w:r>
            <w:r w:rsidRPr="00ED4706">
              <w:rPr>
                <w:rFonts w:ascii="Times New Roman" w:eastAsia="Aptos" w:hAnsi="Times New Roman" w:cs="Times New Roman"/>
                <w:i/>
                <w:iCs/>
                <w:sz w:val="20"/>
                <w:szCs w:val="20"/>
              </w:rPr>
              <w:t>euro</w:t>
            </w:r>
            <w:r w:rsidRPr="00ED4706">
              <w:rPr>
                <w:rFonts w:ascii="Times New Roman" w:eastAsia="Aptos" w:hAnsi="Times New Roman" w:cs="Times New Roman"/>
                <w:sz w:val="20"/>
                <w:szCs w:val="20"/>
              </w:rPr>
              <w:t xml:space="preserve"> par katru kW</w:t>
            </w:r>
          </w:p>
          <w:p w14:paraId="18CA3EA4" w14:textId="77777777" w:rsidR="002C349F" w:rsidRPr="00ED4706" w:rsidRDefault="002C349F" w:rsidP="002C349F">
            <w:pPr>
              <w:jc w:val="center"/>
              <w:rPr>
                <w:rFonts w:ascii="Times New Roman" w:eastAsia="Aptos" w:hAnsi="Times New Roman" w:cs="Times New Roman"/>
                <w:sz w:val="20"/>
                <w:szCs w:val="20"/>
              </w:rPr>
            </w:pPr>
            <w:r w:rsidRPr="00ED4706">
              <w:rPr>
                <w:rFonts w:ascii="Times New Roman" w:eastAsia="Aptos" w:hAnsi="Times New Roman" w:cs="Times New Roman"/>
                <w:b/>
                <w:bCs/>
                <w:color w:val="FF0000"/>
                <w:sz w:val="20"/>
                <w:szCs w:val="20"/>
              </w:rPr>
              <w:t>0,75</w:t>
            </w:r>
            <w:r w:rsidRPr="00ED4706">
              <w:rPr>
                <w:rFonts w:ascii="Times New Roman" w:eastAsia="Aptos" w:hAnsi="Times New Roman" w:cs="Times New Roman"/>
                <w:color w:val="FF0000"/>
                <w:sz w:val="20"/>
                <w:szCs w:val="20"/>
              </w:rPr>
              <w:t xml:space="preserve"> </w:t>
            </w:r>
            <w:r w:rsidRPr="00ED4706">
              <w:rPr>
                <w:rFonts w:ascii="Times New Roman" w:eastAsia="Aptos" w:hAnsi="Times New Roman" w:cs="Times New Roman"/>
                <w:i/>
                <w:iCs/>
                <w:sz w:val="20"/>
                <w:szCs w:val="20"/>
              </w:rPr>
              <w:t>euro</w:t>
            </w:r>
            <w:r w:rsidRPr="00ED4706">
              <w:rPr>
                <w:rFonts w:ascii="Times New Roman" w:eastAsia="Aptos" w:hAnsi="Times New Roman" w:cs="Times New Roman"/>
                <w:sz w:val="20"/>
                <w:szCs w:val="20"/>
              </w:rPr>
              <w:t xml:space="preserve"> par katru kW</w:t>
            </w:r>
          </w:p>
        </w:tc>
      </w:tr>
      <w:tr w:rsidR="002C349F" w:rsidRPr="002C349F" w14:paraId="4558A5DD" w14:textId="77777777" w:rsidTr="00ED4706">
        <w:tc>
          <w:tcPr>
            <w:tcW w:w="298" w:type="pct"/>
          </w:tcPr>
          <w:p w14:paraId="09F93526" w14:textId="77777777" w:rsidR="002C349F" w:rsidRPr="00ED4706" w:rsidRDefault="002C349F" w:rsidP="00ED4706">
            <w:pPr>
              <w:jc w:val="center"/>
              <w:rPr>
                <w:rFonts w:ascii="Times New Roman" w:eastAsia="Aptos" w:hAnsi="Times New Roman" w:cs="Times New Roman"/>
                <w:sz w:val="20"/>
                <w:szCs w:val="20"/>
              </w:rPr>
            </w:pPr>
            <w:r w:rsidRPr="00ED4706">
              <w:rPr>
                <w:rFonts w:ascii="Times New Roman" w:eastAsia="Aptos" w:hAnsi="Times New Roman" w:cs="Times New Roman"/>
                <w:sz w:val="20"/>
                <w:szCs w:val="20"/>
              </w:rPr>
              <w:t>2.</w:t>
            </w:r>
          </w:p>
        </w:tc>
        <w:tc>
          <w:tcPr>
            <w:tcW w:w="2328" w:type="pct"/>
          </w:tcPr>
          <w:p w14:paraId="3878A083" w14:textId="77777777" w:rsidR="002C349F" w:rsidRPr="00ED4706" w:rsidRDefault="002C349F" w:rsidP="002C349F">
            <w:pPr>
              <w:rPr>
                <w:rFonts w:ascii="Times New Roman" w:eastAsia="Aptos" w:hAnsi="Times New Roman" w:cs="Times New Roman"/>
                <w:sz w:val="20"/>
                <w:szCs w:val="20"/>
              </w:rPr>
            </w:pPr>
            <w:r w:rsidRPr="00ED4706">
              <w:rPr>
                <w:rFonts w:ascii="Times New Roman" w:eastAsia="Aptos" w:hAnsi="Times New Roman" w:cs="Times New Roman"/>
                <w:sz w:val="20"/>
                <w:szCs w:val="20"/>
              </w:rPr>
              <w:t>Vieglais transportlīdzeklis, kas kā mehānisko enerģiju izmanto transportlīdzeklī glabāto elektroenerģiju (</w:t>
            </w:r>
            <w:proofErr w:type="spellStart"/>
            <w:r w:rsidRPr="00ED4706">
              <w:rPr>
                <w:rFonts w:ascii="Times New Roman" w:eastAsia="Aptos" w:hAnsi="Times New Roman" w:cs="Times New Roman"/>
                <w:sz w:val="20"/>
                <w:szCs w:val="20"/>
              </w:rPr>
              <w:t>elektroautomobiļi</w:t>
            </w:r>
            <w:proofErr w:type="spellEnd"/>
            <w:r w:rsidRPr="00ED4706">
              <w:rPr>
                <w:rFonts w:ascii="Times New Roman" w:eastAsia="Aptos" w:hAnsi="Times New Roman" w:cs="Times New Roman"/>
                <w:sz w:val="20"/>
                <w:szCs w:val="20"/>
              </w:rPr>
              <w:t>)</w:t>
            </w:r>
          </w:p>
        </w:tc>
        <w:tc>
          <w:tcPr>
            <w:tcW w:w="1201" w:type="pct"/>
          </w:tcPr>
          <w:p w14:paraId="06B293CA" w14:textId="77777777" w:rsidR="002C349F" w:rsidRPr="00ED4706" w:rsidRDefault="002C349F" w:rsidP="002C349F">
            <w:pPr>
              <w:jc w:val="center"/>
              <w:rPr>
                <w:rFonts w:ascii="Times New Roman" w:eastAsia="Aptos" w:hAnsi="Times New Roman" w:cs="Times New Roman"/>
                <w:sz w:val="20"/>
                <w:szCs w:val="20"/>
              </w:rPr>
            </w:pPr>
          </w:p>
          <w:p w14:paraId="0BDC69D4" w14:textId="77777777" w:rsidR="002C349F" w:rsidRPr="00ED4706" w:rsidRDefault="002C349F" w:rsidP="002C349F">
            <w:pPr>
              <w:jc w:val="center"/>
              <w:rPr>
                <w:rFonts w:ascii="Times New Roman" w:eastAsia="Aptos" w:hAnsi="Times New Roman" w:cs="Times New Roman"/>
                <w:sz w:val="20"/>
                <w:szCs w:val="20"/>
              </w:rPr>
            </w:pPr>
            <w:r w:rsidRPr="00ED4706">
              <w:rPr>
                <w:rFonts w:ascii="Times New Roman" w:eastAsia="Aptos" w:hAnsi="Times New Roman" w:cs="Times New Roman"/>
                <w:b/>
                <w:bCs/>
                <w:sz w:val="20"/>
                <w:szCs w:val="20"/>
              </w:rPr>
              <w:t>15</w:t>
            </w:r>
            <w:r w:rsidRPr="00ED4706">
              <w:rPr>
                <w:rFonts w:ascii="Times New Roman" w:eastAsia="Aptos" w:hAnsi="Times New Roman" w:cs="Times New Roman"/>
                <w:sz w:val="20"/>
                <w:szCs w:val="20"/>
              </w:rPr>
              <w:t xml:space="preserve"> </w:t>
            </w:r>
            <w:r w:rsidRPr="00ED4706">
              <w:rPr>
                <w:rFonts w:ascii="Times New Roman" w:eastAsia="Aptos" w:hAnsi="Times New Roman" w:cs="Times New Roman"/>
                <w:i/>
                <w:iCs/>
                <w:sz w:val="20"/>
                <w:szCs w:val="20"/>
              </w:rPr>
              <w:t>euro</w:t>
            </w:r>
          </w:p>
        </w:tc>
        <w:tc>
          <w:tcPr>
            <w:tcW w:w="1173" w:type="pct"/>
          </w:tcPr>
          <w:p w14:paraId="21D49B65" w14:textId="77777777" w:rsidR="002C349F" w:rsidRPr="00ED4706" w:rsidRDefault="002C349F" w:rsidP="002C349F">
            <w:pPr>
              <w:jc w:val="center"/>
              <w:rPr>
                <w:rFonts w:ascii="Times New Roman" w:eastAsia="Aptos" w:hAnsi="Times New Roman" w:cs="Times New Roman"/>
                <w:b/>
                <w:bCs/>
                <w:i/>
                <w:iCs/>
                <w:color w:val="FF0000"/>
                <w:sz w:val="20"/>
                <w:szCs w:val="20"/>
              </w:rPr>
            </w:pPr>
          </w:p>
          <w:p w14:paraId="745A4010" w14:textId="77777777" w:rsidR="002C349F" w:rsidRPr="00ED4706" w:rsidRDefault="002C349F" w:rsidP="002C349F">
            <w:pPr>
              <w:jc w:val="center"/>
              <w:rPr>
                <w:rFonts w:ascii="Times New Roman" w:eastAsia="Aptos" w:hAnsi="Times New Roman" w:cs="Times New Roman"/>
                <w:sz w:val="20"/>
                <w:szCs w:val="20"/>
              </w:rPr>
            </w:pPr>
            <w:r w:rsidRPr="00ED4706">
              <w:rPr>
                <w:rFonts w:ascii="Times New Roman" w:eastAsia="Aptos" w:hAnsi="Times New Roman" w:cs="Times New Roman"/>
                <w:b/>
                <w:bCs/>
                <w:color w:val="FF0000"/>
                <w:sz w:val="20"/>
                <w:szCs w:val="20"/>
              </w:rPr>
              <w:t>17</w:t>
            </w:r>
            <w:r w:rsidRPr="00ED4706">
              <w:rPr>
                <w:rFonts w:ascii="Times New Roman" w:eastAsia="Aptos" w:hAnsi="Times New Roman" w:cs="Times New Roman"/>
                <w:b/>
                <w:bCs/>
                <w:i/>
                <w:iCs/>
                <w:color w:val="FF0000"/>
                <w:sz w:val="20"/>
                <w:szCs w:val="20"/>
              </w:rPr>
              <w:t xml:space="preserve"> </w:t>
            </w:r>
            <w:r w:rsidRPr="00ED4706">
              <w:rPr>
                <w:rFonts w:ascii="Times New Roman" w:eastAsia="Aptos" w:hAnsi="Times New Roman" w:cs="Times New Roman"/>
                <w:i/>
                <w:iCs/>
                <w:sz w:val="20"/>
                <w:szCs w:val="20"/>
              </w:rPr>
              <w:t>euro</w:t>
            </w:r>
          </w:p>
        </w:tc>
      </w:tr>
      <w:tr w:rsidR="002C349F" w:rsidRPr="002C349F" w14:paraId="70667994" w14:textId="77777777" w:rsidTr="00ED4706">
        <w:tc>
          <w:tcPr>
            <w:tcW w:w="298" w:type="pct"/>
          </w:tcPr>
          <w:p w14:paraId="74DFF975" w14:textId="77777777" w:rsidR="002C349F" w:rsidRPr="00ED4706" w:rsidRDefault="002C349F" w:rsidP="00ED4706">
            <w:pPr>
              <w:jc w:val="center"/>
              <w:rPr>
                <w:rFonts w:ascii="Times New Roman" w:eastAsia="Aptos" w:hAnsi="Times New Roman" w:cs="Times New Roman"/>
                <w:sz w:val="20"/>
                <w:szCs w:val="20"/>
              </w:rPr>
            </w:pPr>
            <w:r w:rsidRPr="00ED4706">
              <w:rPr>
                <w:rFonts w:ascii="Times New Roman" w:eastAsia="Aptos" w:hAnsi="Times New Roman" w:cs="Times New Roman"/>
                <w:sz w:val="20"/>
                <w:szCs w:val="20"/>
              </w:rPr>
              <w:t>3.</w:t>
            </w:r>
          </w:p>
        </w:tc>
        <w:tc>
          <w:tcPr>
            <w:tcW w:w="2328" w:type="pct"/>
          </w:tcPr>
          <w:p w14:paraId="4F71E61A" w14:textId="77777777" w:rsidR="002C349F" w:rsidRPr="00ED4706" w:rsidRDefault="002C349F" w:rsidP="002C349F">
            <w:pPr>
              <w:rPr>
                <w:rFonts w:ascii="Times New Roman" w:eastAsia="Aptos" w:hAnsi="Times New Roman" w:cs="Times New Roman"/>
                <w:sz w:val="20"/>
                <w:szCs w:val="20"/>
              </w:rPr>
            </w:pPr>
            <w:r w:rsidRPr="00ED4706">
              <w:rPr>
                <w:rFonts w:ascii="Times New Roman" w:eastAsia="Aptos" w:hAnsi="Times New Roman" w:cs="Times New Roman"/>
                <w:sz w:val="20"/>
                <w:szCs w:val="20"/>
              </w:rPr>
              <w:t>Vieglais transportlīdzeklis, kas bez iekšdedzes motora kā mehānisko dzinējspēku izmanto arī elektroenerģiju, ko iegūst pieslēdzoties ārējam elektroenerģijas avotam (hibrīda automobiļi).</w:t>
            </w:r>
          </w:p>
        </w:tc>
        <w:tc>
          <w:tcPr>
            <w:tcW w:w="1201" w:type="pct"/>
          </w:tcPr>
          <w:p w14:paraId="5F956329" w14:textId="77777777" w:rsidR="002C349F" w:rsidRPr="00ED4706" w:rsidRDefault="002C349F" w:rsidP="002C349F">
            <w:pPr>
              <w:jc w:val="center"/>
              <w:rPr>
                <w:rFonts w:ascii="Times New Roman" w:eastAsia="Aptos" w:hAnsi="Times New Roman" w:cs="Times New Roman"/>
                <w:sz w:val="20"/>
                <w:szCs w:val="20"/>
              </w:rPr>
            </w:pPr>
          </w:p>
          <w:p w14:paraId="010A156F" w14:textId="77777777" w:rsidR="002C349F" w:rsidRPr="00ED4706" w:rsidRDefault="002C349F" w:rsidP="002C349F">
            <w:pPr>
              <w:jc w:val="center"/>
              <w:rPr>
                <w:rFonts w:ascii="Times New Roman" w:eastAsia="Aptos" w:hAnsi="Times New Roman" w:cs="Times New Roman"/>
                <w:i/>
                <w:iCs/>
                <w:sz w:val="20"/>
                <w:szCs w:val="20"/>
              </w:rPr>
            </w:pPr>
            <w:r w:rsidRPr="00ED4706">
              <w:rPr>
                <w:rFonts w:ascii="Times New Roman" w:eastAsia="Aptos" w:hAnsi="Times New Roman" w:cs="Times New Roman"/>
                <w:b/>
                <w:bCs/>
                <w:sz w:val="20"/>
                <w:szCs w:val="20"/>
              </w:rPr>
              <w:t>25</w:t>
            </w:r>
            <w:r w:rsidRPr="00ED4706">
              <w:rPr>
                <w:rFonts w:ascii="Times New Roman" w:eastAsia="Aptos" w:hAnsi="Times New Roman" w:cs="Times New Roman"/>
                <w:sz w:val="20"/>
                <w:szCs w:val="20"/>
              </w:rPr>
              <w:t xml:space="preserve"> </w:t>
            </w:r>
            <w:r w:rsidRPr="00ED4706">
              <w:rPr>
                <w:rFonts w:ascii="Times New Roman" w:eastAsia="Aptos" w:hAnsi="Times New Roman" w:cs="Times New Roman"/>
                <w:i/>
                <w:iCs/>
                <w:sz w:val="20"/>
                <w:szCs w:val="20"/>
              </w:rPr>
              <w:t>euro</w:t>
            </w:r>
          </w:p>
        </w:tc>
        <w:tc>
          <w:tcPr>
            <w:tcW w:w="1173" w:type="pct"/>
          </w:tcPr>
          <w:p w14:paraId="7AE4E843" w14:textId="77777777" w:rsidR="002C349F" w:rsidRPr="00ED4706" w:rsidRDefault="002C349F" w:rsidP="002C349F">
            <w:pPr>
              <w:jc w:val="center"/>
              <w:rPr>
                <w:rFonts w:ascii="Times New Roman" w:eastAsia="Aptos" w:hAnsi="Times New Roman" w:cs="Times New Roman"/>
                <w:i/>
                <w:iCs/>
                <w:sz w:val="20"/>
                <w:szCs w:val="20"/>
              </w:rPr>
            </w:pPr>
          </w:p>
          <w:p w14:paraId="3AAF413C" w14:textId="77777777" w:rsidR="002C349F" w:rsidRPr="00ED4706" w:rsidRDefault="002C349F" w:rsidP="002C349F">
            <w:pPr>
              <w:jc w:val="center"/>
              <w:rPr>
                <w:rFonts w:ascii="Times New Roman" w:eastAsia="Aptos" w:hAnsi="Times New Roman" w:cs="Times New Roman"/>
                <w:b/>
                <w:bCs/>
                <w:sz w:val="20"/>
                <w:szCs w:val="20"/>
              </w:rPr>
            </w:pPr>
            <w:r w:rsidRPr="00ED4706">
              <w:rPr>
                <w:rFonts w:ascii="Times New Roman" w:eastAsia="Aptos" w:hAnsi="Times New Roman" w:cs="Times New Roman"/>
                <w:b/>
                <w:bCs/>
                <w:color w:val="FF0000"/>
                <w:sz w:val="20"/>
                <w:szCs w:val="20"/>
              </w:rPr>
              <w:t>30</w:t>
            </w:r>
            <w:r w:rsidRPr="00ED4706">
              <w:rPr>
                <w:rFonts w:ascii="Times New Roman" w:eastAsia="Aptos" w:hAnsi="Times New Roman" w:cs="Times New Roman"/>
                <w:b/>
                <w:bCs/>
                <w:i/>
                <w:iCs/>
                <w:color w:val="FF0000"/>
                <w:sz w:val="20"/>
                <w:szCs w:val="20"/>
              </w:rPr>
              <w:t xml:space="preserve"> </w:t>
            </w:r>
            <w:r w:rsidRPr="00ED4706">
              <w:rPr>
                <w:rFonts w:ascii="Times New Roman" w:eastAsia="Aptos" w:hAnsi="Times New Roman" w:cs="Times New Roman"/>
                <w:i/>
                <w:iCs/>
                <w:sz w:val="20"/>
                <w:szCs w:val="20"/>
              </w:rPr>
              <w:t>euro</w:t>
            </w:r>
          </w:p>
        </w:tc>
      </w:tr>
      <w:tr w:rsidR="002C349F" w:rsidRPr="002C349F" w14:paraId="7E04E3BB" w14:textId="77777777" w:rsidTr="00ED4706">
        <w:tc>
          <w:tcPr>
            <w:tcW w:w="298" w:type="pct"/>
          </w:tcPr>
          <w:p w14:paraId="26531A5A" w14:textId="77777777" w:rsidR="002C349F" w:rsidRPr="00ED4706" w:rsidRDefault="002C349F" w:rsidP="00ED4706">
            <w:pPr>
              <w:jc w:val="center"/>
              <w:rPr>
                <w:rFonts w:ascii="Times New Roman" w:eastAsia="Aptos" w:hAnsi="Times New Roman" w:cs="Times New Roman"/>
                <w:sz w:val="20"/>
                <w:szCs w:val="20"/>
              </w:rPr>
            </w:pPr>
            <w:r w:rsidRPr="00ED4706">
              <w:rPr>
                <w:rFonts w:ascii="Times New Roman" w:eastAsia="Aptos" w:hAnsi="Times New Roman" w:cs="Times New Roman"/>
                <w:sz w:val="20"/>
                <w:szCs w:val="20"/>
              </w:rPr>
              <w:t>4.</w:t>
            </w:r>
          </w:p>
        </w:tc>
        <w:tc>
          <w:tcPr>
            <w:tcW w:w="2328" w:type="pct"/>
          </w:tcPr>
          <w:p w14:paraId="5D26C4A3" w14:textId="77777777" w:rsidR="002C349F" w:rsidRPr="00ED4706" w:rsidRDefault="002C349F" w:rsidP="002C349F">
            <w:pPr>
              <w:rPr>
                <w:rFonts w:ascii="Times New Roman" w:eastAsia="Aptos" w:hAnsi="Times New Roman" w:cs="Times New Roman"/>
                <w:sz w:val="20"/>
                <w:szCs w:val="20"/>
              </w:rPr>
            </w:pPr>
            <w:r w:rsidRPr="00ED4706">
              <w:rPr>
                <w:rFonts w:ascii="Times New Roman" w:eastAsia="Aptos" w:hAnsi="Times New Roman" w:cs="Times New Roman"/>
                <w:sz w:val="20"/>
                <w:szCs w:val="20"/>
              </w:rPr>
              <w:t xml:space="preserve">Pārējie vieglie transportlīdzekļi </w:t>
            </w:r>
          </w:p>
        </w:tc>
        <w:tc>
          <w:tcPr>
            <w:tcW w:w="1201" w:type="pct"/>
          </w:tcPr>
          <w:p w14:paraId="3352882B" w14:textId="77777777" w:rsidR="002C349F" w:rsidRPr="00ED4706" w:rsidRDefault="002C349F" w:rsidP="002C349F">
            <w:pPr>
              <w:jc w:val="center"/>
              <w:rPr>
                <w:rFonts w:ascii="Times New Roman" w:eastAsia="Aptos" w:hAnsi="Times New Roman" w:cs="Times New Roman"/>
                <w:i/>
                <w:iCs/>
                <w:sz w:val="20"/>
                <w:szCs w:val="20"/>
              </w:rPr>
            </w:pPr>
            <w:r w:rsidRPr="00ED4706">
              <w:rPr>
                <w:rFonts w:ascii="Times New Roman" w:eastAsia="Aptos" w:hAnsi="Times New Roman" w:cs="Times New Roman"/>
                <w:b/>
                <w:bCs/>
                <w:sz w:val="20"/>
                <w:szCs w:val="20"/>
              </w:rPr>
              <w:t>60</w:t>
            </w:r>
            <w:r w:rsidRPr="00ED4706">
              <w:rPr>
                <w:rFonts w:ascii="Times New Roman" w:eastAsia="Aptos" w:hAnsi="Times New Roman" w:cs="Times New Roman"/>
                <w:sz w:val="20"/>
                <w:szCs w:val="20"/>
              </w:rPr>
              <w:t xml:space="preserve"> </w:t>
            </w:r>
            <w:r w:rsidRPr="00ED4706">
              <w:rPr>
                <w:rFonts w:ascii="Times New Roman" w:eastAsia="Aptos" w:hAnsi="Times New Roman" w:cs="Times New Roman"/>
                <w:i/>
                <w:iCs/>
                <w:sz w:val="20"/>
                <w:szCs w:val="20"/>
              </w:rPr>
              <w:t>euro</w:t>
            </w:r>
          </w:p>
        </w:tc>
        <w:tc>
          <w:tcPr>
            <w:tcW w:w="1173" w:type="pct"/>
          </w:tcPr>
          <w:p w14:paraId="003EA321" w14:textId="77777777" w:rsidR="002C349F" w:rsidRPr="00ED4706" w:rsidRDefault="002C349F" w:rsidP="002C349F">
            <w:pPr>
              <w:jc w:val="center"/>
              <w:rPr>
                <w:rFonts w:ascii="Times New Roman" w:eastAsia="Aptos" w:hAnsi="Times New Roman" w:cs="Times New Roman"/>
                <w:b/>
                <w:bCs/>
                <w:sz w:val="20"/>
                <w:szCs w:val="20"/>
              </w:rPr>
            </w:pPr>
            <w:r w:rsidRPr="00ED4706">
              <w:rPr>
                <w:rFonts w:ascii="Times New Roman" w:eastAsia="Aptos" w:hAnsi="Times New Roman" w:cs="Times New Roman"/>
                <w:b/>
                <w:bCs/>
                <w:color w:val="FF0000"/>
                <w:sz w:val="20"/>
                <w:szCs w:val="20"/>
              </w:rPr>
              <w:t xml:space="preserve">66 </w:t>
            </w:r>
            <w:r w:rsidRPr="00ED4706">
              <w:rPr>
                <w:rFonts w:ascii="Times New Roman" w:eastAsia="Aptos" w:hAnsi="Times New Roman" w:cs="Times New Roman"/>
                <w:i/>
                <w:iCs/>
                <w:sz w:val="20"/>
                <w:szCs w:val="20"/>
              </w:rPr>
              <w:t>euro</w:t>
            </w:r>
          </w:p>
        </w:tc>
      </w:tr>
    </w:tbl>
    <w:p w14:paraId="2D70B64D" w14:textId="77777777" w:rsidR="004077CE" w:rsidRDefault="004077CE" w:rsidP="00ED4706">
      <w:pPr>
        <w:spacing w:after="120"/>
        <w:jc w:val="center"/>
        <w:rPr>
          <w:rFonts w:cs="Times New Roman"/>
          <w:sz w:val="20"/>
        </w:rPr>
      </w:pPr>
    </w:p>
    <w:p w14:paraId="6B01C1DF" w14:textId="2D764639" w:rsidR="00ED4706" w:rsidRPr="002E0A09" w:rsidRDefault="006F5E64" w:rsidP="00ED4706">
      <w:pPr>
        <w:spacing w:after="120"/>
        <w:jc w:val="center"/>
        <w:rPr>
          <w:rFonts w:cs="Times New Roman"/>
          <w:sz w:val="20"/>
        </w:rPr>
      </w:pPr>
      <w:r w:rsidRPr="006F5E64">
        <w:rPr>
          <w:rFonts w:cs="Times New Roman"/>
          <w:sz w:val="20"/>
        </w:rPr>
        <w:t>3</w:t>
      </w:r>
      <w:r w:rsidR="00725CD9">
        <w:rPr>
          <w:rFonts w:cs="Times New Roman"/>
          <w:sz w:val="20"/>
        </w:rPr>
        <w:t>4</w:t>
      </w:r>
      <w:r w:rsidR="00ED4706" w:rsidRPr="006F5E64">
        <w:rPr>
          <w:rFonts w:cs="Times New Roman"/>
          <w:sz w:val="20"/>
        </w:rPr>
        <w:t>.</w:t>
      </w:r>
      <w:r w:rsidR="00ED4706" w:rsidRPr="002E0A09">
        <w:rPr>
          <w:rFonts w:cs="Times New Roman"/>
          <w:sz w:val="20"/>
        </w:rPr>
        <w:t>tab</w:t>
      </w:r>
      <w:r w:rsidR="00ED4706" w:rsidRPr="002E0A09">
        <w:rPr>
          <w:rFonts w:cs="Times New Roman"/>
          <w:bCs/>
          <w:sz w:val="20"/>
        </w:rPr>
        <w:t>.</w:t>
      </w:r>
      <w:r w:rsidR="00ED4706" w:rsidRPr="002E0A09">
        <w:rPr>
          <w:rFonts w:cs="Times New Roman"/>
          <w:b/>
          <w:sz w:val="20"/>
        </w:rPr>
        <w:t xml:space="preserve"> Priekšlikuma indikatīva fiskālā ietekme</w:t>
      </w:r>
      <w:r w:rsidR="00ED4706" w:rsidRPr="002E0A09">
        <w:rPr>
          <w:rFonts w:cs="Times New Roman"/>
          <w:bCs/>
          <w:sz w:val="20"/>
        </w:rPr>
        <w:t>,</w:t>
      </w:r>
      <w:r w:rsidR="00ED4706" w:rsidRPr="002E0A09">
        <w:rPr>
          <w:rFonts w:cs="Times New Roman"/>
          <w:bCs/>
          <w:i/>
          <w:iCs/>
          <w:sz w:val="20"/>
        </w:rPr>
        <w:t> euro</w:t>
      </w:r>
    </w:p>
    <w:tbl>
      <w:tblPr>
        <w:tblStyle w:val="TableGrid"/>
        <w:tblW w:w="9067" w:type="dxa"/>
        <w:tblInd w:w="5" w:type="dxa"/>
        <w:tblLook w:val="04A0" w:firstRow="1" w:lastRow="0" w:firstColumn="1" w:lastColumn="0" w:noHBand="0" w:noVBand="1"/>
      </w:tblPr>
      <w:tblGrid>
        <w:gridCol w:w="3672"/>
        <w:gridCol w:w="1376"/>
        <w:gridCol w:w="1375"/>
        <w:gridCol w:w="1375"/>
        <w:gridCol w:w="1269"/>
      </w:tblGrid>
      <w:tr w:rsidR="00ED4706" w:rsidRPr="00D738ED" w14:paraId="4A157DDE" w14:textId="77777777" w:rsidTr="00005BE2">
        <w:tc>
          <w:tcPr>
            <w:tcW w:w="3672" w:type="dxa"/>
            <w:tcBorders>
              <w:top w:val="nil"/>
              <w:left w:val="nil"/>
              <w:bottom w:val="single" w:sz="8" w:space="0" w:color="auto"/>
              <w:right w:val="nil"/>
            </w:tcBorders>
            <w:shd w:val="clear" w:color="auto" w:fill="FFFFFF" w:themeFill="background1"/>
          </w:tcPr>
          <w:p w14:paraId="3D7765D3" w14:textId="77777777" w:rsidR="00ED4706" w:rsidRPr="00C11875" w:rsidRDefault="00ED4706" w:rsidP="00005BE2">
            <w:pPr>
              <w:pStyle w:val="ListParagraph"/>
              <w:ind w:left="0"/>
              <w:contextualSpacing w:val="0"/>
              <w:jc w:val="center"/>
              <w:rPr>
                <w:b/>
                <w:bCs/>
                <w:sz w:val="20"/>
                <w:szCs w:val="20"/>
              </w:rPr>
            </w:pPr>
          </w:p>
        </w:tc>
        <w:tc>
          <w:tcPr>
            <w:tcW w:w="1376" w:type="dxa"/>
            <w:tcBorders>
              <w:top w:val="nil"/>
              <w:left w:val="nil"/>
              <w:bottom w:val="single" w:sz="8" w:space="0" w:color="auto"/>
              <w:right w:val="nil"/>
            </w:tcBorders>
            <w:shd w:val="clear" w:color="auto" w:fill="FFFFFF" w:themeFill="background1"/>
            <w:vAlign w:val="bottom"/>
          </w:tcPr>
          <w:p w14:paraId="288A1304" w14:textId="77777777" w:rsidR="00ED4706" w:rsidRPr="00C11875" w:rsidRDefault="00ED4706" w:rsidP="00005BE2">
            <w:pPr>
              <w:pStyle w:val="ListParagraph"/>
              <w:ind w:left="0"/>
              <w:contextualSpacing w:val="0"/>
              <w:jc w:val="center"/>
              <w:rPr>
                <w:b/>
                <w:bCs/>
                <w:sz w:val="20"/>
                <w:szCs w:val="20"/>
              </w:rPr>
            </w:pPr>
            <w:r w:rsidRPr="00C11875">
              <w:rPr>
                <w:b/>
                <w:bCs/>
                <w:sz w:val="20"/>
                <w:szCs w:val="20"/>
              </w:rPr>
              <w:t>2025</w:t>
            </w:r>
          </w:p>
        </w:tc>
        <w:tc>
          <w:tcPr>
            <w:tcW w:w="1375" w:type="dxa"/>
            <w:tcBorders>
              <w:top w:val="nil"/>
              <w:left w:val="nil"/>
              <w:bottom w:val="single" w:sz="8" w:space="0" w:color="auto"/>
              <w:right w:val="nil"/>
            </w:tcBorders>
            <w:shd w:val="clear" w:color="auto" w:fill="FFFFFF" w:themeFill="background1"/>
            <w:vAlign w:val="bottom"/>
          </w:tcPr>
          <w:p w14:paraId="54083F3E" w14:textId="77777777" w:rsidR="00ED4706" w:rsidRPr="00C11875" w:rsidRDefault="00ED4706" w:rsidP="00005BE2">
            <w:pPr>
              <w:pStyle w:val="ListParagraph"/>
              <w:ind w:left="0"/>
              <w:contextualSpacing w:val="0"/>
              <w:jc w:val="center"/>
              <w:rPr>
                <w:b/>
                <w:bCs/>
                <w:sz w:val="20"/>
                <w:szCs w:val="20"/>
              </w:rPr>
            </w:pPr>
            <w:r w:rsidRPr="00C11875">
              <w:rPr>
                <w:b/>
                <w:bCs/>
                <w:sz w:val="20"/>
                <w:szCs w:val="20"/>
              </w:rPr>
              <w:t>2026</w:t>
            </w:r>
          </w:p>
        </w:tc>
        <w:tc>
          <w:tcPr>
            <w:tcW w:w="1375" w:type="dxa"/>
            <w:tcBorders>
              <w:top w:val="nil"/>
              <w:left w:val="nil"/>
              <w:bottom w:val="single" w:sz="8" w:space="0" w:color="auto"/>
              <w:right w:val="nil"/>
            </w:tcBorders>
            <w:shd w:val="clear" w:color="auto" w:fill="FFFFFF" w:themeFill="background1"/>
            <w:vAlign w:val="bottom"/>
          </w:tcPr>
          <w:p w14:paraId="5B6F0F9A" w14:textId="77777777" w:rsidR="00ED4706" w:rsidRPr="00C11875" w:rsidRDefault="00ED4706" w:rsidP="00005BE2">
            <w:pPr>
              <w:pStyle w:val="ListParagraph"/>
              <w:ind w:left="0"/>
              <w:contextualSpacing w:val="0"/>
              <w:jc w:val="center"/>
              <w:rPr>
                <w:b/>
                <w:bCs/>
                <w:sz w:val="20"/>
                <w:szCs w:val="20"/>
              </w:rPr>
            </w:pPr>
            <w:r w:rsidRPr="00C11875">
              <w:rPr>
                <w:b/>
                <w:bCs/>
                <w:sz w:val="20"/>
                <w:szCs w:val="20"/>
              </w:rPr>
              <w:t>2027</w:t>
            </w:r>
          </w:p>
        </w:tc>
        <w:tc>
          <w:tcPr>
            <w:tcW w:w="1269" w:type="dxa"/>
            <w:tcBorders>
              <w:top w:val="nil"/>
              <w:left w:val="nil"/>
              <w:bottom w:val="single" w:sz="8" w:space="0" w:color="auto"/>
              <w:right w:val="nil"/>
            </w:tcBorders>
            <w:shd w:val="clear" w:color="auto" w:fill="FFFFFF" w:themeFill="background1"/>
          </w:tcPr>
          <w:p w14:paraId="4EB67E3B" w14:textId="77777777" w:rsidR="00ED4706" w:rsidRPr="00C11875" w:rsidRDefault="00ED4706" w:rsidP="00005BE2">
            <w:pPr>
              <w:pStyle w:val="ListParagraph"/>
              <w:ind w:left="0"/>
              <w:contextualSpacing w:val="0"/>
              <w:jc w:val="center"/>
              <w:rPr>
                <w:b/>
                <w:bCs/>
                <w:sz w:val="20"/>
                <w:szCs w:val="20"/>
              </w:rPr>
            </w:pPr>
            <w:r w:rsidRPr="00C11875">
              <w:rPr>
                <w:b/>
                <w:bCs/>
                <w:sz w:val="20"/>
                <w:szCs w:val="20"/>
              </w:rPr>
              <w:t>2028</w:t>
            </w:r>
          </w:p>
        </w:tc>
      </w:tr>
      <w:tr w:rsidR="00895713" w:rsidRPr="00F53BA5" w14:paraId="67549BAC" w14:textId="77777777" w:rsidTr="00005BE2">
        <w:tc>
          <w:tcPr>
            <w:tcW w:w="3672" w:type="dxa"/>
            <w:tcBorders>
              <w:top w:val="single" w:sz="8" w:space="0" w:color="auto"/>
              <w:left w:val="nil"/>
              <w:bottom w:val="single" w:sz="4" w:space="0" w:color="auto"/>
            </w:tcBorders>
            <w:shd w:val="clear" w:color="auto" w:fill="E7E6E6" w:themeFill="background2"/>
            <w:vAlign w:val="center"/>
          </w:tcPr>
          <w:p w14:paraId="358A7EB9" w14:textId="6CD453D1" w:rsidR="00895713" w:rsidRPr="001342FB" w:rsidRDefault="00895713" w:rsidP="00895713">
            <w:pPr>
              <w:pStyle w:val="ListParagraph"/>
              <w:ind w:left="0"/>
              <w:contextualSpacing w:val="0"/>
              <w:jc w:val="left"/>
              <w:rPr>
                <w:b/>
                <w:bCs/>
                <w:sz w:val="20"/>
                <w:szCs w:val="20"/>
              </w:rPr>
            </w:pPr>
            <w:r>
              <w:rPr>
                <w:b/>
                <w:bCs/>
                <w:sz w:val="20"/>
                <w:szCs w:val="20"/>
              </w:rPr>
              <w:t xml:space="preserve">UVTN </w:t>
            </w:r>
            <w:r w:rsidRPr="001342FB">
              <w:rPr>
                <w:b/>
                <w:bCs/>
                <w:sz w:val="20"/>
                <w:szCs w:val="20"/>
              </w:rPr>
              <w:t>ieņēmumi</w:t>
            </w:r>
            <w:r w:rsidRPr="001342FB">
              <w:rPr>
                <w:i/>
                <w:iCs/>
                <w:sz w:val="20"/>
                <w:szCs w:val="20"/>
              </w:rPr>
              <w:t>, no tā:</w:t>
            </w:r>
          </w:p>
        </w:tc>
        <w:tc>
          <w:tcPr>
            <w:tcW w:w="1376" w:type="dxa"/>
            <w:tcBorders>
              <w:top w:val="single" w:sz="8" w:space="0" w:color="auto"/>
              <w:bottom w:val="single" w:sz="4" w:space="0" w:color="auto"/>
            </w:tcBorders>
            <w:shd w:val="clear" w:color="auto" w:fill="E7E6E6" w:themeFill="background2"/>
            <w:vAlign w:val="center"/>
          </w:tcPr>
          <w:p w14:paraId="1D2C4737" w14:textId="42228B73" w:rsidR="00895713" w:rsidRPr="00895713" w:rsidRDefault="00895713" w:rsidP="00895713">
            <w:pPr>
              <w:pStyle w:val="ListParagraph"/>
              <w:ind w:left="0"/>
              <w:contextualSpacing w:val="0"/>
              <w:jc w:val="center"/>
              <w:rPr>
                <w:b/>
                <w:bCs/>
                <w:sz w:val="20"/>
                <w:szCs w:val="20"/>
              </w:rPr>
            </w:pPr>
            <w:r w:rsidRPr="00895713">
              <w:rPr>
                <w:b/>
                <w:bCs/>
                <w:sz w:val="20"/>
                <w:szCs w:val="20"/>
              </w:rPr>
              <w:t>-</w:t>
            </w:r>
          </w:p>
        </w:tc>
        <w:tc>
          <w:tcPr>
            <w:tcW w:w="1375" w:type="dxa"/>
            <w:tcBorders>
              <w:top w:val="single" w:sz="8" w:space="0" w:color="auto"/>
              <w:bottom w:val="single" w:sz="4" w:space="0" w:color="auto"/>
            </w:tcBorders>
            <w:shd w:val="clear" w:color="auto" w:fill="E7E6E6" w:themeFill="background2"/>
            <w:vAlign w:val="center"/>
          </w:tcPr>
          <w:p w14:paraId="46B4D1D0" w14:textId="073B4832" w:rsidR="00895713" w:rsidRPr="00895713" w:rsidRDefault="00895713" w:rsidP="00895713">
            <w:pPr>
              <w:pStyle w:val="ListParagraph"/>
              <w:ind w:left="0"/>
              <w:contextualSpacing w:val="0"/>
              <w:jc w:val="center"/>
              <w:rPr>
                <w:b/>
                <w:bCs/>
                <w:sz w:val="20"/>
                <w:szCs w:val="20"/>
              </w:rPr>
            </w:pPr>
            <w:r w:rsidRPr="00895713">
              <w:rPr>
                <w:b/>
                <w:bCs/>
                <w:sz w:val="20"/>
                <w:szCs w:val="20"/>
              </w:rPr>
              <w:t>-</w:t>
            </w:r>
          </w:p>
        </w:tc>
        <w:tc>
          <w:tcPr>
            <w:tcW w:w="1375" w:type="dxa"/>
            <w:tcBorders>
              <w:top w:val="single" w:sz="8" w:space="0" w:color="auto"/>
              <w:bottom w:val="single" w:sz="4" w:space="0" w:color="auto"/>
            </w:tcBorders>
            <w:shd w:val="clear" w:color="auto" w:fill="E7E6E6" w:themeFill="background2"/>
            <w:vAlign w:val="center"/>
          </w:tcPr>
          <w:p w14:paraId="21E1E152" w14:textId="6E577934" w:rsidR="00895713" w:rsidRPr="00895713" w:rsidRDefault="00895713" w:rsidP="00895713">
            <w:pPr>
              <w:pStyle w:val="ListParagraph"/>
              <w:ind w:left="0"/>
              <w:contextualSpacing w:val="0"/>
              <w:jc w:val="center"/>
              <w:rPr>
                <w:b/>
                <w:bCs/>
                <w:color w:val="00B050"/>
                <w:sz w:val="20"/>
                <w:szCs w:val="18"/>
              </w:rPr>
            </w:pPr>
            <w:r>
              <w:rPr>
                <w:b/>
                <w:bCs/>
                <w:color w:val="00B050"/>
                <w:sz w:val="20"/>
                <w:szCs w:val="18"/>
              </w:rPr>
              <w:t>+</w:t>
            </w:r>
            <w:r w:rsidRPr="00895713">
              <w:rPr>
                <w:b/>
                <w:bCs/>
                <w:color w:val="00B050"/>
                <w:sz w:val="20"/>
                <w:szCs w:val="18"/>
              </w:rPr>
              <w:t>2 728 000</w:t>
            </w:r>
          </w:p>
        </w:tc>
        <w:tc>
          <w:tcPr>
            <w:tcW w:w="1269" w:type="dxa"/>
            <w:tcBorders>
              <w:top w:val="single" w:sz="8" w:space="0" w:color="auto"/>
              <w:bottom w:val="single" w:sz="4" w:space="0" w:color="auto"/>
              <w:right w:val="nil"/>
            </w:tcBorders>
            <w:shd w:val="clear" w:color="auto" w:fill="E7E6E6" w:themeFill="background2"/>
            <w:vAlign w:val="center"/>
          </w:tcPr>
          <w:p w14:paraId="718DC893" w14:textId="2CD1B468" w:rsidR="00895713" w:rsidRPr="00895713" w:rsidRDefault="00895713" w:rsidP="00895713">
            <w:pPr>
              <w:pStyle w:val="ListParagraph"/>
              <w:ind w:left="0"/>
              <w:contextualSpacing w:val="0"/>
              <w:jc w:val="center"/>
              <w:rPr>
                <w:b/>
                <w:bCs/>
                <w:color w:val="00B050"/>
                <w:sz w:val="20"/>
                <w:szCs w:val="18"/>
              </w:rPr>
            </w:pPr>
            <w:r>
              <w:rPr>
                <w:b/>
                <w:bCs/>
                <w:color w:val="00B050"/>
                <w:sz w:val="20"/>
                <w:szCs w:val="18"/>
              </w:rPr>
              <w:t>+</w:t>
            </w:r>
            <w:r w:rsidRPr="00895713">
              <w:rPr>
                <w:b/>
                <w:bCs/>
                <w:color w:val="00B050"/>
                <w:sz w:val="20"/>
                <w:szCs w:val="18"/>
              </w:rPr>
              <w:t>2 787 000</w:t>
            </w:r>
          </w:p>
        </w:tc>
      </w:tr>
      <w:tr w:rsidR="00895713" w:rsidRPr="00C433C6" w14:paraId="246A223F" w14:textId="77777777" w:rsidTr="00005BE2">
        <w:tc>
          <w:tcPr>
            <w:tcW w:w="3672" w:type="dxa"/>
            <w:tcBorders>
              <w:left w:val="nil"/>
              <w:bottom w:val="nil"/>
            </w:tcBorders>
            <w:shd w:val="clear" w:color="auto" w:fill="FFFFFF" w:themeFill="background1"/>
            <w:vAlign w:val="center"/>
          </w:tcPr>
          <w:p w14:paraId="33E50175" w14:textId="77777777" w:rsidR="00895713" w:rsidRPr="00C433C6" w:rsidRDefault="00895713" w:rsidP="00895713">
            <w:pPr>
              <w:pStyle w:val="ListParagraph"/>
              <w:numPr>
                <w:ilvl w:val="0"/>
                <w:numId w:val="9"/>
              </w:numPr>
              <w:tabs>
                <w:tab w:val="clear" w:pos="720"/>
                <w:tab w:val="num" w:pos="306"/>
              </w:tabs>
              <w:ind w:hanging="698"/>
              <w:contextualSpacing w:val="0"/>
              <w:jc w:val="left"/>
              <w:rPr>
                <w:i/>
                <w:iCs/>
                <w:sz w:val="18"/>
                <w:szCs w:val="18"/>
              </w:rPr>
            </w:pPr>
            <w:r w:rsidRPr="00C433C6">
              <w:rPr>
                <w:i/>
                <w:iCs/>
                <w:sz w:val="18"/>
                <w:szCs w:val="18"/>
              </w:rPr>
              <w:t>valsts pamatbudžetā</w:t>
            </w:r>
          </w:p>
        </w:tc>
        <w:tc>
          <w:tcPr>
            <w:tcW w:w="1376" w:type="dxa"/>
            <w:tcBorders>
              <w:bottom w:val="nil"/>
            </w:tcBorders>
            <w:shd w:val="clear" w:color="auto" w:fill="FFFFFF" w:themeFill="background1"/>
            <w:vAlign w:val="center"/>
          </w:tcPr>
          <w:p w14:paraId="7375B586" w14:textId="424C8CE6" w:rsidR="00895713" w:rsidRPr="00895713" w:rsidRDefault="00895713" w:rsidP="00895713">
            <w:pPr>
              <w:pStyle w:val="ListParagraph"/>
              <w:ind w:left="0"/>
              <w:contextualSpacing w:val="0"/>
              <w:jc w:val="center"/>
              <w:rPr>
                <w:i/>
                <w:iCs/>
                <w:sz w:val="18"/>
                <w:szCs w:val="18"/>
              </w:rPr>
            </w:pPr>
            <w:r w:rsidRPr="00895713">
              <w:rPr>
                <w:i/>
                <w:iCs/>
                <w:sz w:val="18"/>
                <w:szCs w:val="18"/>
              </w:rPr>
              <w:t>-</w:t>
            </w:r>
          </w:p>
        </w:tc>
        <w:tc>
          <w:tcPr>
            <w:tcW w:w="1375" w:type="dxa"/>
            <w:tcBorders>
              <w:bottom w:val="nil"/>
            </w:tcBorders>
            <w:shd w:val="clear" w:color="auto" w:fill="FFFFFF" w:themeFill="background1"/>
            <w:vAlign w:val="center"/>
          </w:tcPr>
          <w:p w14:paraId="05C1D596" w14:textId="0DC63065" w:rsidR="00895713" w:rsidRPr="00895713" w:rsidRDefault="00895713" w:rsidP="00895713">
            <w:pPr>
              <w:pStyle w:val="ListParagraph"/>
              <w:ind w:left="0"/>
              <w:contextualSpacing w:val="0"/>
              <w:jc w:val="center"/>
              <w:rPr>
                <w:i/>
                <w:iCs/>
                <w:sz w:val="18"/>
                <w:szCs w:val="18"/>
              </w:rPr>
            </w:pPr>
            <w:r w:rsidRPr="00895713">
              <w:rPr>
                <w:i/>
                <w:iCs/>
                <w:sz w:val="18"/>
                <w:szCs w:val="18"/>
              </w:rPr>
              <w:t>-</w:t>
            </w:r>
          </w:p>
        </w:tc>
        <w:tc>
          <w:tcPr>
            <w:tcW w:w="1375" w:type="dxa"/>
            <w:tcBorders>
              <w:bottom w:val="nil"/>
            </w:tcBorders>
            <w:shd w:val="clear" w:color="auto" w:fill="FFFFFF" w:themeFill="background1"/>
            <w:vAlign w:val="center"/>
          </w:tcPr>
          <w:p w14:paraId="782B915D" w14:textId="660F1768" w:rsidR="00895713" w:rsidRPr="00895713" w:rsidRDefault="00895713" w:rsidP="00895713">
            <w:pPr>
              <w:pStyle w:val="ListParagraph"/>
              <w:ind w:left="0"/>
              <w:contextualSpacing w:val="0"/>
              <w:jc w:val="center"/>
              <w:rPr>
                <w:i/>
                <w:iCs/>
                <w:color w:val="00B050"/>
                <w:sz w:val="18"/>
                <w:szCs w:val="18"/>
              </w:rPr>
            </w:pPr>
            <w:r w:rsidRPr="00895713">
              <w:rPr>
                <w:i/>
                <w:iCs/>
                <w:color w:val="00B050"/>
                <w:sz w:val="20"/>
                <w:szCs w:val="18"/>
              </w:rPr>
              <w:t>+2 728 000</w:t>
            </w:r>
          </w:p>
        </w:tc>
        <w:tc>
          <w:tcPr>
            <w:tcW w:w="1269" w:type="dxa"/>
            <w:tcBorders>
              <w:bottom w:val="nil"/>
              <w:right w:val="nil"/>
            </w:tcBorders>
            <w:shd w:val="clear" w:color="auto" w:fill="FFFFFF" w:themeFill="background1"/>
            <w:vAlign w:val="center"/>
          </w:tcPr>
          <w:p w14:paraId="3A748DA1" w14:textId="2036745A" w:rsidR="00895713" w:rsidRPr="00895713" w:rsidRDefault="00895713" w:rsidP="00895713">
            <w:pPr>
              <w:pStyle w:val="ListParagraph"/>
              <w:ind w:left="0"/>
              <w:contextualSpacing w:val="0"/>
              <w:jc w:val="center"/>
              <w:rPr>
                <w:i/>
                <w:iCs/>
                <w:color w:val="00B050"/>
                <w:sz w:val="18"/>
                <w:szCs w:val="18"/>
              </w:rPr>
            </w:pPr>
            <w:r w:rsidRPr="00895713">
              <w:rPr>
                <w:i/>
                <w:iCs/>
                <w:color w:val="00B050"/>
                <w:sz w:val="20"/>
                <w:szCs w:val="18"/>
              </w:rPr>
              <w:t>+2 787 000</w:t>
            </w:r>
          </w:p>
        </w:tc>
      </w:tr>
    </w:tbl>
    <w:p w14:paraId="68D4EA0E" w14:textId="64580C2E" w:rsidR="00FA7FB6" w:rsidRPr="002E0A09" w:rsidRDefault="00FA7FB6" w:rsidP="00FC125C">
      <w:pPr>
        <w:tabs>
          <w:tab w:val="left" w:pos="426"/>
        </w:tabs>
        <w:spacing w:before="120"/>
        <w:rPr>
          <w:rFonts w:cs="Times New Roman"/>
          <w:i/>
          <w:sz w:val="18"/>
        </w:rPr>
      </w:pPr>
      <w:r w:rsidRPr="002E0A09">
        <w:rPr>
          <w:rFonts w:cs="Times New Roman"/>
          <w:b/>
          <w:bCs/>
          <w:i/>
          <w:sz w:val="18"/>
        </w:rPr>
        <w:t>Avots</w:t>
      </w:r>
      <w:r w:rsidRPr="002E0A09">
        <w:rPr>
          <w:rFonts w:cs="Times New Roman"/>
          <w:i/>
          <w:sz w:val="18"/>
        </w:rPr>
        <w:t>: FM aprēķini</w:t>
      </w:r>
    </w:p>
    <w:p w14:paraId="3697E5B3" w14:textId="77777777" w:rsidR="00E23DF4" w:rsidRDefault="00E23DF4" w:rsidP="002C3160">
      <w:pPr>
        <w:shd w:val="clear" w:color="auto" w:fill="FFFFFF"/>
        <w:tabs>
          <w:tab w:val="left" w:pos="284"/>
        </w:tabs>
        <w:ind w:left="284" w:hanging="284"/>
        <w:jc w:val="both"/>
        <w:rPr>
          <w:rFonts w:eastAsia="Times New Roman" w:cs="Times New Roman"/>
          <w:color w:val="000000"/>
          <w:sz w:val="18"/>
          <w:szCs w:val="18"/>
          <w:lang w:eastAsia="lv-LV"/>
        </w:rPr>
      </w:pPr>
    </w:p>
    <w:p w14:paraId="160639FA" w14:textId="40A0663F" w:rsidR="0015733B" w:rsidRDefault="00501035" w:rsidP="0015733B">
      <w:pPr>
        <w:pStyle w:val="Heading2"/>
        <w:tabs>
          <w:tab w:val="left" w:pos="567"/>
        </w:tabs>
      </w:pPr>
      <w:bookmarkStart w:id="62" w:name="_Toc49763690"/>
      <w:bookmarkStart w:id="63" w:name="_Toc49763774"/>
      <w:bookmarkStart w:id="64" w:name="_Toc49769213"/>
      <w:bookmarkStart w:id="65" w:name="_Toc177627720"/>
      <w:bookmarkEnd w:id="62"/>
      <w:bookmarkEnd w:id="63"/>
      <w:bookmarkEnd w:id="64"/>
      <w:r>
        <w:t>3</w:t>
      </w:r>
      <w:r w:rsidR="0015733B">
        <w:t>.</w:t>
      </w:r>
      <w:r w:rsidR="007F2A6D">
        <w:t>9</w:t>
      </w:r>
      <w:r w:rsidR="0015733B">
        <w:t xml:space="preserve">. </w:t>
      </w:r>
      <w:r w:rsidR="0015733B">
        <w:tab/>
      </w:r>
      <w:r w:rsidR="0015733B" w:rsidRPr="0015733B">
        <w:t>Izložu nodokļa likmes palielināšana</w:t>
      </w:r>
      <w:bookmarkEnd w:id="65"/>
      <w:r w:rsidR="0015733B" w:rsidRPr="0015733B">
        <w:t xml:space="preserve"> </w:t>
      </w:r>
    </w:p>
    <w:p w14:paraId="7C302362" w14:textId="62067D0B" w:rsidR="001D4695" w:rsidRPr="001D4695" w:rsidRDefault="001D4695" w:rsidP="00565444">
      <w:pPr>
        <w:spacing w:after="120"/>
        <w:ind w:firstLine="567"/>
        <w:jc w:val="both"/>
        <w:rPr>
          <w:szCs w:val="24"/>
        </w:rPr>
      </w:pPr>
      <w:r w:rsidRPr="001D4695">
        <w:rPr>
          <w:szCs w:val="24"/>
        </w:rPr>
        <w:t xml:space="preserve">Izložu un azartspēļu nodoklim un nodevai </w:t>
      </w:r>
      <w:r w:rsidR="00FA7FB6" w:rsidRPr="00DF35F7">
        <w:rPr>
          <w:rFonts w:eastAsia="Times New Roman" w:cs="Times New Roman"/>
          <w:i/>
          <w:iCs/>
          <w:color w:val="000000"/>
          <w:szCs w:val="24"/>
          <w:lang w:eastAsia="lv-LV"/>
        </w:rPr>
        <w:t xml:space="preserve">(turpmāk – </w:t>
      </w:r>
      <w:r w:rsidR="00FA7FB6">
        <w:rPr>
          <w:rFonts w:eastAsia="Times New Roman" w:cs="Times New Roman"/>
          <w:i/>
          <w:iCs/>
          <w:color w:val="000000"/>
          <w:szCs w:val="24"/>
          <w:lang w:eastAsia="lv-LV"/>
        </w:rPr>
        <w:t>IAN</w:t>
      </w:r>
      <w:r w:rsidR="00FA7FB6" w:rsidRPr="00DF35F7">
        <w:rPr>
          <w:rFonts w:eastAsia="Times New Roman" w:cs="Times New Roman"/>
          <w:i/>
          <w:iCs/>
          <w:color w:val="000000"/>
          <w:szCs w:val="24"/>
          <w:lang w:eastAsia="lv-LV"/>
        </w:rPr>
        <w:t>)</w:t>
      </w:r>
      <w:r w:rsidR="00FA7FB6" w:rsidRPr="00291F1C">
        <w:rPr>
          <w:rFonts w:eastAsia="Times New Roman" w:cs="Times New Roman"/>
          <w:color w:val="000000"/>
          <w:szCs w:val="24"/>
          <w:lang w:eastAsia="lv-LV"/>
        </w:rPr>
        <w:t xml:space="preserve"> </w:t>
      </w:r>
      <w:r w:rsidRPr="001D4695">
        <w:rPr>
          <w:szCs w:val="24"/>
        </w:rPr>
        <w:t>ir fiskālā funkcija, kuras uzdevums ir nodrošināt valsts budžeta ieņēmumus.</w:t>
      </w:r>
      <w:r w:rsidRPr="001D4695">
        <w:rPr>
          <w:szCs w:val="24"/>
          <w:highlight w:val="yellow"/>
        </w:rPr>
        <w:t xml:space="preserve"> </w:t>
      </w:r>
    </w:p>
    <w:p w14:paraId="389D412C" w14:textId="6FDA6CDC" w:rsidR="001D4695" w:rsidRPr="001D4695" w:rsidRDefault="001D4695" w:rsidP="00565444">
      <w:pPr>
        <w:spacing w:after="120"/>
        <w:ind w:firstLine="567"/>
        <w:jc w:val="both"/>
        <w:rPr>
          <w:szCs w:val="24"/>
        </w:rPr>
      </w:pPr>
      <w:r w:rsidRPr="001D4695">
        <w:rPr>
          <w:szCs w:val="24"/>
        </w:rPr>
        <w:t xml:space="preserve">Latvijā izložu nodokļa likme likumā </w:t>
      </w:r>
      <w:r w:rsidRPr="001D4695">
        <w:rPr>
          <w:i/>
          <w:iCs/>
          <w:szCs w:val="24"/>
        </w:rPr>
        <w:t>“Par izložu un azartspēļu nodevu un nodokli”</w:t>
      </w:r>
      <w:r w:rsidRPr="001D4695">
        <w:rPr>
          <w:szCs w:val="24"/>
        </w:rPr>
        <w:t xml:space="preserve">  noteiktajiem objektiem izlozēm (arī momentloterijām) ir </w:t>
      </w:r>
      <w:r w:rsidRPr="001D4695">
        <w:rPr>
          <w:b/>
          <w:bCs/>
          <w:szCs w:val="24"/>
        </w:rPr>
        <w:t>10%</w:t>
      </w:r>
      <w:r w:rsidRPr="001D4695">
        <w:rPr>
          <w:szCs w:val="24"/>
        </w:rPr>
        <w:t xml:space="preserve"> apmērā.</w:t>
      </w:r>
      <w:r w:rsidRPr="001D4695">
        <w:rPr>
          <w:szCs w:val="24"/>
          <w:shd w:val="clear" w:color="auto" w:fill="FFFFFF"/>
        </w:rPr>
        <w:t xml:space="preserve"> Kopš 2017.</w:t>
      </w:r>
      <w:r>
        <w:rPr>
          <w:szCs w:val="24"/>
          <w:shd w:val="clear" w:color="auto" w:fill="FFFFFF"/>
        </w:rPr>
        <w:t> </w:t>
      </w:r>
      <w:r w:rsidRPr="001D4695">
        <w:rPr>
          <w:szCs w:val="24"/>
          <w:shd w:val="clear" w:color="auto" w:fill="FFFFFF"/>
        </w:rPr>
        <w:t>gada 1.</w:t>
      </w:r>
      <w:r>
        <w:rPr>
          <w:szCs w:val="24"/>
          <w:shd w:val="clear" w:color="auto" w:fill="FFFFFF"/>
        </w:rPr>
        <w:t> </w:t>
      </w:r>
      <w:r w:rsidRPr="001D4695">
        <w:rPr>
          <w:szCs w:val="24"/>
          <w:shd w:val="clear" w:color="auto" w:fill="FFFFFF"/>
        </w:rPr>
        <w:t xml:space="preserve">janvāra izložu nodokļa likme </w:t>
      </w:r>
      <w:r w:rsidRPr="001D4695">
        <w:rPr>
          <w:szCs w:val="24"/>
        </w:rPr>
        <w:t>nav mainījusies.</w:t>
      </w:r>
    </w:p>
    <w:p w14:paraId="03D9F4AD" w14:textId="3D5DB7D2" w:rsidR="001D4695" w:rsidRPr="001D4695" w:rsidRDefault="001D4695" w:rsidP="00565444">
      <w:pPr>
        <w:spacing w:after="120"/>
        <w:ind w:firstLine="567"/>
        <w:jc w:val="both"/>
        <w:rPr>
          <w:szCs w:val="24"/>
          <w:shd w:val="clear" w:color="auto" w:fill="FFFFFF"/>
        </w:rPr>
      </w:pPr>
      <w:r w:rsidRPr="001D4695">
        <w:rPr>
          <w:szCs w:val="24"/>
        </w:rPr>
        <w:t xml:space="preserve">Jāatzīmē, ka Lietuvā izložu nodokļa likme apliekamajam objektam izlozēm ir </w:t>
      </w:r>
      <w:r w:rsidRPr="001D4695">
        <w:rPr>
          <w:b/>
          <w:bCs/>
          <w:color w:val="00B050"/>
          <w:szCs w:val="24"/>
        </w:rPr>
        <w:t>18%</w:t>
      </w:r>
      <w:r w:rsidRPr="001D4695">
        <w:rPr>
          <w:szCs w:val="24"/>
        </w:rPr>
        <w:t>. Igaunijā n</w:t>
      </w:r>
      <w:r w:rsidRPr="001D4695">
        <w:rPr>
          <w:szCs w:val="24"/>
          <w:shd w:val="clear" w:color="auto" w:fill="FFFFFF"/>
        </w:rPr>
        <w:t>o 2024.</w:t>
      </w:r>
      <w:r>
        <w:rPr>
          <w:szCs w:val="24"/>
          <w:shd w:val="clear" w:color="auto" w:fill="FFFFFF"/>
        </w:rPr>
        <w:t> </w:t>
      </w:r>
      <w:r w:rsidRPr="001D4695">
        <w:rPr>
          <w:szCs w:val="24"/>
          <w:shd w:val="clear" w:color="auto" w:fill="FFFFFF"/>
        </w:rPr>
        <w:t xml:space="preserve">gada izložu nodokļa likme </w:t>
      </w:r>
      <w:r w:rsidRPr="001D4695">
        <w:rPr>
          <w:szCs w:val="24"/>
        </w:rPr>
        <w:t>apliekamajam objektam</w:t>
      </w:r>
      <w:r w:rsidRPr="001D4695">
        <w:rPr>
          <w:szCs w:val="24"/>
          <w:shd w:val="clear" w:color="auto" w:fill="FFFFFF"/>
        </w:rPr>
        <w:t xml:space="preserve"> izlozēm tika palielināta no </w:t>
      </w:r>
      <w:r w:rsidRPr="001D4695">
        <w:rPr>
          <w:b/>
          <w:bCs/>
          <w:color w:val="0070C0"/>
          <w:szCs w:val="24"/>
          <w:shd w:val="clear" w:color="auto" w:fill="FFFFFF"/>
        </w:rPr>
        <w:t>18%</w:t>
      </w:r>
      <w:r w:rsidRPr="001D4695">
        <w:rPr>
          <w:szCs w:val="24"/>
          <w:shd w:val="clear" w:color="auto" w:fill="FFFFFF"/>
        </w:rPr>
        <w:t xml:space="preserve"> uz </w:t>
      </w:r>
      <w:r w:rsidRPr="001D4695">
        <w:rPr>
          <w:b/>
          <w:bCs/>
          <w:color w:val="0070C0"/>
          <w:szCs w:val="24"/>
          <w:shd w:val="clear" w:color="auto" w:fill="FFFFFF"/>
        </w:rPr>
        <w:t>22%</w:t>
      </w:r>
      <w:r w:rsidRPr="001D4695">
        <w:rPr>
          <w:szCs w:val="24"/>
          <w:shd w:val="clear" w:color="auto" w:fill="FFFFFF"/>
        </w:rPr>
        <w:t>.</w:t>
      </w:r>
    </w:p>
    <w:p w14:paraId="5B8C5375" w14:textId="5FB993E5" w:rsidR="001D4695" w:rsidRDefault="001D4695" w:rsidP="002E50C9">
      <w:pPr>
        <w:ind w:firstLine="567"/>
        <w:jc w:val="both"/>
        <w:rPr>
          <w:b/>
          <w:bCs/>
          <w:szCs w:val="24"/>
        </w:rPr>
      </w:pPr>
      <w:r w:rsidRPr="001D4695">
        <w:rPr>
          <w:szCs w:val="24"/>
        </w:rPr>
        <w:t xml:space="preserve">Tāpēc tiek piedāvāts, sākot </w:t>
      </w:r>
      <w:r w:rsidRPr="001D4695">
        <w:rPr>
          <w:b/>
          <w:bCs/>
          <w:szCs w:val="24"/>
        </w:rPr>
        <w:t>ar 2025. gada 1. janvāri</w:t>
      </w:r>
      <w:r w:rsidRPr="001D4695">
        <w:rPr>
          <w:szCs w:val="24"/>
        </w:rPr>
        <w:t xml:space="preserve">, </w:t>
      </w:r>
      <w:r w:rsidRPr="001D4695">
        <w:rPr>
          <w:b/>
          <w:bCs/>
          <w:szCs w:val="24"/>
        </w:rPr>
        <w:t>paaugstināt izložu nodokļa likmi</w:t>
      </w:r>
      <w:r w:rsidRPr="001D4695">
        <w:rPr>
          <w:szCs w:val="24"/>
        </w:rPr>
        <w:t xml:space="preserve"> likuma </w:t>
      </w:r>
      <w:r w:rsidRPr="001D4695">
        <w:rPr>
          <w:i/>
          <w:iCs/>
          <w:szCs w:val="24"/>
        </w:rPr>
        <w:t>“Par izložu un azartspēļu nodevu un nodokli”</w:t>
      </w:r>
      <w:r w:rsidRPr="001D4695">
        <w:rPr>
          <w:szCs w:val="24"/>
        </w:rPr>
        <w:t xml:space="preserve"> 7. panta 1., 2. un 3. punktā minētajam </w:t>
      </w:r>
      <w:bookmarkStart w:id="66" w:name="_Hlk173588249"/>
      <w:r w:rsidRPr="001D4695">
        <w:rPr>
          <w:szCs w:val="24"/>
        </w:rPr>
        <w:t>apliekamajam objektam</w:t>
      </w:r>
      <w:bookmarkEnd w:id="66"/>
      <w:r w:rsidRPr="001D4695">
        <w:rPr>
          <w:szCs w:val="24"/>
        </w:rPr>
        <w:t xml:space="preserve"> izlozēm (arī momentloterijām) </w:t>
      </w:r>
      <w:r w:rsidRPr="001D4695">
        <w:rPr>
          <w:b/>
          <w:bCs/>
          <w:szCs w:val="24"/>
        </w:rPr>
        <w:t xml:space="preserve">no 10% uz </w:t>
      </w:r>
      <w:r w:rsidRPr="001D4695">
        <w:rPr>
          <w:b/>
          <w:bCs/>
          <w:color w:val="FF0000"/>
          <w:szCs w:val="24"/>
        </w:rPr>
        <w:t>15%</w:t>
      </w:r>
      <w:r w:rsidRPr="001D4695">
        <w:rPr>
          <w:b/>
          <w:bCs/>
          <w:szCs w:val="24"/>
        </w:rPr>
        <w:t>.</w:t>
      </w:r>
    </w:p>
    <w:p w14:paraId="29A03835" w14:textId="77777777" w:rsidR="002E50C9" w:rsidRDefault="002E50C9" w:rsidP="002E50C9">
      <w:pPr>
        <w:ind w:firstLine="567"/>
        <w:jc w:val="both"/>
        <w:rPr>
          <w:b/>
          <w:bCs/>
          <w:szCs w:val="24"/>
        </w:rPr>
      </w:pPr>
    </w:p>
    <w:p w14:paraId="30DBBA6C" w14:textId="310E8994" w:rsidR="00DB3EFB" w:rsidRPr="002E0A09" w:rsidRDefault="006F5E64" w:rsidP="00DB3EFB">
      <w:pPr>
        <w:spacing w:after="120"/>
        <w:jc w:val="center"/>
        <w:rPr>
          <w:rFonts w:cs="Times New Roman"/>
          <w:sz w:val="20"/>
        </w:rPr>
      </w:pPr>
      <w:r w:rsidRPr="006F5E64">
        <w:rPr>
          <w:rFonts w:cs="Times New Roman"/>
          <w:sz w:val="20"/>
        </w:rPr>
        <w:t>3</w:t>
      </w:r>
      <w:r w:rsidR="00725CD9">
        <w:rPr>
          <w:rFonts w:cs="Times New Roman"/>
          <w:sz w:val="20"/>
        </w:rPr>
        <w:t>5</w:t>
      </w:r>
      <w:r w:rsidR="00DB3EFB" w:rsidRPr="006F5E64">
        <w:rPr>
          <w:rFonts w:cs="Times New Roman"/>
          <w:sz w:val="20"/>
        </w:rPr>
        <w:t>.</w:t>
      </w:r>
      <w:r w:rsidR="00DB3EFB" w:rsidRPr="002E0A09">
        <w:rPr>
          <w:rFonts w:cs="Times New Roman"/>
          <w:sz w:val="20"/>
        </w:rPr>
        <w:t>tab</w:t>
      </w:r>
      <w:r w:rsidR="00DB3EFB" w:rsidRPr="002E0A09">
        <w:rPr>
          <w:rFonts w:cs="Times New Roman"/>
          <w:bCs/>
          <w:sz w:val="20"/>
        </w:rPr>
        <w:t>.</w:t>
      </w:r>
      <w:r w:rsidR="00DB3EFB" w:rsidRPr="002E0A09">
        <w:rPr>
          <w:rFonts w:cs="Times New Roman"/>
          <w:b/>
          <w:sz w:val="20"/>
        </w:rPr>
        <w:t xml:space="preserve"> Priekšlikuma indikatīva fiskālā ietekme</w:t>
      </w:r>
      <w:r w:rsidR="00DB3EFB" w:rsidRPr="002E0A09">
        <w:rPr>
          <w:rFonts w:cs="Times New Roman"/>
          <w:bCs/>
          <w:sz w:val="20"/>
        </w:rPr>
        <w:t>,</w:t>
      </w:r>
      <w:r w:rsidR="00DB3EFB" w:rsidRPr="002E0A09">
        <w:rPr>
          <w:rFonts w:cs="Times New Roman"/>
          <w:bCs/>
          <w:i/>
          <w:iCs/>
          <w:sz w:val="20"/>
        </w:rPr>
        <w:t> euro</w:t>
      </w:r>
    </w:p>
    <w:tbl>
      <w:tblPr>
        <w:tblStyle w:val="TableGrid"/>
        <w:tblW w:w="9067" w:type="dxa"/>
        <w:tblInd w:w="5" w:type="dxa"/>
        <w:tblLook w:val="04A0" w:firstRow="1" w:lastRow="0" w:firstColumn="1" w:lastColumn="0" w:noHBand="0" w:noVBand="1"/>
      </w:tblPr>
      <w:tblGrid>
        <w:gridCol w:w="3672"/>
        <w:gridCol w:w="1376"/>
        <w:gridCol w:w="1375"/>
        <w:gridCol w:w="1375"/>
        <w:gridCol w:w="1269"/>
      </w:tblGrid>
      <w:tr w:rsidR="00DB3EFB" w:rsidRPr="00D738ED" w14:paraId="53B7A413" w14:textId="77777777" w:rsidTr="00005BE2">
        <w:tc>
          <w:tcPr>
            <w:tcW w:w="3672" w:type="dxa"/>
            <w:tcBorders>
              <w:top w:val="nil"/>
              <w:left w:val="nil"/>
              <w:bottom w:val="single" w:sz="8" w:space="0" w:color="auto"/>
              <w:right w:val="nil"/>
            </w:tcBorders>
            <w:shd w:val="clear" w:color="auto" w:fill="FFFFFF" w:themeFill="background1"/>
          </w:tcPr>
          <w:p w14:paraId="788B9873" w14:textId="77777777" w:rsidR="00DB3EFB" w:rsidRPr="00C11875" w:rsidRDefault="00DB3EFB" w:rsidP="00005BE2">
            <w:pPr>
              <w:pStyle w:val="ListParagraph"/>
              <w:ind w:left="0"/>
              <w:contextualSpacing w:val="0"/>
              <w:jc w:val="center"/>
              <w:rPr>
                <w:b/>
                <w:bCs/>
                <w:sz w:val="20"/>
                <w:szCs w:val="20"/>
              </w:rPr>
            </w:pPr>
          </w:p>
        </w:tc>
        <w:tc>
          <w:tcPr>
            <w:tcW w:w="1376" w:type="dxa"/>
            <w:tcBorders>
              <w:top w:val="nil"/>
              <w:left w:val="nil"/>
              <w:bottom w:val="single" w:sz="8" w:space="0" w:color="auto"/>
              <w:right w:val="nil"/>
            </w:tcBorders>
            <w:shd w:val="clear" w:color="auto" w:fill="FFFFFF" w:themeFill="background1"/>
            <w:vAlign w:val="bottom"/>
          </w:tcPr>
          <w:p w14:paraId="1E645E1A" w14:textId="77777777" w:rsidR="00DB3EFB" w:rsidRPr="00C11875" w:rsidRDefault="00DB3EFB" w:rsidP="00005BE2">
            <w:pPr>
              <w:pStyle w:val="ListParagraph"/>
              <w:ind w:left="0"/>
              <w:contextualSpacing w:val="0"/>
              <w:jc w:val="center"/>
              <w:rPr>
                <w:b/>
                <w:bCs/>
                <w:sz w:val="20"/>
                <w:szCs w:val="20"/>
              </w:rPr>
            </w:pPr>
            <w:r w:rsidRPr="00C11875">
              <w:rPr>
                <w:b/>
                <w:bCs/>
                <w:sz w:val="20"/>
                <w:szCs w:val="20"/>
              </w:rPr>
              <w:t>2025</w:t>
            </w:r>
          </w:p>
        </w:tc>
        <w:tc>
          <w:tcPr>
            <w:tcW w:w="1375" w:type="dxa"/>
            <w:tcBorders>
              <w:top w:val="nil"/>
              <w:left w:val="nil"/>
              <w:bottom w:val="single" w:sz="8" w:space="0" w:color="auto"/>
              <w:right w:val="nil"/>
            </w:tcBorders>
            <w:shd w:val="clear" w:color="auto" w:fill="FFFFFF" w:themeFill="background1"/>
            <w:vAlign w:val="bottom"/>
          </w:tcPr>
          <w:p w14:paraId="0B7ADBB2" w14:textId="77777777" w:rsidR="00DB3EFB" w:rsidRPr="00C11875" w:rsidRDefault="00DB3EFB" w:rsidP="00005BE2">
            <w:pPr>
              <w:pStyle w:val="ListParagraph"/>
              <w:ind w:left="0"/>
              <w:contextualSpacing w:val="0"/>
              <w:jc w:val="center"/>
              <w:rPr>
                <w:b/>
                <w:bCs/>
                <w:sz w:val="20"/>
                <w:szCs w:val="20"/>
              </w:rPr>
            </w:pPr>
            <w:r w:rsidRPr="00C11875">
              <w:rPr>
                <w:b/>
                <w:bCs/>
                <w:sz w:val="20"/>
                <w:szCs w:val="20"/>
              </w:rPr>
              <w:t>2026</w:t>
            </w:r>
          </w:p>
        </w:tc>
        <w:tc>
          <w:tcPr>
            <w:tcW w:w="1375" w:type="dxa"/>
            <w:tcBorders>
              <w:top w:val="nil"/>
              <w:left w:val="nil"/>
              <w:bottom w:val="single" w:sz="8" w:space="0" w:color="auto"/>
              <w:right w:val="nil"/>
            </w:tcBorders>
            <w:shd w:val="clear" w:color="auto" w:fill="FFFFFF" w:themeFill="background1"/>
            <w:vAlign w:val="bottom"/>
          </w:tcPr>
          <w:p w14:paraId="034B03C0" w14:textId="77777777" w:rsidR="00DB3EFB" w:rsidRPr="00C11875" w:rsidRDefault="00DB3EFB" w:rsidP="00005BE2">
            <w:pPr>
              <w:pStyle w:val="ListParagraph"/>
              <w:ind w:left="0"/>
              <w:contextualSpacing w:val="0"/>
              <w:jc w:val="center"/>
              <w:rPr>
                <w:b/>
                <w:bCs/>
                <w:sz w:val="20"/>
                <w:szCs w:val="20"/>
              </w:rPr>
            </w:pPr>
            <w:r w:rsidRPr="00C11875">
              <w:rPr>
                <w:b/>
                <w:bCs/>
                <w:sz w:val="20"/>
                <w:szCs w:val="20"/>
              </w:rPr>
              <w:t>2027</w:t>
            </w:r>
          </w:p>
        </w:tc>
        <w:tc>
          <w:tcPr>
            <w:tcW w:w="1269" w:type="dxa"/>
            <w:tcBorders>
              <w:top w:val="nil"/>
              <w:left w:val="nil"/>
              <w:bottom w:val="single" w:sz="8" w:space="0" w:color="auto"/>
              <w:right w:val="nil"/>
            </w:tcBorders>
            <w:shd w:val="clear" w:color="auto" w:fill="FFFFFF" w:themeFill="background1"/>
          </w:tcPr>
          <w:p w14:paraId="6FDB862F" w14:textId="77777777" w:rsidR="00DB3EFB" w:rsidRPr="00C11875" w:rsidRDefault="00DB3EFB" w:rsidP="00005BE2">
            <w:pPr>
              <w:pStyle w:val="ListParagraph"/>
              <w:ind w:left="0"/>
              <w:contextualSpacing w:val="0"/>
              <w:jc w:val="center"/>
              <w:rPr>
                <w:b/>
                <w:bCs/>
                <w:sz w:val="20"/>
                <w:szCs w:val="20"/>
              </w:rPr>
            </w:pPr>
            <w:r w:rsidRPr="00C11875">
              <w:rPr>
                <w:b/>
                <w:bCs/>
                <w:sz w:val="20"/>
                <w:szCs w:val="20"/>
              </w:rPr>
              <w:t>2028</w:t>
            </w:r>
          </w:p>
        </w:tc>
      </w:tr>
      <w:tr w:rsidR="00895713" w:rsidRPr="00F53BA5" w14:paraId="6E8F4D8A" w14:textId="77777777" w:rsidTr="00DB3EFB">
        <w:tc>
          <w:tcPr>
            <w:tcW w:w="3672" w:type="dxa"/>
            <w:tcBorders>
              <w:top w:val="single" w:sz="8" w:space="0" w:color="auto"/>
              <w:left w:val="nil"/>
              <w:bottom w:val="single" w:sz="4" w:space="0" w:color="auto"/>
            </w:tcBorders>
            <w:shd w:val="clear" w:color="auto" w:fill="E7E6E6" w:themeFill="background2"/>
            <w:vAlign w:val="center"/>
          </w:tcPr>
          <w:p w14:paraId="471E4624" w14:textId="77777777" w:rsidR="00895713" w:rsidRPr="001342FB" w:rsidRDefault="00895713" w:rsidP="00895713">
            <w:pPr>
              <w:pStyle w:val="ListParagraph"/>
              <w:ind w:left="0"/>
              <w:contextualSpacing w:val="0"/>
              <w:jc w:val="left"/>
              <w:rPr>
                <w:b/>
                <w:bCs/>
                <w:sz w:val="20"/>
                <w:szCs w:val="20"/>
              </w:rPr>
            </w:pPr>
            <w:r w:rsidRPr="00B80556">
              <w:rPr>
                <w:b/>
                <w:bCs/>
                <w:sz w:val="20"/>
                <w:szCs w:val="20"/>
              </w:rPr>
              <w:t>IAN</w:t>
            </w:r>
            <w:r>
              <w:rPr>
                <w:b/>
                <w:bCs/>
                <w:sz w:val="20"/>
                <w:szCs w:val="20"/>
              </w:rPr>
              <w:t xml:space="preserve"> </w:t>
            </w:r>
            <w:r w:rsidRPr="001342FB">
              <w:rPr>
                <w:b/>
                <w:bCs/>
                <w:sz w:val="20"/>
                <w:szCs w:val="20"/>
              </w:rPr>
              <w:t>ieņēmumi</w:t>
            </w:r>
            <w:r w:rsidRPr="001342FB">
              <w:rPr>
                <w:i/>
                <w:iCs/>
                <w:sz w:val="20"/>
                <w:szCs w:val="20"/>
              </w:rPr>
              <w:t>, no tā:</w:t>
            </w:r>
          </w:p>
        </w:tc>
        <w:tc>
          <w:tcPr>
            <w:tcW w:w="1376" w:type="dxa"/>
            <w:tcBorders>
              <w:top w:val="single" w:sz="8" w:space="0" w:color="auto"/>
              <w:bottom w:val="single" w:sz="4" w:space="0" w:color="auto"/>
            </w:tcBorders>
            <w:shd w:val="clear" w:color="auto" w:fill="E7E6E6" w:themeFill="background2"/>
            <w:vAlign w:val="center"/>
          </w:tcPr>
          <w:p w14:paraId="6F75B9BA" w14:textId="64828C7F" w:rsidR="00895713" w:rsidRPr="00895713" w:rsidRDefault="00895713" w:rsidP="00895713">
            <w:pPr>
              <w:pStyle w:val="ListParagraph"/>
              <w:ind w:left="0"/>
              <w:contextualSpacing w:val="0"/>
              <w:jc w:val="center"/>
              <w:rPr>
                <w:b/>
                <w:bCs/>
                <w:color w:val="00B050"/>
                <w:sz w:val="20"/>
                <w:szCs w:val="18"/>
              </w:rPr>
            </w:pPr>
            <w:r>
              <w:rPr>
                <w:b/>
                <w:bCs/>
                <w:color w:val="00B050"/>
                <w:sz w:val="20"/>
                <w:szCs w:val="18"/>
              </w:rPr>
              <w:t>+</w:t>
            </w:r>
            <w:r w:rsidRPr="00895713">
              <w:rPr>
                <w:b/>
                <w:bCs/>
                <w:color w:val="00B050"/>
                <w:sz w:val="20"/>
                <w:szCs w:val="18"/>
              </w:rPr>
              <w:t>2 518 000</w:t>
            </w:r>
          </w:p>
        </w:tc>
        <w:tc>
          <w:tcPr>
            <w:tcW w:w="1375" w:type="dxa"/>
            <w:tcBorders>
              <w:top w:val="single" w:sz="8" w:space="0" w:color="auto"/>
              <w:bottom w:val="single" w:sz="4" w:space="0" w:color="auto"/>
            </w:tcBorders>
            <w:shd w:val="clear" w:color="auto" w:fill="E7E6E6" w:themeFill="background2"/>
            <w:vAlign w:val="center"/>
          </w:tcPr>
          <w:p w14:paraId="12630EEE" w14:textId="7F54C64A" w:rsidR="00895713" w:rsidRPr="00895713" w:rsidRDefault="00895713" w:rsidP="00895713">
            <w:pPr>
              <w:pStyle w:val="ListParagraph"/>
              <w:ind w:left="0"/>
              <w:contextualSpacing w:val="0"/>
              <w:jc w:val="center"/>
              <w:rPr>
                <w:b/>
                <w:bCs/>
                <w:color w:val="00B050"/>
                <w:sz w:val="20"/>
                <w:szCs w:val="18"/>
              </w:rPr>
            </w:pPr>
            <w:r>
              <w:rPr>
                <w:b/>
                <w:bCs/>
                <w:color w:val="00B050"/>
                <w:sz w:val="20"/>
                <w:szCs w:val="18"/>
              </w:rPr>
              <w:t>+</w:t>
            </w:r>
            <w:r w:rsidRPr="00895713">
              <w:rPr>
                <w:b/>
                <w:bCs/>
                <w:color w:val="00B050"/>
                <w:sz w:val="20"/>
                <w:szCs w:val="18"/>
              </w:rPr>
              <w:t>2 710 000</w:t>
            </w:r>
          </w:p>
        </w:tc>
        <w:tc>
          <w:tcPr>
            <w:tcW w:w="1375" w:type="dxa"/>
            <w:tcBorders>
              <w:top w:val="single" w:sz="8" w:space="0" w:color="auto"/>
              <w:bottom w:val="single" w:sz="4" w:space="0" w:color="auto"/>
            </w:tcBorders>
            <w:shd w:val="clear" w:color="auto" w:fill="E7E6E6" w:themeFill="background2"/>
            <w:vAlign w:val="center"/>
          </w:tcPr>
          <w:p w14:paraId="7D408BC3" w14:textId="72480322" w:rsidR="00895713" w:rsidRPr="00895713" w:rsidRDefault="00895713" w:rsidP="00895713">
            <w:pPr>
              <w:pStyle w:val="ListParagraph"/>
              <w:ind w:left="0"/>
              <w:contextualSpacing w:val="0"/>
              <w:jc w:val="center"/>
              <w:rPr>
                <w:b/>
                <w:bCs/>
                <w:color w:val="00B050"/>
                <w:sz w:val="20"/>
                <w:szCs w:val="18"/>
              </w:rPr>
            </w:pPr>
            <w:r>
              <w:rPr>
                <w:b/>
                <w:bCs/>
                <w:color w:val="00B050"/>
                <w:sz w:val="20"/>
                <w:szCs w:val="18"/>
              </w:rPr>
              <w:t>+</w:t>
            </w:r>
            <w:r w:rsidRPr="00895713">
              <w:rPr>
                <w:b/>
                <w:bCs/>
                <w:color w:val="00B050"/>
                <w:sz w:val="20"/>
                <w:szCs w:val="18"/>
              </w:rPr>
              <w:t>2 903 000</w:t>
            </w:r>
          </w:p>
        </w:tc>
        <w:tc>
          <w:tcPr>
            <w:tcW w:w="1269" w:type="dxa"/>
            <w:tcBorders>
              <w:top w:val="single" w:sz="8" w:space="0" w:color="auto"/>
              <w:bottom w:val="single" w:sz="4" w:space="0" w:color="auto"/>
              <w:right w:val="nil"/>
            </w:tcBorders>
            <w:shd w:val="clear" w:color="auto" w:fill="E7E6E6" w:themeFill="background2"/>
            <w:vAlign w:val="center"/>
          </w:tcPr>
          <w:p w14:paraId="303EA6BC" w14:textId="4FAD321A" w:rsidR="00895713" w:rsidRPr="00895713" w:rsidRDefault="00895713" w:rsidP="00895713">
            <w:pPr>
              <w:pStyle w:val="ListParagraph"/>
              <w:ind w:left="0"/>
              <w:contextualSpacing w:val="0"/>
              <w:jc w:val="center"/>
              <w:rPr>
                <w:b/>
                <w:bCs/>
                <w:color w:val="00B050"/>
                <w:sz w:val="20"/>
                <w:szCs w:val="18"/>
              </w:rPr>
            </w:pPr>
            <w:r>
              <w:rPr>
                <w:b/>
                <w:bCs/>
                <w:color w:val="00B050"/>
                <w:sz w:val="20"/>
                <w:szCs w:val="18"/>
              </w:rPr>
              <w:t>+</w:t>
            </w:r>
            <w:r w:rsidRPr="00895713">
              <w:rPr>
                <w:b/>
                <w:bCs/>
                <w:color w:val="00B050"/>
                <w:sz w:val="20"/>
                <w:szCs w:val="18"/>
              </w:rPr>
              <w:t>2 903 000</w:t>
            </w:r>
          </w:p>
        </w:tc>
      </w:tr>
      <w:tr w:rsidR="00895713" w:rsidRPr="00C433C6" w14:paraId="47EFC91B" w14:textId="77777777" w:rsidTr="00DB3EFB">
        <w:tc>
          <w:tcPr>
            <w:tcW w:w="3672" w:type="dxa"/>
            <w:tcBorders>
              <w:left w:val="nil"/>
              <w:bottom w:val="nil"/>
            </w:tcBorders>
            <w:shd w:val="clear" w:color="auto" w:fill="FFFFFF" w:themeFill="background1"/>
            <w:vAlign w:val="center"/>
          </w:tcPr>
          <w:p w14:paraId="0A9E9FC5" w14:textId="77777777" w:rsidR="00895713" w:rsidRPr="00C433C6" w:rsidRDefault="00895713" w:rsidP="00895713">
            <w:pPr>
              <w:pStyle w:val="ListParagraph"/>
              <w:numPr>
                <w:ilvl w:val="0"/>
                <w:numId w:val="9"/>
              </w:numPr>
              <w:tabs>
                <w:tab w:val="clear" w:pos="720"/>
                <w:tab w:val="num" w:pos="306"/>
              </w:tabs>
              <w:ind w:hanging="698"/>
              <w:contextualSpacing w:val="0"/>
              <w:jc w:val="left"/>
              <w:rPr>
                <w:i/>
                <w:iCs/>
                <w:sz w:val="18"/>
                <w:szCs w:val="18"/>
              </w:rPr>
            </w:pPr>
            <w:r w:rsidRPr="00C433C6">
              <w:rPr>
                <w:i/>
                <w:iCs/>
                <w:sz w:val="18"/>
                <w:szCs w:val="18"/>
              </w:rPr>
              <w:t>valsts pamatbudžetā</w:t>
            </w:r>
          </w:p>
        </w:tc>
        <w:tc>
          <w:tcPr>
            <w:tcW w:w="1376" w:type="dxa"/>
            <w:tcBorders>
              <w:bottom w:val="nil"/>
            </w:tcBorders>
            <w:shd w:val="clear" w:color="auto" w:fill="FFFFFF" w:themeFill="background1"/>
            <w:vAlign w:val="center"/>
          </w:tcPr>
          <w:p w14:paraId="02640D21" w14:textId="486A3033" w:rsidR="00895713" w:rsidRPr="00895713" w:rsidRDefault="00895713" w:rsidP="00895713">
            <w:pPr>
              <w:pStyle w:val="ListParagraph"/>
              <w:ind w:left="0"/>
              <w:contextualSpacing w:val="0"/>
              <w:jc w:val="center"/>
              <w:rPr>
                <w:i/>
                <w:iCs/>
                <w:color w:val="00B050"/>
                <w:sz w:val="18"/>
                <w:szCs w:val="18"/>
              </w:rPr>
            </w:pPr>
            <w:r w:rsidRPr="00895713">
              <w:rPr>
                <w:i/>
                <w:iCs/>
                <w:color w:val="00B050"/>
                <w:sz w:val="20"/>
                <w:szCs w:val="18"/>
              </w:rPr>
              <w:t>+2 518 000</w:t>
            </w:r>
          </w:p>
        </w:tc>
        <w:tc>
          <w:tcPr>
            <w:tcW w:w="1375" w:type="dxa"/>
            <w:tcBorders>
              <w:bottom w:val="nil"/>
            </w:tcBorders>
            <w:shd w:val="clear" w:color="auto" w:fill="FFFFFF" w:themeFill="background1"/>
            <w:vAlign w:val="center"/>
          </w:tcPr>
          <w:p w14:paraId="5358662E" w14:textId="0E07A9B4" w:rsidR="00895713" w:rsidRPr="00895713" w:rsidRDefault="00895713" w:rsidP="00895713">
            <w:pPr>
              <w:pStyle w:val="ListParagraph"/>
              <w:ind w:left="0"/>
              <w:contextualSpacing w:val="0"/>
              <w:jc w:val="center"/>
              <w:rPr>
                <w:i/>
                <w:iCs/>
                <w:color w:val="00B050"/>
                <w:sz w:val="18"/>
                <w:szCs w:val="18"/>
              </w:rPr>
            </w:pPr>
            <w:r w:rsidRPr="00895713">
              <w:rPr>
                <w:i/>
                <w:iCs/>
                <w:color w:val="00B050"/>
                <w:sz w:val="20"/>
                <w:szCs w:val="18"/>
              </w:rPr>
              <w:t>+2 710 000</w:t>
            </w:r>
          </w:p>
        </w:tc>
        <w:tc>
          <w:tcPr>
            <w:tcW w:w="1375" w:type="dxa"/>
            <w:tcBorders>
              <w:bottom w:val="nil"/>
            </w:tcBorders>
            <w:shd w:val="clear" w:color="auto" w:fill="FFFFFF" w:themeFill="background1"/>
            <w:vAlign w:val="center"/>
          </w:tcPr>
          <w:p w14:paraId="0154DF97" w14:textId="21DC414F" w:rsidR="00895713" w:rsidRPr="00895713" w:rsidRDefault="00895713" w:rsidP="00895713">
            <w:pPr>
              <w:pStyle w:val="ListParagraph"/>
              <w:ind w:left="0"/>
              <w:contextualSpacing w:val="0"/>
              <w:jc w:val="center"/>
              <w:rPr>
                <w:i/>
                <w:iCs/>
                <w:color w:val="00B050"/>
                <w:sz w:val="18"/>
                <w:szCs w:val="18"/>
              </w:rPr>
            </w:pPr>
            <w:r w:rsidRPr="00895713">
              <w:rPr>
                <w:i/>
                <w:iCs/>
                <w:color w:val="00B050"/>
                <w:sz w:val="20"/>
                <w:szCs w:val="18"/>
              </w:rPr>
              <w:t>+2 903 000</w:t>
            </w:r>
          </w:p>
        </w:tc>
        <w:tc>
          <w:tcPr>
            <w:tcW w:w="1269" w:type="dxa"/>
            <w:tcBorders>
              <w:bottom w:val="nil"/>
              <w:right w:val="nil"/>
            </w:tcBorders>
            <w:shd w:val="clear" w:color="auto" w:fill="FFFFFF" w:themeFill="background1"/>
            <w:vAlign w:val="center"/>
          </w:tcPr>
          <w:p w14:paraId="3012450D" w14:textId="4CA16A43" w:rsidR="00895713" w:rsidRPr="00895713" w:rsidRDefault="00895713" w:rsidP="00895713">
            <w:pPr>
              <w:pStyle w:val="ListParagraph"/>
              <w:ind w:left="0"/>
              <w:contextualSpacing w:val="0"/>
              <w:jc w:val="center"/>
              <w:rPr>
                <w:i/>
                <w:iCs/>
                <w:color w:val="00B050"/>
                <w:sz w:val="18"/>
                <w:szCs w:val="18"/>
              </w:rPr>
            </w:pPr>
            <w:r w:rsidRPr="00895713">
              <w:rPr>
                <w:i/>
                <w:iCs/>
                <w:color w:val="00B050"/>
                <w:sz w:val="20"/>
                <w:szCs w:val="18"/>
              </w:rPr>
              <w:t>+2 903 000</w:t>
            </w:r>
          </w:p>
        </w:tc>
      </w:tr>
    </w:tbl>
    <w:p w14:paraId="10E6F453" w14:textId="77777777" w:rsidR="00DB3EFB" w:rsidRPr="002E0A09" w:rsidRDefault="00DB3EFB" w:rsidP="00FC125C">
      <w:pPr>
        <w:tabs>
          <w:tab w:val="left" w:pos="426"/>
        </w:tabs>
        <w:spacing w:before="120"/>
        <w:rPr>
          <w:rFonts w:cs="Times New Roman"/>
          <w:i/>
          <w:sz w:val="18"/>
        </w:rPr>
      </w:pPr>
      <w:r w:rsidRPr="002E0A09">
        <w:rPr>
          <w:rFonts w:cs="Times New Roman"/>
          <w:b/>
          <w:bCs/>
          <w:i/>
          <w:sz w:val="18"/>
        </w:rPr>
        <w:t>Avots</w:t>
      </w:r>
      <w:r w:rsidRPr="002E0A09">
        <w:rPr>
          <w:rFonts w:cs="Times New Roman"/>
          <w:i/>
          <w:sz w:val="18"/>
        </w:rPr>
        <w:t>: FM aprēķini.</w:t>
      </w:r>
    </w:p>
    <w:p w14:paraId="52F234AD" w14:textId="77777777" w:rsidR="00DB3EFB" w:rsidRPr="001D4695" w:rsidRDefault="00DB3EFB" w:rsidP="00565444">
      <w:pPr>
        <w:spacing w:after="120"/>
        <w:ind w:firstLine="567"/>
        <w:jc w:val="both"/>
        <w:rPr>
          <w:b/>
          <w:bCs/>
          <w:szCs w:val="24"/>
        </w:rPr>
      </w:pPr>
    </w:p>
    <w:p w14:paraId="1779C607" w14:textId="2C005DB0" w:rsidR="0015733B" w:rsidRDefault="00501035" w:rsidP="0015733B">
      <w:pPr>
        <w:pStyle w:val="Heading2"/>
        <w:tabs>
          <w:tab w:val="left" w:pos="567"/>
        </w:tabs>
        <w:rPr>
          <w:bCs/>
          <w:color w:val="FF0000"/>
        </w:rPr>
      </w:pPr>
      <w:bookmarkStart w:id="67" w:name="_Toc177627721"/>
      <w:r>
        <w:t>3</w:t>
      </w:r>
      <w:r w:rsidR="0015733B">
        <w:t>.</w:t>
      </w:r>
      <w:r w:rsidR="007F2A6D">
        <w:t>10</w:t>
      </w:r>
      <w:r w:rsidR="0015733B">
        <w:t xml:space="preserve">. </w:t>
      </w:r>
      <w:r w:rsidR="0015733B">
        <w:tab/>
      </w:r>
      <w:r w:rsidR="0015733B" w:rsidRPr="0015733B">
        <w:rPr>
          <w:bCs/>
        </w:rPr>
        <w:t>Azartspēļu nodokļa likm</w:t>
      </w:r>
      <w:r w:rsidR="0076264D">
        <w:rPr>
          <w:bCs/>
        </w:rPr>
        <w:t>ju</w:t>
      </w:r>
      <w:r w:rsidR="0015733B" w:rsidRPr="0015733B">
        <w:rPr>
          <w:bCs/>
        </w:rPr>
        <w:t xml:space="preserve"> palielinājums</w:t>
      </w:r>
      <w:bookmarkEnd w:id="67"/>
      <w:r w:rsidR="0015733B" w:rsidRPr="0015733B">
        <w:rPr>
          <w:bCs/>
        </w:rPr>
        <w:t xml:space="preserve"> </w:t>
      </w:r>
    </w:p>
    <w:p w14:paraId="41132E08" w14:textId="77777777" w:rsidR="001D4695" w:rsidRPr="001D4695" w:rsidRDefault="001D4695" w:rsidP="00565444">
      <w:pPr>
        <w:spacing w:after="120"/>
        <w:ind w:firstLine="567"/>
        <w:jc w:val="both"/>
        <w:rPr>
          <w:szCs w:val="24"/>
        </w:rPr>
      </w:pPr>
      <w:r w:rsidRPr="001D4695">
        <w:rPr>
          <w:szCs w:val="24"/>
        </w:rPr>
        <w:t xml:space="preserve">Likuma </w:t>
      </w:r>
      <w:r w:rsidRPr="001D4695">
        <w:rPr>
          <w:i/>
          <w:iCs/>
          <w:szCs w:val="24"/>
        </w:rPr>
        <w:t xml:space="preserve">“Par izložu un azartspēļu nodevu un nodokli” </w:t>
      </w:r>
      <w:r w:rsidRPr="001D4695">
        <w:rPr>
          <w:szCs w:val="24"/>
        </w:rPr>
        <w:t xml:space="preserve">2. panta ceturtajā daļā un 3. panta pirmajā daļā azartspēļu nodevas un nodokļa likmes ir noteiktas absolūtā izteiksmē, kuras ietekmē inflācija. Līdz ar to būtu lietderīgi pārskatīt absolūtā izteiksmē noteiktās azartspēļu nodevas un nodokļa likmes ik pēc noteikta laika perioda. </w:t>
      </w:r>
    </w:p>
    <w:p w14:paraId="17D9B0D7" w14:textId="77777777" w:rsidR="001D4695" w:rsidRPr="001D4695" w:rsidRDefault="001D4695" w:rsidP="00565444">
      <w:pPr>
        <w:spacing w:after="120"/>
        <w:ind w:firstLine="567"/>
        <w:jc w:val="both"/>
        <w:rPr>
          <w:szCs w:val="24"/>
        </w:rPr>
      </w:pPr>
      <w:r w:rsidRPr="001D4695">
        <w:rPr>
          <w:szCs w:val="24"/>
        </w:rPr>
        <w:lastRenderedPageBreak/>
        <w:t xml:space="preserve">Kopš 2016. gada 1. janvāra azartspēļu nodevas likme par azartspēļu </w:t>
      </w:r>
      <w:r w:rsidRPr="001D4695">
        <w:rPr>
          <w:szCs w:val="24"/>
          <w:shd w:val="clear" w:color="auto" w:fill="FFFFFF"/>
        </w:rPr>
        <w:t xml:space="preserve">organizēšanas licences pārreģistrāciju </w:t>
      </w:r>
      <w:r w:rsidRPr="001D4695">
        <w:rPr>
          <w:szCs w:val="24"/>
        </w:rPr>
        <w:t xml:space="preserve">nav mainījusies. </w:t>
      </w:r>
    </w:p>
    <w:p w14:paraId="1561E9F8" w14:textId="4A1376DC" w:rsidR="001D4695" w:rsidRPr="00565444" w:rsidRDefault="00565444" w:rsidP="00565444">
      <w:pPr>
        <w:spacing w:after="120"/>
        <w:ind w:firstLine="567"/>
        <w:jc w:val="both"/>
        <w:rPr>
          <w:szCs w:val="24"/>
        </w:rPr>
      </w:pPr>
      <w:r w:rsidRPr="00565444">
        <w:rPr>
          <w:szCs w:val="24"/>
        </w:rPr>
        <w:t>Tāpēc p</w:t>
      </w:r>
      <w:r w:rsidR="001D4695" w:rsidRPr="00565444">
        <w:rPr>
          <w:szCs w:val="24"/>
        </w:rPr>
        <w:t>iedāvā</w:t>
      </w:r>
      <w:r w:rsidRPr="00565444">
        <w:rPr>
          <w:szCs w:val="24"/>
        </w:rPr>
        <w:t>ts</w:t>
      </w:r>
      <w:r w:rsidR="001D4695" w:rsidRPr="00565444">
        <w:rPr>
          <w:szCs w:val="24"/>
        </w:rPr>
        <w:t>,</w:t>
      </w:r>
      <w:r w:rsidR="001D4695" w:rsidRPr="001D4695">
        <w:rPr>
          <w:b/>
          <w:bCs/>
          <w:szCs w:val="24"/>
        </w:rPr>
        <w:t xml:space="preserve"> sākot ar 2025. gada 1. janvāri, paaugstināt </w:t>
      </w:r>
      <w:r w:rsidR="001D4695" w:rsidRPr="00565444">
        <w:rPr>
          <w:szCs w:val="24"/>
          <w:shd w:val="clear" w:color="auto" w:fill="FFFFFF"/>
        </w:rPr>
        <w:t xml:space="preserve">likuma </w:t>
      </w:r>
      <w:r w:rsidR="001D4695" w:rsidRPr="00565444">
        <w:rPr>
          <w:i/>
          <w:iCs/>
          <w:szCs w:val="24"/>
        </w:rPr>
        <w:t>“Par izložu un azartspēļu nodevu un nodokli”</w:t>
      </w:r>
      <w:r w:rsidR="001D4695" w:rsidRPr="00565444">
        <w:rPr>
          <w:szCs w:val="24"/>
        </w:rPr>
        <w:t xml:space="preserve"> 2. panta ceturtajā daļā noteikto</w:t>
      </w:r>
      <w:r w:rsidR="001D4695" w:rsidRPr="001D4695">
        <w:rPr>
          <w:b/>
          <w:bCs/>
          <w:szCs w:val="24"/>
        </w:rPr>
        <w:t xml:space="preserve"> azartspēļu nodevu </w:t>
      </w:r>
      <w:r w:rsidR="001D4695" w:rsidRPr="00565444">
        <w:rPr>
          <w:szCs w:val="24"/>
        </w:rPr>
        <w:t xml:space="preserve">par šā panta </w:t>
      </w:r>
      <w:r w:rsidR="001D4695" w:rsidRPr="00565444">
        <w:rPr>
          <w:szCs w:val="24"/>
          <w:shd w:val="clear" w:color="auto" w:fill="FFFFFF"/>
        </w:rPr>
        <w:t xml:space="preserve">otrajā un trešajā daļā minētās </w:t>
      </w:r>
      <w:r w:rsidR="001D4695" w:rsidRPr="001D4695">
        <w:rPr>
          <w:b/>
          <w:bCs/>
          <w:szCs w:val="24"/>
        </w:rPr>
        <w:t xml:space="preserve">azartspēļu </w:t>
      </w:r>
      <w:r w:rsidR="001D4695" w:rsidRPr="001D4695">
        <w:rPr>
          <w:b/>
          <w:bCs/>
          <w:szCs w:val="24"/>
          <w:shd w:val="clear" w:color="auto" w:fill="FFFFFF"/>
        </w:rPr>
        <w:t>organizēšanas licences pārreģistrāciju no 37</w:t>
      </w:r>
      <w:r>
        <w:rPr>
          <w:b/>
          <w:bCs/>
          <w:szCs w:val="24"/>
          <w:shd w:val="clear" w:color="auto" w:fill="FFFFFF"/>
        </w:rPr>
        <w:t> </w:t>
      </w:r>
      <w:r w:rsidR="001D4695" w:rsidRPr="001D4695">
        <w:rPr>
          <w:b/>
          <w:bCs/>
          <w:szCs w:val="24"/>
          <w:shd w:val="clear" w:color="auto" w:fill="FFFFFF"/>
        </w:rPr>
        <w:t>000 </w:t>
      </w:r>
      <w:r w:rsidR="001D4695" w:rsidRPr="00565444">
        <w:rPr>
          <w:i/>
          <w:iCs/>
          <w:szCs w:val="24"/>
        </w:rPr>
        <w:t>euro</w:t>
      </w:r>
      <w:r w:rsidR="001D4695" w:rsidRPr="00565444">
        <w:rPr>
          <w:szCs w:val="24"/>
        </w:rPr>
        <w:t xml:space="preserve"> uz</w:t>
      </w:r>
      <w:r w:rsidR="001D4695" w:rsidRPr="001D4695">
        <w:rPr>
          <w:b/>
          <w:bCs/>
          <w:szCs w:val="24"/>
        </w:rPr>
        <w:t xml:space="preserve"> </w:t>
      </w:r>
      <w:r w:rsidR="001D4695" w:rsidRPr="00565444">
        <w:rPr>
          <w:b/>
          <w:bCs/>
          <w:color w:val="FF0000"/>
          <w:szCs w:val="24"/>
        </w:rPr>
        <w:t xml:space="preserve">45 000 </w:t>
      </w:r>
      <w:r w:rsidR="001D4695" w:rsidRPr="00565444">
        <w:rPr>
          <w:i/>
          <w:iCs/>
          <w:szCs w:val="24"/>
        </w:rPr>
        <w:t xml:space="preserve">euro </w:t>
      </w:r>
      <w:r w:rsidR="001D4695" w:rsidRPr="00565444">
        <w:rPr>
          <w:szCs w:val="24"/>
          <w:shd w:val="clear" w:color="auto" w:fill="FFFFFF"/>
        </w:rPr>
        <w:t>par katru kārtējo gadu</w:t>
      </w:r>
      <w:r w:rsidR="001D4695" w:rsidRPr="00565444">
        <w:rPr>
          <w:szCs w:val="24"/>
        </w:rPr>
        <w:t>.</w:t>
      </w:r>
    </w:p>
    <w:p w14:paraId="25AE1472" w14:textId="4447EBD4" w:rsidR="001D4695" w:rsidRPr="001D4695" w:rsidRDefault="001D4695" w:rsidP="0076264D">
      <w:pPr>
        <w:spacing w:after="120"/>
        <w:ind w:firstLine="567"/>
        <w:jc w:val="both"/>
        <w:rPr>
          <w:szCs w:val="24"/>
        </w:rPr>
      </w:pPr>
      <w:r w:rsidRPr="001D4695">
        <w:rPr>
          <w:szCs w:val="24"/>
        </w:rPr>
        <w:t>Pēc Izložu un azartspēļu uzraudzības inspekcijas datiem azartspēļu organizētāju ieņēmumi no interaktīvajām azartspēlēm 2022. gadā ir pieauguši par 126,7% un 2023. gadā – par 150,1%, salīdzinot ar 2019. gadu. Latvijā no 2024.</w:t>
      </w:r>
      <w:r w:rsidR="00565444">
        <w:rPr>
          <w:szCs w:val="24"/>
        </w:rPr>
        <w:t> </w:t>
      </w:r>
      <w:r w:rsidRPr="001D4695">
        <w:rPr>
          <w:szCs w:val="24"/>
        </w:rPr>
        <w:t>gada 1.</w:t>
      </w:r>
      <w:r w:rsidR="00565444">
        <w:rPr>
          <w:szCs w:val="24"/>
        </w:rPr>
        <w:t> </w:t>
      </w:r>
      <w:r w:rsidRPr="001D4695">
        <w:rPr>
          <w:szCs w:val="24"/>
        </w:rPr>
        <w:t xml:space="preserve">janvāra azartspēļu nodokļu likme interaktīvajām azartspēlēm ir </w:t>
      </w:r>
      <w:r w:rsidRPr="00565444">
        <w:rPr>
          <w:b/>
          <w:bCs/>
          <w:color w:val="C00000"/>
          <w:szCs w:val="24"/>
        </w:rPr>
        <w:t>12%</w:t>
      </w:r>
      <w:r w:rsidRPr="001D4695">
        <w:rPr>
          <w:szCs w:val="24"/>
        </w:rPr>
        <w:t>.</w:t>
      </w:r>
    </w:p>
    <w:p w14:paraId="12381190" w14:textId="61A360B0" w:rsidR="00565444" w:rsidRDefault="001D4695" w:rsidP="00565444">
      <w:pPr>
        <w:spacing w:after="120"/>
        <w:ind w:firstLine="567"/>
        <w:jc w:val="both"/>
        <w:rPr>
          <w:szCs w:val="24"/>
        </w:rPr>
      </w:pPr>
      <w:r w:rsidRPr="001D4695">
        <w:rPr>
          <w:szCs w:val="24"/>
        </w:rPr>
        <w:t xml:space="preserve">Jāatzīmē, ka šobrīd Lietuvā azartspēļu nodoklis interaktīvajām azartspēlēm ir </w:t>
      </w:r>
      <w:r w:rsidRPr="00565444">
        <w:rPr>
          <w:b/>
          <w:bCs/>
          <w:color w:val="00B050"/>
          <w:szCs w:val="24"/>
        </w:rPr>
        <w:t>20%</w:t>
      </w:r>
      <w:r w:rsidRPr="001D4695">
        <w:rPr>
          <w:szCs w:val="24"/>
        </w:rPr>
        <w:t xml:space="preserve"> no organizēšanas ieņēmumiem, bet, sākot ar 2025. gadu, Lietuvā plānots paaugstināt azartspēļu nodokļa likmi interaktīvajām azartspēlēm līdz </w:t>
      </w:r>
      <w:r w:rsidRPr="00565444">
        <w:rPr>
          <w:b/>
          <w:bCs/>
          <w:color w:val="00B050"/>
          <w:szCs w:val="24"/>
        </w:rPr>
        <w:t>22%</w:t>
      </w:r>
      <w:r w:rsidRPr="001D4695">
        <w:rPr>
          <w:szCs w:val="24"/>
        </w:rPr>
        <w:t xml:space="preserve">. </w:t>
      </w:r>
      <w:r w:rsidR="00565444" w:rsidRPr="001D4695">
        <w:rPr>
          <w:szCs w:val="24"/>
        </w:rPr>
        <w:t xml:space="preserve">Lietuvā, sākot ar 2025. gadu, plānots </w:t>
      </w:r>
      <w:r w:rsidR="00E0116D">
        <w:rPr>
          <w:szCs w:val="24"/>
        </w:rPr>
        <w:t xml:space="preserve">arī </w:t>
      </w:r>
      <w:r w:rsidR="00565444" w:rsidRPr="001D4695">
        <w:rPr>
          <w:szCs w:val="24"/>
        </w:rPr>
        <w:t xml:space="preserve">paaugstināt azartspēļu nodokli azartspēļu automātu un galdu spēlēm, bingo, totalizatoram un derībām no </w:t>
      </w:r>
      <w:r w:rsidR="00565444" w:rsidRPr="00C00485">
        <w:rPr>
          <w:b/>
          <w:bCs/>
          <w:color w:val="00B050"/>
          <w:szCs w:val="24"/>
        </w:rPr>
        <w:t>20%</w:t>
      </w:r>
      <w:r w:rsidR="00565444" w:rsidRPr="00C00485">
        <w:rPr>
          <w:color w:val="00B050"/>
          <w:szCs w:val="24"/>
        </w:rPr>
        <w:t xml:space="preserve"> </w:t>
      </w:r>
      <w:r w:rsidR="00565444" w:rsidRPr="001D4695">
        <w:rPr>
          <w:szCs w:val="24"/>
        </w:rPr>
        <w:t xml:space="preserve">uz </w:t>
      </w:r>
      <w:r w:rsidR="00565444" w:rsidRPr="00C00485">
        <w:rPr>
          <w:b/>
          <w:bCs/>
          <w:color w:val="00B050"/>
          <w:szCs w:val="24"/>
        </w:rPr>
        <w:t>22%</w:t>
      </w:r>
      <w:r w:rsidR="00565444" w:rsidRPr="00C00485">
        <w:rPr>
          <w:color w:val="00B050"/>
          <w:szCs w:val="24"/>
        </w:rPr>
        <w:t xml:space="preserve"> </w:t>
      </w:r>
      <w:r w:rsidR="00565444" w:rsidRPr="001D4695">
        <w:rPr>
          <w:szCs w:val="24"/>
        </w:rPr>
        <w:t>no organizēšanas ieņēmumiem.</w:t>
      </w:r>
    </w:p>
    <w:p w14:paraId="22530D31" w14:textId="72DC700B" w:rsidR="001D4695" w:rsidRPr="001D4695" w:rsidRDefault="001D4695" w:rsidP="00565444">
      <w:pPr>
        <w:spacing w:after="120"/>
        <w:ind w:firstLine="567"/>
        <w:jc w:val="both"/>
        <w:rPr>
          <w:szCs w:val="24"/>
        </w:rPr>
      </w:pPr>
      <w:r w:rsidRPr="001D4695">
        <w:rPr>
          <w:szCs w:val="24"/>
        </w:rPr>
        <w:t>Igaunijā, sākot ar 2024.</w:t>
      </w:r>
      <w:r w:rsidR="00565444">
        <w:rPr>
          <w:szCs w:val="24"/>
        </w:rPr>
        <w:t> </w:t>
      </w:r>
      <w:r w:rsidRPr="001D4695">
        <w:rPr>
          <w:szCs w:val="24"/>
        </w:rPr>
        <w:t xml:space="preserve">gadu, azartspēļu nodoklis interaktīvajām azartspēlēm tika paaugstināts no </w:t>
      </w:r>
      <w:r w:rsidRPr="00565444">
        <w:rPr>
          <w:b/>
          <w:bCs/>
          <w:color w:val="0070C0"/>
          <w:szCs w:val="24"/>
        </w:rPr>
        <w:t>5%</w:t>
      </w:r>
      <w:r w:rsidRPr="001D4695">
        <w:rPr>
          <w:szCs w:val="24"/>
        </w:rPr>
        <w:t xml:space="preserve"> uz </w:t>
      </w:r>
      <w:r w:rsidRPr="00565444">
        <w:rPr>
          <w:b/>
          <w:bCs/>
          <w:color w:val="0070C0"/>
          <w:szCs w:val="24"/>
        </w:rPr>
        <w:t>6%</w:t>
      </w:r>
      <w:r w:rsidRPr="001D4695">
        <w:rPr>
          <w:szCs w:val="24"/>
        </w:rPr>
        <w:t xml:space="preserve">, bet, sākot ar 2026. gadu, līdz </w:t>
      </w:r>
      <w:r w:rsidRPr="00565444">
        <w:rPr>
          <w:b/>
          <w:bCs/>
          <w:color w:val="0070C0"/>
          <w:szCs w:val="24"/>
        </w:rPr>
        <w:t>7%</w:t>
      </w:r>
      <w:r w:rsidRPr="001D4695">
        <w:rPr>
          <w:szCs w:val="24"/>
        </w:rPr>
        <w:t xml:space="preserve"> no organizēšanas ieņēmumiem. </w:t>
      </w:r>
    </w:p>
    <w:p w14:paraId="672DD7FB" w14:textId="132B6F09" w:rsidR="001D4695" w:rsidRPr="001D4695" w:rsidRDefault="0076264D" w:rsidP="00C00485">
      <w:pPr>
        <w:ind w:firstLine="567"/>
        <w:jc w:val="both"/>
        <w:rPr>
          <w:b/>
          <w:bCs/>
          <w:szCs w:val="24"/>
        </w:rPr>
      </w:pPr>
      <w:r>
        <w:rPr>
          <w:b/>
          <w:bCs/>
          <w:szCs w:val="24"/>
        </w:rPr>
        <w:t xml:space="preserve">Sākot ar </w:t>
      </w:r>
      <w:r w:rsidR="001D4695" w:rsidRPr="001D4695">
        <w:rPr>
          <w:b/>
          <w:bCs/>
          <w:szCs w:val="24"/>
        </w:rPr>
        <w:t>2027. gada 1. janvāri</w:t>
      </w:r>
      <w:r w:rsidR="00C00485" w:rsidRPr="00C00485">
        <w:rPr>
          <w:b/>
          <w:bCs/>
          <w:szCs w:val="24"/>
        </w:rPr>
        <w:t xml:space="preserve"> </w:t>
      </w:r>
      <w:r>
        <w:rPr>
          <w:b/>
          <w:bCs/>
          <w:szCs w:val="24"/>
        </w:rPr>
        <w:t xml:space="preserve">piedāvāts </w:t>
      </w:r>
      <w:r w:rsidR="00C00485" w:rsidRPr="001D4695">
        <w:rPr>
          <w:b/>
          <w:bCs/>
          <w:szCs w:val="24"/>
        </w:rPr>
        <w:t>paaugstināt</w:t>
      </w:r>
      <w:r w:rsidR="001D4695" w:rsidRPr="001D4695">
        <w:rPr>
          <w:b/>
          <w:bCs/>
          <w:szCs w:val="24"/>
        </w:rPr>
        <w:t>:</w:t>
      </w:r>
    </w:p>
    <w:p w14:paraId="64C3A773" w14:textId="5AAD387D" w:rsidR="001D4695" w:rsidRPr="001D4695" w:rsidRDefault="001D4695" w:rsidP="00C00485">
      <w:pPr>
        <w:ind w:left="1134" w:hanging="567"/>
        <w:jc w:val="both"/>
        <w:rPr>
          <w:b/>
          <w:bCs/>
          <w:szCs w:val="24"/>
        </w:rPr>
      </w:pPr>
      <w:r w:rsidRPr="001D4695">
        <w:rPr>
          <w:b/>
          <w:bCs/>
          <w:szCs w:val="24"/>
        </w:rPr>
        <w:t xml:space="preserve">- </w:t>
      </w:r>
      <w:r w:rsidR="00C00485">
        <w:rPr>
          <w:b/>
          <w:bCs/>
          <w:szCs w:val="24"/>
        </w:rPr>
        <w:tab/>
      </w:r>
      <w:r w:rsidRPr="001D4695">
        <w:rPr>
          <w:b/>
          <w:bCs/>
          <w:szCs w:val="24"/>
        </w:rPr>
        <w:t xml:space="preserve">azartspēļu nodokļa likmi azartspēļu automātiem </w:t>
      </w:r>
      <w:r w:rsidRPr="001D4695">
        <w:rPr>
          <w:szCs w:val="24"/>
        </w:rPr>
        <w:t>(par katra azartspēļu automāta katru spēles vietu) par kalendāro gadu</w:t>
      </w:r>
      <w:r w:rsidRPr="001D4695">
        <w:rPr>
          <w:b/>
          <w:bCs/>
          <w:szCs w:val="24"/>
        </w:rPr>
        <w:t xml:space="preserve"> </w:t>
      </w:r>
      <w:r w:rsidRPr="00C00485">
        <w:rPr>
          <w:szCs w:val="24"/>
        </w:rPr>
        <w:t>no</w:t>
      </w:r>
      <w:r w:rsidRPr="001D4695">
        <w:rPr>
          <w:b/>
          <w:bCs/>
          <w:szCs w:val="24"/>
        </w:rPr>
        <w:t xml:space="preserve"> 6</w:t>
      </w:r>
      <w:r w:rsidR="00C00485">
        <w:rPr>
          <w:b/>
          <w:bCs/>
          <w:szCs w:val="24"/>
        </w:rPr>
        <w:t> </w:t>
      </w:r>
      <w:r w:rsidRPr="001D4695">
        <w:rPr>
          <w:b/>
          <w:bCs/>
          <w:szCs w:val="24"/>
        </w:rPr>
        <w:t>204 </w:t>
      </w:r>
      <w:r w:rsidRPr="00C00485">
        <w:rPr>
          <w:i/>
          <w:szCs w:val="24"/>
        </w:rPr>
        <w:t>euro</w:t>
      </w:r>
      <w:r w:rsidRPr="00C00485">
        <w:rPr>
          <w:szCs w:val="24"/>
        </w:rPr>
        <w:t> uz</w:t>
      </w:r>
      <w:r w:rsidRPr="001D4695">
        <w:rPr>
          <w:b/>
          <w:bCs/>
          <w:szCs w:val="24"/>
        </w:rPr>
        <w:t> </w:t>
      </w:r>
      <w:r w:rsidRPr="00C00485">
        <w:rPr>
          <w:b/>
          <w:bCs/>
          <w:color w:val="FF0000"/>
          <w:szCs w:val="24"/>
        </w:rPr>
        <w:t>7</w:t>
      </w:r>
      <w:r w:rsidR="00C00485" w:rsidRPr="00C00485">
        <w:rPr>
          <w:b/>
          <w:bCs/>
          <w:color w:val="FF0000"/>
          <w:szCs w:val="24"/>
        </w:rPr>
        <w:t> </w:t>
      </w:r>
      <w:r w:rsidRPr="00C00485">
        <w:rPr>
          <w:b/>
          <w:bCs/>
          <w:color w:val="FF0000"/>
          <w:szCs w:val="24"/>
        </w:rPr>
        <w:t>440 </w:t>
      </w:r>
      <w:r w:rsidRPr="00C00485">
        <w:rPr>
          <w:i/>
          <w:szCs w:val="24"/>
        </w:rPr>
        <w:t>euro</w:t>
      </w:r>
      <w:r w:rsidRPr="00C00485">
        <w:rPr>
          <w:szCs w:val="24"/>
        </w:rPr>
        <w:t>;</w:t>
      </w:r>
    </w:p>
    <w:p w14:paraId="40FBDCDD" w14:textId="425CF365" w:rsidR="001D4695" w:rsidRPr="00C00485" w:rsidRDefault="001D4695" w:rsidP="00C00485">
      <w:pPr>
        <w:ind w:left="1134" w:hanging="567"/>
        <w:jc w:val="both"/>
        <w:rPr>
          <w:szCs w:val="24"/>
        </w:rPr>
      </w:pPr>
      <w:r w:rsidRPr="001D4695">
        <w:rPr>
          <w:b/>
          <w:bCs/>
          <w:szCs w:val="24"/>
        </w:rPr>
        <w:t xml:space="preserve">- </w:t>
      </w:r>
      <w:r w:rsidR="00C00485">
        <w:rPr>
          <w:b/>
          <w:bCs/>
          <w:szCs w:val="24"/>
        </w:rPr>
        <w:tab/>
      </w:r>
      <w:r w:rsidRPr="001D4695">
        <w:rPr>
          <w:b/>
          <w:bCs/>
          <w:szCs w:val="24"/>
        </w:rPr>
        <w:t xml:space="preserve">azartspēļu nodokļa likmi ruletei un kāršu un kauliņu spēlei </w:t>
      </w:r>
      <w:r w:rsidRPr="001D4695">
        <w:rPr>
          <w:szCs w:val="24"/>
        </w:rPr>
        <w:t>(par katru galdu) par kalendāro gadu</w:t>
      </w:r>
      <w:r w:rsidRPr="001D4695">
        <w:rPr>
          <w:b/>
          <w:bCs/>
          <w:szCs w:val="24"/>
        </w:rPr>
        <w:t xml:space="preserve"> </w:t>
      </w:r>
      <w:r w:rsidRPr="00C00485">
        <w:rPr>
          <w:szCs w:val="24"/>
        </w:rPr>
        <w:t>no</w:t>
      </w:r>
      <w:r w:rsidRPr="001D4695">
        <w:rPr>
          <w:b/>
          <w:bCs/>
          <w:szCs w:val="24"/>
        </w:rPr>
        <w:t xml:space="preserve"> 33 696 </w:t>
      </w:r>
      <w:r w:rsidRPr="00C00485">
        <w:rPr>
          <w:i/>
          <w:szCs w:val="24"/>
        </w:rPr>
        <w:t>euro</w:t>
      </w:r>
      <w:r w:rsidRPr="00C00485">
        <w:rPr>
          <w:szCs w:val="24"/>
        </w:rPr>
        <w:t> uz</w:t>
      </w:r>
      <w:r w:rsidRPr="001D4695">
        <w:rPr>
          <w:b/>
          <w:bCs/>
          <w:szCs w:val="24"/>
        </w:rPr>
        <w:t xml:space="preserve"> </w:t>
      </w:r>
      <w:r w:rsidRPr="00C00485">
        <w:rPr>
          <w:b/>
          <w:bCs/>
          <w:color w:val="FF0000"/>
          <w:szCs w:val="24"/>
        </w:rPr>
        <w:t>40 440 </w:t>
      </w:r>
      <w:r w:rsidRPr="00C00485">
        <w:rPr>
          <w:i/>
          <w:szCs w:val="24"/>
        </w:rPr>
        <w:t>euro</w:t>
      </w:r>
      <w:r w:rsidRPr="00C00485">
        <w:rPr>
          <w:szCs w:val="24"/>
        </w:rPr>
        <w:t>;</w:t>
      </w:r>
    </w:p>
    <w:p w14:paraId="1954EE51" w14:textId="02F23752" w:rsidR="001D4695" w:rsidRPr="00C00485" w:rsidRDefault="001D4695" w:rsidP="00C00485">
      <w:pPr>
        <w:ind w:left="1134" w:hanging="567"/>
        <w:jc w:val="both"/>
        <w:rPr>
          <w:szCs w:val="24"/>
        </w:rPr>
      </w:pPr>
      <w:r w:rsidRPr="001D4695">
        <w:rPr>
          <w:b/>
          <w:bCs/>
          <w:szCs w:val="24"/>
        </w:rPr>
        <w:t xml:space="preserve">- </w:t>
      </w:r>
      <w:r w:rsidR="00C00485">
        <w:rPr>
          <w:b/>
          <w:bCs/>
          <w:szCs w:val="24"/>
        </w:rPr>
        <w:tab/>
      </w:r>
      <w:r w:rsidRPr="001D4695">
        <w:rPr>
          <w:b/>
          <w:bCs/>
          <w:szCs w:val="24"/>
        </w:rPr>
        <w:t xml:space="preserve">azartspēļu nodokļa likmi </w:t>
      </w:r>
      <w:r w:rsidRPr="001D4695">
        <w:rPr>
          <w:szCs w:val="24"/>
        </w:rPr>
        <w:t xml:space="preserve">likuma </w:t>
      </w:r>
      <w:r w:rsidRPr="00C00485">
        <w:rPr>
          <w:i/>
          <w:iCs/>
          <w:szCs w:val="24"/>
        </w:rPr>
        <w:t xml:space="preserve">“Par izložu un azartspēļu nodevu un nodokli” </w:t>
      </w:r>
      <w:r w:rsidRPr="001D4695">
        <w:rPr>
          <w:szCs w:val="24"/>
        </w:rPr>
        <w:t xml:space="preserve">3. panta otrajā un trešajā daļā minētajam objektam </w:t>
      </w:r>
      <w:r w:rsidRPr="001D4695">
        <w:rPr>
          <w:b/>
          <w:bCs/>
          <w:szCs w:val="24"/>
        </w:rPr>
        <w:t xml:space="preserve">(veiksmes spēlei pa tālruni un totalizatoram un derībām) </w:t>
      </w:r>
      <w:r w:rsidRPr="00C00485">
        <w:rPr>
          <w:szCs w:val="24"/>
        </w:rPr>
        <w:t xml:space="preserve">no </w:t>
      </w:r>
      <w:r w:rsidRPr="001D4695">
        <w:rPr>
          <w:b/>
          <w:bCs/>
          <w:szCs w:val="24"/>
        </w:rPr>
        <w:t xml:space="preserve">15% </w:t>
      </w:r>
      <w:r w:rsidRPr="00C00485">
        <w:rPr>
          <w:szCs w:val="24"/>
        </w:rPr>
        <w:t>uz</w:t>
      </w:r>
      <w:r w:rsidRPr="001D4695">
        <w:rPr>
          <w:b/>
          <w:bCs/>
          <w:szCs w:val="24"/>
        </w:rPr>
        <w:t xml:space="preserve"> </w:t>
      </w:r>
      <w:r w:rsidRPr="00C00485">
        <w:rPr>
          <w:b/>
          <w:bCs/>
          <w:color w:val="FF0000"/>
          <w:szCs w:val="24"/>
        </w:rPr>
        <w:t>18%</w:t>
      </w:r>
      <w:r w:rsidRPr="001D4695">
        <w:rPr>
          <w:b/>
          <w:bCs/>
          <w:szCs w:val="24"/>
        </w:rPr>
        <w:t xml:space="preserve"> </w:t>
      </w:r>
      <w:r w:rsidRPr="00C00485">
        <w:rPr>
          <w:szCs w:val="24"/>
        </w:rPr>
        <w:t>no šīs spēles organizēšanas ieņēmumiem;</w:t>
      </w:r>
    </w:p>
    <w:p w14:paraId="6A475FB5" w14:textId="2140FF29" w:rsidR="001D4695" w:rsidRPr="00C00485" w:rsidRDefault="001D4695" w:rsidP="00C00485">
      <w:pPr>
        <w:ind w:left="1134" w:hanging="567"/>
        <w:jc w:val="both"/>
        <w:rPr>
          <w:szCs w:val="24"/>
        </w:rPr>
      </w:pPr>
      <w:r w:rsidRPr="001D4695">
        <w:rPr>
          <w:b/>
          <w:bCs/>
          <w:szCs w:val="24"/>
        </w:rPr>
        <w:t xml:space="preserve">- </w:t>
      </w:r>
      <w:r w:rsidR="00C00485">
        <w:rPr>
          <w:b/>
          <w:bCs/>
          <w:szCs w:val="24"/>
        </w:rPr>
        <w:tab/>
      </w:r>
      <w:r w:rsidRPr="001D4695">
        <w:rPr>
          <w:b/>
          <w:bCs/>
          <w:szCs w:val="24"/>
        </w:rPr>
        <w:t xml:space="preserve">azartspēļu nodokļa likmi </w:t>
      </w:r>
      <w:r w:rsidRPr="001D4695">
        <w:rPr>
          <w:szCs w:val="24"/>
        </w:rPr>
        <w:t xml:space="preserve">likuma </w:t>
      </w:r>
      <w:r w:rsidRPr="00C00485">
        <w:rPr>
          <w:i/>
          <w:iCs/>
          <w:szCs w:val="24"/>
        </w:rPr>
        <w:t>“Par izložu un azartspēļu nodevu un nodokli”</w:t>
      </w:r>
      <w:r w:rsidRPr="001D4695">
        <w:rPr>
          <w:szCs w:val="24"/>
        </w:rPr>
        <w:t xml:space="preserve"> 3. panta ceturtajā daļā minētajam objektam</w:t>
      </w:r>
      <w:r w:rsidRPr="001D4695">
        <w:rPr>
          <w:b/>
          <w:bCs/>
          <w:szCs w:val="24"/>
        </w:rPr>
        <w:t xml:space="preserve"> (bingo) </w:t>
      </w:r>
      <w:r w:rsidRPr="00C00485">
        <w:rPr>
          <w:szCs w:val="24"/>
        </w:rPr>
        <w:t>no</w:t>
      </w:r>
      <w:r w:rsidRPr="001D4695">
        <w:rPr>
          <w:b/>
          <w:bCs/>
          <w:szCs w:val="24"/>
        </w:rPr>
        <w:t xml:space="preserve"> 10% </w:t>
      </w:r>
      <w:r w:rsidRPr="00C00485">
        <w:rPr>
          <w:szCs w:val="24"/>
        </w:rPr>
        <w:t>uz</w:t>
      </w:r>
      <w:r w:rsidRPr="001D4695">
        <w:rPr>
          <w:b/>
          <w:bCs/>
          <w:szCs w:val="24"/>
        </w:rPr>
        <w:t xml:space="preserve"> </w:t>
      </w:r>
      <w:r w:rsidRPr="00C00485">
        <w:rPr>
          <w:b/>
          <w:bCs/>
          <w:color w:val="FF0000"/>
          <w:szCs w:val="24"/>
        </w:rPr>
        <w:t>12%</w:t>
      </w:r>
      <w:r w:rsidRPr="001D4695">
        <w:rPr>
          <w:b/>
          <w:bCs/>
          <w:szCs w:val="24"/>
        </w:rPr>
        <w:t xml:space="preserve"> </w:t>
      </w:r>
      <w:r w:rsidRPr="00C00485">
        <w:rPr>
          <w:szCs w:val="24"/>
        </w:rPr>
        <w:t xml:space="preserve">no šīs spēles organizēšanas ieņēmumiem; </w:t>
      </w:r>
    </w:p>
    <w:p w14:paraId="4F2F8B21" w14:textId="08D17317" w:rsidR="001D4695" w:rsidRPr="001D4695" w:rsidRDefault="001D4695" w:rsidP="00FC125C">
      <w:pPr>
        <w:ind w:left="1134" w:hanging="567"/>
        <w:jc w:val="both"/>
        <w:rPr>
          <w:szCs w:val="24"/>
        </w:rPr>
      </w:pPr>
      <w:r w:rsidRPr="001D4695">
        <w:rPr>
          <w:b/>
          <w:bCs/>
          <w:szCs w:val="24"/>
        </w:rPr>
        <w:t xml:space="preserve">- </w:t>
      </w:r>
      <w:r w:rsidR="00C00485">
        <w:rPr>
          <w:b/>
          <w:bCs/>
          <w:szCs w:val="24"/>
        </w:rPr>
        <w:tab/>
      </w:r>
      <w:r w:rsidRPr="001D4695">
        <w:rPr>
          <w:b/>
          <w:bCs/>
          <w:szCs w:val="24"/>
        </w:rPr>
        <w:t xml:space="preserve">azartspēļu nodokļa likmi </w:t>
      </w:r>
      <w:r w:rsidRPr="001D4695">
        <w:rPr>
          <w:szCs w:val="24"/>
        </w:rPr>
        <w:t xml:space="preserve">likuma </w:t>
      </w:r>
      <w:r w:rsidRPr="00C00485">
        <w:rPr>
          <w:i/>
          <w:iCs/>
          <w:szCs w:val="24"/>
        </w:rPr>
        <w:t>“Par izložu un azartspēļu nodevu un nodokli”</w:t>
      </w:r>
      <w:r w:rsidRPr="001D4695">
        <w:rPr>
          <w:szCs w:val="24"/>
        </w:rPr>
        <w:t xml:space="preserve"> 3. panta piektajā daļā minētajam objektam</w:t>
      </w:r>
      <w:r w:rsidRPr="001D4695">
        <w:rPr>
          <w:b/>
          <w:bCs/>
          <w:szCs w:val="24"/>
        </w:rPr>
        <w:t xml:space="preserve"> (interaktīvajām azartspēlēm) </w:t>
      </w:r>
      <w:r w:rsidRPr="00C00485">
        <w:rPr>
          <w:szCs w:val="24"/>
        </w:rPr>
        <w:t>no</w:t>
      </w:r>
      <w:r w:rsidRPr="001D4695">
        <w:rPr>
          <w:b/>
          <w:bCs/>
          <w:szCs w:val="24"/>
        </w:rPr>
        <w:t xml:space="preserve"> 12% </w:t>
      </w:r>
      <w:r w:rsidRPr="00C00485">
        <w:rPr>
          <w:szCs w:val="24"/>
        </w:rPr>
        <w:t>uz</w:t>
      </w:r>
      <w:r w:rsidRPr="001D4695">
        <w:rPr>
          <w:b/>
          <w:bCs/>
          <w:szCs w:val="24"/>
        </w:rPr>
        <w:t xml:space="preserve"> </w:t>
      </w:r>
      <w:r w:rsidRPr="00C00485">
        <w:rPr>
          <w:b/>
          <w:bCs/>
          <w:color w:val="FF0000"/>
          <w:szCs w:val="24"/>
        </w:rPr>
        <w:t>15%</w:t>
      </w:r>
      <w:r w:rsidRPr="001D4695">
        <w:rPr>
          <w:b/>
          <w:bCs/>
          <w:szCs w:val="24"/>
        </w:rPr>
        <w:t xml:space="preserve"> </w:t>
      </w:r>
      <w:r w:rsidRPr="00C00485">
        <w:rPr>
          <w:szCs w:val="24"/>
        </w:rPr>
        <w:t>no šīs spēles organizēšanas ieņēmumiem</w:t>
      </w:r>
      <w:r w:rsidRPr="001D4695">
        <w:rPr>
          <w:b/>
          <w:bCs/>
          <w:szCs w:val="24"/>
        </w:rPr>
        <w:t xml:space="preserve"> </w:t>
      </w:r>
      <w:r w:rsidRPr="001D4695">
        <w:rPr>
          <w:szCs w:val="24"/>
        </w:rPr>
        <w:t>(līdzīgi kā piedāvāts izlozēm)</w:t>
      </w:r>
      <w:r w:rsidRPr="001D4695">
        <w:rPr>
          <w:b/>
          <w:bCs/>
          <w:szCs w:val="24"/>
        </w:rPr>
        <w:t>.</w:t>
      </w:r>
    </w:p>
    <w:p w14:paraId="71439B9C" w14:textId="77777777" w:rsidR="0031737A" w:rsidRDefault="0031737A" w:rsidP="00FC125C">
      <w:pPr>
        <w:jc w:val="center"/>
        <w:rPr>
          <w:rFonts w:cs="Times New Roman"/>
          <w:sz w:val="20"/>
          <w:highlight w:val="yellow"/>
        </w:rPr>
      </w:pPr>
    </w:p>
    <w:p w14:paraId="402C39BC" w14:textId="1E3461FA" w:rsidR="0031737A" w:rsidRPr="002E0A09" w:rsidRDefault="006F5E64" w:rsidP="0031737A">
      <w:pPr>
        <w:spacing w:after="120"/>
        <w:jc w:val="center"/>
        <w:rPr>
          <w:rFonts w:cs="Times New Roman"/>
          <w:sz w:val="20"/>
        </w:rPr>
      </w:pPr>
      <w:r w:rsidRPr="006F5E64">
        <w:rPr>
          <w:rFonts w:cs="Times New Roman"/>
          <w:sz w:val="20"/>
        </w:rPr>
        <w:t>3</w:t>
      </w:r>
      <w:r w:rsidR="00725CD9">
        <w:rPr>
          <w:rFonts w:cs="Times New Roman"/>
          <w:sz w:val="20"/>
        </w:rPr>
        <w:t>6</w:t>
      </w:r>
      <w:r w:rsidR="0031737A" w:rsidRPr="006F5E64">
        <w:rPr>
          <w:rFonts w:cs="Times New Roman"/>
          <w:sz w:val="20"/>
        </w:rPr>
        <w:t>.tab</w:t>
      </w:r>
      <w:r w:rsidR="0031737A" w:rsidRPr="002E0A09">
        <w:rPr>
          <w:rFonts w:cs="Times New Roman"/>
          <w:bCs/>
          <w:sz w:val="20"/>
        </w:rPr>
        <w:t>.</w:t>
      </w:r>
      <w:r w:rsidR="0031737A" w:rsidRPr="002E0A09">
        <w:rPr>
          <w:rFonts w:cs="Times New Roman"/>
          <w:b/>
          <w:sz w:val="20"/>
        </w:rPr>
        <w:t xml:space="preserve"> Priekšlikuma indikatīva fiskālā ietekme</w:t>
      </w:r>
      <w:r w:rsidR="0031737A" w:rsidRPr="002E0A09">
        <w:rPr>
          <w:rFonts w:cs="Times New Roman"/>
          <w:bCs/>
          <w:sz w:val="20"/>
        </w:rPr>
        <w:t>,</w:t>
      </w:r>
      <w:r w:rsidR="0031737A" w:rsidRPr="002E0A09">
        <w:rPr>
          <w:rFonts w:cs="Times New Roman"/>
          <w:bCs/>
          <w:i/>
          <w:iCs/>
          <w:sz w:val="20"/>
        </w:rPr>
        <w:t> euro</w:t>
      </w:r>
    </w:p>
    <w:tbl>
      <w:tblPr>
        <w:tblStyle w:val="TableGrid"/>
        <w:tblW w:w="9067" w:type="dxa"/>
        <w:tblInd w:w="5" w:type="dxa"/>
        <w:tblLook w:val="04A0" w:firstRow="1" w:lastRow="0" w:firstColumn="1" w:lastColumn="0" w:noHBand="0" w:noVBand="1"/>
      </w:tblPr>
      <w:tblGrid>
        <w:gridCol w:w="3672"/>
        <w:gridCol w:w="1376"/>
        <w:gridCol w:w="1375"/>
        <w:gridCol w:w="1375"/>
        <w:gridCol w:w="1269"/>
      </w:tblGrid>
      <w:tr w:rsidR="0031737A" w:rsidRPr="00D738ED" w14:paraId="32A9DEEB" w14:textId="77777777" w:rsidTr="00C11875">
        <w:tc>
          <w:tcPr>
            <w:tcW w:w="3672" w:type="dxa"/>
            <w:tcBorders>
              <w:top w:val="nil"/>
              <w:left w:val="nil"/>
              <w:bottom w:val="single" w:sz="8" w:space="0" w:color="auto"/>
              <w:right w:val="nil"/>
            </w:tcBorders>
            <w:shd w:val="clear" w:color="auto" w:fill="FFFFFF" w:themeFill="background1"/>
          </w:tcPr>
          <w:p w14:paraId="7BAFAD45" w14:textId="77777777" w:rsidR="0031737A" w:rsidRPr="00C11875" w:rsidRDefault="0031737A" w:rsidP="00005BE2">
            <w:pPr>
              <w:pStyle w:val="ListParagraph"/>
              <w:ind w:left="0"/>
              <w:contextualSpacing w:val="0"/>
              <w:jc w:val="center"/>
              <w:rPr>
                <w:b/>
                <w:bCs/>
                <w:sz w:val="20"/>
                <w:szCs w:val="20"/>
              </w:rPr>
            </w:pPr>
          </w:p>
        </w:tc>
        <w:tc>
          <w:tcPr>
            <w:tcW w:w="1376" w:type="dxa"/>
            <w:tcBorders>
              <w:top w:val="nil"/>
              <w:left w:val="nil"/>
              <w:bottom w:val="single" w:sz="8" w:space="0" w:color="auto"/>
              <w:right w:val="nil"/>
            </w:tcBorders>
            <w:shd w:val="clear" w:color="auto" w:fill="FFFFFF" w:themeFill="background1"/>
            <w:vAlign w:val="bottom"/>
          </w:tcPr>
          <w:p w14:paraId="1D973750" w14:textId="7AF967BB" w:rsidR="0031737A" w:rsidRPr="00C11875" w:rsidRDefault="0031737A" w:rsidP="00005BE2">
            <w:pPr>
              <w:pStyle w:val="ListParagraph"/>
              <w:ind w:left="0"/>
              <w:contextualSpacing w:val="0"/>
              <w:jc w:val="center"/>
              <w:rPr>
                <w:b/>
                <w:bCs/>
                <w:sz w:val="20"/>
                <w:szCs w:val="20"/>
              </w:rPr>
            </w:pPr>
            <w:r w:rsidRPr="00C11875">
              <w:rPr>
                <w:b/>
                <w:bCs/>
                <w:sz w:val="20"/>
                <w:szCs w:val="20"/>
              </w:rPr>
              <w:t>2025</w:t>
            </w:r>
          </w:p>
        </w:tc>
        <w:tc>
          <w:tcPr>
            <w:tcW w:w="1375" w:type="dxa"/>
            <w:tcBorders>
              <w:top w:val="nil"/>
              <w:left w:val="nil"/>
              <w:bottom w:val="single" w:sz="8" w:space="0" w:color="auto"/>
              <w:right w:val="nil"/>
            </w:tcBorders>
            <w:shd w:val="clear" w:color="auto" w:fill="FFFFFF" w:themeFill="background1"/>
            <w:vAlign w:val="bottom"/>
          </w:tcPr>
          <w:p w14:paraId="4D31CCA8" w14:textId="77777777" w:rsidR="0031737A" w:rsidRPr="00C11875" w:rsidRDefault="0031737A" w:rsidP="00005BE2">
            <w:pPr>
              <w:pStyle w:val="ListParagraph"/>
              <w:ind w:left="0"/>
              <w:contextualSpacing w:val="0"/>
              <w:jc w:val="center"/>
              <w:rPr>
                <w:b/>
                <w:bCs/>
                <w:sz w:val="20"/>
                <w:szCs w:val="20"/>
              </w:rPr>
            </w:pPr>
            <w:r w:rsidRPr="00C11875">
              <w:rPr>
                <w:b/>
                <w:bCs/>
                <w:sz w:val="20"/>
                <w:szCs w:val="20"/>
              </w:rPr>
              <w:t>2026</w:t>
            </w:r>
          </w:p>
        </w:tc>
        <w:tc>
          <w:tcPr>
            <w:tcW w:w="1375" w:type="dxa"/>
            <w:tcBorders>
              <w:top w:val="nil"/>
              <w:left w:val="nil"/>
              <w:bottom w:val="single" w:sz="8" w:space="0" w:color="auto"/>
              <w:right w:val="nil"/>
            </w:tcBorders>
            <w:shd w:val="clear" w:color="auto" w:fill="FFFFFF" w:themeFill="background1"/>
            <w:vAlign w:val="bottom"/>
          </w:tcPr>
          <w:p w14:paraId="0A8525A5" w14:textId="77777777" w:rsidR="0031737A" w:rsidRPr="00C11875" w:rsidRDefault="0031737A" w:rsidP="00005BE2">
            <w:pPr>
              <w:pStyle w:val="ListParagraph"/>
              <w:ind w:left="0"/>
              <w:contextualSpacing w:val="0"/>
              <w:jc w:val="center"/>
              <w:rPr>
                <w:b/>
                <w:bCs/>
                <w:sz w:val="20"/>
                <w:szCs w:val="20"/>
              </w:rPr>
            </w:pPr>
            <w:r w:rsidRPr="00C11875">
              <w:rPr>
                <w:b/>
                <w:bCs/>
                <w:sz w:val="20"/>
                <w:szCs w:val="20"/>
              </w:rPr>
              <w:t>2027</w:t>
            </w:r>
          </w:p>
        </w:tc>
        <w:tc>
          <w:tcPr>
            <w:tcW w:w="1269" w:type="dxa"/>
            <w:tcBorders>
              <w:top w:val="nil"/>
              <w:left w:val="nil"/>
              <w:bottom w:val="single" w:sz="8" w:space="0" w:color="auto"/>
              <w:right w:val="nil"/>
            </w:tcBorders>
            <w:shd w:val="clear" w:color="auto" w:fill="FFFFFF" w:themeFill="background1"/>
          </w:tcPr>
          <w:p w14:paraId="3101F1E6" w14:textId="77777777" w:rsidR="0031737A" w:rsidRPr="00C11875" w:rsidRDefault="0031737A" w:rsidP="00005BE2">
            <w:pPr>
              <w:pStyle w:val="ListParagraph"/>
              <w:ind w:left="0"/>
              <w:contextualSpacing w:val="0"/>
              <w:jc w:val="center"/>
              <w:rPr>
                <w:b/>
                <w:bCs/>
                <w:sz w:val="20"/>
                <w:szCs w:val="20"/>
              </w:rPr>
            </w:pPr>
            <w:r w:rsidRPr="00C11875">
              <w:rPr>
                <w:b/>
                <w:bCs/>
                <w:sz w:val="20"/>
                <w:szCs w:val="20"/>
              </w:rPr>
              <w:t>2028</w:t>
            </w:r>
          </w:p>
        </w:tc>
      </w:tr>
      <w:tr w:rsidR="000C678C" w:rsidRPr="00F53BA5" w14:paraId="756C7B3A" w14:textId="77777777" w:rsidTr="00B80556">
        <w:tc>
          <w:tcPr>
            <w:tcW w:w="3672" w:type="dxa"/>
            <w:tcBorders>
              <w:top w:val="single" w:sz="8" w:space="0" w:color="auto"/>
              <w:left w:val="nil"/>
              <w:bottom w:val="single" w:sz="4" w:space="0" w:color="auto"/>
            </w:tcBorders>
            <w:shd w:val="clear" w:color="auto" w:fill="E7E6E6" w:themeFill="background2"/>
            <w:vAlign w:val="center"/>
          </w:tcPr>
          <w:p w14:paraId="39D9B975" w14:textId="1D8C4A2C" w:rsidR="000C678C" w:rsidRPr="001342FB" w:rsidRDefault="000C678C" w:rsidP="000C678C">
            <w:pPr>
              <w:pStyle w:val="ListParagraph"/>
              <w:ind w:left="0"/>
              <w:contextualSpacing w:val="0"/>
              <w:jc w:val="left"/>
              <w:rPr>
                <w:b/>
                <w:bCs/>
                <w:sz w:val="20"/>
                <w:szCs w:val="20"/>
              </w:rPr>
            </w:pPr>
            <w:r w:rsidRPr="00B80556">
              <w:rPr>
                <w:b/>
                <w:bCs/>
                <w:sz w:val="20"/>
                <w:szCs w:val="20"/>
              </w:rPr>
              <w:t>IAN</w:t>
            </w:r>
            <w:r>
              <w:rPr>
                <w:b/>
                <w:bCs/>
                <w:sz w:val="20"/>
                <w:szCs w:val="20"/>
              </w:rPr>
              <w:t xml:space="preserve"> </w:t>
            </w:r>
            <w:r w:rsidRPr="001342FB">
              <w:rPr>
                <w:b/>
                <w:bCs/>
                <w:sz w:val="20"/>
                <w:szCs w:val="20"/>
              </w:rPr>
              <w:t>ieņēmumi</w:t>
            </w:r>
            <w:r w:rsidRPr="001342FB">
              <w:rPr>
                <w:i/>
                <w:iCs/>
                <w:sz w:val="20"/>
                <w:szCs w:val="20"/>
              </w:rPr>
              <w:t>, no tā:</w:t>
            </w:r>
          </w:p>
        </w:tc>
        <w:tc>
          <w:tcPr>
            <w:tcW w:w="1376" w:type="dxa"/>
            <w:tcBorders>
              <w:top w:val="single" w:sz="8" w:space="0" w:color="auto"/>
              <w:bottom w:val="single" w:sz="4" w:space="0" w:color="auto"/>
            </w:tcBorders>
            <w:shd w:val="clear" w:color="auto" w:fill="E7E6E6" w:themeFill="background2"/>
            <w:vAlign w:val="center"/>
          </w:tcPr>
          <w:p w14:paraId="70ACA068" w14:textId="45248723" w:rsidR="000C678C" w:rsidRPr="00FC125C" w:rsidRDefault="000C678C" w:rsidP="000C678C">
            <w:pPr>
              <w:pStyle w:val="ListParagraph"/>
              <w:ind w:left="0"/>
              <w:contextualSpacing w:val="0"/>
              <w:jc w:val="center"/>
              <w:rPr>
                <w:b/>
                <w:bCs/>
                <w:sz w:val="20"/>
                <w:szCs w:val="20"/>
              </w:rPr>
            </w:pPr>
            <w:r w:rsidRPr="00FC125C">
              <w:rPr>
                <w:b/>
                <w:bCs/>
                <w:sz w:val="20"/>
                <w:szCs w:val="20"/>
              </w:rPr>
              <w:t>-</w:t>
            </w:r>
          </w:p>
        </w:tc>
        <w:tc>
          <w:tcPr>
            <w:tcW w:w="1375" w:type="dxa"/>
            <w:tcBorders>
              <w:top w:val="single" w:sz="8" w:space="0" w:color="auto"/>
              <w:bottom w:val="single" w:sz="4" w:space="0" w:color="auto"/>
            </w:tcBorders>
            <w:shd w:val="clear" w:color="auto" w:fill="E7E6E6" w:themeFill="background2"/>
            <w:vAlign w:val="center"/>
          </w:tcPr>
          <w:p w14:paraId="2992ACFE" w14:textId="18467A45" w:rsidR="000C678C" w:rsidRPr="001342FB" w:rsidRDefault="000C678C" w:rsidP="000C678C">
            <w:pPr>
              <w:pStyle w:val="ListParagraph"/>
              <w:ind w:left="0"/>
              <w:contextualSpacing w:val="0"/>
              <w:jc w:val="center"/>
              <w:rPr>
                <w:b/>
                <w:bCs/>
                <w:color w:val="00B050"/>
                <w:sz w:val="20"/>
                <w:szCs w:val="20"/>
              </w:rPr>
            </w:pPr>
            <w:r w:rsidRPr="00FC125C">
              <w:rPr>
                <w:b/>
                <w:bCs/>
                <w:sz w:val="20"/>
                <w:szCs w:val="20"/>
              </w:rPr>
              <w:t>-</w:t>
            </w:r>
          </w:p>
        </w:tc>
        <w:tc>
          <w:tcPr>
            <w:tcW w:w="1375" w:type="dxa"/>
            <w:tcBorders>
              <w:top w:val="single" w:sz="8" w:space="0" w:color="auto"/>
              <w:bottom w:val="single" w:sz="4" w:space="0" w:color="auto"/>
            </w:tcBorders>
            <w:shd w:val="clear" w:color="auto" w:fill="E7E6E6" w:themeFill="background2"/>
            <w:vAlign w:val="center"/>
          </w:tcPr>
          <w:p w14:paraId="7B0365CF" w14:textId="23CD4A01" w:rsidR="000C678C" w:rsidRPr="000C678C" w:rsidRDefault="000C678C" w:rsidP="000C678C">
            <w:pPr>
              <w:pStyle w:val="ListParagraph"/>
              <w:ind w:left="0"/>
              <w:contextualSpacing w:val="0"/>
              <w:jc w:val="center"/>
              <w:rPr>
                <w:b/>
                <w:bCs/>
                <w:color w:val="00B050"/>
                <w:sz w:val="20"/>
                <w:szCs w:val="18"/>
              </w:rPr>
            </w:pPr>
            <w:r>
              <w:rPr>
                <w:b/>
                <w:bCs/>
                <w:color w:val="00B050"/>
                <w:sz w:val="20"/>
                <w:szCs w:val="18"/>
              </w:rPr>
              <w:t>+</w:t>
            </w:r>
            <w:r w:rsidRPr="000C678C">
              <w:rPr>
                <w:b/>
                <w:bCs/>
                <w:color w:val="00B050"/>
                <w:sz w:val="20"/>
                <w:szCs w:val="18"/>
              </w:rPr>
              <w:t>9 463 000</w:t>
            </w:r>
          </w:p>
        </w:tc>
        <w:tc>
          <w:tcPr>
            <w:tcW w:w="1269" w:type="dxa"/>
            <w:tcBorders>
              <w:top w:val="single" w:sz="8" w:space="0" w:color="auto"/>
              <w:bottom w:val="single" w:sz="4" w:space="0" w:color="auto"/>
              <w:right w:val="nil"/>
            </w:tcBorders>
            <w:shd w:val="clear" w:color="auto" w:fill="E7E6E6" w:themeFill="background2"/>
            <w:vAlign w:val="center"/>
          </w:tcPr>
          <w:p w14:paraId="4C65B8B9" w14:textId="159CBAF1" w:rsidR="000C678C" w:rsidRPr="000C678C" w:rsidRDefault="000C678C" w:rsidP="000C678C">
            <w:pPr>
              <w:pStyle w:val="ListParagraph"/>
              <w:ind w:left="0"/>
              <w:contextualSpacing w:val="0"/>
              <w:jc w:val="center"/>
              <w:rPr>
                <w:b/>
                <w:bCs/>
                <w:color w:val="00B050"/>
                <w:sz w:val="20"/>
                <w:szCs w:val="18"/>
              </w:rPr>
            </w:pPr>
            <w:r>
              <w:rPr>
                <w:b/>
                <w:bCs/>
                <w:color w:val="00B050"/>
                <w:sz w:val="20"/>
                <w:szCs w:val="18"/>
              </w:rPr>
              <w:t>+</w:t>
            </w:r>
            <w:r w:rsidRPr="000C678C">
              <w:rPr>
                <w:b/>
                <w:bCs/>
                <w:color w:val="00B050"/>
                <w:sz w:val="20"/>
                <w:szCs w:val="18"/>
              </w:rPr>
              <w:t>9 463 000</w:t>
            </w:r>
          </w:p>
        </w:tc>
      </w:tr>
      <w:tr w:rsidR="000C678C" w:rsidRPr="00C433C6" w14:paraId="4E630C85" w14:textId="77777777" w:rsidTr="00C11875">
        <w:tc>
          <w:tcPr>
            <w:tcW w:w="3672" w:type="dxa"/>
            <w:tcBorders>
              <w:left w:val="nil"/>
              <w:bottom w:val="single" w:sz="4" w:space="0" w:color="auto"/>
            </w:tcBorders>
            <w:shd w:val="clear" w:color="auto" w:fill="FFFFFF" w:themeFill="background1"/>
            <w:vAlign w:val="center"/>
          </w:tcPr>
          <w:p w14:paraId="5DC06118" w14:textId="77777777" w:rsidR="000C678C" w:rsidRPr="00C433C6" w:rsidRDefault="000C678C" w:rsidP="000C678C">
            <w:pPr>
              <w:pStyle w:val="ListParagraph"/>
              <w:numPr>
                <w:ilvl w:val="0"/>
                <w:numId w:val="9"/>
              </w:numPr>
              <w:tabs>
                <w:tab w:val="clear" w:pos="720"/>
                <w:tab w:val="num" w:pos="306"/>
              </w:tabs>
              <w:ind w:hanging="698"/>
              <w:contextualSpacing w:val="0"/>
              <w:jc w:val="left"/>
              <w:rPr>
                <w:i/>
                <w:iCs/>
                <w:sz w:val="18"/>
                <w:szCs w:val="18"/>
              </w:rPr>
            </w:pPr>
            <w:r w:rsidRPr="00C433C6">
              <w:rPr>
                <w:i/>
                <w:iCs/>
                <w:sz w:val="18"/>
                <w:szCs w:val="18"/>
              </w:rPr>
              <w:t>valsts pamatbudžetā</w:t>
            </w:r>
          </w:p>
        </w:tc>
        <w:tc>
          <w:tcPr>
            <w:tcW w:w="1376" w:type="dxa"/>
            <w:tcBorders>
              <w:bottom w:val="single" w:sz="4" w:space="0" w:color="auto"/>
            </w:tcBorders>
            <w:shd w:val="clear" w:color="auto" w:fill="FFFFFF" w:themeFill="background1"/>
            <w:vAlign w:val="center"/>
          </w:tcPr>
          <w:p w14:paraId="3859CDD4" w14:textId="2561291A" w:rsidR="000C678C" w:rsidRPr="00FC125C" w:rsidRDefault="000C678C" w:rsidP="000C678C">
            <w:pPr>
              <w:pStyle w:val="ListParagraph"/>
              <w:ind w:left="0"/>
              <w:contextualSpacing w:val="0"/>
              <w:jc w:val="center"/>
              <w:rPr>
                <w:i/>
                <w:iCs/>
                <w:sz w:val="18"/>
                <w:szCs w:val="18"/>
              </w:rPr>
            </w:pPr>
            <w:r w:rsidRPr="00FC125C">
              <w:rPr>
                <w:i/>
                <w:iCs/>
                <w:sz w:val="18"/>
                <w:szCs w:val="18"/>
              </w:rPr>
              <w:t>-</w:t>
            </w:r>
          </w:p>
        </w:tc>
        <w:tc>
          <w:tcPr>
            <w:tcW w:w="1375" w:type="dxa"/>
            <w:tcBorders>
              <w:bottom w:val="single" w:sz="4" w:space="0" w:color="auto"/>
            </w:tcBorders>
            <w:shd w:val="clear" w:color="auto" w:fill="FFFFFF" w:themeFill="background1"/>
            <w:vAlign w:val="center"/>
          </w:tcPr>
          <w:p w14:paraId="683A1E5F" w14:textId="62CD6562" w:rsidR="000C678C" w:rsidRPr="0031737A" w:rsidRDefault="000C678C" w:rsidP="000C678C">
            <w:pPr>
              <w:pStyle w:val="ListParagraph"/>
              <w:ind w:left="0"/>
              <w:contextualSpacing w:val="0"/>
              <w:jc w:val="center"/>
              <w:rPr>
                <w:i/>
                <w:iCs/>
                <w:color w:val="00B050"/>
                <w:sz w:val="18"/>
                <w:szCs w:val="18"/>
              </w:rPr>
            </w:pPr>
            <w:r w:rsidRPr="00FC125C">
              <w:rPr>
                <w:i/>
                <w:iCs/>
                <w:sz w:val="18"/>
                <w:szCs w:val="18"/>
              </w:rPr>
              <w:t>-</w:t>
            </w:r>
          </w:p>
        </w:tc>
        <w:tc>
          <w:tcPr>
            <w:tcW w:w="1375" w:type="dxa"/>
            <w:tcBorders>
              <w:bottom w:val="single" w:sz="4" w:space="0" w:color="auto"/>
            </w:tcBorders>
            <w:shd w:val="clear" w:color="auto" w:fill="FFFFFF" w:themeFill="background1"/>
            <w:vAlign w:val="center"/>
          </w:tcPr>
          <w:p w14:paraId="18AC12FB" w14:textId="79CAD944" w:rsidR="000C678C" w:rsidRPr="0031737A" w:rsidRDefault="000C678C" w:rsidP="000C678C">
            <w:pPr>
              <w:pStyle w:val="ListParagraph"/>
              <w:ind w:left="0"/>
              <w:contextualSpacing w:val="0"/>
              <w:jc w:val="center"/>
              <w:rPr>
                <w:i/>
                <w:iCs/>
                <w:color w:val="00B050"/>
                <w:sz w:val="18"/>
                <w:szCs w:val="18"/>
              </w:rPr>
            </w:pPr>
            <w:r w:rsidRPr="0031737A">
              <w:rPr>
                <w:i/>
                <w:iCs/>
                <w:color w:val="00B050"/>
                <w:sz w:val="18"/>
                <w:szCs w:val="18"/>
              </w:rPr>
              <w:t>+</w:t>
            </w:r>
            <w:r>
              <w:rPr>
                <w:i/>
                <w:iCs/>
                <w:color w:val="00B050"/>
                <w:sz w:val="18"/>
                <w:szCs w:val="18"/>
              </w:rPr>
              <w:t>9 267 000</w:t>
            </w:r>
          </w:p>
        </w:tc>
        <w:tc>
          <w:tcPr>
            <w:tcW w:w="1269" w:type="dxa"/>
            <w:tcBorders>
              <w:bottom w:val="single" w:sz="4" w:space="0" w:color="auto"/>
              <w:right w:val="nil"/>
            </w:tcBorders>
            <w:shd w:val="clear" w:color="auto" w:fill="FFFFFF" w:themeFill="background1"/>
            <w:vAlign w:val="center"/>
          </w:tcPr>
          <w:p w14:paraId="1C60F350" w14:textId="0C1F831F" w:rsidR="000C678C" w:rsidRPr="0031737A" w:rsidRDefault="000C678C" w:rsidP="000C678C">
            <w:pPr>
              <w:pStyle w:val="ListParagraph"/>
              <w:ind w:left="0"/>
              <w:contextualSpacing w:val="0"/>
              <w:jc w:val="center"/>
              <w:rPr>
                <w:i/>
                <w:iCs/>
                <w:color w:val="00B050"/>
                <w:sz w:val="18"/>
                <w:szCs w:val="18"/>
              </w:rPr>
            </w:pPr>
            <w:r w:rsidRPr="0031737A">
              <w:rPr>
                <w:i/>
                <w:iCs/>
                <w:color w:val="00B050"/>
                <w:sz w:val="18"/>
                <w:szCs w:val="18"/>
              </w:rPr>
              <w:t>+</w:t>
            </w:r>
            <w:r>
              <w:rPr>
                <w:i/>
                <w:iCs/>
                <w:color w:val="00B050"/>
                <w:sz w:val="18"/>
                <w:szCs w:val="18"/>
              </w:rPr>
              <w:t>9 267 000</w:t>
            </w:r>
          </w:p>
        </w:tc>
      </w:tr>
      <w:tr w:rsidR="000C678C" w:rsidRPr="00C433C6" w14:paraId="7A052AAF" w14:textId="77777777" w:rsidTr="00C11875">
        <w:tc>
          <w:tcPr>
            <w:tcW w:w="3672" w:type="dxa"/>
            <w:tcBorders>
              <w:left w:val="nil"/>
              <w:bottom w:val="nil"/>
            </w:tcBorders>
            <w:shd w:val="clear" w:color="auto" w:fill="FFFFFF" w:themeFill="background1"/>
            <w:vAlign w:val="center"/>
          </w:tcPr>
          <w:p w14:paraId="25BA399B" w14:textId="3C32F299" w:rsidR="000C678C" w:rsidRPr="00C433C6" w:rsidRDefault="000C678C" w:rsidP="000C678C">
            <w:pPr>
              <w:pStyle w:val="ListParagraph"/>
              <w:numPr>
                <w:ilvl w:val="0"/>
                <w:numId w:val="9"/>
              </w:numPr>
              <w:tabs>
                <w:tab w:val="clear" w:pos="720"/>
                <w:tab w:val="num" w:pos="306"/>
              </w:tabs>
              <w:ind w:hanging="698"/>
              <w:contextualSpacing w:val="0"/>
              <w:jc w:val="left"/>
              <w:rPr>
                <w:i/>
                <w:iCs/>
                <w:sz w:val="18"/>
                <w:szCs w:val="18"/>
              </w:rPr>
            </w:pPr>
            <w:r w:rsidRPr="00C433C6">
              <w:rPr>
                <w:i/>
                <w:iCs/>
                <w:sz w:val="18"/>
                <w:szCs w:val="18"/>
              </w:rPr>
              <w:t>pašvaldību budžetos</w:t>
            </w:r>
          </w:p>
        </w:tc>
        <w:tc>
          <w:tcPr>
            <w:tcW w:w="1376" w:type="dxa"/>
            <w:tcBorders>
              <w:bottom w:val="nil"/>
            </w:tcBorders>
            <w:shd w:val="clear" w:color="auto" w:fill="FFFFFF" w:themeFill="background1"/>
            <w:vAlign w:val="center"/>
          </w:tcPr>
          <w:p w14:paraId="7440C82C" w14:textId="1B7286B1" w:rsidR="000C678C" w:rsidRPr="00FC125C" w:rsidRDefault="000C678C" w:rsidP="000C678C">
            <w:pPr>
              <w:pStyle w:val="ListParagraph"/>
              <w:ind w:left="0"/>
              <w:contextualSpacing w:val="0"/>
              <w:jc w:val="center"/>
              <w:rPr>
                <w:i/>
                <w:iCs/>
                <w:sz w:val="18"/>
                <w:szCs w:val="18"/>
              </w:rPr>
            </w:pPr>
            <w:r w:rsidRPr="00FC125C">
              <w:rPr>
                <w:i/>
                <w:iCs/>
                <w:sz w:val="18"/>
                <w:szCs w:val="18"/>
              </w:rPr>
              <w:t>-</w:t>
            </w:r>
          </w:p>
        </w:tc>
        <w:tc>
          <w:tcPr>
            <w:tcW w:w="1375" w:type="dxa"/>
            <w:tcBorders>
              <w:bottom w:val="nil"/>
            </w:tcBorders>
            <w:shd w:val="clear" w:color="auto" w:fill="FFFFFF" w:themeFill="background1"/>
            <w:vAlign w:val="center"/>
          </w:tcPr>
          <w:p w14:paraId="744C2A28" w14:textId="7CB742E7" w:rsidR="000C678C" w:rsidRPr="0031737A" w:rsidRDefault="000C678C" w:rsidP="000C678C">
            <w:pPr>
              <w:pStyle w:val="ListParagraph"/>
              <w:ind w:left="0"/>
              <w:contextualSpacing w:val="0"/>
              <w:jc w:val="center"/>
              <w:rPr>
                <w:i/>
                <w:iCs/>
                <w:color w:val="00B050"/>
                <w:sz w:val="18"/>
                <w:szCs w:val="18"/>
              </w:rPr>
            </w:pPr>
            <w:r w:rsidRPr="00FC125C">
              <w:rPr>
                <w:i/>
                <w:iCs/>
                <w:sz w:val="18"/>
                <w:szCs w:val="18"/>
              </w:rPr>
              <w:t>-</w:t>
            </w:r>
          </w:p>
        </w:tc>
        <w:tc>
          <w:tcPr>
            <w:tcW w:w="1375" w:type="dxa"/>
            <w:tcBorders>
              <w:bottom w:val="nil"/>
            </w:tcBorders>
            <w:shd w:val="clear" w:color="auto" w:fill="FFFFFF" w:themeFill="background1"/>
            <w:vAlign w:val="center"/>
          </w:tcPr>
          <w:p w14:paraId="28FA2935" w14:textId="486497D1" w:rsidR="000C678C" w:rsidRPr="0031737A" w:rsidRDefault="000C678C" w:rsidP="000C678C">
            <w:pPr>
              <w:pStyle w:val="ListParagraph"/>
              <w:ind w:left="0"/>
              <w:contextualSpacing w:val="0"/>
              <w:jc w:val="center"/>
              <w:rPr>
                <w:i/>
                <w:iCs/>
                <w:color w:val="00B050"/>
                <w:sz w:val="18"/>
                <w:szCs w:val="18"/>
              </w:rPr>
            </w:pPr>
            <w:r>
              <w:rPr>
                <w:i/>
                <w:iCs/>
                <w:color w:val="00B050"/>
                <w:sz w:val="18"/>
                <w:szCs w:val="18"/>
              </w:rPr>
              <w:t>+196 000</w:t>
            </w:r>
          </w:p>
        </w:tc>
        <w:tc>
          <w:tcPr>
            <w:tcW w:w="1269" w:type="dxa"/>
            <w:tcBorders>
              <w:bottom w:val="nil"/>
              <w:right w:val="nil"/>
            </w:tcBorders>
            <w:shd w:val="clear" w:color="auto" w:fill="FFFFFF" w:themeFill="background1"/>
            <w:vAlign w:val="center"/>
          </w:tcPr>
          <w:p w14:paraId="200BA6A7" w14:textId="07E14402" w:rsidR="000C678C" w:rsidRPr="0031737A" w:rsidRDefault="000C678C" w:rsidP="000C678C">
            <w:pPr>
              <w:pStyle w:val="ListParagraph"/>
              <w:ind w:left="0"/>
              <w:contextualSpacing w:val="0"/>
              <w:jc w:val="center"/>
              <w:rPr>
                <w:i/>
                <w:iCs/>
                <w:color w:val="00B050"/>
                <w:sz w:val="18"/>
                <w:szCs w:val="18"/>
              </w:rPr>
            </w:pPr>
            <w:r>
              <w:rPr>
                <w:i/>
                <w:iCs/>
                <w:color w:val="00B050"/>
                <w:sz w:val="18"/>
                <w:szCs w:val="18"/>
              </w:rPr>
              <w:t>+196 000</w:t>
            </w:r>
          </w:p>
        </w:tc>
      </w:tr>
    </w:tbl>
    <w:p w14:paraId="7E12214F" w14:textId="1894D4CE" w:rsidR="00C11875" w:rsidRPr="002E0A09" w:rsidRDefault="00C11875" w:rsidP="00FC125C">
      <w:pPr>
        <w:tabs>
          <w:tab w:val="left" w:pos="426"/>
        </w:tabs>
        <w:spacing w:before="120"/>
        <w:rPr>
          <w:rFonts w:cs="Times New Roman"/>
          <w:i/>
          <w:sz w:val="18"/>
        </w:rPr>
      </w:pPr>
      <w:r w:rsidRPr="002E0A09">
        <w:rPr>
          <w:rFonts w:cs="Times New Roman"/>
          <w:b/>
          <w:bCs/>
          <w:i/>
          <w:sz w:val="18"/>
        </w:rPr>
        <w:t>Avots</w:t>
      </w:r>
      <w:r w:rsidRPr="002E0A09">
        <w:rPr>
          <w:rFonts w:cs="Times New Roman"/>
          <w:i/>
          <w:sz w:val="18"/>
        </w:rPr>
        <w:t>: FM aprēķini.</w:t>
      </w:r>
    </w:p>
    <w:p w14:paraId="65606A08" w14:textId="77777777" w:rsidR="0015733B" w:rsidRDefault="0015733B" w:rsidP="00FC125C"/>
    <w:p w14:paraId="757D76BB" w14:textId="3AF33E54" w:rsidR="0015733B" w:rsidRDefault="00501035" w:rsidP="0015733B">
      <w:pPr>
        <w:pStyle w:val="Heading2"/>
        <w:tabs>
          <w:tab w:val="left" w:pos="567"/>
        </w:tabs>
        <w:ind w:left="567" w:hanging="567"/>
        <w:rPr>
          <w:bCs/>
        </w:rPr>
      </w:pPr>
      <w:bookmarkStart w:id="68" w:name="_Toc177627722"/>
      <w:r>
        <w:t>3</w:t>
      </w:r>
      <w:r w:rsidR="0015733B">
        <w:t>.</w:t>
      </w:r>
      <w:r w:rsidR="003558FA">
        <w:t>11</w:t>
      </w:r>
      <w:r w:rsidR="0015733B">
        <w:t xml:space="preserve">. </w:t>
      </w:r>
      <w:r w:rsidR="0015733B">
        <w:tab/>
      </w:r>
      <w:r w:rsidR="002C3160">
        <w:t xml:space="preserve">Dabas resursu nodokļa </w:t>
      </w:r>
      <w:r w:rsidR="0015733B" w:rsidRPr="0015733B">
        <w:rPr>
          <w:bCs/>
        </w:rPr>
        <w:t>likmes akmeņoglēm</w:t>
      </w:r>
      <w:r w:rsidR="00EE50E5">
        <w:rPr>
          <w:bCs/>
        </w:rPr>
        <w:t>,</w:t>
      </w:r>
      <w:r w:rsidR="0015733B" w:rsidRPr="0015733B">
        <w:rPr>
          <w:bCs/>
        </w:rPr>
        <w:t xml:space="preserve"> koksam</w:t>
      </w:r>
      <w:r w:rsidR="00EE50E5">
        <w:rPr>
          <w:bCs/>
        </w:rPr>
        <w:t xml:space="preserve"> un lignītam</w:t>
      </w:r>
      <w:r w:rsidR="0015733B" w:rsidRPr="0015733B">
        <w:rPr>
          <w:bCs/>
        </w:rPr>
        <w:t xml:space="preserve"> palielināšana (EK priekšlikums </w:t>
      </w:r>
      <w:r w:rsidR="00474570">
        <w:rPr>
          <w:bCs/>
        </w:rPr>
        <w:t xml:space="preserve">- </w:t>
      </w:r>
      <w:r w:rsidR="0015733B" w:rsidRPr="0015733B">
        <w:rPr>
          <w:bCs/>
        </w:rPr>
        <w:t>minimālais līmenis visiem fosilajiem kurināmajiem)</w:t>
      </w:r>
      <w:bookmarkEnd w:id="68"/>
    </w:p>
    <w:p w14:paraId="7AAE55BD" w14:textId="3DBF315F" w:rsidR="002C3160" w:rsidRDefault="00814F4A" w:rsidP="002C3160">
      <w:pPr>
        <w:spacing w:after="120"/>
        <w:ind w:firstLine="567"/>
        <w:jc w:val="both"/>
      </w:pPr>
      <w:r>
        <w:tab/>
        <w:t>Dabas resursu nodokļa</w:t>
      </w:r>
      <w:r w:rsidR="002C3160">
        <w:t xml:space="preserve"> </w:t>
      </w:r>
      <w:r w:rsidR="00297592" w:rsidRPr="002C3160">
        <w:rPr>
          <w:i/>
          <w:iCs/>
        </w:rPr>
        <w:t>(turpmāk – DRN)</w:t>
      </w:r>
      <w:r>
        <w:t xml:space="preserve"> likmes akmeņoglēm, koksam un lignītam pēd</w:t>
      </w:r>
      <w:r w:rsidR="00EE50E5">
        <w:t>ē</w:t>
      </w:r>
      <w:r>
        <w:t>jo reiz</w:t>
      </w:r>
      <w:r w:rsidR="00474570">
        <w:t>i</w:t>
      </w:r>
      <w:r>
        <w:t xml:space="preserve"> tika pārskatītas </w:t>
      </w:r>
      <w:r w:rsidR="00EE50E5">
        <w:t>2020.</w:t>
      </w:r>
      <w:r w:rsidR="002C3160">
        <w:t> </w:t>
      </w:r>
      <w:r w:rsidR="00EE50E5">
        <w:t xml:space="preserve">gadā. </w:t>
      </w:r>
      <w:r w:rsidR="003B192F">
        <w:t>Šobrīd ES Padomes darba grup</w:t>
      </w:r>
      <w:r w:rsidR="00474570">
        <w:t>ās</w:t>
      </w:r>
      <w:r w:rsidR="003B192F">
        <w:t xml:space="preserve"> notiek </w:t>
      </w:r>
      <w:r w:rsidR="00406070">
        <w:t xml:space="preserve">darbs pie </w:t>
      </w:r>
      <w:r w:rsidR="00406070" w:rsidRPr="002C3160">
        <w:rPr>
          <w:i/>
          <w:iCs/>
        </w:rPr>
        <w:t>Enerģijas nodokļu direktīvas</w:t>
      </w:r>
      <w:r w:rsidR="00BD0555">
        <w:rPr>
          <w:rStyle w:val="FootnoteReference"/>
        </w:rPr>
        <w:footnoteReference w:id="11"/>
      </w:r>
      <w:r w:rsidR="00406070">
        <w:t xml:space="preserve"> pārskatīšanas, kas paredzēs nodokļu piemērošanu visiem energoproduktiem pēc to enerģijas  satura un vides snieguma. Tādējādi fosilajiem kurināmajiem tiks paredzēta minimālā nodokļu likme – </w:t>
      </w:r>
      <w:r w:rsidR="00406070" w:rsidRPr="0031737A">
        <w:rPr>
          <w:b/>
          <w:bCs/>
        </w:rPr>
        <w:t>0,9</w:t>
      </w:r>
      <w:r w:rsidR="00406070">
        <w:t xml:space="preserve"> </w:t>
      </w:r>
      <w:r w:rsidR="00406070" w:rsidRPr="002C3160">
        <w:rPr>
          <w:i/>
          <w:iCs/>
        </w:rPr>
        <w:t>euro</w:t>
      </w:r>
      <w:r w:rsidR="00406070">
        <w:t xml:space="preserve"> par GJ. </w:t>
      </w:r>
    </w:p>
    <w:p w14:paraId="67364552" w14:textId="5779E55B" w:rsidR="0015733B" w:rsidRDefault="00406070" w:rsidP="002C3160">
      <w:pPr>
        <w:spacing w:after="120"/>
        <w:ind w:firstLine="567"/>
        <w:jc w:val="both"/>
      </w:pPr>
      <w:r>
        <w:lastRenderedPageBreak/>
        <w:t>Līdz ar to sagatavojoties</w:t>
      </w:r>
      <w:r w:rsidR="00BD0555">
        <w:t xml:space="preserve"> turpmākajām izmaiņām minimā</w:t>
      </w:r>
      <w:r w:rsidR="002C3160">
        <w:t>la</w:t>
      </w:r>
      <w:r w:rsidR="00BD0555">
        <w:t>jos no</w:t>
      </w:r>
      <w:r w:rsidR="009629BD">
        <w:t>d</w:t>
      </w:r>
      <w:r w:rsidR="00BD0555">
        <w:t xml:space="preserve">okļu līmeņos kurināmajam ir </w:t>
      </w:r>
      <w:r w:rsidR="005F5714">
        <w:t>plānots,</w:t>
      </w:r>
      <w:r w:rsidR="00BD0555">
        <w:t xml:space="preserve"> palielināt </w:t>
      </w:r>
      <w:r w:rsidR="002C3160">
        <w:t>DRN</w:t>
      </w:r>
      <w:r w:rsidR="00BD0555">
        <w:t xml:space="preserve"> </w:t>
      </w:r>
      <w:r w:rsidR="002C3160">
        <w:t xml:space="preserve">likmi </w:t>
      </w:r>
      <w:r w:rsidR="00BD0555">
        <w:t>akmeņoglēm, koksam un lignītam</w:t>
      </w:r>
      <w:r w:rsidR="009629BD">
        <w:t>, ko izmanto kā fosilo kurināmo</w:t>
      </w:r>
      <w:r w:rsidR="00BD0555">
        <w:t>.</w:t>
      </w:r>
    </w:p>
    <w:p w14:paraId="05A1FB2F" w14:textId="33A059DF" w:rsidR="00EE50E5" w:rsidRPr="005C1FD5" w:rsidRDefault="006F5E64" w:rsidP="00EE50E5">
      <w:pPr>
        <w:tabs>
          <w:tab w:val="left" w:pos="567"/>
        </w:tabs>
        <w:spacing w:after="120"/>
        <w:jc w:val="center"/>
        <w:rPr>
          <w:sz w:val="20"/>
          <w:szCs w:val="20"/>
        </w:rPr>
      </w:pPr>
      <w:r>
        <w:rPr>
          <w:rFonts w:cs="Times New Roman"/>
          <w:sz w:val="20"/>
        </w:rPr>
        <w:t>3</w:t>
      </w:r>
      <w:r w:rsidR="00725CD9">
        <w:rPr>
          <w:rFonts w:cs="Times New Roman"/>
          <w:sz w:val="20"/>
        </w:rPr>
        <w:t>7</w:t>
      </w:r>
      <w:r w:rsidR="00EE50E5" w:rsidRPr="008F00A8">
        <w:rPr>
          <w:bCs/>
          <w:sz w:val="20"/>
          <w:szCs w:val="20"/>
        </w:rPr>
        <w:t>.tab.</w:t>
      </w:r>
      <w:r w:rsidR="00EE50E5" w:rsidRPr="008F00A8">
        <w:rPr>
          <w:b/>
          <w:sz w:val="20"/>
          <w:szCs w:val="20"/>
        </w:rPr>
        <w:t xml:space="preserve"> </w:t>
      </w:r>
      <w:r w:rsidR="00297592">
        <w:rPr>
          <w:b/>
          <w:sz w:val="20"/>
          <w:szCs w:val="20"/>
        </w:rPr>
        <w:t xml:space="preserve">DRN </w:t>
      </w:r>
      <w:r w:rsidR="002C3160">
        <w:rPr>
          <w:b/>
          <w:sz w:val="20"/>
          <w:szCs w:val="20"/>
        </w:rPr>
        <w:t xml:space="preserve">likme </w:t>
      </w:r>
      <w:r w:rsidR="00297592">
        <w:rPr>
          <w:b/>
          <w:sz w:val="20"/>
          <w:szCs w:val="20"/>
        </w:rPr>
        <w:t>akmeņoglēm, koks</w:t>
      </w:r>
      <w:r w:rsidR="00BD0555">
        <w:rPr>
          <w:b/>
          <w:sz w:val="20"/>
          <w:szCs w:val="20"/>
        </w:rPr>
        <w:t>a</w:t>
      </w:r>
      <w:r w:rsidR="00297592">
        <w:rPr>
          <w:b/>
          <w:sz w:val="20"/>
          <w:szCs w:val="20"/>
        </w:rPr>
        <w:t>m un lignītam</w:t>
      </w:r>
    </w:p>
    <w:tbl>
      <w:tblPr>
        <w:tblStyle w:val="TableGrid"/>
        <w:tblW w:w="9072" w:type="dxa"/>
        <w:tblInd w:w="-5" w:type="dxa"/>
        <w:tblLayout w:type="fixed"/>
        <w:tblLook w:val="04A0" w:firstRow="1" w:lastRow="0" w:firstColumn="1" w:lastColumn="0" w:noHBand="0" w:noVBand="1"/>
      </w:tblPr>
      <w:tblGrid>
        <w:gridCol w:w="3828"/>
        <w:gridCol w:w="850"/>
        <w:gridCol w:w="851"/>
        <w:gridCol w:w="708"/>
        <w:gridCol w:w="709"/>
        <w:gridCol w:w="709"/>
        <w:gridCol w:w="709"/>
        <w:gridCol w:w="708"/>
      </w:tblGrid>
      <w:tr w:rsidR="00EE50E5" w:rsidRPr="005C1FD5" w14:paraId="5F1A5B46" w14:textId="77777777" w:rsidTr="00D112F6">
        <w:trPr>
          <w:trHeight w:val="85"/>
        </w:trPr>
        <w:tc>
          <w:tcPr>
            <w:tcW w:w="3828" w:type="dxa"/>
            <w:vMerge w:val="restart"/>
            <w:tcBorders>
              <w:top w:val="single" w:sz="4" w:space="0" w:color="000000"/>
              <w:bottom w:val="single" w:sz="4" w:space="0" w:color="FFFFFF" w:themeColor="background1"/>
              <w:right w:val="single" w:sz="4" w:space="0" w:color="FFFFFF" w:themeColor="background1"/>
            </w:tcBorders>
            <w:shd w:val="clear" w:color="auto" w:fill="002060"/>
            <w:vAlign w:val="center"/>
          </w:tcPr>
          <w:p w14:paraId="322DEC6D" w14:textId="63A86EC9" w:rsidR="00EE50E5" w:rsidRPr="005C1FD5" w:rsidRDefault="00297592" w:rsidP="006C5979">
            <w:pPr>
              <w:contextualSpacing/>
              <w:jc w:val="center"/>
              <w:rPr>
                <w:b/>
                <w:bCs/>
                <w:color w:val="FFFFFF" w:themeColor="background1"/>
                <w:sz w:val="20"/>
                <w:szCs w:val="20"/>
              </w:rPr>
            </w:pPr>
            <w:r>
              <w:rPr>
                <w:rFonts w:cstheme="minorHAnsi"/>
                <w:b/>
                <w:color w:val="FFFFFF" w:themeColor="background1"/>
                <w:sz w:val="20"/>
                <w:szCs w:val="20"/>
              </w:rPr>
              <w:t>DRN</w:t>
            </w:r>
            <w:r w:rsidR="00EE50E5" w:rsidRPr="005C1FD5">
              <w:rPr>
                <w:rFonts w:cstheme="minorHAnsi"/>
                <w:b/>
                <w:color w:val="FFFFFF" w:themeColor="background1"/>
                <w:sz w:val="20"/>
                <w:szCs w:val="20"/>
              </w:rPr>
              <w:t xml:space="preserve"> likmes</w:t>
            </w:r>
          </w:p>
        </w:tc>
        <w:tc>
          <w:tcPr>
            <w:tcW w:w="2409" w:type="dxa"/>
            <w:gridSpan w:val="3"/>
            <w:tcBorders>
              <w:top w:val="single" w:sz="4" w:space="0" w:color="000000"/>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26D3EDD6" w14:textId="77777777" w:rsidR="00EE50E5" w:rsidRPr="005C1FD5" w:rsidRDefault="00EE50E5" w:rsidP="006C5979">
            <w:pPr>
              <w:contextualSpacing/>
              <w:jc w:val="center"/>
              <w:rPr>
                <w:b/>
                <w:bCs/>
                <w:color w:val="FFFFFF" w:themeColor="background1"/>
                <w:sz w:val="20"/>
                <w:szCs w:val="20"/>
              </w:rPr>
            </w:pPr>
            <w:r w:rsidRPr="005C1FD5">
              <w:rPr>
                <w:rFonts w:cstheme="minorHAnsi"/>
                <w:b/>
                <w:color w:val="FFFFFF" w:themeColor="background1"/>
                <w:sz w:val="20"/>
                <w:szCs w:val="20"/>
              </w:rPr>
              <w:t>Latvija</w:t>
            </w:r>
          </w:p>
        </w:tc>
        <w:tc>
          <w:tcPr>
            <w:tcW w:w="1418"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2B57F539" w14:textId="77777777" w:rsidR="00EE50E5" w:rsidRPr="005C1FD5" w:rsidRDefault="00EE50E5" w:rsidP="006C5979">
            <w:pPr>
              <w:contextualSpacing/>
              <w:jc w:val="center"/>
              <w:rPr>
                <w:b/>
                <w:bCs/>
                <w:color w:val="FFFFFF" w:themeColor="background1"/>
                <w:sz w:val="20"/>
                <w:szCs w:val="20"/>
              </w:rPr>
            </w:pPr>
            <w:r w:rsidRPr="005C1FD5">
              <w:rPr>
                <w:rFonts w:cstheme="minorHAnsi"/>
                <w:b/>
                <w:color w:val="FFFFFF" w:themeColor="background1"/>
                <w:sz w:val="20"/>
                <w:szCs w:val="20"/>
              </w:rPr>
              <w:t>Lietuva</w:t>
            </w:r>
          </w:p>
        </w:tc>
        <w:tc>
          <w:tcPr>
            <w:tcW w:w="1417" w:type="dxa"/>
            <w:gridSpan w:val="2"/>
            <w:tcBorders>
              <w:left w:val="single" w:sz="4" w:space="0" w:color="FFFFFF" w:themeColor="background1"/>
              <w:bottom w:val="single" w:sz="4" w:space="0" w:color="FFFFFF" w:themeColor="background1"/>
            </w:tcBorders>
            <w:shd w:val="clear" w:color="auto" w:fill="002060"/>
            <w:vAlign w:val="center"/>
          </w:tcPr>
          <w:p w14:paraId="6867544F" w14:textId="77777777" w:rsidR="00EE50E5" w:rsidRPr="005C1FD5" w:rsidRDefault="00EE50E5" w:rsidP="006C5979">
            <w:pPr>
              <w:contextualSpacing/>
              <w:jc w:val="center"/>
              <w:rPr>
                <w:b/>
                <w:bCs/>
                <w:color w:val="FFFFFF" w:themeColor="background1"/>
                <w:sz w:val="20"/>
                <w:szCs w:val="20"/>
              </w:rPr>
            </w:pPr>
            <w:r w:rsidRPr="005C1FD5">
              <w:rPr>
                <w:rFonts w:cstheme="minorHAnsi"/>
                <w:b/>
                <w:color w:val="FFFFFF" w:themeColor="background1"/>
                <w:sz w:val="20"/>
                <w:szCs w:val="20"/>
              </w:rPr>
              <w:t>Igaunija</w:t>
            </w:r>
          </w:p>
        </w:tc>
      </w:tr>
      <w:tr w:rsidR="00EE50E5" w:rsidRPr="005C1FD5" w14:paraId="43D437C1" w14:textId="77777777" w:rsidTr="008B4BA7">
        <w:trPr>
          <w:trHeight w:val="85"/>
        </w:trPr>
        <w:tc>
          <w:tcPr>
            <w:tcW w:w="3828" w:type="dxa"/>
            <w:vMerge/>
            <w:tcBorders>
              <w:top w:val="single" w:sz="4" w:space="0" w:color="FFFFFF" w:themeColor="background1"/>
              <w:bottom w:val="single" w:sz="4" w:space="0" w:color="auto"/>
              <w:right w:val="single" w:sz="4" w:space="0" w:color="FFFFFF" w:themeColor="background1"/>
            </w:tcBorders>
            <w:shd w:val="clear" w:color="auto" w:fill="002060"/>
            <w:vAlign w:val="center"/>
          </w:tcPr>
          <w:p w14:paraId="112C80F2" w14:textId="77777777" w:rsidR="00EE50E5" w:rsidRPr="005C1FD5" w:rsidRDefault="00EE50E5" w:rsidP="006C5979">
            <w:pPr>
              <w:contextualSpacing/>
              <w:rPr>
                <w:b/>
                <w:bCs/>
                <w:color w:val="FFFFFF" w:themeColor="background1"/>
                <w:sz w:val="20"/>
                <w:szCs w:val="20"/>
              </w:rPr>
            </w:pPr>
          </w:p>
        </w:tc>
        <w:tc>
          <w:tcPr>
            <w:tcW w:w="85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735B88B2" w14:textId="77777777" w:rsidR="00EE50E5" w:rsidRPr="005C1FD5" w:rsidRDefault="00EE50E5" w:rsidP="006C5979">
            <w:pPr>
              <w:contextualSpacing/>
              <w:jc w:val="center"/>
              <w:rPr>
                <w:b/>
                <w:bCs/>
                <w:color w:val="FFFFFF" w:themeColor="background1"/>
                <w:sz w:val="20"/>
                <w:szCs w:val="20"/>
              </w:rPr>
            </w:pPr>
            <w:r w:rsidRPr="005C1FD5">
              <w:rPr>
                <w:rFonts w:cstheme="minorHAnsi"/>
                <w:b/>
                <w:color w:val="FFFFFF" w:themeColor="background1"/>
                <w:sz w:val="20"/>
                <w:szCs w:val="20"/>
              </w:rPr>
              <w:t>2024</w:t>
            </w:r>
          </w:p>
        </w:tc>
        <w:tc>
          <w:tcPr>
            <w:tcW w:w="85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19980B21" w14:textId="77777777" w:rsidR="00EE50E5" w:rsidRPr="005C1FD5" w:rsidRDefault="00EE50E5" w:rsidP="006C5979">
            <w:pPr>
              <w:contextualSpacing/>
              <w:jc w:val="center"/>
              <w:rPr>
                <w:b/>
                <w:bCs/>
                <w:color w:val="FFFFFF" w:themeColor="background1"/>
                <w:sz w:val="20"/>
                <w:szCs w:val="20"/>
              </w:rPr>
            </w:pPr>
            <w:r w:rsidRPr="005C1FD5">
              <w:rPr>
                <w:rFonts w:cstheme="minorHAnsi"/>
                <w:b/>
                <w:color w:val="FFFFFF" w:themeColor="background1"/>
                <w:sz w:val="20"/>
                <w:szCs w:val="20"/>
              </w:rPr>
              <w:t>2025</w:t>
            </w:r>
          </w:p>
        </w:tc>
        <w:tc>
          <w:tcPr>
            <w:tcW w:w="70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78EFAB34" w14:textId="60FE7FB9" w:rsidR="00EE50E5" w:rsidRPr="005C1FD5" w:rsidRDefault="00EE50E5" w:rsidP="006C5979">
            <w:pPr>
              <w:contextualSpacing/>
              <w:jc w:val="center"/>
              <w:rPr>
                <w:b/>
                <w:bCs/>
                <w:color w:val="FFFFFF" w:themeColor="background1"/>
                <w:sz w:val="20"/>
                <w:szCs w:val="20"/>
              </w:rPr>
            </w:pPr>
            <w:r w:rsidRPr="005C1FD5">
              <w:rPr>
                <w:rFonts w:cstheme="minorHAnsi"/>
                <w:b/>
                <w:color w:val="FFFFFF" w:themeColor="background1"/>
                <w:sz w:val="20"/>
                <w:szCs w:val="20"/>
              </w:rPr>
              <w:t>202</w:t>
            </w:r>
            <w:r w:rsidR="00297592">
              <w:rPr>
                <w:rFonts w:cstheme="minorHAnsi"/>
                <w:b/>
                <w:color w:val="FFFFFF" w:themeColor="background1"/>
                <w:sz w:val="20"/>
                <w:szCs w:val="20"/>
              </w:rPr>
              <w:t>7</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14:paraId="1D87EF44" w14:textId="73EDBCA8" w:rsidR="00EE50E5" w:rsidRPr="005C1FD5" w:rsidRDefault="00EE50E5" w:rsidP="006C5979">
            <w:pPr>
              <w:contextualSpacing/>
              <w:jc w:val="center"/>
              <w:rPr>
                <w:b/>
                <w:bCs/>
                <w:color w:val="FFFFFF" w:themeColor="background1"/>
                <w:sz w:val="20"/>
                <w:szCs w:val="20"/>
              </w:rPr>
            </w:pPr>
            <w:r w:rsidRPr="005C1FD5">
              <w:rPr>
                <w:rFonts w:cstheme="minorHAnsi"/>
                <w:b/>
                <w:color w:val="FFFFFF" w:themeColor="background1"/>
                <w:sz w:val="20"/>
                <w:szCs w:val="20"/>
              </w:rPr>
              <w:t>202</w:t>
            </w:r>
            <w:r w:rsidR="00297592">
              <w:rPr>
                <w:rFonts w:cstheme="minorHAnsi"/>
                <w:b/>
                <w:color w:val="FFFFFF" w:themeColor="background1"/>
                <w:sz w:val="20"/>
                <w:szCs w:val="20"/>
              </w:rPr>
              <w:t>4</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14:paraId="02F2C379" w14:textId="7E58A1FF" w:rsidR="00EE50E5" w:rsidRPr="005C1FD5" w:rsidRDefault="00EE50E5" w:rsidP="006C5979">
            <w:pPr>
              <w:contextualSpacing/>
              <w:jc w:val="center"/>
              <w:rPr>
                <w:b/>
                <w:bCs/>
                <w:color w:val="FFFFFF" w:themeColor="background1"/>
                <w:sz w:val="20"/>
                <w:szCs w:val="20"/>
              </w:rPr>
            </w:pPr>
            <w:r w:rsidRPr="005C1FD5">
              <w:rPr>
                <w:rFonts w:cstheme="minorHAnsi"/>
                <w:b/>
                <w:color w:val="FFFFFF" w:themeColor="background1"/>
                <w:sz w:val="20"/>
                <w:szCs w:val="20"/>
              </w:rPr>
              <w:t>202</w:t>
            </w:r>
            <w:r w:rsidR="00297592">
              <w:rPr>
                <w:rFonts w:cstheme="minorHAnsi"/>
                <w:b/>
                <w:color w:val="FFFFFF" w:themeColor="background1"/>
                <w:sz w:val="20"/>
                <w:szCs w:val="20"/>
              </w:rPr>
              <w:t>5</w:t>
            </w:r>
          </w:p>
        </w:tc>
        <w:tc>
          <w:tcPr>
            <w:tcW w:w="70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14:paraId="36419C2D" w14:textId="77777777" w:rsidR="00EE50E5" w:rsidRPr="005C1FD5" w:rsidRDefault="00EE50E5" w:rsidP="006C5979">
            <w:pPr>
              <w:contextualSpacing/>
              <w:jc w:val="center"/>
              <w:rPr>
                <w:b/>
                <w:bCs/>
                <w:color w:val="FFFFFF" w:themeColor="background1"/>
                <w:sz w:val="20"/>
                <w:szCs w:val="20"/>
              </w:rPr>
            </w:pPr>
            <w:r w:rsidRPr="005C1FD5">
              <w:rPr>
                <w:rFonts w:cstheme="minorHAnsi"/>
                <w:b/>
                <w:color w:val="FFFFFF" w:themeColor="background1"/>
                <w:sz w:val="20"/>
                <w:szCs w:val="20"/>
              </w:rPr>
              <w:t>2024</w:t>
            </w:r>
          </w:p>
        </w:tc>
        <w:tc>
          <w:tcPr>
            <w:tcW w:w="708" w:type="dxa"/>
            <w:tcBorders>
              <w:top w:val="single" w:sz="4" w:space="0" w:color="FFFFFF" w:themeColor="background1"/>
              <w:left w:val="single" w:sz="4" w:space="0" w:color="FFFFFF" w:themeColor="background1"/>
              <w:bottom w:val="single" w:sz="4" w:space="0" w:color="auto"/>
            </w:tcBorders>
            <w:shd w:val="clear" w:color="auto" w:fill="002060"/>
            <w:vAlign w:val="center"/>
          </w:tcPr>
          <w:p w14:paraId="0E112C11" w14:textId="77777777" w:rsidR="00EE50E5" w:rsidRPr="005C1FD5" w:rsidRDefault="00EE50E5" w:rsidP="006C5979">
            <w:pPr>
              <w:contextualSpacing/>
              <w:jc w:val="center"/>
              <w:rPr>
                <w:b/>
                <w:bCs/>
                <w:color w:val="FFFFFF" w:themeColor="background1"/>
                <w:sz w:val="20"/>
                <w:szCs w:val="20"/>
              </w:rPr>
            </w:pPr>
            <w:r w:rsidRPr="005C1FD5">
              <w:rPr>
                <w:rFonts w:cstheme="minorHAnsi"/>
                <w:b/>
                <w:color w:val="FFFFFF" w:themeColor="background1"/>
                <w:sz w:val="20"/>
                <w:szCs w:val="20"/>
              </w:rPr>
              <w:t>2025</w:t>
            </w:r>
          </w:p>
        </w:tc>
      </w:tr>
      <w:tr w:rsidR="002C3160" w:rsidRPr="009C5FBC" w14:paraId="3C183AD8" w14:textId="77777777" w:rsidTr="008B4BA7">
        <w:trPr>
          <w:trHeight w:val="85"/>
        </w:trPr>
        <w:tc>
          <w:tcPr>
            <w:tcW w:w="3828" w:type="dxa"/>
            <w:tcBorders>
              <w:top w:val="single" w:sz="4" w:space="0" w:color="auto"/>
              <w:bottom w:val="single" w:sz="4" w:space="0" w:color="auto"/>
              <w:right w:val="single" w:sz="4" w:space="0" w:color="auto"/>
            </w:tcBorders>
            <w:shd w:val="clear" w:color="auto" w:fill="auto"/>
            <w:vAlign w:val="center"/>
          </w:tcPr>
          <w:p w14:paraId="3F6BCE11" w14:textId="50266D4B" w:rsidR="002C3160" w:rsidRDefault="002C3160" w:rsidP="006C5979">
            <w:pPr>
              <w:contextualSpacing/>
              <w:rPr>
                <w:i/>
                <w:iCs/>
                <w:color w:val="000000"/>
                <w:sz w:val="18"/>
                <w:szCs w:val="18"/>
              </w:rPr>
            </w:pPr>
            <w:r>
              <w:rPr>
                <w:b/>
                <w:bCs/>
                <w:sz w:val="20"/>
                <w:szCs w:val="20"/>
              </w:rPr>
              <w:t>Akmeņogles, kokss un lignīts</w:t>
            </w:r>
            <w:r w:rsidRPr="00C666EF">
              <w:rPr>
                <w:sz w:val="20"/>
                <w:szCs w:val="20"/>
              </w:rPr>
              <w:t xml:space="preserve">, </w:t>
            </w:r>
            <w:r w:rsidRPr="00C666EF">
              <w:rPr>
                <w:i/>
                <w:iCs/>
                <w:sz w:val="20"/>
                <w:szCs w:val="20"/>
              </w:rPr>
              <w:t xml:space="preserve">euro par </w:t>
            </w:r>
            <w:r>
              <w:rPr>
                <w:i/>
                <w:iCs/>
                <w:sz w:val="20"/>
                <w:szCs w:val="20"/>
              </w:rPr>
              <w:t>GJ</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CD2BAF" w14:textId="0ACC4C20" w:rsidR="002C3160" w:rsidRPr="009C5FBC" w:rsidRDefault="002C3160" w:rsidP="006C5979">
            <w:pPr>
              <w:contextualSpacing/>
              <w:jc w:val="center"/>
              <w:rPr>
                <w:rFonts w:cstheme="minorHAnsi"/>
                <w:b/>
                <w:bCs/>
                <w:sz w:val="20"/>
                <w:szCs w:val="20"/>
              </w:rPr>
            </w:pPr>
            <w:r>
              <w:rPr>
                <w:rFonts w:cstheme="minorHAnsi"/>
                <w:b/>
                <w:bCs/>
                <w:sz w:val="20"/>
                <w:szCs w:val="20"/>
              </w:rPr>
              <w:t>0,76</w:t>
            </w:r>
          </w:p>
        </w:tc>
        <w:tc>
          <w:tcPr>
            <w:tcW w:w="851" w:type="dxa"/>
            <w:tcBorders>
              <w:top w:val="single" w:sz="4" w:space="0" w:color="auto"/>
              <w:left w:val="single" w:sz="4" w:space="0" w:color="auto"/>
              <w:bottom w:val="single" w:sz="4" w:space="0" w:color="auto"/>
              <w:right w:val="single" w:sz="4" w:space="0" w:color="auto"/>
            </w:tcBorders>
            <w:vAlign w:val="center"/>
          </w:tcPr>
          <w:p w14:paraId="4B119351" w14:textId="173339B8" w:rsidR="002C3160" w:rsidRPr="00F555E6" w:rsidRDefault="002C3160" w:rsidP="006C5979">
            <w:pPr>
              <w:contextualSpacing/>
              <w:jc w:val="center"/>
              <w:rPr>
                <w:i/>
                <w:iCs/>
                <w:color w:val="C00000"/>
                <w:sz w:val="18"/>
                <w:szCs w:val="18"/>
              </w:rPr>
            </w:pPr>
            <w:r>
              <w:rPr>
                <w:b/>
                <w:bCs/>
                <w:color w:val="C00000"/>
                <w:sz w:val="20"/>
                <w:szCs w:val="20"/>
              </w:rPr>
              <w:t>0,9</w:t>
            </w:r>
          </w:p>
        </w:tc>
        <w:tc>
          <w:tcPr>
            <w:tcW w:w="708" w:type="dxa"/>
            <w:tcBorders>
              <w:top w:val="single" w:sz="4" w:space="0" w:color="auto"/>
              <w:left w:val="single" w:sz="4" w:space="0" w:color="auto"/>
              <w:bottom w:val="single" w:sz="4" w:space="0" w:color="auto"/>
              <w:right w:val="single" w:sz="4" w:space="0" w:color="auto"/>
            </w:tcBorders>
            <w:vAlign w:val="center"/>
          </w:tcPr>
          <w:p w14:paraId="7C4D73D9" w14:textId="68964C45" w:rsidR="002C3160" w:rsidRPr="00F555E6" w:rsidRDefault="002C3160" w:rsidP="006C5979">
            <w:pPr>
              <w:contextualSpacing/>
              <w:jc w:val="center"/>
              <w:rPr>
                <w:i/>
                <w:iCs/>
                <w:color w:val="C00000"/>
                <w:sz w:val="18"/>
                <w:szCs w:val="18"/>
              </w:rPr>
            </w:pPr>
            <w:r>
              <w:rPr>
                <w:b/>
                <w:bCs/>
                <w:color w:val="C00000"/>
                <w:sz w:val="20"/>
                <w:szCs w:val="20"/>
              </w:rPr>
              <w:t>1,0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6EE4ED" w14:textId="78200FE8" w:rsidR="002C3160" w:rsidRPr="002C3160" w:rsidRDefault="002C3160" w:rsidP="002C3160">
            <w:pPr>
              <w:contextualSpacing/>
              <w:jc w:val="center"/>
              <w:rPr>
                <w:b/>
                <w:bCs/>
                <w:color w:val="00B050"/>
                <w:sz w:val="20"/>
                <w:szCs w:val="20"/>
              </w:rPr>
            </w:pPr>
            <w:r w:rsidRPr="002C3160">
              <w:rPr>
                <w:b/>
                <w:bCs/>
                <w:color w:val="00B050"/>
                <w:sz w:val="20"/>
                <w:szCs w:val="20"/>
              </w:rPr>
              <w:t xml:space="preserve">0,27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623B7A" w14:textId="5B8E5F78" w:rsidR="002C3160" w:rsidRPr="002C3160" w:rsidRDefault="002C3160" w:rsidP="006C5979">
            <w:pPr>
              <w:contextualSpacing/>
              <w:jc w:val="center"/>
              <w:rPr>
                <w:b/>
                <w:bCs/>
                <w:color w:val="00B050"/>
                <w:sz w:val="20"/>
                <w:szCs w:val="20"/>
              </w:rPr>
            </w:pPr>
            <w:r w:rsidRPr="002C3160">
              <w:rPr>
                <w:b/>
                <w:bCs/>
                <w:color w:val="00B050"/>
                <w:sz w:val="20"/>
                <w:szCs w:val="20"/>
              </w:rPr>
              <w:t>0,54</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9083AC" w14:textId="65A8F169" w:rsidR="002C3160" w:rsidRPr="0043453E" w:rsidRDefault="002C3160" w:rsidP="002C3160">
            <w:pPr>
              <w:contextualSpacing/>
              <w:jc w:val="center"/>
              <w:rPr>
                <w:b/>
                <w:bCs/>
                <w:sz w:val="20"/>
                <w:szCs w:val="20"/>
              </w:rPr>
            </w:pPr>
            <w:r w:rsidRPr="002C3160">
              <w:rPr>
                <w:b/>
                <w:bCs/>
                <w:color w:val="0070C0"/>
                <w:sz w:val="20"/>
                <w:szCs w:val="20"/>
              </w:rPr>
              <w:t xml:space="preserve">0,93     </w:t>
            </w:r>
            <w:r>
              <w:rPr>
                <w:b/>
                <w:bCs/>
                <w:sz w:val="20"/>
                <w:szCs w:val="20"/>
              </w:rPr>
              <w:t xml:space="preserve"> </w:t>
            </w:r>
          </w:p>
        </w:tc>
      </w:tr>
      <w:tr w:rsidR="002C3160" w:rsidRPr="009C5FBC" w14:paraId="7D602A9A" w14:textId="77777777" w:rsidTr="008B4BA7">
        <w:trPr>
          <w:trHeight w:val="85"/>
        </w:trPr>
        <w:tc>
          <w:tcPr>
            <w:tcW w:w="3828" w:type="dxa"/>
            <w:tcBorders>
              <w:top w:val="single" w:sz="4" w:space="0" w:color="auto"/>
              <w:bottom w:val="single" w:sz="4" w:space="0" w:color="auto"/>
              <w:right w:val="single" w:sz="4" w:space="0" w:color="auto"/>
            </w:tcBorders>
            <w:shd w:val="clear" w:color="auto" w:fill="auto"/>
            <w:vAlign w:val="center"/>
          </w:tcPr>
          <w:p w14:paraId="089656C0" w14:textId="77777777" w:rsidR="002C3160" w:rsidRDefault="002C3160" w:rsidP="006C5979">
            <w:pPr>
              <w:contextualSpacing/>
              <w:jc w:val="right"/>
              <w:rPr>
                <w:i/>
                <w:iCs/>
                <w:color w:val="000000"/>
                <w:sz w:val="18"/>
                <w:szCs w:val="18"/>
              </w:rPr>
            </w:pPr>
            <w:r>
              <w:rPr>
                <w:i/>
                <w:iCs/>
                <w:color w:val="000000"/>
                <w:sz w:val="18"/>
                <w:szCs w:val="18"/>
              </w:rPr>
              <w:t>Izmaiņas</w:t>
            </w:r>
            <w:r w:rsidRPr="00FB0EB9">
              <w:rPr>
                <w:b/>
                <w:bCs/>
                <w:i/>
                <w:iCs/>
                <w:color w:val="000000"/>
                <w:sz w:val="18"/>
                <w:szCs w:val="18"/>
              </w:rPr>
              <w:t xml:space="preserve"> </w:t>
            </w:r>
            <w:r w:rsidRPr="00126954">
              <w:rPr>
                <w:i/>
                <w:iCs/>
                <w:color w:val="000000"/>
                <w:sz w:val="18"/>
                <w:szCs w:val="18"/>
              </w:rPr>
              <w:t>kurināmajam</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8AB4E8" w14:textId="77777777" w:rsidR="002C3160" w:rsidRPr="009C5FBC" w:rsidRDefault="002C3160" w:rsidP="006C5979">
            <w:pPr>
              <w:contextualSpacing/>
              <w:jc w:val="center"/>
              <w:rPr>
                <w:rFonts w:cstheme="minorHAnsi"/>
                <w:b/>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64AE1C1" w14:textId="7AA49B08" w:rsidR="002C3160" w:rsidRPr="00EF404E" w:rsidRDefault="002C3160" w:rsidP="006C5979">
            <w:pPr>
              <w:contextualSpacing/>
              <w:jc w:val="center"/>
              <w:rPr>
                <w:i/>
                <w:iCs/>
                <w:color w:val="C00000"/>
                <w:sz w:val="18"/>
                <w:szCs w:val="18"/>
              </w:rPr>
            </w:pPr>
            <w:r w:rsidRPr="00B61575">
              <w:rPr>
                <w:i/>
                <w:iCs/>
                <w:color w:val="C00000"/>
                <w:sz w:val="18"/>
                <w:szCs w:val="18"/>
              </w:rPr>
              <w:t>+</w:t>
            </w:r>
            <w:r>
              <w:rPr>
                <w:i/>
                <w:iCs/>
                <w:color w:val="C00000"/>
                <w:sz w:val="18"/>
                <w:szCs w:val="18"/>
              </w:rPr>
              <w:t>0,14</w:t>
            </w:r>
          </w:p>
        </w:tc>
        <w:tc>
          <w:tcPr>
            <w:tcW w:w="708" w:type="dxa"/>
            <w:tcBorders>
              <w:top w:val="single" w:sz="4" w:space="0" w:color="auto"/>
              <w:left w:val="single" w:sz="4" w:space="0" w:color="auto"/>
              <w:bottom w:val="single" w:sz="4" w:space="0" w:color="auto"/>
              <w:right w:val="single" w:sz="4" w:space="0" w:color="auto"/>
            </w:tcBorders>
            <w:vAlign w:val="center"/>
          </w:tcPr>
          <w:p w14:paraId="01C368CE" w14:textId="08EAB919" w:rsidR="002C3160" w:rsidRPr="00EF404E" w:rsidRDefault="002C3160" w:rsidP="006C5979">
            <w:pPr>
              <w:contextualSpacing/>
              <w:jc w:val="center"/>
              <w:rPr>
                <w:i/>
                <w:iCs/>
                <w:color w:val="C00000"/>
                <w:sz w:val="18"/>
                <w:szCs w:val="18"/>
              </w:rPr>
            </w:pPr>
            <w:r>
              <w:rPr>
                <w:i/>
                <w:iCs/>
                <w:color w:val="C00000"/>
                <w:sz w:val="18"/>
                <w:szCs w:val="18"/>
              </w:rPr>
              <w:t>+0,10</w:t>
            </w:r>
          </w:p>
        </w:tc>
        <w:tc>
          <w:tcPr>
            <w:tcW w:w="70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47E6D3" w14:textId="77777777" w:rsidR="002C3160" w:rsidRPr="00097D61" w:rsidRDefault="002C3160" w:rsidP="006C5979">
            <w:pPr>
              <w:contextualSpacing/>
              <w:jc w:val="center"/>
              <w:rPr>
                <w:b/>
                <w:bCs/>
                <w:color w:val="C0000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986973" w14:textId="64AAECB6" w:rsidR="002C3160" w:rsidRPr="00097D61" w:rsidRDefault="002C3160" w:rsidP="006C5979">
            <w:pPr>
              <w:contextualSpacing/>
              <w:jc w:val="center"/>
              <w:rPr>
                <w:b/>
                <w:bCs/>
                <w:color w:val="C00000"/>
                <w:sz w:val="20"/>
                <w:szCs w:val="20"/>
              </w:rPr>
            </w:pPr>
          </w:p>
        </w:tc>
        <w:tc>
          <w:tcPr>
            <w:tcW w:w="1417"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12269D" w14:textId="34462AC7" w:rsidR="002C3160" w:rsidRPr="00097D61" w:rsidRDefault="002C3160" w:rsidP="006C5979">
            <w:pPr>
              <w:contextualSpacing/>
              <w:jc w:val="center"/>
              <w:rPr>
                <w:b/>
                <w:bCs/>
                <w:color w:val="C00000"/>
                <w:sz w:val="20"/>
                <w:szCs w:val="20"/>
              </w:rPr>
            </w:pPr>
          </w:p>
        </w:tc>
      </w:tr>
    </w:tbl>
    <w:p w14:paraId="4739114D" w14:textId="77777777" w:rsidR="0015733B" w:rsidRPr="0015733B" w:rsidRDefault="0015733B" w:rsidP="00D112F6"/>
    <w:p w14:paraId="2B08CA28" w14:textId="2B2AAC4F" w:rsidR="00E0236D" w:rsidRPr="002E0A09" w:rsidRDefault="006F5E64" w:rsidP="00E0236D">
      <w:pPr>
        <w:spacing w:after="120"/>
        <w:jc w:val="center"/>
        <w:rPr>
          <w:rFonts w:cs="Times New Roman"/>
          <w:sz w:val="20"/>
        </w:rPr>
      </w:pPr>
      <w:r w:rsidRPr="006F5E64">
        <w:rPr>
          <w:rFonts w:cs="Times New Roman"/>
          <w:sz w:val="20"/>
        </w:rPr>
        <w:t>3</w:t>
      </w:r>
      <w:r w:rsidR="00725CD9">
        <w:rPr>
          <w:rFonts w:cs="Times New Roman"/>
          <w:sz w:val="20"/>
        </w:rPr>
        <w:t>8</w:t>
      </w:r>
      <w:r w:rsidR="00E0236D" w:rsidRPr="006F5E64">
        <w:rPr>
          <w:rFonts w:cs="Times New Roman"/>
          <w:sz w:val="20"/>
        </w:rPr>
        <w:t>.</w:t>
      </w:r>
      <w:r w:rsidR="00E0236D" w:rsidRPr="002E0A09">
        <w:rPr>
          <w:rFonts w:cs="Times New Roman"/>
          <w:sz w:val="20"/>
        </w:rPr>
        <w:t>tab</w:t>
      </w:r>
      <w:r w:rsidR="00E0236D" w:rsidRPr="002E0A09">
        <w:rPr>
          <w:rFonts w:cs="Times New Roman"/>
          <w:bCs/>
          <w:sz w:val="20"/>
        </w:rPr>
        <w:t>.</w:t>
      </w:r>
      <w:r w:rsidR="00E0236D" w:rsidRPr="002E0A09">
        <w:rPr>
          <w:rFonts w:cs="Times New Roman"/>
          <w:b/>
          <w:sz w:val="20"/>
        </w:rPr>
        <w:t xml:space="preserve"> Priekšlikuma indikatīva fiskālā ietekme</w:t>
      </w:r>
      <w:r w:rsidR="00E0236D" w:rsidRPr="002E0A09">
        <w:rPr>
          <w:rFonts w:cs="Times New Roman"/>
          <w:bCs/>
          <w:sz w:val="20"/>
        </w:rPr>
        <w:t>,</w:t>
      </w:r>
      <w:r w:rsidR="00E0236D" w:rsidRPr="002E0A09">
        <w:rPr>
          <w:rFonts w:cs="Times New Roman"/>
          <w:bCs/>
          <w:i/>
          <w:iCs/>
          <w:sz w:val="20"/>
        </w:rPr>
        <w:t> euro</w:t>
      </w:r>
    </w:p>
    <w:tbl>
      <w:tblPr>
        <w:tblStyle w:val="TableGrid"/>
        <w:tblW w:w="9067" w:type="dxa"/>
        <w:tblInd w:w="5" w:type="dxa"/>
        <w:tblLook w:val="04A0" w:firstRow="1" w:lastRow="0" w:firstColumn="1" w:lastColumn="0" w:noHBand="0" w:noVBand="1"/>
      </w:tblPr>
      <w:tblGrid>
        <w:gridCol w:w="3672"/>
        <w:gridCol w:w="1376"/>
        <w:gridCol w:w="1375"/>
        <w:gridCol w:w="1375"/>
        <w:gridCol w:w="1269"/>
      </w:tblGrid>
      <w:tr w:rsidR="0031737A" w:rsidRPr="0031737A" w14:paraId="5716B15F" w14:textId="77777777" w:rsidTr="00C11875">
        <w:tc>
          <w:tcPr>
            <w:tcW w:w="3672" w:type="dxa"/>
            <w:tcBorders>
              <w:top w:val="nil"/>
              <w:left w:val="nil"/>
              <w:bottom w:val="single" w:sz="8" w:space="0" w:color="auto"/>
              <w:right w:val="nil"/>
            </w:tcBorders>
            <w:shd w:val="clear" w:color="auto" w:fill="FFFFFF" w:themeFill="background1"/>
          </w:tcPr>
          <w:p w14:paraId="0B403607" w14:textId="77777777" w:rsidR="00E0236D" w:rsidRPr="0031737A" w:rsidRDefault="00E0236D" w:rsidP="00005BE2">
            <w:pPr>
              <w:pStyle w:val="ListParagraph"/>
              <w:ind w:left="0"/>
              <w:contextualSpacing w:val="0"/>
              <w:jc w:val="center"/>
              <w:rPr>
                <w:b/>
                <w:bCs/>
                <w:sz w:val="20"/>
                <w:szCs w:val="20"/>
              </w:rPr>
            </w:pPr>
          </w:p>
        </w:tc>
        <w:tc>
          <w:tcPr>
            <w:tcW w:w="1376" w:type="dxa"/>
            <w:tcBorders>
              <w:top w:val="nil"/>
              <w:left w:val="nil"/>
              <w:bottom w:val="single" w:sz="8" w:space="0" w:color="auto"/>
              <w:right w:val="nil"/>
            </w:tcBorders>
            <w:shd w:val="clear" w:color="auto" w:fill="FFFFFF" w:themeFill="background1"/>
            <w:vAlign w:val="bottom"/>
          </w:tcPr>
          <w:p w14:paraId="396567AF" w14:textId="4D0D7927" w:rsidR="00E0236D" w:rsidRPr="0031737A" w:rsidRDefault="00E0236D" w:rsidP="00005BE2">
            <w:pPr>
              <w:pStyle w:val="ListParagraph"/>
              <w:ind w:left="0"/>
              <w:contextualSpacing w:val="0"/>
              <w:jc w:val="center"/>
              <w:rPr>
                <w:b/>
                <w:bCs/>
                <w:sz w:val="20"/>
                <w:szCs w:val="20"/>
              </w:rPr>
            </w:pPr>
            <w:r w:rsidRPr="0031737A">
              <w:rPr>
                <w:b/>
                <w:bCs/>
                <w:sz w:val="20"/>
                <w:szCs w:val="20"/>
              </w:rPr>
              <w:t>2025</w:t>
            </w:r>
          </w:p>
        </w:tc>
        <w:tc>
          <w:tcPr>
            <w:tcW w:w="1375" w:type="dxa"/>
            <w:tcBorders>
              <w:top w:val="nil"/>
              <w:left w:val="nil"/>
              <w:bottom w:val="single" w:sz="8" w:space="0" w:color="auto"/>
              <w:right w:val="nil"/>
            </w:tcBorders>
            <w:shd w:val="clear" w:color="auto" w:fill="FFFFFF" w:themeFill="background1"/>
            <w:vAlign w:val="bottom"/>
          </w:tcPr>
          <w:p w14:paraId="024786CF" w14:textId="77777777" w:rsidR="00E0236D" w:rsidRPr="0031737A" w:rsidRDefault="00E0236D" w:rsidP="00005BE2">
            <w:pPr>
              <w:pStyle w:val="ListParagraph"/>
              <w:ind w:left="0"/>
              <w:contextualSpacing w:val="0"/>
              <w:jc w:val="center"/>
              <w:rPr>
                <w:b/>
                <w:bCs/>
                <w:sz w:val="20"/>
                <w:szCs w:val="20"/>
              </w:rPr>
            </w:pPr>
            <w:r w:rsidRPr="0031737A">
              <w:rPr>
                <w:b/>
                <w:bCs/>
                <w:sz w:val="20"/>
                <w:szCs w:val="20"/>
              </w:rPr>
              <w:t>2026</w:t>
            </w:r>
          </w:p>
        </w:tc>
        <w:tc>
          <w:tcPr>
            <w:tcW w:w="1375" w:type="dxa"/>
            <w:tcBorders>
              <w:top w:val="nil"/>
              <w:left w:val="nil"/>
              <w:bottom w:val="single" w:sz="8" w:space="0" w:color="auto"/>
              <w:right w:val="nil"/>
            </w:tcBorders>
            <w:shd w:val="clear" w:color="auto" w:fill="FFFFFF" w:themeFill="background1"/>
            <w:vAlign w:val="bottom"/>
          </w:tcPr>
          <w:p w14:paraId="0D0B6BB3" w14:textId="77777777" w:rsidR="00E0236D" w:rsidRPr="0031737A" w:rsidRDefault="00E0236D" w:rsidP="00005BE2">
            <w:pPr>
              <w:pStyle w:val="ListParagraph"/>
              <w:ind w:left="0"/>
              <w:contextualSpacing w:val="0"/>
              <w:jc w:val="center"/>
              <w:rPr>
                <w:b/>
                <w:bCs/>
                <w:sz w:val="20"/>
                <w:szCs w:val="20"/>
              </w:rPr>
            </w:pPr>
            <w:r w:rsidRPr="0031737A">
              <w:rPr>
                <w:b/>
                <w:bCs/>
                <w:sz w:val="20"/>
                <w:szCs w:val="20"/>
              </w:rPr>
              <w:t>2027</w:t>
            </w:r>
          </w:p>
        </w:tc>
        <w:tc>
          <w:tcPr>
            <w:tcW w:w="1269" w:type="dxa"/>
            <w:tcBorders>
              <w:top w:val="nil"/>
              <w:left w:val="nil"/>
              <w:bottom w:val="single" w:sz="8" w:space="0" w:color="auto"/>
              <w:right w:val="nil"/>
            </w:tcBorders>
            <w:shd w:val="clear" w:color="auto" w:fill="FFFFFF" w:themeFill="background1"/>
          </w:tcPr>
          <w:p w14:paraId="0A2F63DC" w14:textId="77777777" w:rsidR="00E0236D" w:rsidRPr="0031737A" w:rsidRDefault="00E0236D" w:rsidP="00005BE2">
            <w:pPr>
              <w:pStyle w:val="ListParagraph"/>
              <w:ind w:left="0"/>
              <w:contextualSpacing w:val="0"/>
              <w:jc w:val="center"/>
              <w:rPr>
                <w:b/>
                <w:bCs/>
                <w:sz w:val="20"/>
                <w:szCs w:val="20"/>
              </w:rPr>
            </w:pPr>
            <w:r w:rsidRPr="0031737A">
              <w:rPr>
                <w:b/>
                <w:bCs/>
                <w:sz w:val="20"/>
                <w:szCs w:val="20"/>
              </w:rPr>
              <w:t>2028</w:t>
            </w:r>
          </w:p>
        </w:tc>
      </w:tr>
      <w:tr w:rsidR="000C678C" w:rsidRPr="00F53BA5" w14:paraId="50AD7982" w14:textId="77777777" w:rsidTr="00C11875">
        <w:tc>
          <w:tcPr>
            <w:tcW w:w="3672" w:type="dxa"/>
            <w:tcBorders>
              <w:top w:val="single" w:sz="8" w:space="0" w:color="auto"/>
              <w:left w:val="nil"/>
              <w:bottom w:val="single" w:sz="4" w:space="0" w:color="auto"/>
            </w:tcBorders>
            <w:shd w:val="clear" w:color="auto" w:fill="F2F2F2" w:themeFill="background1" w:themeFillShade="F2"/>
            <w:vAlign w:val="center"/>
          </w:tcPr>
          <w:p w14:paraId="1DC5921B" w14:textId="08FBA86A" w:rsidR="000C678C" w:rsidRPr="001342FB" w:rsidRDefault="000C678C" w:rsidP="000C678C">
            <w:pPr>
              <w:pStyle w:val="ListParagraph"/>
              <w:ind w:left="0"/>
              <w:contextualSpacing w:val="0"/>
              <w:jc w:val="left"/>
              <w:rPr>
                <w:b/>
                <w:bCs/>
                <w:sz w:val="20"/>
                <w:szCs w:val="20"/>
              </w:rPr>
            </w:pPr>
            <w:r>
              <w:rPr>
                <w:b/>
                <w:bCs/>
                <w:sz w:val="20"/>
                <w:szCs w:val="20"/>
              </w:rPr>
              <w:t>DRN</w:t>
            </w:r>
            <w:r w:rsidRPr="001342FB">
              <w:rPr>
                <w:b/>
                <w:bCs/>
                <w:sz w:val="20"/>
                <w:szCs w:val="20"/>
              </w:rPr>
              <w:t xml:space="preserve"> ieņēmumi</w:t>
            </w:r>
            <w:r w:rsidRPr="001342FB">
              <w:rPr>
                <w:i/>
                <w:iCs/>
                <w:sz w:val="20"/>
                <w:szCs w:val="20"/>
              </w:rPr>
              <w:t>, no tā:</w:t>
            </w:r>
          </w:p>
        </w:tc>
        <w:tc>
          <w:tcPr>
            <w:tcW w:w="1376" w:type="dxa"/>
            <w:tcBorders>
              <w:top w:val="single" w:sz="8" w:space="0" w:color="auto"/>
              <w:bottom w:val="single" w:sz="4" w:space="0" w:color="auto"/>
            </w:tcBorders>
            <w:shd w:val="clear" w:color="auto" w:fill="F2F2F2" w:themeFill="background1" w:themeFillShade="F2"/>
            <w:vAlign w:val="center"/>
          </w:tcPr>
          <w:p w14:paraId="3F82E216" w14:textId="5643E928" w:rsidR="000C678C" w:rsidRPr="000C678C" w:rsidRDefault="000C678C" w:rsidP="000C678C">
            <w:pPr>
              <w:pStyle w:val="ListParagraph"/>
              <w:ind w:left="0"/>
              <w:contextualSpacing w:val="0"/>
              <w:jc w:val="center"/>
              <w:rPr>
                <w:b/>
                <w:bCs/>
                <w:color w:val="00B050"/>
                <w:sz w:val="20"/>
                <w:szCs w:val="18"/>
              </w:rPr>
            </w:pPr>
            <w:r>
              <w:rPr>
                <w:b/>
                <w:bCs/>
                <w:color w:val="00B050"/>
                <w:sz w:val="20"/>
                <w:szCs w:val="18"/>
              </w:rPr>
              <w:t>+</w:t>
            </w:r>
            <w:r w:rsidRPr="000C678C">
              <w:rPr>
                <w:b/>
                <w:bCs/>
                <w:color w:val="00B050"/>
                <w:sz w:val="20"/>
                <w:szCs w:val="18"/>
              </w:rPr>
              <w:t>300 000</w:t>
            </w:r>
          </w:p>
        </w:tc>
        <w:tc>
          <w:tcPr>
            <w:tcW w:w="1375" w:type="dxa"/>
            <w:tcBorders>
              <w:top w:val="single" w:sz="8" w:space="0" w:color="auto"/>
              <w:bottom w:val="single" w:sz="4" w:space="0" w:color="auto"/>
            </w:tcBorders>
            <w:shd w:val="clear" w:color="auto" w:fill="F2F2F2" w:themeFill="background1" w:themeFillShade="F2"/>
            <w:vAlign w:val="center"/>
          </w:tcPr>
          <w:p w14:paraId="1B283C63" w14:textId="0654797A" w:rsidR="000C678C" w:rsidRPr="000C678C" w:rsidRDefault="000C678C" w:rsidP="000C678C">
            <w:pPr>
              <w:pStyle w:val="ListParagraph"/>
              <w:ind w:left="0"/>
              <w:contextualSpacing w:val="0"/>
              <w:jc w:val="center"/>
              <w:rPr>
                <w:b/>
                <w:bCs/>
                <w:color w:val="00B050"/>
                <w:sz w:val="20"/>
                <w:szCs w:val="18"/>
              </w:rPr>
            </w:pPr>
            <w:r>
              <w:rPr>
                <w:b/>
                <w:bCs/>
                <w:color w:val="00B050"/>
                <w:sz w:val="20"/>
                <w:szCs w:val="18"/>
              </w:rPr>
              <w:t>+</w:t>
            </w:r>
            <w:r w:rsidRPr="000C678C">
              <w:rPr>
                <w:b/>
                <w:bCs/>
                <w:color w:val="00B050"/>
                <w:sz w:val="20"/>
                <w:szCs w:val="18"/>
              </w:rPr>
              <w:t>300 000</w:t>
            </w:r>
          </w:p>
        </w:tc>
        <w:tc>
          <w:tcPr>
            <w:tcW w:w="1375" w:type="dxa"/>
            <w:tcBorders>
              <w:top w:val="single" w:sz="8" w:space="0" w:color="auto"/>
              <w:bottom w:val="single" w:sz="4" w:space="0" w:color="auto"/>
            </w:tcBorders>
            <w:shd w:val="clear" w:color="auto" w:fill="F2F2F2" w:themeFill="background1" w:themeFillShade="F2"/>
            <w:vAlign w:val="center"/>
          </w:tcPr>
          <w:p w14:paraId="71A165FF" w14:textId="71C4FDE8" w:rsidR="000C678C" w:rsidRPr="000C678C" w:rsidRDefault="000C678C" w:rsidP="000C678C">
            <w:pPr>
              <w:pStyle w:val="ListParagraph"/>
              <w:ind w:left="0"/>
              <w:contextualSpacing w:val="0"/>
              <w:jc w:val="center"/>
              <w:rPr>
                <w:b/>
                <w:bCs/>
                <w:color w:val="00B050"/>
                <w:sz w:val="20"/>
                <w:szCs w:val="18"/>
              </w:rPr>
            </w:pPr>
            <w:r>
              <w:rPr>
                <w:b/>
                <w:bCs/>
                <w:color w:val="00B050"/>
                <w:sz w:val="20"/>
                <w:szCs w:val="18"/>
              </w:rPr>
              <w:t>+</w:t>
            </w:r>
            <w:r w:rsidRPr="000C678C">
              <w:rPr>
                <w:b/>
                <w:bCs/>
                <w:color w:val="00B050"/>
                <w:sz w:val="20"/>
                <w:szCs w:val="18"/>
              </w:rPr>
              <w:t>400 000</w:t>
            </w:r>
          </w:p>
        </w:tc>
        <w:tc>
          <w:tcPr>
            <w:tcW w:w="1269" w:type="dxa"/>
            <w:tcBorders>
              <w:top w:val="single" w:sz="8" w:space="0" w:color="auto"/>
              <w:bottom w:val="single" w:sz="4" w:space="0" w:color="auto"/>
              <w:right w:val="nil"/>
            </w:tcBorders>
            <w:shd w:val="clear" w:color="auto" w:fill="F2F2F2" w:themeFill="background1" w:themeFillShade="F2"/>
            <w:vAlign w:val="center"/>
          </w:tcPr>
          <w:p w14:paraId="57D2E524" w14:textId="2D4D9D27" w:rsidR="000C678C" w:rsidRPr="000C678C" w:rsidRDefault="000C678C" w:rsidP="000C678C">
            <w:pPr>
              <w:pStyle w:val="ListParagraph"/>
              <w:ind w:left="0"/>
              <w:contextualSpacing w:val="0"/>
              <w:jc w:val="center"/>
              <w:rPr>
                <w:b/>
                <w:bCs/>
                <w:color w:val="00B050"/>
                <w:sz w:val="20"/>
                <w:szCs w:val="18"/>
              </w:rPr>
            </w:pPr>
            <w:r>
              <w:rPr>
                <w:b/>
                <w:bCs/>
                <w:color w:val="00B050"/>
                <w:sz w:val="20"/>
                <w:szCs w:val="18"/>
              </w:rPr>
              <w:t>+</w:t>
            </w:r>
            <w:r w:rsidRPr="000C678C">
              <w:rPr>
                <w:b/>
                <w:bCs/>
                <w:color w:val="00B050"/>
                <w:sz w:val="20"/>
                <w:szCs w:val="18"/>
              </w:rPr>
              <w:t>400 000</w:t>
            </w:r>
          </w:p>
        </w:tc>
      </w:tr>
      <w:tr w:rsidR="000C678C" w:rsidRPr="00C433C6" w14:paraId="6B28F9F7" w14:textId="77777777" w:rsidTr="00C11875">
        <w:tc>
          <w:tcPr>
            <w:tcW w:w="3672" w:type="dxa"/>
            <w:tcBorders>
              <w:left w:val="nil"/>
              <w:bottom w:val="nil"/>
            </w:tcBorders>
            <w:shd w:val="clear" w:color="auto" w:fill="FFFFFF" w:themeFill="background1"/>
            <w:vAlign w:val="center"/>
          </w:tcPr>
          <w:p w14:paraId="2A1B4B7E" w14:textId="77777777" w:rsidR="000C678C" w:rsidRPr="00C433C6" w:rsidRDefault="000C678C" w:rsidP="000C678C">
            <w:pPr>
              <w:pStyle w:val="ListParagraph"/>
              <w:numPr>
                <w:ilvl w:val="0"/>
                <w:numId w:val="9"/>
              </w:numPr>
              <w:tabs>
                <w:tab w:val="clear" w:pos="720"/>
                <w:tab w:val="num" w:pos="306"/>
              </w:tabs>
              <w:ind w:hanging="698"/>
              <w:contextualSpacing w:val="0"/>
              <w:jc w:val="left"/>
              <w:rPr>
                <w:i/>
                <w:iCs/>
                <w:sz w:val="18"/>
                <w:szCs w:val="18"/>
              </w:rPr>
            </w:pPr>
            <w:r w:rsidRPr="00C433C6">
              <w:rPr>
                <w:i/>
                <w:iCs/>
                <w:sz w:val="18"/>
                <w:szCs w:val="18"/>
              </w:rPr>
              <w:t>valsts pamatbudžetā</w:t>
            </w:r>
          </w:p>
        </w:tc>
        <w:tc>
          <w:tcPr>
            <w:tcW w:w="1376" w:type="dxa"/>
            <w:tcBorders>
              <w:bottom w:val="nil"/>
            </w:tcBorders>
            <w:shd w:val="clear" w:color="auto" w:fill="FFFFFF" w:themeFill="background1"/>
            <w:vAlign w:val="center"/>
          </w:tcPr>
          <w:p w14:paraId="742BDD63" w14:textId="78CA0327" w:rsidR="000C678C" w:rsidRPr="000C678C" w:rsidRDefault="000C678C" w:rsidP="000C678C">
            <w:pPr>
              <w:pStyle w:val="ListParagraph"/>
              <w:ind w:left="0"/>
              <w:contextualSpacing w:val="0"/>
              <w:jc w:val="center"/>
              <w:rPr>
                <w:i/>
                <w:iCs/>
                <w:color w:val="00B050"/>
                <w:sz w:val="18"/>
                <w:szCs w:val="18"/>
              </w:rPr>
            </w:pPr>
            <w:r w:rsidRPr="000C678C">
              <w:rPr>
                <w:i/>
                <w:iCs/>
                <w:color w:val="00B050"/>
                <w:sz w:val="20"/>
                <w:szCs w:val="18"/>
              </w:rPr>
              <w:t>+300 000</w:t>
            </w:r>
          </w:p>
        </w:tc>
        <w:tc>
          <w:tcPr>
            <w:tcW w:w="1375" w:type="dxa"/>
            <w:tcBorders>
              <w:bottom w:val="nil"/>
            </w:tcBorders>
            <w:shd w:val="clear" w:color="auto" w:fill="FFFFFF" w:themeFill="background1"/>
            <w:vAlign w:val="center"/>
          </w:tcPr>
          <w:p w14:paraId="51D91D25" w14:textId="7607938C" w:rsidR="000C678C" w:rsidRPr="000C678C" w:rsidRDefault="000C678C" w:rsidP="000C678C">
            <w:pPr>
              <w:pStyle w:val="ListParagraph"/>
              <w:ind w:left="0"/>
              <w:contextualSpacing w:val="0"/>
              <w:jc w:val="center"/>
              <w:rPr>
                <w:i/>
                <w:iCs/>
                <w:color w:val="00B050"/>
                <w:sz w:val="18"/>
                <w:szCs w:val="18"/>
              </w:rPr>
            </w:pPr>
            <w:r w:rsidRPr="000C678C">
              <w:rPr>
                <w:i/>
                <w:iCs/>
                <w:color w:val="00B050"/>
                <w:sz w:val="20"/>
                <w:szCs w:val="18"/>
              </w:rPr>
              <w:t>+300 000</w:t>
            </w:r>
          </w:p>
        </w:tc>
        <w:tc>
          <w:tcPr>
            <w:tcW w:w="1375" w:type="dxa"/>
            <w:tcBorders>
              <w:bottom w:val="nil"/>
            </w:tcBorders>
            <w:shd w:val="clear" w:color="auto" w:fill="FFFFFF" w:themeFill="background1"/>
            <w:vAlign w:val="center"/>
          </w:tcPr>
          <w:p w14:paraId="113FE9CA" w14:textId="70E69FC8" w:rsidR="000C678C" w:rsidRPr="000C678C" w:rsidRDefault="000C678C" w:rsidP="000C678C">
            <w:pPr>
              <w:pStyle w:val="ListParagraph"/>
              <w:ind w:left="0"/>
              <w:contextualSpacing w:val="0"/>
              <w:jc w:val="center"/>
              <w:rPr>
                <w:i/>
                <w:iCs/>
                <w:color w:val="00B050"/>
                <w:sz w:val="18"/>
                <w:szCs w:val="18"/>
              </w:rPr>
            </w:pPr>
            <w:r w:rsidRPr="000C678C">
              <w:rPr>
                <w:i/>
                <w:iCs/>
                <w:color w:val="00B050"/>
                <w:sz w:val="20"/>
                <w:szCs w:val="18"/>
              </w:rPr>
              <w:t>+400 000</w:t>
            </w:r>
          </w:p>
        </w:tc>
        <w:tc>
          <w:tcPr>
            <w:tcW w:w="1269" w:type="dxa"/>
            <w:tcBorders>
              <w:bottom w:val="nil"/>
              <w:right w:val="nil"/>
            </w:tcBorders>
            <w:shd w:val="clear" w:color="auto" w:fill="FFFFFF" w:themeFill="background1"/>
            <w:vAlign w:val="center"/>
          </w:tcPr>
          <w:p w14:paraId="5BF89996" w14:textId="63FB997F" w:rsidR="000C678C" w:rsidRPr="000C678C" w:rsidRDefault="000C678C" w:rsidP="000C678C">
            <w:pPr>
              <w:pStyle w:val="ListParagraph"/>
              <w:ind w:left="0"/>
              <w:contextualSpacing w:val="0"/>
              <w:jc w:val="center"/>
              <w:rPr>
                <w:i/>
                <w:iCs/>
                <w:color w:val="00B050"/>
                <w:sz w:val="18"/>
                <w:szCs w:val="18"/>
              </w:rPr>
            </w:pPr>
            <w:r w:rsidRPr="000C678C">
              <w:rPr>
                <w:i/>
                <w:iCs/>
                <w:color w:val="00B050"/>
                <w:sz w:val="20"/>
                <w:szCs w:val="18"/>
              </w:rPr>
              <w:t>+400 000</w:t>
            </w:r>
          </w:p>
        </w:tc>
      </w:tr>
    </w:tbl>
    <w:p w14:paraId="14B3C3CB" w14:textId="7A60CAAB" w:rsidR="00C11875" w:rsidRDefault="00C11875" w:rsidP="00FC125C">
      <w:pPr>
        <w:tabs>
          <w:tab w:val="left" w:pos="426"/>
        </w:tabs>
        <w:spacing w:before="120"/>
        <w:rPr>
          <w:rFonts w:cs="Times New Roman"/>
          <w:i/>
          <w:sz w:val="18"/>
        </w:rPr>
      </w:pPr>
      <w:r w:rsidRPr="002E0A09">
        <w:rPr>
          <w:rFonts w:cs="Times New Roman"/>
          <w:b/>
          <w:bCs/>
          <w:i/>
          <w:sz w:val="18"/>
        </w:rPr>
        <w:t>Avots</w:t>
      </w:r>
      <w:r w:rsidRPr="002E0A09">
        <w:rPr>
          <w:rFonts w:cs="Times New Roman"/>
          <w:i/>
          <w:sz w:val="18"/>
        </w:rPr>
        <w:t xml:space="preserve">: </w:t>
      </w:r>
      <w:r>
        <w:rPr>
          <w:rFonts w:cs="Times New Roman"/>
          <w:i/>
          <w:sz w:val="18"/>
        </w:rPr>
        <w:t>KEM</w:t>
      </w:r>
      <w:r w:rsidRPr="002E0A09">
        <w:rPr>
          <w:rFonts w:cs="Times New Roman"/>
          <w:i/>
          <w:sz w:val="18"/>
        </w:rPr>
        <w:t xml:space="preserve"> aprēķini</w:t>
      </w:r>
    </w:p>
    <w:p w14:paraId="4979179B" w14:textId="77777777" w:rsidR="00D41527" w:rsidRDefault="00D41527" w:rsidP="00FC125C">
      <w:pPr>
        <w:tabs>
          <w:tab w:val="left" w:pos="426"/>
        </w:tabs>
        <w:spacing w:before="120"/>
        <w:rPr>
          <w:rFonts w:cs="Times New Roman"/>
          <w:i/>
          <w:sz w:val="18"/>
        </w:rPr>
      </w:pPr>
    </w:p>
    <w:p w14:paraId="1E58E7CD" w14:textId="5AE74DE3" w:rsidR="0031737A" w:rsidRDefault="0031737A" w:rsidP="0031737A">
      <w:pPr>
        <w:pStyle w:val="Heading2"/>
        <w:tabs>
          <w:tab w:val="left" w:pos="567"/>
        </w:tabs>
        <w:ind w:left="567" w:hanging="567"/>
      </w:pPr>
      <w:bookmarkStart w:id="69" w:name="_Hlk175229053"/>
      <w:bookmarkStart w:id="70" w:name="_Toc177627723"/>
      <w:r>
        <w:t>3.1</w:t>
      </w:r>
      <w:r w:rsidR="00124718">
        <w:t>2</w:t>
      </w:r>
      <w:r>
        <w:t xml:space="preserve">. </w:t>
      </w:r>
      <w:r>
        <w:tab/>
      </w:r>
      <w:bookmarkStart w:id="71" w:name="_Hlk176785962"/>
      <w:r w:rsidRPr="0031737A">
        <w:t>Ieņēmumu no konfiscēto noziedzīgi iegūto līdzekļu realizācijas precizēšana</w:t>
      </w:r>
      <w:bookmarkEnd w:id="71"/>
      <w:bookmarkEnd w:id="70"/>
    </w:p>
    <w:p w14:paraId="3C78433F" w14:textId="13A60C5B" w:rsidR="006F5E64" w:rsidRPr="003F034F" w:rsidRDefault="006F5E64" w:rsidP="006F5E64">
      <w:pPr>
        <w:ind w:firstLine="567"/>
        <w:jc w:val="both"/>
        <w:rPr>
          <w:rFonts w:cs="Times New Roman"/>
          <w:szCs w:val="24"/>
        </w:rPr>
      </w:pPr>
      <w:r w:rsidRPr="003F034F">
        <w:rPr>
          <w:rFonts w:cs="Times New Roman"/>
          <w:szCs w:val="24"/>
        </w:rPr>
        <w:t>Pamatojoties uz MK 2023. gada 3. oktobra noteikumiem Nr.</w:t>
      </w:r>
      <w:r w:rsidR="00FA7FB6">
        <w:rPr>
          <w:rFonts w:cs="Times New Roman"/>
          <w:szCs w:val="24"/>
        </w:rPr>
        <w:t> </w:t>
      </w:r>
      <w:r w:rsidRPr="003F034F">
        <w:rPr>
          <w:rFonts w:cs="Times New Roman"/>
          <w:szCs w:val="24"/>
        </w:rPr>
        <w:t xml:space="preserve">553 </w:t>
      </w:r>
      <w:r w:rsidRPr="003F034F">
        <w:rPr>
          <w:rFonts w:cs="Times New Roman"/>
          <w:i/>
          <w:iCs/>
          <w:szCs w:val="24"/>
        </w:rPr>
        <w:t>“Nenodokļu ieņēmumu ieskaitīšanas valsts pamatbudžeta ieņēmumos un atmaksas kārtība”</w:t>
      </w:r>
      <w:r w:rsidRPr="003F034F">
        <w:rPr>
          <w:rFonts w:cs="Times New Roman"/>
          <w:szCs w:val="24"/>
        </w:rPr>
        <w:t xml:space="preserve"> no 2024. gada 1. janvāra ir mainīta valsts budžeta nenodokļu ieņēmumu uzskaites kārtība un VID kompetencē un administrēšanā ir valsts budžeta nenodokļu ieņēmumu konti, kuros nenodokļu ieņēmumi tiek ieskaitīti atbilstoši VID pieņemtajiem lēmumiem, izdotajiem rēķiniem un nosūtītajiem maksāšanas paziņojumiem:</w:t>
      </w:r>
    </w:p>
    <w:p w14:paraId="6CB89656" w14:textId="40F0BF15" w:rsidR="006F5E64" w:rsidRPr="003F034F" w:rsidRDefault="006F5E64" w:rsidP="006F5E64">
      <w:pPr>
        <w:tabs>
          <w:tab w:val="left" w:pos="1843"/>
        </w:tabs>
        <w:ind w:left="1843" w:hanging="1276"/>
        <w:jc w:val="both"/>
        <w:rPr>
          <w:rFonts w:cs="Times New Roman"/>
          <w:szCs w:val="24"/>
        </w:rPr>
      </w:pPr>
      <w:r w:rsidRPr="003F034F">
        <w:rPr>
          <w:rFonts w:cs="Times New Roman"/>
          <w:szCs w:val="24"/>
        </w:rPr>
        <w:t>- 12.1.2.0.     Ieņēmumi no valstij piekritīgās mantas realizācijas pēc Valsts ieņēmumu dienesta pieņemtā lēmuma</w:t>
      </w:r>
      <w:r w:rsidR="00FA7FB6">
        <w:rPr>
          <w:rFonts w:cs="Times New Roman"/>
          <w:szCs w:val="24"/>
        </w:rPr>
        <w:t>;</w:t>
      </w:r>
    </w:p>
    <w:p w14:paraId="006C41E7" w14:textId="2CF8BBEE" w:rsidR="006F5E64" w:rsidRPr="003F034F" w:rsidRDefault="006F5E64" w:rsidP="006F5E64">
      <w:pPr>
        <w:tabs>
          <w:tab w:val="left" w:pos="1843"/>
        </w:tabs>
        <w:ind w:left="1843" w:hanging="1276"/>
        <w:jc w:val="both"/>
        <w:rPr>
          <w:rFonts w:cs="Times New Roman"/>
          <w:szCs w:val="24"/>
        </w:rPr>
      </w:pPr>
      <w:r w:rsidRPr="003F034F">
        <w:rPr>
          <w:rFonts w:cs="Times New Roman"/>
          <w:szCs w:val="24"/>
        </w:rPr>
        <w:t>- 12.1.3.0</w:t>
      </w:r>
      <w:r w:rsidR="000C678C">
        <w:rPr>
          <w:rFonts w:cs="Times New Roman"/>
          <w:szCs w:val="24"/>
        </w:rPr>
        <w:t>.</w:t>
      </w:r>
      <w:r w:rsidRPr="003F034F">
        <w:rPr>
          <w:rFonts w:cs="Times New Roman"/>
          <w:szCs w:val="24"/>
        </w:rPr>
        <w:t>     Ieņēmumi no konfiscēto zvejas rīku, zvejas līdzekļu un zivju realizācijas</w:t>
      </w:r>
      <w:r w:rsidR="00FA7FB6">
        <w:rPr>
          <w:rFonts w:cs="Times New Roman"/>
          <w:szCs w:val="24"/>
        </w:rPr>
        <w:t>;</w:t>
      </w:r>
    </w:p>
    <w:p w14:paraId="5428FAAE" w14:textId="11B37769" w:rsidR="006F5E64" w:rsidRPr="003F034F" w:rsidRDefault="006F5E64" w:rsidP="006F5E64">
      <w:pPr>
        <w:tabs>
          <w:tab w:val="left" w:pos="1843"/>
        </w:tabs>
        <w:ind w:left="1843" w:hanging="1276"/>
        <w:jc w:val="both"/>
        <w:rPr>
          <w:rFonts w:cs="Times New Roman"/>
          <w:szCs w:val="24"/>
        </w:rPr>
      </w:pPr>
      <w:r w:rsidRPr="003F034F">
        <w:rPr>
          <w:rFonts w:cs="Times New Roman"/>
          <w:szCs w:val="24"/>
        </w:rPr>
        <w:t>- 12.1.4.0</w:t>
      </w:r>
      <w:r w:rsidR="000C678C">
        <w:rPr>
          <w:rFonts w:cs="Times New Roman"/>
          <w:szCs w:val="24"/>
        </w:rPr>
        <w:t>.</w:t>
      </w:r>
      <w:r w:rsidRPr="003F034F">
        <w:rPr>
          <w:rFonts w:cs="Times New Roman"/>
          <w:szCs w:val="24"/>
        </w:rPr>
        <w:t>     Ieņēmumi no konfiscētās mantas, preču un citu priekšmetu realizācijas pēc Valsts policijas un Valsts robežsardzes pieņemtā lēmuma</w:t>
      </w:r>
      <w:r w:rsidR="00FA7FB6">
        <w:rPr>
          <w:rFonts w:cs="Times New Roman"/>
          <w:szCs w:val="24"/>
        </w:rPr>
        <w:t>;</w:t>
      </w:r>
    </w:p>
    <w:p w14:paraId="4325D528" w14:textId="169FF62A" w:rsidR="006F5E64" w:rsidRPr="003F034F" w:rsidRDefault="006F5E64" w:rsidP="006F5E64">
      <w:pPr>
        <w:tabs>
          <w:tab w:val="left" w:pos="1843"/>
        </w:tabs>
        <w:ind w:left="1843" w:hanging="1276"/>
        <w:jc w:val="both"/>
        <w:rPr>
          <w:rFonts w:cs="Times New Roman"/>
          <w:szCs w:val="24"/>
        </w:rPr>
      </w:pPr>
      <w:r w:rsidRPr="003F034F">
        <w:rPr>
          <w:rFonts w:cs="Times New Roman"/>
          <w:szCs w:val="24"/>
        </w:rPr>
        <w:t>- 12.1.6.1</w:t>
      </w:r>
      <w:r w:rsidR="000C678C">
        <w:rPr>
          <w:rFonts w:cs="Times New Roman"/>
          <w:szCs w:val="24"/>
        </w:rPr>
        <w:t>.</w:t>
      </w:r>
      <w:r w:rsidRPr="003F034F">
        <w:rPr>
          <w:rFonts w:cs="Times New Roman"/>
          <w:szCs w:val="24"/>
        </w:rPr>
        <w:t>     Ieņēmumi no konfiscēto noziedzīgi iegūto līdzekļu realizācijas</w:t>
      </w:r>
      <w:r w:rsidR="00FA7FB6">
        <w:rPr>
          <w:rFonts w:cs="Times New Roman"/>
          <w:szCs w:val="24"/>
        </w:rPr>
        <w:t>;</w:t>
      </w:r>
    </w:p>
    <w:p w14:paraId="1D6F2CB6" w14:textId="0B50F1FF" w:rsidR="006F5E64" w:rsidRPr="003F034F" w:rsidRDefault="006F5E64" w:rsidP="006F5E64">
      <w:pPr>
        <w:tabs>
          <w:tab w:val="left" w:pos="1843"/>
        </w:tabs>
        <w:ind w:left="1843" w:hanging="1276"/>
        <w:jc w:val="both"/>
        <w:rPr>
          <w:rFonts w:cs="Times New Roman"/>
          <w:szCs w:val="24"/>
        </w:rPr>
      </w:pPr>
      <w:r w:rsidRPr="003F034F">
        <w:rPr>
          <w:rFonts w:cs="Times New Roman"/>
          <w:szCs w:val="24"/>
        </w:rPr>
        <w:t>- 12.1.9.0.     Ieņēmumi no valstij piekritīgās mantas realizācijas pēc citu valsts institūciju pieņemtā lēmuma</w:t>
      </w:r>
      <w:r w:rsidR="00FA7FB6">
        <w:rPr>
          <w:rFonts w:cs="Times New Roman"/>
          <w:szCs w:val="24"/>
        </w:rPr>
        <w:t>;</w:t>
      </w:r>
    </w:p>
    <w:p w14:paraId="4D12F90A" w14:textId="77777777" w:rsidR="006F5E64" w:rsidRPr="003F034F" w:rsidRDefault="006F5E64" w:rsidP="006F5E64">
      <w:pPr>
        <w:ind w:firstLine="567"/>
        <w:jc w:val="both"/>
        <w:rPr>
          <w:rFonts w:cs="Times New Roman"/>
          <w:szCs w:val="24"/>
        </w:rPr>
      </w:pPr>
    </w:p>
    <w:p w14:paraId="6BE8D3F0" w14:textId="4C6B64E0" w:rsidR="006F5E64" w:rsidRPr="003F034F" w:rsidRDefault="006F5E64" w:rsidP="006F5E64">
      <w:pPr>
        <w:ind w:firstLine="567"/>
        <w:jc w:val="both"/>
        <w:rPr>
          <w:rFonts w:cs="Times New Roman"/>
          <w:szCs w:val="24"/>
        </w:rPr>
      </w:pPr>
      <w:r w:rsidRPr="003F034F">
        <w:rPr>
          <w:rFonts w:cs="Times New Roman"/>
          <w:szCs w:val="24"/>
        </w:rPr>
        <w:t>Ņemot vērā jauno nenodokļu ieņēmumu uzskaites kārtību, ir aktualizētas prognozes par šajos kontos plānotajiem ieņēmumiem 2025., 2026., 2027. un 2028.</w:t>
      </w:r>
      <w:r w:rsidR="002D73B1">
        <w:rPr>
          <w:rFonts w:cs="Times New Roman"/>
          <w:szCs w:val="24"/>
        </w:rPr>
        <w:t> </w:t>
      </w:r>
      <w:r w:rsidRPr="003F034F">
        <w:rPr>
          <w:rFonts w:cs="Times New Roman"/>
          <w:szCs w:val="24"/>
        </w:rPr>
        <w:t>gadam atbilstoši saņemto dokumentu plūsmai un pusgadā saņemtajiem ieņēmumiem, palielinot prognozētos ieņēmumus no konfiscēto noziedzīgi iegūto līdzekļu realizācijas par 30</w:t>
      </w:r>
      <w:r w:rsidR="000C678C">
        <w:rPr>
          <w:rFonts w:cs="Times New Roman"/>
          <w:szCs w:val="24"/>
        </w:rPr>
        <w:t> </w:t>
      </w:r>
      <w:r w:rsidRPr="003F034F">
        <w:rPr>
          <w:rFonts w:cs="Times New Roman"/>
          <w:szCs w:val="24"/>
        </w:rPr>
        <w:t>milj.</w:t>
      </w:r>
      <w:r w:rsidR="000C678C">
        <w:rPr>
          <w:rFonts w:cs="Times New Roman"/>
          <w:szCs w:val="24"/>
        </w:rPr>
        <w:t> </w:t>
      </w:r>
      <w:r w:rsidRPr="003F034F">
        <w:rPr>
          <w:rFonts w:cs="Times New Roman"/>
          <w:i/>
          <w:iCs/>
          <w:szCs w:val="24"/>
        </w:rPr>
        <w:t>euro</w:t>
      </w:r>
      <w:r w:rsidRPr="003F034F">
        <w:rPr>
          <w:rFonts w:cs="Times New Roman"/>
          <w:szCs w:val="24"/>
        </w:rPr>
        <w:t xml:space="preserve"> ik gadu.</w:t>
      </w:r>
    </w:p>
    <w:p w14:paraId="461809C8" w14:textId="77777777" w:rsidR="00542971" w:rsidRDefault="00542971" w:rsidP="006F5E64">
      <w:pPr>
        <w:jc w:val="center"/>
        <w:rPr>
          <w:rFonts w:cs="Times New Roman"/>
          <w:sz w:val="20"/>
          <w:highlight w:val="yellow"/>
        </w:rPr>
      </w:pPr>
    </w:p>
    <w:p w14:paraId="5D747687" w14:textId="6113B8CD" w:rsidR="00124718" w:rsidRPr="002E0A09" w:rsidRDefault="00725CD9" w:rsidP="00124718">
      <w:pPr>
        <w:spacing w:after="120"/>
        <w:jc w:val="center"/>
        <w:rPr>
          <w:rFonts w:cs="Times New Roman"/>
          <w:sz w:val="20"/>
        </w:rPr>
      </w:pPr>
      <w:r>
        <w:rPr>
          <w:rFonts w:cs="Times New Roman"/>
          <w:sz w:val="20"/>
        </w:rPr>
        <w:t>39</w:t>
      </w:r>
      <w:r w:rsidR="00124718" w:rsidRPr="006F5E64">
        <w:rPr>
          <w:rFonts w:cs="Times New Roman"/>
          <w:sz w:val="20"/>
        </w:rPr>
        <w:t>.</w:t>
      </w:r>
      <w:r w:rsidR="00124718" w:rsidRPr="002E0A09">
        <w:rPr>
          <w:rFonts w:cs="Times New Roman"/>
          <w:sz w:val="20"/>
        </w:rPr>
        <w:t>tab</w:t>
      </w:r>
      <w:r w:rsidR="00124718" w:rsidRPr="002E0A09">
        <w:rPr>
          <w:rFonts w:cs="Times New Roman"/>
          <w:bCs/>
          <w:sz w:val="20"/>
        </w:rPr>
        <w:t>.</w:t>
      </w:r>
      <w:r w:rsidR="00124718" w:rsidRPr="002E0A09">
        <w:rPr>
          <w:rFonts w:cs="Times New Roman"/>
          <w:b/>
          <w:sz w:val="20"/>
        </w:rPr>
        <w:t xml:space="preserve"> Priekšlikuma indikatīva fiskālā ietekme</w:t>
      </w:r>
      <w:r w:rsidR="00124718" w:rsidRPr="002E0A09">
        <w:rPr>
          <w:rFonts w:cs="Times New Roman"/>
          <w:bCs/>
          <w:sz w:val="20"/>
        </w:rPr>
        <w:t>,</w:t>
      </w:r>
      <w:r w:rsidR="00124718" w:rsidRPr="002E0A09">
        <w:rPr>
          <w:rFonts w:cs="Times New Roman"/>
          <w:bCs/>
          <w:i/>
          <w:iCs/>
          <w:sz w:val="20"/>
        </w:rPr>
        <w:t> euro</w:t>
      </w:r>
    </w:p>
    <w:tbl>
      <w:tblPr>
        <w:tblStyle w:val="TableGrid"/>
        <w:tblW w:w="9067" w:type="dxa"/>
        <w:tblInd w:w="5" w:type="dxa"/>
        <w:tblLook w:val="04A0" w:firstRow="1" w:lastRow="0" w:firstColumn="1" w:lastColumn="0" w:noHBand="0" w:noVBand="1"/>
      </w:tblPr>
      <w:tblGrid>
        <w:gridCol w:w="3672"/>
        <w:gridCol w:w="1376"/>
        <w:gridCol w:w="1375"/>
        <w:gridCol w:w="1375"/>
        <w:gridCol w:w="1269"/>
      </w:tblGrid>
      <w:tr w:rsidR="00124718" w:rsidRPr="0031737A" w14:paraId="50FD13EA" w14:textId="77777777" w:rsidTr="00005BE2">
        <w:tc>
          <w:tcPr>
            <w:tcW w:w="3672" w:type="dxa"/>
            <w:tcBorders>
              <w:top w:val="nil"/>
              <w:left w:val="nil"/>
              <w:bottom w:val="single" w:sz="8" w:space="0" w:color="auto"/>
              <w:right w:val="nil"/>
            </w:tcBorders>
            <w:shd w:val="clear" w:color="auto" w:fill="FFFFFF" w:themeFill="background1"/>
          </w:tcPr>
          <w:p w14:paraId="57F3F188" w14:textId="77777777" w:rsidR="00124718" w:rsidRPr="0031737A" w:rsidRDefault="00124718" w:rsidP="00005BE2">
            <w:pPr>
              <w:pStyle w:val="ListParagraph"/>
              <w:ind w:left="0"/>
              <w:contextualSpacing w:val="0"/>
              <w:jc w:val="center"/>
              <w:rPr>
                <w:b/>
                <w:bCs/>
                <w:sz w:val="20"/>
                <w:szCs w:val="20"/>
              </w:rPr>
            </w:pPr>
          </w:p>
        </w:tc>
        <w:tc>
          <w:tcPr>
            <w:tcW w:w="1376" w:type="dxa"/>
            <w:tcBorders>
              <w:top w:val="nil"/>
              <w:left w:val="nil"/>
              <w:bottom w:val="single" w:sz="8" w:space="0" w:color="auto"/>
              <w:right w:val="nil"/>
            </w:tcBorders>
            <w:shd w:val="clear" w:color="auto" w:fill="FFFFFF" w:themeFill="background1"/>
            <w:vAlign w:val="bottom"/>
          </w:tcPr>
          <w:p w14:paraId="4485DC1A" w14:textId="77777777" w:rsidR="00124718" w:rsidRPr="0031737A" w:rsidRDefault="00124718" w:rsidP="00005BE2">
            <w:pPr>
              <w:pStyle w:val="ListParagraph"/>
              <w:ind w:left="0"/>
              <w:contextualSpacing w:val="0"/>
              <w:jc w:val="center"/>
              <w:rPr>
                <w:b/>
                <w:bCs/>
                <w:sz w:val="20"/>
                <w:szCs w:val="20"/>
              </w:rPr>
            </w:pPr>
            <w:r w:rsidRPr="0031737A">
              <w:rPr>
                <w:b/>
                <w:bCs/>
                <w:sz w:val="20"/>
                <w:szCs w:val="20"/>
              </w:rPr>
              <w:t>2025</w:t>
            </w:r>
          </w:p>
        </w:tc>
        <w:tc>
          <w:tcPr>
            <w:tcW w:w="1375" w:type="dxa"/>
            <w:tcBorders>
              <w:top w:val="nil"/>
              <w:left w:val="nil"/>
              <w:bottom w:val="single" w:sz="8" w:space="0" w:color="auto"/>
              <w:right w:val="nil"/>
            </w:tcBorders>
            <w:shd w:val="clear" w:color="auto" w:fill="FFFFFF" w:themeFill="background1"/>
            <w:vAlign w:val="bottom"/>
          </w:tcPr>
          <w:p w14:paraId="5E59A849" w14:textId="77777777" w:rsidR="00124718" w:rsidRPr="0031737A" w:rsidRDefault="00124718" w:rsidP="00005BE2">
            <w:pPr>
              <w:pStyle w:val="ListParagraph"/>
              <w:ind w:left="0"/>
              <w:contextualSpacing w:val="0"/>
              <w:jc w:val="center"/>
              <w:rPr>
                <w:b/>
                <w:bCs/>
                <w:sz w:val="20"/>
                <w:szCs w:val="20"/>
              </w:rPr>
            </w:pPr>
            <w:r w:rsidRPr="0031737A">
              <w:rPr>
                <w:b/>
                <w:bCs/>
                <w:sz w:val="20"/>
                <w:szCs w:val="20"/>
              </w:rPr>
              <w:t>2026</w:t>
            </w:r>
          </w:p>
        </w:tc>
        <w:tc>
          <w:tcPr>
            <w:tcW w:w="1375" w:type="dxa"/>
            <w:tcBorders>
              <w:top w:val="nil"/>
              <w:left w:val="nil"/>
              <w:bottom w:val="single" w:sz="8" w:space="0" w:color="auto"/>
              <w:right w:val="nil"/>
            </w:tcBorders>
            <w:shd w:val="clear" w:color="auto" w:fill="FFFFFF" w:themeFill="background1"/>
            <w:vAlign w:val="bottom"/>
          </w:tcPr>
          <w:p w14:paraId="3099E65E" w14:textId="77777777" w:rsidR="00124718" w:rsidRPr="0031737A" w:rsidRDefault="00124718" w:rsidP="00005BE2">
            <w:pPr>
              <w:pStyle w:val="ListParagraph"/>
              <w:ind w:left="0"/>
              <w:contextualSpacing w:val="0"/>
              <w:jc w:val="center"/>
              <w:rPr>
                <w:b/>
                <w:bCs/>
                <w:sz w:val="20"/>
                <w:szCs w:val="20"/>
              </w:rPr>
            </w:pPr>
            <w:r w:rsidRPr="0031737A">
              <w:rPr>
                <w:b/>
                <w:bCs/>
                <w:sz w:val="20"/>
                <w:szCs w:val="20"/>
              </w:rPr>
              <w:t>2027</w:t>
            </w:r>
          </w:p>
        </w:tc>
        <w:tc>
          <w:tcPr>
            <w:tcW w:w="1269" w:type="dxa"/>
            <w:tcBorders>
              <w:top w:val="nil"/>
              <w:left w:val="nil"/>
              <w:bottom w:val="single" w:sz="8" w:space="0" w:color="auto"/>
              <w:right w:val="nil"/>
            </w:tcBorders>
            <w:shd w:val="clear" w:color="auto" w:fill="FFFFFF" w:themeFill="background1"/>
          </w:tcPr>
          <w:p w14:paraId="1B276291" w14:textId="77777777" w:rsidR="00124718" w:rsidRPr="0031737A" w:rsidRDefault="00124718" w:rsidP="00005BE2">
            <w:pPr>
              <w:pStyle w:val="ListParagraph"/>
              <w:ind w:left="0"/>
              <w:contextualSpacing w:val="0"/>
              <w:jc w:val="center"/>
              <w:rPr>
                <w:b/>
                <w:bCs/>
                <w:sz w:val="20"/>
                <w:szCs w:val="20"/>
              </w:rPr>
            </w:pPr>
            <w:r w:rsidRPr="0031737A">
              <w:rPr>
                <w:b/>
                <w:bCs/>
                <w:sz w:val="20"/>
                <w:szCs w:val="20"/>
              </w:rPr>
              <w:t>2028</w:t>
            </w:r>
          </w:p>
        </w:tc>
      </w:tr>
      <w:tr w:rsidR="000C678C" w:rsidRPr="00F53BA5" w14:paraId="77255C4D" w14:textId="77777777" w:rsidTr="00005BE2">
        <w:tc>
          <w:tcPr>
            <w:tcW w:w="3672" w:type="dxa"/>
            <w:tcBorders>
              <w:top w:val="single" w:sz="8" w:space="0" w:color="auto"/>
              <w:left w:val="nil"/>
              <w:bottom w:val="single" w:sz="4" w:space="0" w:color="auto"/>
            </w:tcBorders>
            <w:shd w:val="clear" w:color="auto" w:fill="F2F2F2" w:themeFill="background1" w:themeFillShade="F2"/>
            <w:vAlign w:val="center"/>
          </w:tcPr>
          <w:p w14:paraId="17F1DD8A" w14:textId="12EDC206" w:rsidR="000C678C" w:rsidRPr="001342FB" w:rsidRDefault="000C678C" w:rsidP="000C678C">
            <w:pPr>
              <w:pStyle w:val="ListParagraph"/>
              <w:ind w:left="0"/>
              <w:contextualSpacing w:val="0"/>
              <w:jc w:val="left"/>
              <w:rPr>
                <w:b/>
                <w:bCs/>
                <w:sz w:val="20"/>
                <w:szCs w:val="20"/>
              </w:rPr>
            </w:pPr>
            <w:r>
              <w:rPr>
                <w:b/>
                <w:bCs/>
                <w:sz w:val="20"/>
                <w:szCs w:val="20"/>
              </w:rPr>
              <w:t>Nenodokļu</w:t>
            </w:r>
            <w:r w:rsidRPr="001342FB">
              <w:rPr>
                <w:b/>
                <w:bCs/>
                <w:sz w:val="20"/>
                <w:szCs w:val="20"/>
              </w:rPr>
              <w:t xml:space="preserve"> ieņēmumi</w:t>
            </w:r>
            <w:r w:rsidRPr="001342FB">
              <w:rPr>
                <w:i/>
                <w:iCs/>
                <w:sz w:val="20"/>
                <w:szCs w:val="20"/>
              </w:rPr>
              <w:t>, no tā:</w:t>
            </w:r>
          </w:p>
        </w:tc>
        <w:tc>
          <w:tcPr>
            <w:tcW w:w="1376" w:type="dxa"/>
            <w:tcBorders>
              <w:top w:val="single" w:sz="8" w:space="0" w:color="auto"/>
              <w:bottom w:val="single" w:sz="4" w:space="0" w:color="auto"/>
            </w:tcBorders>
            <w:shd w:val="clear" w:color="auto" w:fill="F2F2F2" w:themeFill="background1" w:themeFillShade="F2"/>
            <w:vAlign w:val="center"/>
          </w:tcPr>
          <w:p w14:paraId="34CCAF54" w14:textId="78576F66" w:rsidR="000C678C" w:rsidRPr="001342FB" w:rsidRDefault="000C678C" w:rsidP="000C678C">
            <w:pPr>
              <w:pStyle w:val="ListParagraph"/>
              <w:ind w:left="0"/>
              <w:contextualSpacing w:val="0"/>
              <w:jc w:val="center"/>
              <w:rPr>
                <w:b/>
                <w:bCs/>
                <w:color w:val="00B050"/>
                <w:sz w:val="20"/>
                <w:szCs w:val="20"/>
              </w:rPr>
            </w:pPr>
            <w:r w:rsidRPr="001342FB">
              <w:rPr>
                <w:b/>
                <w:bCs/>
                <w:color w:val="00B050"/>
                <w:sz w:val="20"/>
                <w:szCs w:val="20"/>
              </w:rPr>
              <w:t>+</w:t>
            </w:r>
            <w:r>
              <w:rPr>
                <w:b/>
                <w:bCs/>
                <w:color w:val="00B050"/>
                <w:sz w:val="20"/>
                <w:szCs w:val="20"/>
              </w:rPr>
              <w:t>30 000 000</w:t>
            </w:r>
          </w:p>
        </w:tc>
        <w:tc>
          <w:tcPr>
            <w:tcW w:w="1375" w:type="dxa"/>
            <w:tcBorders>
              <w:top w:val="single" w:sz="8" w:space="0" w:color="auto"/>
              <w:bottom w:val="single" w:sz="4" w:space="0" w:color="auto"/>
            </w:tcBorders>
            <w:shd w:val="clear" w:color="auto" w:fill="F2F2F2" w:themeFill="background1" w:themeFillShade="F2"/>
            <w:vAlign w:val="center"/>
          </w:tcPr>
          <w:p w14:paraId="2B6F0C33" w14:textId="58835EE6" w:rsidR="000C678C" w:rsidRPr="001342FB" w:rsidRDefault="000C678C" w:rsidP="000C678C">
            <w:pPr>
              <w:pStyle w:val="ListParagraph"/>
              <w:ind w:left="0"/>
              <w:contextualSpacing w:val="0"/>
              <w:jc w:val="center"/>
              <w:rPr>
                <w:b/>
                <w:bCs/>
                <w:color w:val="00B050"/>
                <w:sz w:val="20"/>
                <w:szCs w:val="20"/>
              </w:rPr>
            </w:pPr>
            <w:r w:rsidRPr="001342FB">
              <w:rPr>
                <w:b/>
                <w:bCs/>
                <w:color w:val="00B050"/>
                <w:sz w:val="20"/>
                <w:szCs w:val="20"/>
              </w:rPr>
              <w:t>+</w:t>
            </w:r>
            <w:r>
              <w:rPr>
                <w:b/>
                <w:bCs/>
                <w:color w:val="00B050"/>
                <w:sz w:val="20"/>
                <w:szCs w:val="20"/>
              </w:rPr>
              <w:t>30 000 000</w:t>
            </w:r>
          </w:p>
        </w:tc>
        <w:tc>
          <w:tcPr>
            <w:tcW w:w="1375" w:type="dxa"/>
            <w:tcBorders>
              <w:top w:val="single" w:sz="8" w:space="0" w:color="auto"/>
              <w:bottom w:val="single" w:sz="4" w:space="0" w:color="auto"/>
            </w:tcBorders>
            <w:shd w:val="clear" w:color="auto" w:fill="F2F2F2" w:themeFill="background1" w:themeFillShade="F2"/>
            <w:vAlign w:val="center"/>
          </w:tcPr>
          <w:p w14:paraId="5E33BC78" w14:textId="1DFFAA23" w:rsidR="000C678C" w:rsidRPr="001342FB" w:rsidRDefault="000C678C" w:rsidP="000C678C">
            <w:pPr>
              <w:pStyle w:val="ListParagraph"/>
              <w:ind w:left="0"/>
              <w:contextualSpacing w:val="0"/>
              <w:jc w:val="center"/>
              <w:rPr>
                <w:b/>
                <w:bCs/>
                <w:color w:val="00B050"/>
                <w:sz w:val="20"/>
                <w:szCs w:val="20"/>
              </w:rPr>
            </w:pPr>
            <w:r w:rsidRPr="001342FB">
              <w:rPr>
                <w:b/>
                <w:bCs/>
                <w:color w:val="00B050"/>
                <w:sz w:val="20"/>
                <w:szCs w:val="20"/>
              </w:rPr>
              <w:t>+</w:t>
            </w:r>
            <w:r>
              <w:rPr>
                <w:b/>
                <w:bCs/>
                <w:color w:val="00B050"/>
                <w:sz w:val="20"/>
                <w:szCs w:val="20"/>
              </w:rPr>
              <w:t>30 000 000</w:t>
            </w:r>
          </w:p>
        </w:tc>
        <w:tc>
          <w:tcPr>
            <w:tcW w:w="1269" w:type="dxa"/>
            <w:tcBorders>
              <w:top w:val="single" w:sz="8" w:space="0" w:color="auto"/>
              <w:bottom w:val="single" w:sz="4" w:space="0" w:color="auto"/>
              <w:right w:val="nil"/>
            </w:tcBorders>
            <w:shd w:val="clear" w:color="auto" w:fill="F2F2F2" w:themeFill="background1" w:themeFillShade="F2"/>
            <w:vAlign w:val="center"/>
          </w:tcPr>
          <w:p w14:paraId="01D22D6D" w14:textId="4C852C23" w:rsidR="000C678C" w:rsidRPr="001342FB" w:rsidRDefault="000C678C" w:rsidP="000C678C">
            <w:pPr>
              <w:pStyle w:val="ListParagraph"/>
              <w:ind w:left="0"/>
              <w:contextualSpacing w:val="0"/>
              <w:jc w:val="center"/>
              <w:rPr>
                <w:b/>
                <w:bCs/>
                <w:color w:val="00B050"/>
                <w:sz w:val="20"/>
                <w:szCs w:val="20"/>
              </w:rPr>
            </w:pPr>
            <w:r w:rsidRPr="001342FB">
              <w:rPr>
                <w:b/>
                <w:bCs/>
                <w:color w:val="00B050"/>
                <w:sz w:val="20"/>
                <w:szCs w:val="20"/>
              </w:rPr>
              <w:t>+</w:t>
            </w:r>
            <w:r>
              <w:rPr>
                <w:b/>
                <w:bCs/>
                <w:color w:val="00B050"/>
                <w:sz w:val="20"/>
                <w:szCs w:val="20"/>
              </w:rPr>
              <w:t>30 000 000</w:t>
            </w:r>
          </w:p>
        </w:tc>
      </w:tr>
      <w:tr w:rsidR="000C678C" w:rsidRPr="00C433C6" w14:paraId="36F8D6B1" w14:textId="77777777" w:rsidTr="00005BE2">
        <w:tc>
          <w:tcPr>
            <w:tcW w:w="3672" w:type="dxa"/>
            <w:tcBorders>
              <w:left w:val="nil"/>
              <w:bottom w:val="nil"/>
            </w:tcBorders>
            <w:shd w:val="clear" w:color="auto" w:fill="FFFFFF" w:themeFill="background1"/>
            <w:vAlign w:val="center"/>
          </w:tcPr>
          <w:p w14:paraId="6F52EE88" w14:textId="77777777" w:rsidR="000C678C" w:rsidRPr="00C433C6" w:rsidRDefault="000C678C" w:rsidP="000C678C">
            <w:pPr>
              <w:pStyle w:val="ListParagraph"/>
              <w:numPr>
                <w:ilvl w:val="0"/>
                <w:numId w:val="9"/>
              </w:numPr>
              <w:tabs>
                <w:tab w:val="clear" w:pos="720"/>
                <w:tab w:val="num" w:pos="306"/>
              </w:tabs>
              <w:ind w:hanging="698"/>
              <w:contextualSpacing w:val="0"/>
              <w:jc w:val="left"/>
              <w:rPr>
                <w:i/>
                <w:iCs/>
                <w:sz w:val="18"/>
                <w:szCs w:val="18"/>
              </w:rPr>
            </w:pPr>
            <w:r w:rsidRPr="00C433C6">
              <w:rPr>
                <w:i/>
                <w:iCs/>
                <w:sz w:val="18"/>
                <w:szCs w:val="18"/>
              </w:rPr>
              <w:t>valsts pamatbudžetā</w:t>
            </w:r>
          </w:p>
        </w:tc>
        <w:tc>
          <w:tcPr>
            <w:tcW w:w="1376" w:type="dxa"/>
            <w:tcBorders>
              <w:bottom w:val="nil"/>
            </w:tcBorders>
            <w:shd w:val="clear" w:color="auto" w:fill="FFFFFF" w:themeFill="background1"/>
            <w:vAlign w:val="center"/>
          </w:tcPr>
          <w:p w14:paraId="5B95D236" w14:textId="0A600C85" w:rsidR="000C678C" w:rsidRPr="0031737A" w:rsidRDefault="000C678C" w:rsidP="000C678C">
            <w:pPr>
              <w:pStyle w:val="ListParagraph"/>
              <w:ind w:left="0"/>
              <w:contextualSpacing w:val="0"/>
              <w:jc w:val="center"/>
              <w:rPr>
                <w:i/>
                <w:iCs/>
                <w:color w:val="00B050"/>
                <w:sz w:val="18"/>
                <w:szCs w:val="18"/>
              </w:rPr>
            </w:pPr>
            <w:r w:rsidRPr="0031737A">
              <w:rPr>
                <w:i/>
                <w:iCs/>
                <w:color w:val="00B050"/>
                <w:sz w:val="18"/>
                <w:szCs w:val="18"/>
              </w:rPr>
              <w:t>+3</w:t>
            </w:r>
            <w:r>
              <w:rPr>
                <w:i/>
                <w:iCs/>
                <w:color w:val="00B050"/>
                <w:sz w:val="18"/>
                <w:szCs w:val="18"/>
              </w:rPr>
              <w:t>0 000 000</w:t>
            </w:r>
          </w:p>
        </w:tc>
        <w:tc>
          <w:tcPr>
            <w:tcW w:w="1375" w:type="dxa"/>
            <w:tcBorders>
              <w:bottom w:val="nil"/>
            </w:tcBorders>
            <w:shd w:val="clear" w:color="auto" w:fill="FFFFFF" w:themeFill="background1"/>
            <w:vAlign w:val="center"/>
          </w:tcPr>
          <w:p w14:paraId="1DAE56BC" w14:textId="1EE8AED9" w:rsidR="000C678C" w:rsidRPr="0031737A" w:rsidRDefault="000C678C" w:rsidP="000C678C">
            <w:pPr>
              <w:pStyle w:val="ListParagraph"/>
              <w:ind w:left="0"/>
              <w:contextualSpacing w:val="0"/>
              <w:jc w:val="center"/>
              <w:rPr>
                <w:i/>
                <w:iCs/>
                <w:color w:val="00B050"/>
                <w:sz w:val="18"/>
                <w:szCs w:val="18"/>
              </w:rPr>
            </w:pPr>
            <w:r w:rsidRPr="0031737A">
              <w:rPr>
                <w:i/>
                <w:iCs/>
                <w:color w:val="00B050"/>
                <w:sz w:val="18"/>
                <w:szCs w:val="18"/>
              </w:rPr>
              <w:t>+3</w:t>
            </w:r>
            <w:r>
              <w:rPr>
                <w:i/>
                <w:iCs/>
                <w:color w:val="00B050"/>
                <w:sz w:val="18"/>
                <w:szCs w:val="18"/>
              </w:rPr>
              <w:t>0 000 000</w:t>
            </w:r>
          </w:p>
        </w:tc>
        <w:tc>
          <w:tcPr>
            <w:tcW w:w="1375" w:type="dxa"/>
            <w:tcBorders>
              <w:bottom w:val="nil"/>
            </w:tcBorders>
            <w:shd w:val="clear" w:color="auto" w:fill="FFFFFF" w:themeFill="background1"/>
            <w:vAlign w:val="center"/>
          </w:tcPr>
          <w:p w14:paraId="44421A1A" w14:textId="422A8649" w:rsidR="000C678C" w:rsidRPr="0031737A" w:rsidRDefault="000C678C" w:rsidP="000C678C">
            <w:pPr>
              <w:pStyle w:val="ListParagraph"/>
              <w:ind w:left="0"/>
              <w:contextualSpacing w:val="0"/>
              <w:jc w:val="center"/>
              <w:rPr>
                <w:i/>
                <w:iCs/>
                <w:color w:val="00B050"/>
                <w:sz w:val="18"/>
                <w:szCs w:val="18"/>
              </w:rPr>
            </w:pPr>
            <w:r w:rsidRPr="0031737A">
              <w:rPr>
                <w:i/>
                <w:iCs/>
                <w:color w:val="00B050"/>
                <w:sz w:val="18"/>
                <w:szCs w:val="18"/>
              </w:rPr>
              <w:t>+3</w:t>
            </w:r>
            <w:r>
              <w:rPr>
                <w:i/>
                <w:iCs/>
                <w:color w:val="00B050"/>
                <w:sz w:val="18"/>
                <w:szCs w:val="18"/>
              </w:rPr>
              <w:t>0 000 000</w:t>
            </w:r>
          </w:p>
        </w:tc>
        <w:tc>
          <w:tcPr>
            <w:tcW w:w="1269" w:type="dxa"/>
            <w:tcBorders>
              <w:bottom w:val="nil"/>
              <w:right w:val="nil"/>
            </w:tcBorders>
            <w:shd w:val="clear" w:color="auto" w:fill="FFFFFF" w:themeFill="background1"/>
            <w:vAlign w:val="center"/>
          </w:tcPr>
          <w:p w14:paraId="36F02CF0" w14:textId="5B10F497" w:rsidR="000C678C" w:rsidRPr="0031737A" w:rsidRDefault="000C678C" w:rsidP="000C678C">
            <w:pPr>
              <w:pStyle w:val="ListParagraph"/>
              <w:ind w:left="0"/>
              <w:contextualSpacing w:val="0"/>
              <w:jc w:val="center"/>
              <w:rPr>
                <w:i/>
                <w:iCs/>
                <w:color w:val="00B050"/>
                <w:sz w:val="18"/>
                <w:szCs w:val="18"/>
              </w:rPr>
            </w:pPr>
            <w:r w:rsidRPr="0031737A">
              <w:rPr>
                <w:i/>
                <w:iCs/>
                <w:color w:val="00B050"/>
                <w:sz w:val="18"/>
                <w:szCs w:val="18"/>
              </w:rPr>
              <w:t>+3</w:t>
            </w:r>
            <w:r>
              <w:rPr>
                <w:i/>
                <w:iCs/>
                <w:color w:val="00B050"/>
                <w:sz w:val="18"/>
                <w:szCs w:val="18"/>
              </w:rPr>
              <w:t>0 000 000</w:t>
            </w:r>
          </w:p>
        </w:tc>
      </w:tr>
    </w:tbl>
    <w:p w14:paraId="5B400E44" w14:textId="30AD7732" w:rsidR="00124718" w:rsidRDefault="00124718" w:rsidP="00FC125C">
      <w:pPr>
        <w:tabs>
          <w:tab w:val="left" w:pos="426"/>
        </w:tabs>
        <w:spacing w:before="120"/>
        <w:rPr>
          <w:rFonts w:cs="Times New Roman"/>
          <w:i/>
          <w:sz w:val="18"/>
        </w:rPr>
      </w:pPr>
      <w:r w:rsidRPr="002E0A09">
        <w:rPr>
          <w:rFonts w:cs="Times New Roman"/>
          <w:b/>
          <w:bCs/>
          <w:i/>
          <w:sz w:val="18"/>
        </w:rPr>
        <w:t>Avots</w:t>
      </w:r>
      <w:r w:rsidRPr="002E0A09">
        <w:rPr>
          <w:rFonts w:cs="Times New Roman"/>
          <w:i/>
          <w:sz w:val="18"/>
        </w:rPr>
        <w:t xml:space="preserve">: </w:t>
      </w:r>
      <w:r>
        <w:rPr>
          <w:rFonts w:cs="Times New Roman"/>
          <w:i/>
          <w:sz w:val="18"/>
        </w:rPr>
        <w:t>FM</w:t>
      </w:r>
      <w:r w:rsidRPr="002E0A09">
        <w:rPr>
          <w:rFonts w:cs="Times New Roman"/>
          <w:i/>
          <w:sz w:val="18"/>
        </w:rPr>
        <w:t xml:space="preserve"> aprēķini.</w:t>
      </w:r>
    </w:p>
    <w:p w14:paraId="71CB72F2" w14:textId="77777777" w:rsidR="00FC125C" w:rsidRPr="002E0A09" w:rsidRDefault="00FC125C" w:rsidP="00FC125C">
      <w:pPr>
        <w:tabs>
          <w:tab w:val="left" w:pos="426"/>
        </w:tabs>
        <w:spacing w:before="120"/>
        <w:rPr>
          <w:rFonts w:cs="Times New Roman"/>
          <w:i/>
          <w:sz w:val="18"/>
        </w:rPr>
      </w:pPr>
    </w:p>
    <w:p w14:paraId="2F70EB86" w14:textId="77777777" w:rsidR="006143AE" w:rsidRDefault="006143AE">
      <w:pPr>
        <w:rPr>
          <w:rFonts w:eastAsiaTheme="majorEastAsia" w:cstheme="majorBidi"/>
          <w:b/>
          <w:szCs w:val="26"/>
        </w:rPr>
      </w:pPr>
      <w:r>
        <w:br w:type="page"/>
      </w:r>
    </w:p>
    <w:p w14:paraId="5BE31BEB" w14:textId="31D40FDA" w:rsidR="0031737A" w:rsidRPr="0031737A" w:rsidRDefault="0031737A" w:rsidP="0031737A">
      <w:pPr>
        <w:pStyle w:val="Heading2"/>
        <w:tabs>
          <w:tab w:val="left" w:pos="567"/>
        </w:tabs>
        <w:ind w:left="567" w:hanging="567"/>
      </w:pPr>
      <w:bookmarkStart w:id="72" w:name="_Toc177627724"/>
      <w:r>
        <w:lastRenderedPageBreak/>
        <w:t>3.1</w:t>
      </w:r>
      <w:r w:rsidR="00124718">
        <w:t>3</w:t>
      </w:r>
      <w:r>
        <w:t xml:space="preserve">. </w:t>
      </w:r>
      <w:r>
        <w:tab/>
      </w:r>
      <w:bookmarkStart w:id="73" w:name="_Hlk176794643"/>
      <w:r>
        <w:t xml:space="preserve">Iedzīvotāju ienākuma nodokļa likmes izlīdzināšana </w:t>
      </w:r>
      <w:r w:rsidRPr="0031737A">
        <w:t>pārējiem ienākumiem</w:t>
      </w:r>
      <w:bookmarkEnd w:id="73"/>
      <w:bookmarkEnd w:id="72"/>
    </w:p>
    <w:p w14:paraId="4B54AC23" w14:textId="662CFF64" w:rsidR="0098343F" w:rsidRPr="00A14D43" w:rsidRDefault="00A14D43" w:rsidP="00A14D43">
      <w:pPr>
        <w:ind w:firstLine="567"/>
        <w:contextualSpacing/>
        <w:jc w:val="both"/>
        <w:rPr>
          <w:rFonts w:cs="Times New Roman"/>
          <w:szCs w:val="24"/>
        </w:rPr>
      </w:pPr>
      <w:r>
        <w:rPr>
          <w:rFonts w:cs="Times New Roman"/>
          <w:szCs w:val="24"/>
        </w:rPr>
        <w:t xml:space="preserve">Tā kā IIN pirmā likme </w:t>
      </w:r>
      <w:r w:rsidRPr="00A14D43">
        <w:rPr>
          <w:rFonts w:cs="Times New Roman"/>
          <w:szCs w:val="24"/>
        </w:rPr>
        <w:t>tiek pa</w:t>
      </w:r>
      <w:r w:rsidR="00474570">
        <w:rPr>
          <w:rFonts w:cs="Times New Roman"/>
          <w:szCs w:val="24"/>
        </w:rPr>
        <w:t>augstināta</w:t>
      </w:r>
      <w:r w:rsidRPr="00A14D43">
        <w:rPr>
          <w:rFonts w:cs="Times New Roman"/>
          <w:szCs w:val="24"/>
        </w:rPr>
        <w:t xml:space="preserve"> no </w:t>
      </w:r>
      <w:r w:rsidRPr="00A14D43">
        <w:rPr>
          <w:rFonts w:cs="Times New Roman"/>
          <w:b/>
          <w:bCs/>
          <w:szCs w:val="24"/>
        </w:rPr>
        <w:t>20%</w:t>
      </w:r>
      <w:r w:rsidRPr="00A14D43">
        <w:rPr>
          <w:rFonts w:cs="Times New Roman"/>
          <w:szCs w:val="24"/>
        </w:rPr>
        <w:t xml:space="preserve"> uz </w:t>
      </w:r>
      <w:r w:rsidRPr="00A14D43">
        <w:rPr>
          <w:rFonts w:cs="Times New Roman"/>
          <w:b/>
          <w:bCs/>
          <w:color w:val="FF0000"/>
          <w:szCs w:val="24"/>
        </w:rPr>
        <w:t>25,5%</w:t>
      </w:r>
      <w:r w:rsidRPr="00A14D43">
        <w:rPr>
          <w:rFonts w:cs="Times New Roman"/>
          <w:szCs w:val="24"/>
        </w:rPr>
        <w:t>,</w:t>
      </w:r>
      <w:r w:rsidRPr="00A14D43">
        <w:rPr>
          <w:rFonts w:cs="Times New Roman"/>
          <w:color w:val="FF0000"/>
          <w:szCs w:val="24"/>
        </w:rPr>
        <w:t xml:space="preserve"> </w:t>
      </w:r>
      <w:r w:rsidRPr="00A14D43">
        <w:rPr>
          <w:rFonts w:cs="Times New Roman"/>
          <w:szCs w:val="24"/>
        </w:rPr>
        <w:t xml:space="preserve">tad </w:t>
      </w:r>
      <w:r>
        <w:rPr>
          <w:rFonts w:cs="Times New Roman"/>
          <w:szCs w:val="24"/>
        </w:rPr>
        <w:t>arī</w:t>
      </w:r>
      <w:r w:rsidRPr="00A14D43">
        <w:rPr>
          <w:rFonts w:cs="Times New Roman"/>
          <w:szCs w:val="24"/>
        </w:rPr>
        <w:t xml:space="preserve"> sekojošiem ienākumu veidiem </w:t>
      </w:r>
      <w:r>
        <w:rPr>
          <w:rFonts w:cs="Times New Roman"/>
          <w:szCs w:val="24"/>
        </w:rPr>
        <w:t xml:space="preserve">IIN </w:t>
      </w:r>
      <w:r w:rsidR="00FC3B51" w:rsidRPr="00A14D43">
        <w:rPr>
          <w:rFonts w:cs="Times New Roman"/>
          <w:szCs w:val="24"/>
        </w:rPr>
        <w:t xml:space="preserve">likme </w:t>
      </w:r>
      <w:r>
        <w:rPr>
          <w:rFonts w:cs="Times New Roman"/>
          <w:szCs w:val="24"/>
        </w:rPr>
        <w:t xml:space="preserve">tiek </w:t>
      </w:r>
      <w:r w:rsidR="00474570">
        <w:rPr>
          <w:rFonts w:cs="Times New Roman"/>
          <w:szCs w:val="24"/>
        </w:rPr>
        <w:t>paaugstināta</w:t>
      </w:r>
      <w:r>
        <w:rPr>
          <w:rFonts w:cs="Times New Roman"/>
          <w:szCs w:val="24"/>
        </w:rPr>
        <w:t xml:space="preserve"> </w:t>
      </w:r>
      <w:r w:rsidRPr="00A14D43">
        <w:rPr>
          <w:rFonts w:cs="Times New Roman"/>
          <w:szCs w:val="24"/>
        </w:rPr>
        <w:t xml:space="preserve">uz </w:t>
      </w:r>
      <w:r w:rsidRPr="00A14D43">
        <w:rPr>
          <w:rFonts w:cs="Times New Roman"/>
          <w:b/>
          <w:bCs/>
          <w:color w:val="FF0000"/>
          <w:szCs w:val="24"/>
        </w:rPr>
        <w:t>25,5%</w:t>
      </w:r>
      <w:r>
        <w:rPr>
          <w:rFonts w:cs="Times New Roman"/>
          <w:szCs w:val="24"/>
        </w:rPr>
        <w:t xml:space="preserve">, kam līdz šim piemēroja IIN </w:t>
      </w:r>
      <w:r w:rsidRPr="00A14D43">
        <w:rPr>
          <w:rFonts w:cs="Times New Roman"/>
          <w:b/>
          <w:bCs/>
          <w:szCs w:val="24"/>
        </w:rPr>
        <w:t>20%</w:t>
      </w:r>
      <w:r>
        <w:rPr>
          <w:rFonts w:cs="Times New Roman"/>
          <w:szCs w:val="24"/>
        </w:rPr>
        <w:t xml:space="preserve"> likmi</w:t>
      </w:r>
      <w:r w:rsidR="0098343F" w:rsidRPr="00A14D43">
        <w:rPr>
          <w:rFonts w:cs="Times New Roman"/>
          <w:szCs w:val="24"/>
        </w:rPr>
        <w:t>:</w:t>
      </w:r>
    </w:p>
    <w:p w14:paraId="365F3E23" w14:textId="53D6FBD5" w:rsidR="0098343F" w:rsidRPr="00A14D43" w:rsidRDefault="0098343F" w:rsidP="0098343F">
      <w:pPr>
        <w:pStyle w:val="ListParagraph"/>
        <w:numPr>
          <w:ilvl w:val="0"/>
          <w:numId w:val="29"/>
        </w:numPr>
        <w:spacing w:after="120"/>
        <w:ind w:left="851" w:hanging="284"/>
        <w:rPr>
          <w:szCs w:val="24"/>
        </w:rPr>
      </w:pPr>
      <w:r w:rsidRPr="00A14D43">
        <w:rPr>
          <w:szCs w:val="24"/>
        </w:rPr>
        <w:t>dividendes</w:t>
      </w:r>
      <w:r w:rsidR="00DE7BE8">
        <w:rPr>
          <w:rStyle w:val="FootnoteReference"/>
          <w:szCs w:val="24"/>
        </w:rPr>
        <w:footnoteReference w:id="12"/>
      </w:r>
      <w:r w:rsidRPr="00A14D43">
        <w:rPr>
          <w:szCs w:val="24"/>
        </w:rPr>
        <w:t xml:space="preserve">, </w:t>
      </w:r>
    </w:p>
    <w:p w14:paraId="5FD8ED0A" w14:textId="77777777" w:rsidR="0098343F" w:rsidRPr="00A14D43" w:rsidRDefault="0098343F" w:rsidP="0098343F">
      <w:pPr>
        <w:pStyle w:val="ListParagraph"/>
        <w:numPr>
          <w:ilvl w:val="0"/>
          <w:numId w:val="29"/>
        </w:numPr>
        <w:spacing w:after="120"/>
        <w:ind w:left="851" w:hanging="284"/>
        <w:rPr>
          <w:szCs w:val="24"/>
        </w:rPr>
      </w:pPr>
      <w:r w:rsidRPr="00A14D43">
        <w:rPr>
          <w:szCs w:val="24"/>
        </w:rPr>
        <w:t xml:space="preserve">ienākums no dzīvības apdrošināšanas ar līdzekļu uzkrāšanu, </w:t>
      </w:r>
    </w:p>
    <w:p w14:paraId="4BED5C98" w14:textId="77777777" w:rsidR="0098343F" w:rsidRPr="00A14D43" w:rsidRDefault="0098343F" w:rsidP="0098343F">
      <w:pPr>
        <w:pStyle w:val="ListParagraph"/>
        <w:numPr>
          <w:ilvl w:val="0"/>
          <w:numId w:val="29"/>
        </w:numPr>
        <w:spacing w:after="120"/>
        <w:ind w:left="851" w:hanging="284"/>
        <w:rPr>
          <w:szCs w:val="24"/>
        </w:rPr>
      </w:pPr>
      <w:r w:rsidRPr="00A14D43">
        <w:rPr>
          <w:szCs w:val="24"/>
        </w:rPr>
        <w:t xml:space="preserve">ienākums no privātajos pensiju fondos veiktajiem iemaksu ieguldījumiem, </w:t>
      </w:r>
    </w:p>
    <w:p w14:paraId="3FED8196" w14:textId="77777777" w:rsidR="0098343F" w:rsidRPr="00A14D43" w:rsidRDefault="0098343F" w:rsidP="0098343F">
      <w:pPr>
        <w:pStyle w:val="ListParagraph"/>
        <w:numPr>
          <w:ilvl w:val="0"/>
          <w:numId w:val="29"/>
        </w:numPr>
        <w:spacing w:after="120"/>
        <w:ind w:left="851" w:hanging="284"/>
        <w:rPr>
          <w:szCs w:val="24"/>
        </w:rPr>
      </w:pPr>
      <w:r w:rsidRPr="00A14D43">
        <w:rPr>
          <w:szCs w:val="24"/>
        </w:rPr>
        <w:t xml:space="preserve">procentu ienākums, </w:t>
      </w:r>
    </w:p>
    <w:p w14:paraId="7D88E246" w14:textId="77777777" w:rsidR="0098343F" w:rsidRPr="00A14D43" w:rsidRDefault="0098343F" w:rsidP="0098343F">
      <w:pPr>
        <w:pStyle w:val="ListParagraph"/>
        <w:numPr>
          <w:ilvl w:val="0"/>
          <w:numId w:val="29"/>
        </w:numPr>
        <w:spacing w:after="120"/>
        <w:ind w:left="851" w:hanging="284"/>
        <w:rPr>
          <w:szCs w:val="24"/>
        </w:rPr>
      </w:pPr>
      <w:r w:rsidRPr="00A14D43">
        <w:rPr>
          <w:szCs w:val="24"/>
        </w:rPr>
        <w:t xml:space="preserve">ienākums no akciju vai kapitāla daļu maiņas, </w:t>
      </w:r>
    </w:p>
    <w:p w14:paraId="2A1C4FCB" w14:textId="77777777" w:rsidR="0098343F" w:rsidRPr="00A14D43" w:rsidRDefault="0098343F" w:rsidP="0098343F">
      <w:pPr>
        <w:pStyle w:val="ListParagraph"/>
        <w:numPr>
          <w:ilvl w:val="0"/>
          <w:numId w:val="29"/>
        </w:numPr>
        <w:spacing w:after="120"/>
        <w:ind w:left="851" w:hanging="284"/>
        <w:rPr>
          <w:szCs w:val="24"/>
        </w:rPr>
      </w:pPr>
      <w:r w:rsidRPr="00A14D43">
        <w:rPr>
          <w:szCs w:val="24"/>
        </w:rPr>
        <w:t xml:space="preserve">ienākums no darījuma ar akcijām vai kapitāla daļām, </w:t>
      </w:r>
    </w:p>
    <w:p w14:paraId="4B47DF74" w14:textId="77777777" w:rsidR="0098343F" w:rsidRPr="00A14D43" w:rsidRDefault="0098343F" w:rsidP="0098343F">
      <w:pPr>
        <w:pStyle w:val="ListParagraph"/>
        <w:numPr>
          <w:ilvl w:val="0"/>
          <w:numId w:val="29"/>
        </w:numPr>
        <w:spacing w:after="120"/>
        <w:ind w:left="851" w:hanging="284"/>
        <w:rPr>
          <w:szCs w:val="24"/>
        </w:rPr>
      </w:pPr>
      <w:r w:rsidRPr="00A14D43">
        <w:rPr>
          <w:szCs w:val="24"/>
        </w:rPr>
        <w:t xml:space="preserve">ienākums no darījuma ar cita veida kapitāla aktīviem, </w:t>
      </w:r>
    </w:p>
    <w:p w14:paraId="7C042BBE" w14:textId="77777777" w:rsidR="0098343F" w:rsidRPr="00A14D43" w:rsidRDefault="0098343F" w:rsidP="0098343F">
      <w:pPr>
        <w:pStyle w:val="ListParagraph"/>
        <w:numPr>
          <w:ilvl w:val="0"/>
          <w:numId w:val="29"/>
        </w:numPr>
        <w:spacing w:after="120"/>
        <w:ind w:left="851" w:hanging="284"/>
        <w:rPr>
          <w:szCs w:val="24"/>
        </w:rPr>
      </w:pPr>
      <w:r w:rsidRPr="00A14D43">
        <w:rPr>
          <w:szCs w:val="24"/>
        </w:rPr>
        <w:t xml:space="preserve">ienākums no darījuma ar virtuālo valūtu, </w:t>
      </w:r>
    </w:p>
    <w:p w14:paraId="29241A9D" w14:textId="77777777" w:rsidR="0098343F" w:rsidRPr="00A14D43" w:rsidRDefault="0098343F" w:rsidP="0098343F">
      <w:pPr>
        <w:pStyle w:val="ListParagraph"/>
        <w:numPr>
          <w:ilvl w:val="0"/>
          <w:numId w:val="29"/>
        </w:numPr>
        <w:spacing w:after="120"/>
        <w:ind w:left="851" w:hanging="284"/>
        <w:rPr>
          <w:szCs w:val="24"/>
        </w:rPr>
      </w:pPr>
      <w:r w:rsidRPr="00A14D43">
        <w:rPr>
          <w:szCs w:val="24"/>
        </w:rPr>
        <w:t xml:space="preserve">ienākums no jaukta veida darījumiem ar kapitāla aktīviem, </w:t>
      </w:r>
    </w:p>
    <w:p w14:paraId="378054F0" w14:textId="77777777" w:rsidR="0098343F" w:rsidRPr="00A14D43" w:rsidRDefault="0098343F" w:rsidP="0098343F">
      <w:pPr>
        <w:pStyle w:val="ListParagraph"/>
        <w:numPr>
          <w:ilvl w:val="0"/>
          <w:numId w:val="29"/>
        </w:numPr>
        <w:spacing w:after="120"/>
        <w:ind w:left="851" w:hanging="284"/>
        <w:rPr>
          <w:szCs w:val="24"/>
        </w:rPr>
      </w:pPr>
      <w:r w:rsidRPr="00A14D43">
        <w:rPr>
          <w:szCs w:val="24"/>
        </w:rPr>
        <w:t xml:space="preserve">ienākums no nekustamā īpašuma atsavināšanas, </w:t>
      </w:r>
    </w:p>
    <w:p w14:paraId="634E26BF" w14:textId="31B740A6" w:rsidR="0098343F" w:rsidRPr="00A14D43" w:rsidRDefault="0098343F" w:rsidP="0098343F">
      <w:pPr>
        <w:pStyle w:val="ListParagraph"/>
        <w:numPr>
          <w:ilvl w:val="0"/>
          <w:numId w:val="29"/>
        </w:numPr>
        <w:spacing w:after="120"/>
        <w:ind w:left="851" w:hanging="284"/>
        <w:rPr>
          <w:szCs w:val="24"/>
        </w:rPr>
      </w:pPr>
      <w:r w:rsidRPr="00A14D43">
        <w:rPr>
          <w:szCs w:val="24"/>
        </w:rPr>
        <w:t>algotā darba ienākums no profesionāliem sportistiem.</w:t>
      </w:r>
    </w:p>
    <w:p w14:paraId="53C15F31" w14:textId="3603D5B8" w:rsidR="0031737A" w:rsidRDefault="0031737A" w:rsidP="00D112F6">
      <w:pPr>
        <w:pStyle w:val="ListParagraph"/>
        <w:ind w:left="1503"/>
      </w:pPr>
    </w:p>
    <w:p w14:paraId="2D7EA7E3" w14:textId="028D1DFC" w:rsidR="00124718" w:rsidRPr="002E0A09" w:rsidRDefault="002111E5" w:rsidP="00124718">
      <w:pPr>
        <w:spacing w:after="120"/>
        <w:jc w:val="center"/>
        <w:rPr>
          <w:rFonts w:cs="Times New Roman"/>
          <w:sz w:val="20"/>
        </w:rPr>
      </w:pPr>
      <w:r>
        <w:rPr>
          <w:rFonts w:cs="Times New Roman"/>
          <w:sz w:val="20"/>
        </w:rPr>
        <w:t>4</w:t>
      </w:r>
      <w:r w:rsidR="00725CD9">
        <w:rPr>
          <w:rFonts w:cs="Times New Roman"/>
          <w:sz w:val="20"/>
        </w:rPr>
        <w:t>0</w:t>
      </w:r>
      <w:r w:rsidR="00124718" w:rsidRPr="006F5E64">
        <w:rPr>
          <w:rFonts w:cs="Times New Roman"/>
          <w:sz w:val="20"/>
        </w:rPr>
        <w:t>.</w:t>
      </w:r>
      <w:r w:rsidR="00124718" w:rsidRPr="002E0A09">
        <w:rPr>
          <w:rFonts w:cs="Times New Roman"/>
          <w:sz w:val="20"/>
        </w:rPr>
        <w:t>tab</w:t>
      </w:r>
      <w:r w:rsidR="00124718" w:rsidRPr="002E0A09">
        <w:rPr>
          <w:rFonts w:cs="Times New Roman"/>
          <w:bCs/>
          <w:sz w:val="20"/>
        </w:rPr>
        <w:t>.</w:t>
      </w:r>
      <w:r w:rsidR="00124718" w:rsidRPr="002E0A09">
        <w:rPr>
          <w:rFonts w:cs="Times New Roman"/>
          <w:b/>
          <w:sz w:val="20"/>
        </w:rPr>
        <w:t xml:space="preserve"> Priekšlikuma indikatīva fiskālā ietekme</w:t>
      </w:r>
      <w:r w:rsidR="00124718" w:rsidRPr="002E0A09">
        <w:rPr>
          <w:rFonts w:cs="Times New Roman"/>
          <w:bCs/>
          <w:sz w:val="20"/>
        </w:rPr>
        <w:t>,</w:t>
      </w:r>
      <w:r w:rsidR="00124718" w:rsidRPr="002E0A09">
        <w:rPr>
          <w:rFonts w:cs="Times New Roman"/>
          <w:bCs/>
          <w:i/>
          <w:iCs/>
          <w:sz w:val="20"/>
        </w:rPr>
        <w:t> euro</w:t>
      </w:r>
    </w:p>
    <w:tbl>
      <w:tblPr>
        <w:tblStyle w:val="TableGrid"/>
        <w:tblW w:w="9067" w:type="dxa"/>
        <w:tblInd w:w="5" w:type="dxa"/>
        <w:tblLook w:val="04A0" w:firstRow="1" w:lastRow="0" w:firstColumn="1" w:lastColumn="0" w:noHBand="0" w:noVBand="1"/>
      </w:tblPr>
      <w:tblGrid>
        <w:gridCol w:w="3672"/>
        <w:gridCol w:w="1376"/>
        <w:gridCol w:w="1375"/>
        <w:gridCol w:w="1375"/>
        <w:gridCol w:w="1269"/>
      </w:tblGrid>
      <w:tr w:rsidR="00124718" w:rsidRPr="0031737A" w14:paraId="1A0C6B9D" w14:textId="77777777" w:rsidTr="00005BE2">
        <w:tc>
          <w:tcPr>
            <w:tcW w:w="3672" w:type="dxa"/>
            <w:tcBorders>
              <w:top w:val="nil"/>
              <w:left w:val="nil"/>
              <w:bottom w:val="single" w:sz="8" w:space="0" w:color="auto"/>
              <w:right w:val="nil"/>
            </w:tcBorders>
            <w:shd w:val="clear" w:color="auto" w:fill="FFFFFF" w:themeFill="background1"/>
          </w:tcPr>
          <w:p w14:paraId="6EFB8D0C" w14:textId="77777777" w:rsidR="00124718" w:rsidRPr="0031737A" w:rsidRDefault="00124718" w:rsidP="00005BE2">
            <w:pPr>
              <w:pStyle w:val="ListParagraph"/>
              <w:ind w:left="0"/>
              <w:contextualSpacing w:val="0"/>
              <w:jc w:val="center"/>
              <w:rPr>
                <w:b/>
                <w:bCs/>
                <w:sz w:val="20"/>
                <w:szCs w:val="20"/>
              </w:rPr>
            </w:pPr>
          </w:p>
        </w:tc>
        <w:tc>
          <w:tcPr>
            <w:tcW w:w="1376" w:type="dxa"/>
            <w:tcBorders>
              <w:top w:val="nil"/>
              <w:left w:val="nil"/>
              <w:bottom w:val="single" w:sz="8" w:space="0" w:color="auto"/>
              <w:right w:val="nil"/>
            </w:tcBorders>
            <w:shd w:val="clear" w:color="auto" w:fill="FFFFFF" w:themeFill="background1"/>
            <w:vAlign w:val="bottom"/>
          </w:tcPr>
          <w:p w14:paraId="435F008B" w14:textId="77777777" w:rsidR="00124718" w:rsidRPr="0031737A" w:rsidRDefault="00124718" w:rsidP="00005BE2">
            <w:pPr>
              <w:pStyle w:val="ListParagraph"/>
              <w:ind w:left="0"/>
              <w:contextualSpacing w:val="0"/>
              <w:jc w:val="center"/>
              <w:rPr>
                <w:b/>
                <w:bCs/>
                <w:sz w:val="20"/>
                <w:szCs w:val="20"/>
              </w:rPr>
            </w:pPr>
            <w:r w:rsidRPr="0031737A">
              <w:rPr>
                <w:b/>
                <w:bCs/>
                <w:sz w:val="20"/>
                <w:szCs w:val="20"/>
              </w:rPr>
              <w:t>2025</w:t>
            </w:r>
          </w:p>
        </w:tc>
        <w:tc>
          <w:tcPr>
            <w:tcW w:w="1375" w:type="dxa"/>
            <w:tcBorders>
              <w:top w:val="nil"/>
              <w:left w:val="nil"/>
              <w:bottom w:val="single" w:sz="8" w:space="0" w:color="auto"/>
              <w:right w:val="nil"/>
            </w:tcBorders>
            <w:shd w:val="clear" w:color="auto" w:fill="FFFFFF" w:themeFill="background1"/>
            <w:vAlign w:val="bottom"/>
          </w:tcPr>
          <w:p w14:paraId="2EA49FA7" w14:textId="77777777" w:rsidR="00124718" w:rsidRPr="0031737A" w:rsidRDefault="00124718" w:rsidP="00005BE2">
            <w:pPr>
              <w:pStyle w:val="ListParagraph"/>
              <w:ind w:left="0"/>
              <w:contextualSpacing w:val="0"/>
              <w:jc w:val="center"/>
              <w:rPr>
                <w:b/>
                <w:bCs/>
                <w:sz w:val="20"/>
                <w:szCs w:val="20"/>
              </w:rPr>
            </w:pPr>
            <w:r w:rsidRPr="0031737A">
              <w:rPr>
                <w:b/>
                <w:bCs/>
                <w:sz w:val="20"/>
                <w:szCs w:val="20"/>
              </w:rPr>
              <w:t>2026</w:t>
            </w:r>
          </w:p>
        </w:tc>
        <w:tc>
          <w:tcPr>
            <w:tcW w:w="1375" w:type="dxa"/>
            <w:tcBorders>
              <w:top w:val="nil"/>
              <w:left w:val="nil"/>
              <w:bottom w:val="single" w:sz="8" w:space="0" w:color="auto"/>
              <w:right w:val="nil"/>
            </w:tcBorders>
            <w:shd w:val="clear" w:color="auto" w:fill="FFFFFF" w:themeFill="background1"/>
            <w:vAlign w:val="bottom"/>
          </w:tcPr>
          <w:p w14:paraId="7C8D8442" w14:textId="77777777" w:rsidR="00124718" w:rsidRPr="0031737A" w:rsidRDefault="00124718" w:rsidP="00005BE2">
            <w:pPr>
              <w:pStyle w:val="ListParagraph"/>
              <w:ind w:left="0"/>
              <w:contextualSpacing w:val="0"/>
              <w:jc w:val="center"/>
              <w:rPr>
                <w:b/>
                <w:bCs/>
                <w:sz w:val="20"/>
                <w:szCs w:val="20"/>
              </w:rPr>
            </w:pPr>
            <w:r w:rsidRPr="0031737A">
              <w:rPr>
                <w:b/>
                <w:bCs/>
                <w:sz w:val="20"/>
                <w:szCs w:val="20"/>
              </w:rPr>
              <w:t>2027</w:t>
            </w:r>
          </w:p>
        </w:tc>
        <w:tc>
          <w:tcPr>
            <w:tcW w:w="1269" w:type="dxa"/>
            <w:tcBorders>
              <w:top w:val="nil"/>
              <w:left w:val="nil"/>
              <w:bottom w:val="single" w:sz="8" w:space="0" w:color="auto"/>
              <w:right w:val="nil"/>
            </w:tcBorders>
            <w:shd w:val="clear" w:color="auto" w:fill="FFFFFF" w:themeFill="background1"/>
          </w:tcPr>
          <w:p w14:paraId="5C17D9D3" w14:textId="77777777" w:rsidR="00124718" w:rsidRPr="0031737A" w:rsidRDefault="00124718" w:rsidP="00005BE2">
            <w:pPr>
              <w:pStyle w:val="ListParagraph"/>
              <w:ind w:left="0"/>
              <w:contextualSpacing w:val="0"/>
              <w:jc w:val="center"/>
              <w:rPr>
                <w:b/>
                <w:bCs/>
                <w:sz w:val="20"/>
                <w:szCs w:val="20"/>
              </w:rPr>
            </w:pPr>
            <w:r w:rsidRPr="0031737A">
              <w:rPr>
                <w:b/>
                <w:bCs/>
                <w:sz w:val="20"/>
                <w:szCs w:val="20"/>
              </w:rPr>
              <w:t>2028</w:t>
            </w:r>
          </w:p>
        </w:tc>
      </w:tr>
      <w:tr w:rsidR="000C678C" w:rsidRPr="00F53BA5" w14:paraId="2708B7A5" w14:textId="77777777" w:rsidTr="00124718">
        <w:tc>
          <w:tcPr>
            <w:tcW w:w="3672" w:type="dxa"/>
            <w:tcBorders>
              <w:top w:val="single" w:sz="8" w:space="0" w:color="auto"/>
              <w:left w:val="nil"/>
              <w:bottom w:val="single" w:sz="4" w:space="0" w:color="auto"/>
            </w:tcBorders>
            <w:shd w:val="clear" w:color="auto" w:fill="F2F2F2" w:themeFill="background1" w:themeFillShade="F2"/>
            <w:vAlign w:val="center"/>
          </w:tcPr>
          <w:p w14:paraId="69893874" w14:textId="02CAFCBF" w:rsidR="000C678C" w:rsidRPr="001342FB" w:rsidRDefault="000C678C" w:rsidP="000C678C">
            <w:pPr>
              <w:pStyle w:val="ListParagraph"/>
              <w:ind w:left="0"/>
              <w:contextualSpacing w:val="0"/>
              <w:jc w:val="left"/>
              <w:rPr>
                <w:b/>
                <w:bCs/>
                <w:sz w:val="20"/>
                <w:szCs w:val="20"/>
              </w:rPr>
            </w:pPr>
            <w:r>
              <w:rPr>
                <w:b/>
                <w:bCs/>
                <w:sz w:val="20"/>
                <w:szCs w:val="20"/>
              </w:rPr>
              <w:t>IIN</w:t>
            </w:r>
            <w:r w:rsidRPr="001342FB">
              <w:rPr>
                <w:b/>
                <w:bCs/>
                <w:sz w:val="20"/>
                <w:szCs w:val="20"/>
              </w:rPr>
              <w:t xml:space="preserve"> ieņēmumi</w:t>
            </w:r>
            <w:r w:rsidRPr="001342FB">
              <w:rPr>
                <w:i/>
                <w:iCs/>
                <w:sz w:val="20"/>
                <w:szCs w:val="20"/>
              </w:rPr>
              <w:t>, no tā:</w:t>
            </w:r>
          </w:p>
        </w:tc>
        <w:tc>
          <w:tcPr>
            <w:tcW w:w="1376" w:type="dxa"/>
            <w:tcBorders>
              <w:top w:val="single" w:sz="8" w:space="0" w:color="auto"/>
              <w:bottom w:val="single" w:sz="4" w:space="0" w:color="auto"/>
            </w:tcBorders>
            <w:shd w:val="clear" w:color="auto" w:fill="F2F2F2" w:themeFill="background1" w:themeFillShade="F2"/>
            <w:vAlign w:val="center"/>
          </w:tcPr>
          <w:p w14:paraId="5047B2D9" w14:textId="51320A2A" w:rsidR="000C678C" w:rsidRPr="000C678C" w:rsidRDefault="000C678C" w:rsidP="000C678C">
            <w:pPr>
              <w:pStyle w:val="ListParagraph"/>
              <w:ind w:left="0"/>
              <w:contextualSpacing w:val="0"/>
              <w:jc w:val="center"/>
              <w:rPr>
                <w:b/>
                <w:bCs/>
                <w:color w:val="00B050"/>
                <w:sz w:val="20"/>
                <w:szCs w:val="18"/>
              </w:rPr>
            </w:pPr>
            <w:r>
              <w:rPr>
                <w:b/>
                <w:bCs/>
                <w:color w:val="00B050"/>
                <w:sz w:val="20"/>
                <w:szCs w:val="18"/>
              </w:rPr>
              <w:t>+</w:t>
            </w:r>
            <w:r w:rsidRPr="000C678C">
              <w:rPr>
                <w:b/>
                <w:bCs/>
                <w:color w:val="00B050"/>
                <w:sz w:val="20"/>
                <w:szCs w:val="18"/>
              </w:rPr>
              <w:t>16 971 000</w:t>
            </w:r>
          </w:p>
        </w:tc>
        <w:tc>
          <w:tcPr>
            <w:tcW w:w="1375" w:type="dxa"/>
            <w:tcBorders>
              <w:top w:val="single" w:sz="8" w:space="0" w:color="auto"/>
              <w:bottom w:val="single" w:sz="4" w:space="0" w:color="auto"/>
            </w:tcBorders>
            <w:shd w:val="clear" w:color="auto" w:fill="F2F2F2" w:themeFill="background1" w:themeFillShade="F2"/>
            <w:vAlign w:val="center"/>
          </w:tcPr>
          <w:p w14:paraId="69A52092" w14:textId="07BCD09E" w:rsidR="000C678C" w:rsidRPr="000C678C" w:rsidRDefault="000C678C" w:rsidP="000C678C">
            <w:pPr>
              <w:pStyle w:val="ListParagraph"/>
              <w:ind w:left="0"/>
              <w:contextualSpacing w:val="0"/>
              <w:jc w:val="center"/>
              <w:rPr>
                <w:b/>
                <w:bCs/>
                <w:color w:val="00B050"/>
                <w:sz w:val="20"/>
                <w:szCs w:val="18"/>
              </w:rPr>
            </w:pPr>
            <w:r>
              <w:rPr>
                <w:b/>
                <w:bCs/>
                <w:color w:val="00B050"/>
                <w:sz w:val="20"/>
                <w:szCs w:val="18"/>
              </w:rPr>
              <w:t>+</w:t>
            </w:r>
            <w:r w:rsidRPr="000C678C">
              <w:rPr>
                <w:b/>
                <w:bCs/>
                <w:color w:val="00B050"/>
                <w:sz w:val="20"/>
                <w:szCs w:val="18"/>
              </w:rPr>
              <w:t>21 761 000</w:t>
            </w:r>
          </w:p>
        </w:tc>
        <w:tc>
          <w:tcPr>
            <w:tcW w:w="1375" w:type="dxa"/>
            <w:tcBorders>
              <w:top w:val="single" w:sz="8" w:space="0" w:color="auto"/>
              <w:bottom w:val="single" w:sz="4" w:space="0" w:color="auto"/>
            </w:tcBorders>
            <w:shd w:val="clear" w:color="auto" w:fill="F2F2F2" w:themeFill="background1" w:themeFillShade="F2"/>
            <w:vAlign w:val="center"/>
          </w:tcPr>
          <w:p w14:paraId="7EDF76E6" w14:textId="719BEB54" w:rsidR="000C678C" w:rsidRPr="000C678C" w:rsidRDefault="000C678C" w:rsidP="000C678C">
            <w:pPr>
              <w:pStyle w:val="ListParagraph"/>
              <w:ind w:left="0"/>
              <w:contextualSpacing w:val="0"/>
              <w:jc w:val="center"/>
              <w:rPr>
                <w:b/>
                <w:bCs/>
                <w:color w:val="00B050"/>
                <w:sz w:val="20"/>
                <w:szCs w:val="18"/>
              </w:rPr>
            </w:pPr>
            <w:r>
              <w:rPr>
                <w:b/>
                <w:bCs/>
                <w:color w:val="00B050"/>
                <w:sz w:val="20"/>
                <w:szCs w:val="18"/>
              </w:rPr>
              <w:t>+</w:t>
            </w:r>
            <w:r w:rsidRPr="000C678C">
              <w:rPr>
                <w:b/>
                <w:bCs/>
                <w:color w:val="00B050"/>
                <w:sz w:val="20"/>
                <w:szCs w:val="18"/>
              </w:rPr>
              <w:t>22 849 000</w:t>
            </w:r>
          </w:p>
        </w:tc>
        <w:tc>
          <w:tcPr>
            <w:tcW w:w="1269" w:type="dxa"/>
            <w:tcBorders>
              <w:top w:val="single" w:sz="8" w:space="0" w:color="auto"/>
              <w:bottom w:val="single" w:sz="4" w:space="0" w:color="auto"/>
              <w:right w:val="nil"/>
            </w:tcBorders>
            <w:shd w:val="clear" w:color="auto" w:fill="F2F2F2" w:themeFill="background1" w:themeFillShade="F2"/>
            <w:vAlign w:val="center"/>
          </w:tcPr>
          <w:p w14:paraId="5DE14B0A" w14:textId="059FDC9F" w:rsidR="000C678C" w:rsidRPr="000C678C" w:rsidRDefault="000C678C" w:rsidP="000C678C">
            <w:pPr>
              <w:pStyle w:val="ListParagraph"/>
              <w:ind w:left="0"/>
              <w:contextualSpacing w:val="0"/>
              <w:jc w:val="center"/>
              <w:rPr>
                <w:b/>
                <w:bCs/>
                <w:color w:val="00B050"/>
                <w:sz w:val="20"/>
                <w:szCs w:val="18"/>
              </w:rPr>
            </w:pPr>
            <w:r>
              <w:rPr>
                <w:b/>
                <w:bCs/>
                <w:color w:val="00B050"/>
                <w:sz w:val="20"/>
                <w:szCs w:val="18"/>
              </w:rPr>
              <w:t>+</w:t>
            </w:r>
            <w:r w:rsidRPr="000C678C">
              <w:rPr>
                <w:b/>
                <w:bCs/>
                <w:color w:val="00B050"/>
                <w:sz w:val="20"/>
                <w:szCs w:val="18"/>
              </w:rPr>
              <w:t>23 992 000</w:t>
            </w:r>
          </w:p>
        </w:tc>
      </w:tr>
      <w:tr w:rsidR="00124718" w:rsidRPr="00C433C6" w14:paraId="1C217C52" w14:textId="77777777" w:rsidTr="00124718">
        <w:tc>
          <w:tcPr>
            <w:tcW w:w="3672" w:type="dxa"/>
            <w:tcBorders>
              <w:left w:val="nil"/>
              <w:bottom w:val="single" w:sz="4" w:space="0" w:color="auto"/>
            </w:tcBorders>
            <w:shd w:val="clear" w:color="auto" w:fill="FFFFFF" w:themeFill="background1"/>
            <w:vAlign w:val="center"/>
          </w:tcPr>
          <w:p w14:paraId="1479F5D5" w14:textId="77777777" w:rsidR="00124718" w:rsidRPr="00C433C6" w:rsidRDefault="00124718" w:rsidP="00005BE2">
            <w:pPr>
              <w:pStyle w:val="ListParagraph"/>
              <w:numPr>
                <w:ilvl w:val="0"/>
                <w:numId w:val="9"/>
              </w:numPr>
              <w:tabs>
                <w:tab w:val="clear" w:pos="720"/>
                <w:tab w:val="num" w:pos="306"/>
              </w:tabs>
              <w:ind w:hanging="698"/>
              <w:contextualSpacing w:val="0"/>
              <w:jc w:val="left"/>
              <w:rPr>
                <w:i/>
                <w:iCs/>
                <w:sz w:val="18"/>
                <w:szCs w:val="18"/>
              </w:rPr>
            </w:pPr>
            <w:r w:rsidRPr="00C433C6">
              <w:rPr>
                <w:i/>
                <w:iCs/>
                <w:sz w:val="18"/>
                <w:szCs w:val="18"/>
              </w:rPr>
              <w:t>valsts pamatbudžetā</w:t>
            </w:r>
          </w:p>
        </w:tc>
        <w:tc>
          <w:tcPr>
            <w:tcW w:w="1376" w:type="dxa"/>
            <w:tcBorders>
              <w:bottom w:val="single" w:sz="4" w:space="0" w:color="auto"/>
            </w:tcBorders>
            <w:shd w:val="clear" w:color="auto" w:fill="FFFFFF" w:themeFill="background1"/>
            <w:vAlign w:val="center"/>
          </w:tcPr>
          <w:p w14:paraId="25D8AB65" w14:textId="1DA00268" w:rsidR="00124718" w:rsidRPr="0031737A" w:rsidRDefault="00124718" w:rsidP="00005BE2">
            <w:pPr>
              <w:pStyle w:val="ListParagraph"/>
              <w:ind w:left="0"/>
              <w:contextualSpacing w:val="0"/>
              <w:jc w:val="center"/>
              <w:rPr>
                <w:i/>
                <w:iCs/>
                <w:color w:val="00B050"/>
                <w:sz w:val="18"/>
                <w:szCs w:val="18"/>
              </w:rPr>
            </w:pPr>
            <w:r w:rsidRPr="0031737A">
              <w:rPr>
                <w:i/>
                <w:iCs/>
                <w:color w:val="00B050"/>
                <w:sz w:val="18"/>
                <w:szCs w:val="18"/>
              </w:rPr>
              <w:t>+</w:t>
            </w:r>
            <w:r>
              <w:rPr>
                <w:i/>
                <w:iCs/>
                <w:color w:val="00B050"/>
                <w:sz w:val="18"/>
                <w:szCs w:val="18"/>
              </w:rPr>
              <w:t>4</w:t>
            </w:r>
            <w:r w:rsidR="000C678C">
              <w:rPr>
                <w:i/>
                <w:iCs/>
                <w:color w:val="00B050"/>
                <w:sz w:val="18"/>
                <w:szCs w:val="18"/>
              </w:rPr>
              <w:t> </w:t>
            </w:r>
            <w:r>
              <w:rPr>
                <w:i/>
                <w:iCs/>
                <w:color w:val="00B050"/>
                <w:sz w:val="18"/>
                <w:szCs w:val="18"/>
              </w:rPr>
              <w:t>24</w:t>
            </w:r>
            <w:r w:rsidR="000C678C">
              <w:rPr>
                <w:i/>
                <w:iCs/>
                <w:color w:val="00B050"/>
                <w:sz w:val="18"/>
                <w:szCs w:val="18"/>
              </w:rPr>
              <w:t>2 750</w:t>
            </w:r>
          </w:p>
        </w:tc>
        <w:tc>
          <w:tcPr>
            <w:tcW w:w="1375" w:type="dxa"/>
            <w:tcBorders>
              <w:bottom w:val="single" w:sz="4" w:space="0" w:color="auto"/>
            </w:tcBorders>
            <w:shd w:val="clear" w:color="auto" w:fill="FFFFFF" w:themeFill="background1"/>
            <w:vAlign w:val="center"/>
          </w:tcPr>
          <w:p w14:paraId="04341251" w14:textId="3943EF9F" w:rsidR="00124718" w:rsidRPr="0031737A" w:rsidRDefault="00124718" w:rsidP="00005BE2">
            <w:pPr>
              <w:pStyle w:val="ListParagraph"/>
              <w:ind w:left="0"/>
              <w:contextualSpacing w:val="0"/>
              <w:jc w:val="center"/>
              <w:rPr>
                <w:i/>
                <w:iCs/>
                <w:color w:val="00B050"/>
                <w:sz w:val="18"/>
                <w:szCs w:val="18"/>
              </w:rPr>
            </w:pPr>
            <w:r w:rsidRPr="0031737A">
              <w:rPr>
                <w:i/>
                <w:iCs/>
                <w:color w:val="00B050"/>
                <w:sz w:val="18"/>
                <w:szCs w:val="18"/>
              </w:rPr>
              <w:t>+</w:t>
            </w:r>
            <w:r>
              <w:rPr>
                <w:i/>
                <w:iCs/>
                <w:color w:val="00B050"/>
                <w:sz w:val="18"/>
                <w:szCs w:val="18"/>
              </w:rPr>
              <w:t>5</w:t>
            </w:r>
            <w:r w:rsidR="000C678C">
              <w:rPr>
                <w:i/>
                <w:iCs/>
                <w:color w:val="00B050"/>
                <w:sz w:val="18"/>
                <w:szCs w:val="18"/>
              </w:rPr>
              <w:t> </w:t>
            </w:r>
            <w:r>
              <w:rPr>
                <w:i/>
                <w:iCs/>
                <w:color w:val="00B050"/>
                <w:sz w:val="18"/>
                <w:szCs w:val="18"/>
              </w:rPr>
              <w:t>440</w:t>
            </w:r>
            <w:r w:rsidR="000C678C">
              <w:rPr>
                <w:i/>
                <w:iCs/>
                <w:color w:val="00B050"/>
                <w:sz w:val="18"/>
                <w:szCs w:val="18"/>
              </w:rPr>
              <w:t xml:space="preserve"> 250</w:t>
            </w:r>
          </w:p>
        </w:tc>
        <w:tc>
          <w:tcPr>
            <w:tcW w:w="1375" w:type="dxa"/>
            <w:tcBorders>
              <w:bottom w:val="single" w:sz="4" w:space="0" w:color="auto"/>
            </w:tcBorders>
            <w:shd w:val="clear" w:color="auto" w:fill="FFFFFF" w:themeFill="background1"/>
            <w:vAlign w:val="center"/>
          </w:tcPr>
          <w:p w14:paraId="5CAF71FC" w14:textId="46B81331" w:rsidR="00124718" w:rsidRPr="0031737A" w:rsidRDefault="00124718" w:rsidP="00005BE2">
            <w:pPr>
              <w:pStyle w:val="ListParagraph"/>
              <w:ind w:left="0"/>
              <w:contextualSpacing w:val="0"/>
              <w:jc w:val="center"/>
              <w:rPr>
                <w:i/>
                <w:iCs/>
                <w:color w:val="00B050"/>
                <w:sz w:val="18"/>
                <w:szCs w:val="18"/>
              </w:rPr>
            </w:pPr>
            <w:r w:rsidRPr="0031737A">
              <w:rPr>
                <w:i/>
                <w:iCs/>
                <w:color w:val="00B050"/>
                <w:sz w:val="18"/>
                <w:szCs w:val="18"/>
              </w:rPr>
              <w:t>+</w:t>
            </w:r>
            <w:r w:rsidR="00A72B9B">
              <w:rPr>
                <w:i/>
                <w:iCs/>
                <w:color w:val="00B050"/>
                <w:sz w:val="18"/>
                <w:szCs w:val="18"/>
              </w:rPr>
              <w:t>5</w:t>
            </w:r>
            <w:r w:rsidR="000C678C">
              <w:rPr>
                <w:i/>
                <w:iCs/>
                <w:color w:val="00B050"/>
                <w:sz w:val="18"/>
                <w:szCs w:val="18"/>
              </w:rPr>
              <w:t> </w:t>
            </w:r>
            <w:r w:rsidR="00A72B9B">
              <w:rPr>
                <w:i/>
                <w:iCs/>
                <w:color w:val="00B050"/>
                <w:sz w:val="18"/>
                <w:szCs w:val="18"/>
              </w:rPr>
              <w:t>712</w:t>
            </w:r>
            <w:r w:rsidR="000C678C">
              <w:rPr>
                <w:i/>
                <w:iCs/>
                <w:color w:val="00B050"/>
                <w:sz w:val="18"/>
                <w:szCs w:val="18"/>
              </w:rPr>
              <w:t xml:space="preserve"> 250</w:t>
            </w:r>
          </w:p>
        </w:tc>
        <w:tc>
          <w:tcPr>
            <w:tcW w:w="1269" w:type="dxa"/>
            <w:tcBorders>
              <w:bottom w:val="single" w:sz="4" w:space="0" w:color="auto"/>
              <w:right w:val="nil"/>
            </w:tcBorders>
            <w:shd w:val="clear" w:color="auto" w:fill="FFFFFF" w:themeFill="background1"/>
            <w:vAlign w:val="center"/>
          </w:tcPr>
          <w:p w14:paraId="51B4B21A" w14:textId="5EA110B7" w:rsidR="00124718" w:rsidRPr="0031737A" w:rsidRDefault="00124718" w:rsidP="00005BE2">
            <w:pPr>
              <w:pStyle w:val="ListParagraph"/>
              <w:ind w:left="0"/>
              <w:contextualSpacing w:val="0"/>
              <w:jc w:val="center"/>
              <w:rPr>
                <w:i/>
                <w:iCs/>
                <w:color w:val="00B050"/>
                <w:sz w:val="18"/>
                <w:szCs w:val="18"/>
              </w:rPr>
            </w:pPr>
            <w:r w:rsidRPr="0031737A">
              <w:rPr>
                <w:i/>
                <w:iCs/>
                <w:color w:val="00B050"/>
                <w:sz w:val="18"/>
                <w:szCs w:val="18"/>
              </w:rPr>
              <w:t>+</w:t>
            </w:r>
            <w:r w:rsidR="00BC1DCC">
              <w:rPr>
                <w:i/>
                <w:iCs/>
                <w:color w:val="00B050"/>
                <w:sz w:val="18"/>
                <w:szCs w:val="18"/>
              </w:rPr>
              <w:t>5</w:t>
            </w:r>
            <w:r w:rsidR="000C678C">
              <w:rPr>
                <w:i/>
                <w:iCs/>
                <w:color w:val="00B050"/>
                <w:sz w:val="18"/>
                <w:szCs w:val="18"/>
              </w:rPr>
              <w:t> </w:t>
            </w:r>
            <w:r w:rsidR="00BC1DCC">
              <w:rPr>
                <w:i/>
                <w:iCs/>
                <w:color w:val="00B050"/>
                <w:sz w:val="18"/>
                <w:szCs w:val="18"/>
              </w:rPr>
              <w:t>998</w:t>
            </w:r>
            <w:r w:rsidR="000C678C">
              <w:rPr>
                <w:i/>
                <w:iCs/>
                <w:color w:val="00B050"/>
                <w:sz w:val="18"/>
                <w:szCs w:val="18"/>
              </w:rPr>
              <w:t xml:space="preserve"> 000</w:t>
            </w:r>
          </w:p>
        </w:tc>
      </w:tr>
      <w:tr w:rsidR="00124718" w:rsidRPr="00C433C6" w14:paraId="306B97D0" w14:textId="77777777" w:rsidTr="00124718">
        <w:tc>
          <w:tcPr>
            <w:tcW w:w="3672" w:type="dxa"/>
            <w:tcBorders>
              <w:top w:val="single" w:sz="4" w:space="0" w:color="auto"/>
              <w:left w:val="nil"/>
              <w:bottom w:val="nil"/>
            </w:tcBorders>
            <w:shd w:val="clear" w:color="auto" w:fill="FFFFFF" w:themeFill="background1"/>
            <w:vAlign w:val="center"/>
          </w:tcPr>
          <w:p w14:paraId="7DFE92EC" w14:textId="1D655142" w:rsidR="00124718" w:rsidRPr="00C433C6" w:rsidRDefault="00124718" w:rsidP="00005BE2">
            <w:pPr>
              <w:pStyle w:val="ListParagraph"/>
              <w:numPr>
                <w:ilvl w:val="0"/>
                <w:numId w:val="9"/>
              </w:numPr>
              <w:tabs>
                <w:tab w:val="clear" w:pos="720"/>
                <w:tab w:val="num" w:pos="306"/>
              </w:tabs>
              <w:ind w:hanging="698"/>
              <w:contextualSpacing w:val="0"/>
              <w:jc w:val="left"/>
              <w:rPr>
                <w:i/>
                <w:iCs/>
                <w:sz w:val="18"/>
                <w:szCs w:val="18"/>
              </w:rPr>
            </w:pPr>
            <w:r w:rsidRPr="00C433C6">
              <w:rPr>
                <w:i/>
                <w:iCs/>
                <w:sz w:val="18"/>
                <w:szCs w:val="18"/>
              </w:rPr>
              <w:t>pašvaldību budžetos</w:t>
            </w:r>
          </w:p>
        </w:tc>
        <w:tc>
          <w:tcPr>
            <w:tcW w:w="1376" w:type="dxa"/>
            <w:tcBorders>
              <w:top w:val="single" w:sz="4" w:space="0" w:color="auto"/>
              <w:bottom w:val="nil"/>
            </w:tcBorders>
            <w:shd w:val="clear" w:color="auto" w:fill="FFFFFF" w:themeFill="background1"/>
            <w:vAlign w:val="center"/>
          </w:tcPr>
          <w:p w14:paraId="2A575342" w14:textId="1B958FBF" w:rsidR="00124718" w:rsidRPr="0031737A" w:rsidRDefault="000C678C" w:rsidP="00005BE2">
            <w:pPr>
              <w:pStyle w:val="ListParagraph"/>
              <w:ind w:left="0"/>
              <w:contextualSpacing w:val="0"/>
              <w:jc w:val="center"/>
              <w:rPr>
                <w:i/>
                <w:iCs/>
                <w:color w:val="00B050"/>
                <w:sz w:val="18"/>
                <w:szCs w:val="18"/>
              </w:rPr>
            </w:pPr>
            <w:r>
              <w:rPr>
                <w:i/>
                <w:iCs/>
                <w:color w:val="00B050"/>
                <w:sz w:val="18"/>
                <w:szCs w:val="18"/>
              </w:rPr>
              <w:t>+</w:t>
            </w:r>
            <w:r w:rsidR="00124718">
              <w:rPr>
                <w:i/>
                <w:iCs/>
                <w:color w:val="00B050"/>
                <w:sz w:val="18"/>
                <w:szCs w:val="18"/>
              </w:rPr>
              <w:t>12</w:t>
            </w:r>
            <w:r>
              <w:rPr>
                <w:i/>
                <w:iCs/>
                <w:color w:val="00B050"/>
                <w:sz w:val="18"/>
                <w:szCs w:val="18"/>
              </w:rPr>
              <w:t> </w:t>
            </w:r>
            <w:r w:rsidR="00124718">
              <w:rPr>
                <w:i/>
                <w:iCs/>
                <w:color w:val="00B050"/>
                <w:sz w:val="18"/>
                <w:szCs w:val="18"/>
              </w:rPr>
              <w:t>728</w:t>
            </w:r>
            <w:r>
              <w:rPr>
                <w:i/>
                <w:iCs/>
                <w:color w:val="00B050"/>
                <w:sz w:val="18"/>
                <w:szCs w:val="18"/>
              </w:rPr>
              <w:t> 250</w:t>
            </w:r>
          </w:p>
        </w:tc>
        <w:tc>
          <w:tcPr>
            <w:tcW w:w="1375" w:type="dxa"/>
            <w:tcBorders>
              <w:top w:val="single" w:sz="4" w:space="0" w:color="auto"/>
              <w:bottom w:val="nil"/>
            </w:tcBorders>
            <w:shd w:val="clear" w:color="auto" w:fill="FFFFFF" w:themeFill="background1"/>
            <w:vAlign w:val="center"/>
          </w:tcPr>
          <w:p w14:paraId="7321D7A0" w14:textId="7E1BDEFB" w:rsidR="00124718" w:rsidRPr="0031737A" w:rsidRDefault="000C678C" w:rsidP="00005BE2">
            <w:pPr>
              <w:pStyle w:val="ListParagraph"/>
              <w:ind w:left="0"/>
              <w:contextualSpacing w:val="0"/>
              <w:jc w:val="center"/>
              <w:rPr>
                <w:i/>
                <w:iCs/>
                <w:color w:val="00B050"/>
                <w:sz w:val="18"/>
                <w:szCs w:val="18"/>
              </w:rPr>
            </w:pPr>
            <w:r>
              <w:rPr>
                <w:i/>
                <w:iCs/>
                <w:color w:val="00B050"/>
                <w:sz w:val="18"/>
                <w:szCs w:val="18"/>
              </w:rPr>
              <w:t>+</w:t>
            </w:r>
            <w:r w:rsidR="00124718">
              <w:rPr>
                <w:i/>
                <w:iCs/>
                <w:color w:val="00B050"/>
                <w:sz w:val="18"/>
                <w:szCs w:val="18"/>
              </w:rPr>
              <w:t>16</w:t>
            </w:r>
            <w:r>
              <w:rPr>
                <w:i/>
                <w:iCs/>
                <w:color w:val="00B050"/>
                <w:sz w:val="18"/>
                <w:szCs w:val="18"/>
              </w:rPr>
              <w:t xml:space="preserve"> </w:t>
            </w:r>
            <w:r w:rsidR="00124718">
              <w:rPr>
                <w:i/>
                <w:iCs/>
                <w:color w:val="00B050"/>
                <w:sz w:val="18"/>
                <w:szCs w:val="18"/>
              </w:rPr>
              <w:t>32</w:t>
            </w:r>
            <w:r>
              <w:rPr>
                <w:i/>
                <w:iCs/>
                <w:color w:val="00B050"/>
                <w:sz w:val="18"/>
                <w:szCs w:val="18"/>
              </w:rPr>
              <w:t>0 750</w:t>
            </w:r>
          </w:p>
        </w:tc>
        <w:tc>
          <w:tcPr>
            <w:tcW w:w="1375" w:type="dxa"/>
            <w:tcBorders>
              <w:top w:val="single" w:sz="4" w:space="0" w:color="auto"/>
              <w:bottom w:val="nil"/>
            </w:tcBorders>
            <w:shd w:val="clear" w:color="auto" w:fill="FFFFFF" w:themeFill="background1"/>
            <w:vAlign w:val="center"/>
          </w:tcPr>
          <w:p w14:paraId="745A0E5B" w14:textId="2B8695A1" w:rsidR="00124718" w:rsidRPr="0031737A" w:rsidRDefault="000C678C" w:rsidP="00005BE2">
            <w:pPr>
              <w:pStyle w:val="ListParagraph"/>
              <w:ind w:left="0"/>
              <w:contextualSpacing w:val="0"/>
              <w:jc w:val="center"/>
              <w:rPr>
                <w:i/>
                <w:iCs/>
                <w:color w:val="00B050"/>
                <w:sz w:val="18"/>
                <w:szCs w:val="18"/>
              </w:rPr>
            </w:pPr>
            <w:r>
              <w:rPr>
                <w:i/>
                <w:iCs/>
                <w:color w:val="00B050"/>
                <w:sz w:val="18"/>
                <w:szCs w:val="18"/>
              </w:rPr>
              <w:t>+</w:t>
            </w:r>
            <w:r w:rsidR="00A72B9B">
              <w:rPr>
                <w:i/>
                <w:iCs/>
                <w:color w:val="00B050"/>
                <w:sz w:val="18"/>
                <w:szCs w:val="18"/>
              </w:rPr>
              <w:t>17</w:t>
            </w:r>
            <w:r>
              <w:rPr>
                <w:i/>
                <w:iCs/>
                <w:color w:val="00B050"/>
                <w:sz w:val="18"/>
                <w:szCs w:val="18"/>
              </w:rPr>
              <w:t> </w:t>
            </w:r>
            <w:r w:rsidR="00A72B9B">
              <w:rPr>
                <w:i/>
                <w:iCs/>
                <w:color w:val="00B050"/>
                <w:sz w:val="18"/>
                <w:szCs w:val="18"/>
              </w:rPr>
              <w:t>13</w:t>
            </w:r>
            <w:r>
              <w:rPr>
                <w:i/>
                <w:iCs/>
                <w:color w:val="00B050"/>
                <w:sz w:val="18"/>
                <w:szCs w:val="18"/>
              </w:rPr>
              <w:t>6 750</w:t>
            </w:r>
          </w:p>
        </w:tc>
        <w:tc>
          <w:tcPr>
            <w:tcW w:w="1269" w:type="dxa"/>
            <w:tcBorders>
              <w:top w:val="single" w:sz="4" w:space="0" w:color="auto"/>
              <w:bottom w:val="nil"/>
              <w:right w:val="nil"/>
            </w:tcBorders>
            <w:shd w:val="clear" w:color="auto" w:fill="FFFFFF" w:themeFill="background1"/>
            <w:vAlign w:val="center"/>
          </w:tcPr>
          <w:p w14:paraId="3DE5B55D" w14:textId="74EC39FD" w:rsidR="00124718" w:rsidRPr="0031737A" w:rsidRDefault="00BC1DCC" w:rsidP="00005BE2">
            <w:pPr>
              <w:pStyle w:val="ListParagraph"/>
              <w:ind w:left="0"/>
              <w:contextualSpacing w:val="0"/>
              <w:jc w:val="center"/>
              <w:rPr>
                <w:i/>
                <w:iCs/>
                <w:color w:val="00B050"/>
                <w:sz w:val="18"/>
                <w:szCs w:val="18"/>
              </w:rPr>
            </w:pPr>
            <w:r>
              <w:rPr>
                <w:i/>
                <w:iCs/>
                <w:color w:val="00B050"/>
                <w:sz w:val="18"/>
                <w:szCs w:val="18"/>
              </w:rPr>
              <w:t>+17</w:t>
            </w:r>
            <w:r w:rsidR="000C678C">
              <w:rPr>
                <w:i/>
                <w:iCs/>
                <w:color w:val="00B050"/>
                <w:sz w:val="18"/>
                <w:szCs w:val="18"/>
              </w:rPr>
              <w:t> </w:t>
            </w:r>
            <w:r>
              <w:rPr>
                <w:i/>
                <w:iCs/>
                <w:color w:val="00B050"/>
                <w:sz w:val="18"/>
                <w:szCs w:val="18"/>
              </w:rPr>
              <w:t>994</w:t>
            </w:r>
            <w:r w:rsidR="000C678C">
              <w:rPr>
                <w:i/>
                <w:iCs/>
                <w:color w:val="00B050"/>
                <w:sz w:val="18"/>
                <w:szCs w:val="18"/>
              </w:rPr>
              <w:t xml:space="preserve"> 000</w:t>
            </w:r>
          </w:p>
        </w:tc>
      </w:tr>
    </w:tbl>
    <w:p w14:paraId="7B1F2C6A" w14:textId="77777777" w:rsidR="00124718" w:rsidRPr="002E0A09" w:rsidRDefault="00124718" w:rsidP="00FC125C">
      <w:pPr>
        <w:tabs>
          <w:tab w:val="left" w:pos="426"/>
        </w:tabs>
        <w:spacing w:before="120"/>
        <w:rPr>
          <w:rFonts w:cs="Times New Roman"/>
          <w:i/>
          <w:sz w:val="18"/>
        </w:rPr>
      </w:pPr>
      <w:r w:rsidRPr="002E0A09">
        <w:rPr>
          <w:rFonts w:cs="Times New Roman"/>
          <w:b/>
          <w:bCs/>
          <w:i/>
          <w:sz w:val="18"/>
        </w:rPr>
        <w:t>Avots</w:t>
      </w:r>
      <w:r w:rsidRPr="002E0A09">
        <w:rPr>
          <w:rFonts w:cs="Times New Roman"/>
          <w:i/>
          <w:sz w:val="18"/>
        </w:rPr>
        <w:t xml:space="preserve">: </w:t>
      </w:r>
      <w:r>
        <w:rPr>
          <w:rFonts w:cs="Times New Roman"/>
          <w:i/>
          <w:sz w:val="18"/>
        </w:rPr>
        <w:t>FM</w:t>
      </w:r>
      <w:r w:rsidRPr="002E0A09">
        <w:rPr>
          <w:rFonts w:cs="Times New Roman"/>
          <w:i/>
          <w:sz w:val="18"/>
        </w:rPr>
        <w:t xml:space="preserve"> aprēķini.</w:t>
      </w:r>
    </w:p>
    <w:p w14:paraId="349B70EB" w14:textId="77777777" w:rsidR="00D112F6" w:rsidRDefault="00D112F6">
      <w:pPr>
        <w:rPr>
          <w:rFonts w:eastAsiaTheme="majorEastAsia" w:cstheme="majorBidi"/>
          <w:b/>
          <w:sz w:val="40"/>
          <w:szCs w:val="32"/>
        </w:rPr>
      </w:pPr>
      <w:bookmarkStart w:id="74" w:name="_Hlk176850491"/>
      <w:r>
        <w:br w:type="page"/>
      </w:r>
    </w:p>
    <w:p w14:paraId="1801234D" w14:textId="7C967F38" w:rsidR="00EA1993" w:rsidRPr="007E5CF8" w:rsidRDefault="00EA1993" w:rsidP="00850F47">
      <w:pPr>
        <w:pStyle w:val="Heading1"/>
        <w:numPr>
          <w:ilvl w:val="0"/>
          <w:numId w:val="22"/>
        </w:numPr>
      </w:pPr>
      <w:bookmarkStart w:id="75" w:name="_Toc177627725"/>
      <w:r w:rsidRPr="007E5CF8">
        <w:lastRenderedPageBreak/>
        <w:t>Minimālās darba algas paaugstināšana</w:t>
      </w:r>
      <w:bookmarkEnd w:id="69"/>
      <w:bookmarkEnd w:id="75"/>
    </w:p>
    <w:bookmarkEnd w:id="74"/>
    <w:p w14:paraId="5001425F" w14:textId="229D47A6" w:rsidR="002C1823" w:rsidRDefault="002C1823" w:rsidP="005B1DC5">
      <w:pPr>
        <w:spacing w:after="120"/>
        <w:ind w:firstLine="567"/>
        <w:jc w:val="both"/>
      </w:pPr>
      <w:r>
        <w:t xml:space="preserve">Saskaņā ar  </w:t>
      </w:r>
      <w:r w:rsidRPr="002C1823">
        <w:t xml:space="preserve">2022. gada 19. oktobrī </w:t>
      </w:r>
      <w:r>
        <w:t>pieņemto</w:t>
      </w:r>
      <w:r w:rsidRPr="002C1823">
        <w:t xml:space="preserve"> Eiropas Parlamenta un Padomes Direktīv</w:t>
      </w:r>
      <w:r>
        <w:t>u</w:t>
      </w:r>
      <w:r w:rsidRPr="002C1823">
        <w:t xml:space="preserve"> (</w:t>
      </w:r>
      <w:r>
        <w:t xml:space="preserve">ES) </w:t>
      </w:r>
      <w:r w:rsidRPr="002C1823">
        <w:t>2022/2041 par adekvātām minimālajām algām Eiropas Savienībā (turpmāk – Direktīva)</w:t>
      </w:r>
      <w:r>
        <w:t>, d</w:t>
      </w:r>
      <w:r w:rsidRPr="002C1823">
        <w:t>alībvalstīm līdz 2024. gada 15. novembrim ir jāpārņem Direktīvas prasības nacionālajos tiesību aktos</w:t>
      </w:r>
      <w:r>
        <w:t xml:space="preserve">, kas paredz </w:t>
      </w:r>
      <w:r w:rsidRPr="002C1823">
        <w:t>noteikt papildu vai izstrādāt jaunus kritērijus</w:t>
      </w:r>
      <w:r>
        <w:t xml:space="preserve">, kā arī noteikt atsauces vērtību minimālās algas apmēra noteikšanai, tādejādi nodrošinot minimālās algas izmaiņu labāku prognozējamību. </w:t>
      </w:r>
    </w:p>
    <w:p w14:paraId="5A0AD282" w14:textId="1F9BC22F" w:rsidR="002C1823" w:rsidRDefault="002C1823" w:rsidP="005B1DC5">
      <w:pPr>
        <w:spacing w:after="120"/>
        <w:ind w:firstLine="567"/>
        <w:jc w:val="both"/>
      </w:pPr>
      <w:r w:rsidRPr="002C1823">
        <w:t xml:space="preserve"> Labklājības ministrija ir izstrādājusi noteikumu projektu, kura mērķis ir noteikt minimālās darba algas noteikšanas un pārskatīšanas</w:t>
      </w:r>
      <w:r w:rsidR="0024757B">
        <w:t xml:space="preserve"> kārtību</w:t>
      </w:r>
      <w:r w:rsidRPr="002C1823">
        <w:t>.</w:t>
      </w:r>
      <w:r>
        <w:t xml:space="preserve"> </w:t>
      </w:r>
      <w:r w:rsidRPr="002C1823">
        <w:t xml:space="preserve">Noteikumu projektā </w:t>
      </w:r>
      <w:r>
        <w:t xml:space="preserve">cita starpā </w:t>
      </w:r>
      <w:r w:rsidRPr="002C1823">
        <w:t xml:space="preserve">tiks </w:t>
      </w:r>
      <w:r w:rsidR="003A6BBC">
        <w:t>noteikts minimālās algas apmērs pret vidējo darba samaksu (atsauces vērtība)</w:t>
      </w:r>
      <w:r w:rsidRPr="002C1823">
        <w:t>, ko</w:t>
      </w:r>
      <w:r w:rsidR="003A6BBC">
        <w:t xml:space="preserve"> vienlaicīgi ar citiem datiem</w:t>
      </w:r>
      <w:r w:rsidRPr="002C1823">
        <w:t xml:space="preserve"> būs jāņem vērā, lemjot par minimālās algas apmēru.</w:t>
      </w:r>
      <w:r w:rsidR="003A6BBC">
        <w:t xml:space="preserve"> </w:t>
      </w:r>
    </w:p>
    <w:p w14:paraId="59613442" w14:textId="57EEE2C4" w:rsidR="003A6BBC" w:rsidRPr="002C1823" w:rsidRDefault="003A6BBC" w:rsidP="00637939">
      <w:pPr>
        <w:ind w:firstLine="567"/>
        <w:jc w:val="both"/>
      </w:pPr>
      <w:r>
        <w:t xml:space="preserve">Šobrīd Labklājības ministrijas sagatavotais noteikumu projekts vēl atrodas saskaņošanas </w:t>
      </w:r>
      <w:r w:rsidR="0024757B">
        <w:t>procesā</w:t>
      </w:r>
      <w:r>
        <w:t>, tomēr Nodokļu politikas pilnveidošanas koordinēšanas grupā, vienojoties ar valdības sadarbības un sociālajiem partneriem, šobrīd plānots, ka minimālā mēneša darba alga</w:t>
      </w:r>
      <w:r w:rsidR="00637939">
        <w:t xml:space="preserve">, atbilstoši Direktīvā ietvertajām prasībām ik gadu pirms lēmuma par minimālās algas apmēru nākamajā gadā pieņemšanas veicot analīzi un konsultējoties ar sociālajiem partneriem, </w:t>
      </w:r>
      <w:r>
        <w:t>tiks paaugstināta:</w:t>
      </w:r>
    </w:p>
    <w:p w14:paraId="7EB3F51F" w14:textId="20BDBEC0" w:rsidR="00EA1993" w:rsidRPr="00EA1993" w:rsidRDefault="00EA1993" w:rsidP="00FF31ED">
      <w:pPr>
        <w:pStyle w:val="ListParagraph"/>
        <w:numPr>
          <w:ilvl w:val="0"/>
          <w:numId w:val="9"/>
        </w:numPr>
        <w:tabs>
          <w:tab w:val="clear" w:pos="720"/>
          <w:tab w:val="num" w:pos="993"/>
        </w:tabs>
        <w:ind w:left="993" w:hanging="426"/>
        <w:jc w:val="left"/>
        <w:rPr>
          <w:b/>
          <w:bCs/>
          <w:iCs/>
          <w:szCs w:val="24"/>
        </w:rPr>
      </w:pPr>
      <w:r w:rsidRPr="00EA1993">
        <w:rPr>
          <w:b/>
          <w:bCs/>
          <w:iCs/>
          <w:szCs w:val="24"/>
        </w:rPr>
        <w:t>2025.</w:t>
      </w:r>
      <w:r w:rsidR="002D73B1">
        <w:rPr>
          <w:b/>
          <w:bCs/>
          <w:iCs/>
          <w:szCs w:val="24"/>
        </w:rPr>
        <w:t> </w:t>
      </w:r>
      <w:r w:rsidRPr="00EA1993">
        <w:rPr>
          <w:b/>
          <w:bCs/>
          <w:iCs/>
          <w:szCs w:val="24"/>
        </w:rPr>
        <w:t xml:space="preserve">gadā </w:t>
      </w:r>
      <w:r w:rsidRPr="00EA1993">
        <w:rPr>
          <w:iCs/>
          <w:szCs w:val="24"/>
        </w:rPr>
        <w:t>uz</w:t>
      </w:r>
      <w:r w:rsidRPr="00EA1993">
        <w:rPr>
          <w:b/>
          <w:bCs/>
          <w:iCs/>
          <w:szCs w:val="24"/>
        </w:rPr>
        <w:t xml:space="preserve"> </w:t>
      </w:r>
      <w:r w:rsidRPr="00EA1993">
        <w:rPr>
          <w:b/>
          <w:bCs/>
          <w:iCs/>
          <w:color w:val="FF0000"/>
          <w:szCs w:val="24"/>
        </w:rPr>
        <w:t>7</w:t>
      </w:r>
      <w:r w:rsidR="003A6BBC">
        <w:rPr>
          <w:b/>
          <w:bCs/>
          <w:iCs/>
          <w:color w:val="FF0000"/>
          <w:szCs w:val="24"/>
        </w:rPr>
        <w:t>4</w:t>
      </w:r>
      <w:r w:rsidRPr="00EA1993">
        <w:rPr>
          <w:b/>
          <w:bCs/>
          <w:iCs/>
          <w:color w:val="FF0000"/>
          <w:szCs w:val="24"/>
        </w:rPr>
        <w:t xml:space="preserve">0 </w:t>
      </w:r>
      <w:r w:rsidRPr="00EA1993">
        <w:rPr>
          <w:i/>
          <w:szCs w:val="24"/>
        </w:rPr>
        <w:t xml:space="preserve">euro </w:t>
      </w:r>
      <w:r w:rsidRPr="00EA1993">
        <w:rPr>
          <w:iCs/>
          <w:szCs w:val="24"/>
        </w:rPr>
        <w:t>mēnesī</w:t>
      </w:r>
      <w:r w:rsidRPr="00EA1993">
        <w:rPr>
          <w:i/>
          <w:szCs w:val="24"/>
        </w:rPr>
        <w:t>;</w:t>
      </w:r>
    </w:p>
    <w:p w14:paraId="4C90F32C" w14:textId="0FA8232E" w:rsidR="00EA1993" w:rsidRPr="00EA1993" w:rsidRDefault="00EA1993" w:rsidP="00FF31ED">
      <w:pPr>
        <w:pStyle w:val="ListParagraph"/>
        <w:numPr>
          <w:ilvl w:val="0"/>
          <w:numId w:val="9"/>
        </w:numPr>
        <w:tabs>
          <w:tab w:val="clear" w:pos="720"/>
          <w:tab w:val="num" w:pos="993"/>
        </w:tabs>
        <w:ind w:left="993" w:hanging="426"/>
        <w:jc w:val="left"/>
        <w:rPr>
          <w:b/>
          <w:bCs/>
          <w:iCs/>
          <w:szCs w:val="24"/>
        </w:rPr>
      </w:pPr>
      <w:r w:rsidRPr="00EA1993">
        <w:rPr>
          <w:b/>
          <w:bCs/>
          <w:iCs/>
          <w:szCs w:val="24"/>
        </w:rPr>
        <w:t>2026.</w:t>
      </w:r>
      <w:r w:rsidR="002D73B1">
        <w:rPr>
          <w:b/>
          <w:bCs/>
          <w:iCs/>
          <w:szCs w:val="24"/>
        </w:rPr>
        <w:t> </w:t>
      </w:r>
      <w:r w:rsidRPr="00EA1993">
        <w:rPr>
          <w:b/>
          <w:bCs/>
          <w:iCs/>
          <w:szCs w:val="24"/>
        </w:rPr>
        <w:t xml:space="preserve">gadā </w:t>
      </w:r>
      <w:r w:rsidRPr="00EA1993">
        <w:rPr>
          <w:iCs/>
          <w:szCs w:val="24"/>
        </w:rPr>
        <w:t>uz</w:t>
      </w:r>
      <w:r w:rsidRPr="00EA1993">
        <w:rPr>
          <w:b/>
          <w:bCs/>
          <w:iCs/>
          <w:szCs w:val="24"/>
        </w:rPr>
        <w:t xml:space="preserve"> </w:t>
      </w:r>
      <w:r w:rsidRPr="00EA1993">
        <w:rPr>
          <w:b/>
          <w:bCs/>
          <w:iCs/>
          <w:color w:val="FF0000"/>
          <w:szCs w:val="24"/>
        </w:rPr>
        <w:t>7</w:t>
      </w:r>
      <w:r w:rsidR="003A6BBC">
        <w:rPr>
          <w:b/>
          <w:bCs/>
          <w:iCs/>
          <w:color w:val="FF0000"/>
          <w:szCs w:val="24"/>
        </w:rPr>
        <w:t>8</w:t>
      </w:r>
      <w:r w:rsidRPr="00EA1993">
        <w:rPr>
          <w:b/>
          <w:bCs/>
          <w:iCs/>
          <w:color w:val="FF0000"/>
          <w:szCs w:val="24"/>
        </w:rPr>
        <w:t xml:space="preserve">0 </w:t>
      </w:r>
      <w:r w:rsidRPr="00EA1993">
        <w:rPr>
          <w:i/>
          <w:szCs w:val="24"/>
        </w:rPr>
        <w:t>euro</w:t>
      </w:r>
      <w:r w:rsidRPr="00EA1993">
        <w:rPr>
          <w:iCs/>
          <w:szCs w:val="24"/>
        </w:rPr>
        <w:t xml:space="preserve"> mēnesī;</w:t>
      </w:r>
    </w:p>
    <w:p w14:paraId="2DDF1B42" w14:textId="215557D0" w:rsidR="00EA1993" w:rsidRPr="003A6BBC" w:rsidRDefault="00EA1993" w:rsidP="00FF31ED">
      <w:pPr>
        <w:pStyle w:val="ListParagraph"/>
        <w:numPr>
          <w:ilvl w:val="0"/>
          <w:numId w:val="9"/>
        </w:numPr>
        <w:tabs>
          <w:tab w:val="clear" w:pos="720"/>
          <w:tab w:val="num" w:pos="993"/>
        </w:tabs>
        <w:ind w:left="993" w:hanging="426"/>
        <w:jc w:val="left"/>
        <w:rPr>
          <w:b/>
          <w:bCs/>
          <w:iCs/>
          <w:szCs w:val="24"/>
        </w:rPr>
      </w:pPr>
      <w:r w:rsidRPr="00EA1993">
        <w:rPr>
          <w:b/>
          <w:bCs/>
          <w:iCs/>
          <w:szCs w:val="24"/>
        </w:rPr>
        <w:t>2027.</w:t>
      </w:r>
      <w:r w:rsidR="002D73B1">
        <w:rPr>
          <w:b/>
          <w:bCs/>
          <w:iCs/>
          <w:szCs w:val="24"/>
        </w:rPr>
        <w:t> </w:t>
      </w:r>
      <w:r w:rsidRPr="00EA1993">
        <w:rPr>
          <w:b/>
          <w:bCs/>
          <w:iCs/>
          <w:szCs w:val="24"/>
        </w:rPr>
        <w:t xml:space="preserve">gadā </w:t>
      </w:r>
      <w:r w:rsidRPr="00EA1993">
        <w:rPr>
          <w:iCs/>
          <w:szCs w:val="24"/>
        </w:rPr>
        <w:t>uz</w:t>
      </w:r>
      <w:r w:rsidRPr="00EA1993">
        <w:rPr>
          <w:b/>
          <w:bCs/>
          <w:iCs/>
          <w:szCs w:val="24"/>
        </w:rPr>
        <w:t xml:space="preserve"> </w:t>
      </w:r>
      <w:r w:rsidRPr="00EA1993">
        <w:rPr>
          <w:b/>
          <w:bCs/>
          <w:iCs/>
          <w:color w:val="FF0000"/>
          <w:szCs w:val="24"/>
        </w:rPr>
        <w:t>8</w:t>
      </w:r>
      <w:r w:rsidR="000034CA">
        <w:rPr>
          <w:b/>
          <w:bCs/>
          <w:iCs/>
          <w:color w:val="FF0000"/>
          <w:szCs w:val="24"/>
        </w:rPr>
        <w:t>2</w:t>
      </w:r>
      <w:r w:rsidRPr="00EA1993">
        <w:rPr>
          <w:b/>
          <w:bCs/>
          <w:iCs/>
          <w:color w:val="FF0000"/>
          <w:szCs w:val="24"/>
        </w:rPr>
        <w:t xml:space="preserve">0 </w:t>
      </w:r>
      <w:r w:rsidRPr="00EA1993">
        <w:rPr>
          <w:i/>
          <w:szCs w:val="24"/>
        </w:rPr>
        <w:t>euro</w:t>
      </w:r>
      <w:r w:rsidRPr="00EA1993">
        <w:rPr>
          <w:iCs/>
          <w:szCs w:val="24"/>
        </w:rPr>
        <w:t xml:space="preserve"> mēnesī;</w:t>
      </w:r>
    </w:p>
    <w:p w14:paraId="446C7581" w14:textId="471CA62A" w:rsidR="003A6BBC" w:rsidRPr="00EA1993" w:rsidRDefault="003A6BBC" w:rsidP="00FF31ED">
      <w:pPr>
        <w:pStyle w:val="ListParagraph"/>
        <w:numPr>
          <w:ilvl w:val="0"/>
          <w:numId w:val="9"/>
        </w:numPr>
        <w:tabs>
          <w:tab w:val="clear" w:pos="720"/>
          <w:tab w:val="num" w:pos="993"/>
        </w:tabs>
        <w:ind w:left="993" w:hanging="426"/>
        <w:jc w:val="left"/>
        <w:rPr>
          <w:b/>
          <w:bCs/>
          <w:iCs/>
          <w:szCs w:val="24"/>
        </w:rPr>
      </w:pPr>
      <w:r>
        <w:rPr>
          <w:b/>
          <w:bCs/>
          <w:iCs/>
          <w:szCs w:val="24"/>
        </w:rPr>
        <w:t>2028.</w:t>
      </w:r>
      <w:r w:rsidR="002D73B1">
        <w:rPr>
          <w:b/>
          <w:bCs/>
          <w:iCs/>
          <w:szCs w:val="24"/>
        </w:rPr>
        <w:t> </w:t>
      </w:r>
      <w:r>
        <w:rPr>
          <w:b/>
          <w:bCs/>
          <w:iCs/>
          <w:szCs w:val="24"/>
        </w:rPr>
        <w:t xml:space="preserve">gadā </w:t>
      </w:r>
      <w:r>
        <w:rPr>
          <w:iCs/>
          <w:szCs w:val="24"/>
        </w:rPr>
        <w:t xml:space="preserve">uz </w:t>
      </w:r>
      <w:r w:rsidR="000034CA">
        <w:rPr>
          <w:b/>
          <w:bCs/>
          <w:iCs/>
          <w:color w:val="FF0000"/>
          <w:szCs w:val="24"/>
        </w:rPr>
        <w:t>86</w:t>
      </w:r>
      <w:r w:rsidRPr="003A6BBC">
        <w:rPr>
          <w:b/>
          <w:bCs/>
          <w:iCs/>
          <w:color w:val="FF0000"/>
          <w:szCs w:val="24"/>
        </w:rPr>
        <w:t>0</w:t>
      </w:r>
      <w:r w:rsidRPr="003A6BBC">
        <w:rPr>
          <w:iCs/>
          <w:szCs w:val="24"/>
        </w:rPr>
        <w:t xml:space="preserve"> </w:t>
      </w:r>
      <w:r w:rsidRPr="003A6BBC">
        <w:rPr>
          <w:i/>
          <w:szCs w:val="24"/>
        </w:rPr>
        <w:t>euro</w:t>
      </w:r>
      <w:r w:rsidRPr="003A6BBC">
        <w:rPr>
          <w:iCs/>
          <w:szCs w:val="24"/>
        </w:rPr>
        <w:t xml:space="preserve"> mēnesī.</w:t>
      </w:r>
    </w:p>
    <w:p w14:paraId="4B774FDC" w14:textId="77777777" w:rsidR="0015733B" w:rsidRDefault="0015733B" w:rsidP="0015733B"/>
    <w:p w14:paraId="0D83E810" w14:textId="4EA03C91" w:rsidR="00C433C6" w:rsidRPr="002E0A09" w:rsidRDefault="002111E5" w:rsidP="00C433C6">
      <w:pPr>
        <w:spacing w:after="120"/>
        <w:jc w:val="center"/>
        <w:rPr>
          <w:rFonts w:cs="Times New Roman"/>
          <w:sz w:val="20"/>
        </w:rPr>
      </w:pPr>
      <w:r>
        <w:rPr>
          <w:rFonts w:cs="Times New Roman"/>
          <w:sz w:val="20"/>
        </w:rPr>
        <w:t>4</w:t>
      </w:r>
      <w:r w:rsidR="00725CD9">
        <w:rPr>
          <w:rFonts w:cs="Times New Roman"/>
          <w:sz w:val="20"/>
        </w:rPr>
        <w:t>1</w:t>
      </w:r>
      <w:r w:rsidR="00C433C6" w:rsidRPr="006F5E64">
        <w:rPr>
          <w:rFonts w:cs="Times New Roman"/>
          <w:sz w:val="20"/>
        </w:rPr>
        <w:t>.tab</w:t>
      </w:r>
      <w:r w:rsidR="00C433C6" w:rsidRPr="002E0A09">
        <w:rPr>
          <w:rFonts w:cs="Times New Roman"/>
          <w:bCs/>
          <w:sz w:val="20"/>
        </w:rPr>
        <w:t>.</w:t>
      </w:r>
      <w:r w:rsidR="00C433C6" w:rsidRPr="002E0A09">
        <w:rPr>
          <w:rFonts w:cs="Times New Roman"/>
          <w:b/>
          <w:sz w:val="20"/>
        </w:rPr>
        <w:t xml:space="preserve"> Priekšlikuma indikatīva fiskālā ietekme</w:t>
      </w:r>
      <w:r w:rsidR="00C433C6" w:rsidRPr="002E0A09">
        <w:rPr>
          <w:rFonts w:cs="Times New Roman"/>
          <w:bCs/>
          <w:sz w:val="20"/>
        </w:rPr>
        <w:t>,</w:t>
      </w:r>
      <w:r w:rsidR="00C433C6" w:rsidRPr="002E0A09">
        <w:rPr>
          <w:rFonts w:cs="Times New Roman"/>
          <w:bCs/>
          <w:i/>
          <w:iCs/>
          <w:sz w:val="20"/>
        </w:rPr>
        <w:t> euro</w:t>
      </w:r>
    </w:p>
    <w:tbl>
      <w:tblPr>
        <w:tblStyle w:val="TableGrid"/>
        <w:tblW w:w="9067" w:type="dxa"/>
        <w:tblInd w:w="5" w:type="dxa"/>
        <w:tblLook w:val="04A0" w:firstRow="1" w:lastRow="0" w:firstColumn="1" w:lastColumn="0" w:noHBand="0" w:noVBand="1"/>
      </w:tblPr>
      <w:tblGrid>
        <w:gridCol w:w="3823"/>
        <w:gridCol w:w="1417"/>
        <w:gridCol w:w="1276"/>
        <w:gridCol w:w="1276"/>
        <w:gridCol w:w="1275"/>
      </w:tblGrid>
      <w:tr w:rsidR="0031737A" w:rsidRPr="0031737A" w14:paraId="74121EEB" w14:textId="77777777" w:rsidTr="000C678C">
        <w:tc>
          <w:tcPr>
            <w:tcW w:w="3823" w:type="dxa"/>
            <w:tcBorders>
              <w:top w:val="nil"/>
              <w:left w:val="nil"/>
              <w:bottom w:val="single" w:sz="8" w:space="0" w:color="auto"/>
              <w:right w:val="nil"/>
            </w:tcBorders>
            <w:shd w:val="clear" w:color="auto" w:fill="FFFFFF" w:themeFill="background1"/>
          </w:tcPr>
          <w:p w14:paraId="186A55C1" w14:textId="77777777" w:rsidR="00C433C6" w:rsidRPr="0031737A" w:rsidRDefault="00C433C6" w:rsidP="00005BE2">
            <w:pPr>
              <w:pStyle w:val="ListParagraph"/>
              <w:ind w:left="0"/>
              <w:contextualSpacing w:val="0"/>
              <w:jc w:val="center"/>
              <w:rPr>
                <w:b/>
                <w:bCs/>
                <w:sz w:val="20"/>
                <w:szCs w:val="20"/>
              </w:rPr>
            </w:pPr>
          </w:p>
        </w:tc>
        <w:tc>
          <w:tcPr>
            <w:tcW w:w="1417" w:type="dxa"/>
            <w:tcBorders>
              <w:top w:val="nil"/>
              <w:left w:val="nil"/>
              <w:bottom w:val="single" w:sz="8" w:space="0" w:color="auto"/>
              <w:right w:val="nil"/>
            </w:tcBorders>
            <w:shd w:val="clear" w:color="auto" w:fill="FFFFFF" w:themeFill="background1"/>
            <w:vAlign w:val="bottom"/>
          </w:tcPr>
          <w:p w14:paraId="42687979" w14:textId="77777777" w:rsidR="00C433C6" w:rsidRPr="0031737A" w:rsidRDefault="00C433C6" w:rsidP="00005BE2">
            <w:pPr>
              <w:pStyle w:val="ListParagraph"/>
              <w:ind w:left="0"/>
              <w:contextualSpacing w:val="0"/>
              <w:jc w:val="center"/>
              <w:rPr>
                <w:b/>
                <w:bCs/>
                <w:sz w:val="20"/>
                <w:szCs w:val="20"/>
              </w:rPr>
            </w:pPr>
            <w:r w:rsidRPr="0031737A">
              <w:rPr>
                <w:b/>
                <w:bCs/>
                <w:sz w:val="20"/>
                <w:szCs w:val="20"/>
              </w:rPr>
              <w:t>2025</w:t>
            </w:r>
            <w:r w:rsidRPr="0031737A">
              <w:rPr>
                <w:b/>
                <w:bCs/>
                <w:sz w:val="20"/>
                <w:szCs w:val="20"/>
                <w:vertAlign w:val="superscript"/>
              </w:rPr>
              <w:t>*</w:t>
            </w:r>
          </w:p>
        </w:tc>
        <w:tc>
          <w:tcPr>
            <w:tcW w:w="1276" w:type="dxa"/>
            <w:tcBorders>
              <w:top w:val="nil"/>
              <w:left w:val="nil"/>
              <w:bottom w:val="single" w:sz="8" w:space="0" w:color="auto"/>
              <w:right w:val="nil"/>
            </w:tcBorders>
            <w:shd w:val="clear" w:color="auto" w:fill="FFFFFF" w:themeFill="background1"/>
            <w:vAlign w:val="bottom"/>
          </w:tcPr>
          <w:p w14:paraId="3D08DED0" w14:textId="77777777" w:rsidR="00C433C6" w:rsidRPr="0031737A" w:rsidRDefault="00C433C6" w:rsidP="00005BE2">
            <w:pPr>
              <w:pStyle w:val="ListParagraph"/>
              <w:ind w:left="0"/>
              <w:contextualSpacing w:val="0"/>
              <w:jc w:val="center"/>
              <w:rPr>
                <w:b/>
                <w:bCs/>
                <w:sz w:val="20"/>
                <w:szCs w:val="20"/>
              </w:rPr>
            </w:pPr>
            <w:r w:rsidRPr="0031737A">
              <w:rPr>
                <w:b/>
                <w:bCs/>
                <w:sz w:val="20"/>
                <w:szCs w:val="20"/>
              </w:rPr>
              <w:t>2026</w:t>
            </w:r>
          </w:p>
        </w:tc>
        <w:tc>
          <w:tcPr>
            <w:tcW w:w="1276" w:type="dxa"/>
            <w:tcBorders>
              <w:top w:val="nil"/>
              <w:left w:val="nil"/>
              <w:bottom w:val="single" w:sz="8" w:space="0" w:color="auto"/>
              <w:right w:val="nil"/>
            </w:tcBorders>
            <w:shd w:val="clear" w:color="auto" w:fill="FFFFFF" w:themeFill="background1"/>
            <w:vAlign w:val="bottom"/>
          </w:tcPr>
          <w:p w14:paraId="1858B2D2" w14:textId="77777777" w:rsidR="00C433C6" w:rsidRPr="0031737A" w:rsidRDefault="00C433C6" w:rsidP="00005BE2">
            <w:pPr>
              <w:pStyle w:val="ListParagraph"/>
              <w:ind w:left="0"/>
              <w:contextualSpacing w:val="0"/>
              <w:jc w:val="center"/>
              <w:rPr>
                <w:b/>
                <w:bCs/>
                <w:sz w:val="20"/>
                <w:szCs w:val="20"/>
              </w:rPr>
            </w:pPr>
            <w:r w:rsidRPr="0031737A">
              <w:rPr>
                <w:b/>
                <w:bCs/>
                <w:sz w:val="20"/>
                <w:szCs w:val="20"/>
              </w:rPr>
              <w:t>2027</w:t>
            </w:r>
          </w:p>
        </w:tc>
        <w:tc>
          <w:tcPr>
            <w:tcW w:w="1275" w:type="dxa"/>
            <w:tcBorders>
              <w:top w:val="nil"/>
              <w:left w:val="nil"/>
              <w:bottom w:val="single" w:sz="8" w:space="0" w:color="auto"/>
              <w:right w:val="nil"/>
            </w:tcBorders>
            <w:shd w:val="clear" w:color="auto" w:fill="FFFFFF" w:themeFill="background1"/>
          </w:tcPr>
          <w:p w14:paraId="1DD0F34A" w14:textId="77777777" w:rsidR="00C433C6" w:rsidRPr="0031737A" w:rsidRDefault="00C433C6" w:rsidP="00005BE2">
            <w:pPr>
              <w:pStyle w:val="ListParagraph"/>
              <w:ind w:left="0"/>
              <w:contextualSpacing w:val="0"/>
              <w:jc w:val="center"/>
              <w:rPr>
                <w:b/>
                <w:bCs/>
                <w:sz w:val="20"/>
                <w:szCs w:val="20"/>
              </w:rPr>
            </w:pPr>
            <w:r w:rsidRPr="0031737A">
              <w:rPr>
                <w:b/>
                <w:bCs/>
                <w:sz w:val="20"/>
                <w:szCs w:val="20"/>
              </w:rPr>
              <w:t>2028</w:t>
            </w:r>
          </w:p>
        </w:tc>
      </w:tr>
      <w:tr w:rsidR="000C678C" w:rsidRPr="00F53BA5" w14:paraId="75BF6DB9" w14:textId="77777777" w:rsidTr="000C678C">
        <w:tc>
          <w:tcPr>
            <w:tcW w:w="3823" w:type="dxa"/>
            <w:tcBorders>
              <w:top w:val="single" w:sz="8" w:space="0" w:color="auto"/>
              <w:left w:val="nil"/>
              <w:bottom w:val="single" w:sz="4" w:space="0" w:color="808080" w:themeColor="background1" w:themeShade="80"/>
            </w:tcBorders>
            <w:shd w:val="clear" w:color="auto" w:fill="FFFFFF" w:themeFill="background1"/>
            <w:vAlign w:val="center"/>
          </w:tcPr>
          <w:p w14:paraId="3F920E5B" w14:textId="31264018" w:rsidR="000C678C" w:rsidRPr="00C11875" w:rsidRDefault="000C678C" w:rsidP="000C678C">
            <w:pPr>
              <w:pStyle w:val="ListParagraph"/>
              <w:ind w:left="0"/>
              <w:contextualSpacing w:val="0"/>
              <w:jc w:val="left"/>
              <w:rPr>
                <w:sz w:val="20"/>
                <w:szCs w:val="20"/>
              </w:rPr>
            </w:pPr>
            <w:r w:rsidRPr="00C11875">
              <w:rPr>
                <w:sz w:val="20"/>
                <w:szCs w:val="20"/>
              </w:rPr>
              <w:t>IIN ieņēmumi</w:t>
            </w:r>
          </w:p>
        </w:tc>
        <w:tc>
          <w:tcPr>
            <w:tcW w:w="1417" w:type="dxa"/>
            <w:tcBorders>
              <w:top w:val="single" w:sz="8" w:space="0" w:color="auto"/>
              <w:bottom w:val="single" w:sz="4" w:space="0" w:color="808080" w:themeColor="background1" w:themeShade="80"/>
            </w:tcBorders>
            <w:shd w:val="clear" w:color="auto" w:fill="FFFFFF" w:themeFill="background1"/>
            <w:vAlign w:val="center"/>
          </w:tcPr>
          <w:p w14:paraId="613D9F56" w14:textId="4EAAD4CB" w:rsidR="000C678C" w:rsidRPr="000C678C" w:rsidRDefault="000C678C" w:rsidP="000C678C">
            <w:pPr>
              <w:pStyle w:val="ListParagraph"/>
              <w:ind w:left="0"/>
              <w:contextualSpacing w:val="0"/>
              <w:jc w:val="center"/>
              <w:rPr>
                <w:color w:val="00B050"/>
                <w:sz w:val="20"/>
                <w:szCs w:val="20"/>
              </w:rPr>
            </w:pPr>
            <w:r>
              <w:rPr>
                <w:color w:val="00B050"/>
                <w:sz w:val="20"/>
                <w:szCs w:val="20"/>
              </w:rPr>
              <w:t>+</w:t>
            </w:r>
            <w:r w:rsidRPr="000C678C">
              <w:rPr>
                <w:color w:val="00B050"/>
                <w:sz w:val="20"/>
                <w:szCs w:val="20"/>
              </w:rPr>
              <w:t>6 027 000</w:t>
            </w:r>
          </w:p>
        </w:tc>
        <w:tc>
          <w:tcPr>
            <w:tcW w:w="1276" w:type="dxa"/>
            <w:tcBorders>
              <w:top w:val="single" w:sz="8" w:space="0" w:color="auto"/>
              <w:bottom w:val="single" w:sz="4" w:space="0" w:color="808080" w:themeColor="background1" w:themeShade="80"/>
            </w:tcBorders>
            <w:shd w:val="clear" w:color="auto" w:fill="FFFFFF" w:themeFill="background1"/>
            <w:vAlign w:val="center"/>
          </w:tcPr>
          <w:p w14:paraId="14167DC3" w14:textId="768C9C57" w:rsidR="000C678C" w:rsidRPr="000C678C" w:rsidRDefault="000C678C" w:rsidP="000C678C">
            <w:pPr>
              <w:pStyle w:val="ListParagraph"/>
              <w:ind w:left="0"/>
              <w:contextualSpacing w:val="0"/>
              <w:jc w:val="center"/>
              <w:rPr>
                <w:color w:val="00B050"/>
                <w:sz w:val="20"/>
                <w:szCs w:val="20"/>
              </w:rPr>
            </w:pPr>
            <w:r>
              <w:rPr>
                <w:color w:val="00B050"/>
                <w:sz w:val="20"/>
                <w:szCs w:val="20"/>
              </w:rPr>
              <w:t>+</w:t>
            </w:r>
            <w:r w:rsidRPr="000C678C">
              <w:rPr>
                <w:color w:val="00B050"/>
                <w:sz w:val="20"/>
                <w:szCs w:val="20"/>
              </w:rPr>
              <w:t>9 170 000</w:t>
            </w:r>
          </w:p>
        </w:tc>
        <w:tc>
          <w:tcPr>
            <w:tcW w:w="1276" w:type="dxa"/>
            <w:tcBorders>
              <w:top w:val="single" w:sz="8" w:space="0" w:color="auto"/>
              <w:bottom w:val="single" w:sz="4" w:space="0" w:color="808080" w:themeColor="background1" w:themeShade="80"/>
            </w:tcBorders>
            <w:shd w:val="clear" w:color="auto" w:fill="FFFFFF" w:themeFill="background1"/>
            <w:vAlign w:val="center"/>
          </w:tcPr>
          <w:p w14:paraId="3DE35B4F" w14:textId="16C64C54" w:rsidR="000C678C" w:rsidRPr="000C678C" w:rsidRDefault="000C678C" w:rsidP="000C678C">
            <w:pPr>
              <w:pStyle w:val="ListParagraph"/>
              <w:ind w:left="0"/>
              <w:contextualSpacing w:val="0"/>
              <w:jc w:val="center"/>
              <w:rPr>
                <w:color w:val="00B050"/>
                <w:sz w:val="20"/>
                <w:szCs w:val="20"/>
              </w:rPr>
            </w:pPr>
            <w:r>
              <w:rPr>
                <w:color w:val="00B050"/>
                <w:sz w:val="20"/>
                <w:szCs w:val="20"/>
              </w:rPr>
              <w:t>+</w:t>
            </w:r>
            <w:r w:rsidRPr="000C678C">
              <w:rPr>
                <w:color w:val="00B050"/>
                <w:sz w:val="20"/>
                <w:szCs w:val="20"/>
              </w:rPr>
              <w:t>11 871 000</w:t>
            </w:r>
          </w:p>
        </w:tc>
        <w:tc>
          <w:tcPr>
            <w:tcW w:w="1275" w:type="dxa"/>
            <w:tcBorders>
              <w:top w:val="single" w:sz="8" w:space="0" w:color="auto"/>
              <w:bottom w:val="single" w:sz="4" w:space="0" w:color="808080" w:themeColor="background1" w:themeShade="80"/>
              <w:right w:val="nil"/>
            </w:tcBorders>
            <w:shd w:val="clear" w:color="auto" w:fill="FFFFFF" w:themeFill="background1"/>
            <w:vAlign w:val="center"/>
          </w:tcPr>
          <w:p w14:paraId="5632CBC0" w14:textId="31452497" w:rsidR="000C678C" w:rsidRPr="000C678C" w:rsidRDefault="000C678C" w:rsidP="000C678C">
            <w:pPr>
              <w:pStyle w:val="ListParagraph"/>
              <w:ind w:left="0"/>
              <w:contextualSpacing w:val="0"/>
              <w:jc w:val="center"/>
              <w:rPr>
                <w:color w:val="00B050"/>
                <w:sz w:val="20"/>
                <w:szCs w:val="20"/>
              </w:rPr>
            </w:pPr>
            <w:r>
              <w:rPr>
                <w:color w:val="00B050"/>
                <w:sz w:val="20"/>
                <w:szCs w:val="20"/>
              </w:rPr>
              <w:t>+</w:t>
            </w:r>
            <w:r w:rsidRPr="000C678C">
              <w:rPr>
                <w:color w:val="00B050"/>
                <w:sz w:val="20"/>
                <w:szCs w:val="20"/>
              </w:rPr>
              <w:t>14 225 000</w:t>
            </w:r>
          </w:p>
        </w:tc>
      </w:tr>
      <w:tr w:rsidR="000C678C" w:rsidRPr="001342FB" w14:paraId="05AF1F08" w14:textId="77777777" w:rsidTr="000C678C">
        <w:tc>
          <w:tcPr>
            <w:tcW w:w="3823" w:type="dxa"/>
            <w:tcBorders>
              <w:top w:val="single" w:sz="4" w:space="0" w:color="808080" w:themeColor="background1" w:themeShade="80"/>
              <w:left w:val="nil"/>
              <w:bottom w:val="single" w:sz="4" w:space="0" w:color="808080" w:themeColor="background1" w:themeShade="80"/>
            </w:tcBorders>
            <w:shd w:val="clear" w:color="auto" w:fill="FFFFFF" w:themeFill="background1"/>
            <w:vAlign w:val="center"/>
          </w:tcPr>
          <w:p w14:paraId="3FCE4561" w14:textId="5B5F2F30" w:rsidR="000C678C" w:rsidRPr="00C11875" w:rsidRDefault="000C678C" w:rsidP="000C678C">
            <w:pPr>
              <w:pStyle w:val="ListParagraph"/>
              <w:ind w:left="0"/>
              <w:contextualSpacing w:val="0"/>
              <w:jc w:val="left"/>
              <w:rPr>
                <w:sz w:val="20"/>
                <w:szCs w:val="20"/>
              </w:rPr>
            </w:pPr>
            <w:r w:rsidRPr="00C11875">
              <w:rPr>
                <w:sz w:val="20"/>
                <w:szCs w:val="20"/>
              </w:rPr>
              <w:t>VSAOI ieņēmumi</w:t>
            </w:r>
          </w:p>
        </w:tc>
        <w:tc>
          <w:tcPr>
            <w:tcW w:w="1417"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67487413" w14:textId="0AB255A7" w:rsidR="000C678C" w:rsidRPr="000C678C" w:rsidRDefault="000C678C" w:rsidP="000C678C">
            <w:pPr>
              <w:pStyle w:val="ListParagraph"/>
              <w:ind w:left="0"/>
              <w:contextualSpacing w:val="0"/>
              <w:jc w:val="center"/>
              <w:rPr>
                <w:color w:val="00B050"/>
                <w:sz w:val="20"/>
                <w:szCs w:val="20"/>
              </w:rPr>
            </w:pPr>
            <w:r>
              <w:rPr>
                <w:color w:val="00B050"/>
                <w:sz w:val="20"/>
                <w:szCs w:val="20"/>
              </w:rPr>
              <w:t>+</w:t>
            </w:r>
            <w:r w:rsidRPr="000C678C">
              <w:rPr>
                <w:color w:val="00B050"/>
                <w:sz w:val="20"/>
                <w:szCs w:val="20"/>
              </w:rPr>
              <w:t>9 788 000</w:t>
            </w:r>
          </w:p>
        </w:tc>
        <w:tc>
          <w:tcPr>
            <w:tcW w:w="1276"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6199F4F0" w14:textId="0B56AA0C" w:rsidR="000C678C" w:rsidRPr="000C678C" w:rsidRDefault="000C678C" w:rsidP="000C678C">
            <w:pPr>
              <w:pStyle w:val="ListParagraph"/>
              <w:ind w:left="0"/>
              <w:contextualSpacing w:val="0"/>
              <w:jc w:val="center"/>
              <w:rPr>
                <w:color w:val="00B050"/>
                <w:sz w:val="20"/>
                <w:szCs w:val="20"/>
              </w:rPr>
            </w:pPr>
            <w:r>
              <w:rPr>
                <w:color w:val="00B050"/>
                <w:sz w:val="20"/>
                <w:szCs w:val="20"/>
              </w:rPr>
              <w:t>+</w:t>
            </w:r>
            <w:r w:rsidRPr="000C678C">
              <w:rPr>
                <w:color w:val="00B050"/>
                <w:sz w:val="20"/>
                <w:szCs w:val="20"/>
              </w:rPr>
              <w:t>16 042 000</w:t>
            </w:r>
          </w:p>
        </w:tc>
        <w:tc>
          <w:tcPr>
            <w:tcW w:w="1276"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6A567493" w14:textId="506AEE4F" w:rsidR="000C678C" w:rsidRPr="000C678C" w:rsidRDefault="000C678C" w:rsidP="000C678C">
            <w:pPr>
              <w:pStyle w:val="ListParagraph"/>
              <w:ind w:left="0"/>
              <w:contextualSpacing w:val="0"/>
              <w:jc w:val="center"/>
              <w:rPr>
                <w:color w:val="00B050"/>
                <w:sz w:val="20"/>
                <w:szCs w:val="20"/>
              </w:rPr>
            </w:pPr>
            <w:r>
              <w:rPr>
                <w:color w:val="00B050"/>
                <w:sz w:val="20"/>
                <w:szCs w:val="20"/>
              </w:rPr>
              <w:t>+</w:t>
            </w:r>
            <w:r w:rsidRPr="000C678C">
              <w:rPr>
                <w:color w:val="00B050"/>
                <w:sz w:val="20"/>
                <w:szCs w:val="20"/>
              </w:rPr>
              <w:t>21 493 000</w:t>
            </w:r>
          </w:p>
        </w:tc>
        <w:tc>
          <w:tcPr>
            <w:tcW w:w="1275" w:type="dxa"/>
            <w:tcBorders>
              <w:top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11C31FFE" w14:textId="4499912B" w:rsidR="000C678C" w:rsidRPr="000C678C" w:rsidRDefault="000C678C" w:rsidP="000C678C">
            <w:pPr>
              <w:pStyle w:val="ListParagraph"/>
              <w:ind w:left="0"/>
              <w:contextualSpacing w:val="0"/>
              <w:jc w:val="center"/>
              <w:rPr>
                <w:color w:val="00B050"/>
                <w:sz w:val="20"/>
                <w:szCs w:val="20"/>
              </w:rPr>
            </w:pPr>
            <w:r>
              <w:rPr>
                <w:color w:val="00B050"/>
                <w:sz w:val="20"/>
                <w:szCs w:val="20"/>
              </w:rPr>
              <w:t>+</w:t>
            </w:r>
            <w:r w:rsidRPr="000C678C">
              <w:rPr>
                <w:color w:val="00B050"/>
                <w:sz w:val="20"/>
                <w:szCs w:val="20"/>
              </w:rPr>
              <w:t>26 370 000</w:t>
            </w:r>
          </w:p>
        </w:tc>
      </w:tr>
      <w:tr w:rsidR="0031737A" w:rsidRPr="00F53BA5" w14:paraId="3F309431" w14:textId="77777777" w:rsidTr="000C678C">
        <w:tc>
          <w:tcPr>
            <w:tcW w:w="3823" w:type="dxa"/>
            <w:tcBorders>
              <w:top w:val="single" w:sz="4" w:space="0" w:color="808080" w:themeColor="background1" w:themeShade="80"/>
              <w:left w:val="nil"/>
            </w:tcBorders>
            <w:shd w:val="clear" w:color="auto" w:fill="FFFFFF" w:themeFill="background1"/>
            <w:vAlign w:val="center"/>
          </w:tcPr>
          <w:p w14:paraId="4BE13E67" w14:textId="7AA713FD" w:rsidR="001342FB" w:rsidRPr="00C11875" w:rsidRDefault="001342FB" w:rsidP="001342FB">
            <w:pPr>
              <w:pStyle w:val="ListParagraph"/>
              <w:ind w:left="0"/>
              <w:contextualSpacing w:val="0"/>
              <w:jc w:val="left"/>
              <w:rPr>
                <w:sz w:val="20"/>
                <w:szCs w:val="20"/>
              </w:rPr>
            </w:pPr>
            <w:r w:rsidRPr="00C11875">
              <w:rPr>
                <w:sz w:val="20"/>
                <w:szCs w:val="20"/>
              </w:rPr>
              <w:t>PVN ieņēmumi</w:t>
            </w:r>
          </w:p>
        </w:tc>
        <w:tc>
          <w:tcPr>
            <w:tcW w:w="1417" w:type="dxa"/>
            <w:tcBorders>
              <w:top w:val="single" w:sz="4" w:space="0" w:color="808080" w:themeColor="background1" w:themeShade="80"/>
            </w:tcBorders>
            <w:shd w:val="clear" w:color="auto" w:fill="FFFFFF" w:themeFill="background1"/>
            <w:vAlign w:val="center"/>
          </w:tcPr>
          <w:p w14:paraId="1B23DA59" w14:textId="16CC172F" w:rsidR="001342FB" w:rsidRPr="00C11875" w:rsidRDefault="001342FB" w:rsidP="001342FB">
            <w:pPr>
              <w:pStyle w:val="ListParagraph"/>
              <w:ind w:left="0"/>
              <w:contextualSpacing w:val="0"/>
              <w:jc w:val="center"/>
              <w:rPr>
                <w:color w:val="00B050"/>
                <w:sz w:val="20"/>
                <w:szCs w:val="20"/>
              </w:rPr>
            </w:pPr>
            <w:r w:rsidRPr="00C11875">
              <w:rPr>
                <w:color w:val="00B050"/>
                <w:sz w:val="20"/>
                <w:szCs w:val="20"/>
              </w:rPr>
              <w:t>+</w:t>
            </w:r>
            <w:r w:rsidR="00E00540" w:rsidRPr="00C11875">
              <w:rPr>
                <w:color w:val="00B050"/>
                <w:sz w:val="20"/>
                <w:szCs w:val="20"/>
              </w:rPr>
              <w:t>2</w:t>
            </w:r>
            <w:r w:rsidR="000C678C">
              <w:rPr>
                <w:color w:val="00B050"/>
                <w:sz w:val="20"/>
                <w:szCs w:val="20"/>
              </w:rPr>
              <w:t> </w:t>
            </w:r>
            <w:r w:rsidR="00746880">
              <w:rPr>
                <w:color w:val="00B050"/>
                <w:sz w:val="20"/>
                <w:szCs w:val="20"/>
              </w:rPr>
              <w:t>597</w:t>
            </w:r>
            <w:r w:rsidR="000C678C">
              <w:rPr>
                <w:color w:val="00B050"/>
                <w:sz w:val="20"/>
                <w:szCs w:val="20"/>
              </w:rPr>
              <w:t xml:space="preserve"> 000</w:t>
            </w:r>
          </w:p>
        </w:tc>
        <w:tc>
          <w:tcPr>
            <w:tcW w:w="1276" w:type="dxa"/>
            <w:tcBorders>
              <w:top w:val="single" w:sz="4" w:space="0" w:color="808080" w:themeColor="background1" w:themeShade="80"/>
            </w:tcBorders>
            <w:shd w:val="clear" w:color="auto" w:fill="FFFFFF" w:themeFill="background1"/>
            <w:vAlign w:val="center"/>
          </w:tcPr>
          <w:p w14:paraId="497C5582" w14:textId="6D50E684" w:rsidR="001342FB" w:rsidRPr="00C11875" w:rsidRDefault="001342FB" w:rsidP="001342FB">
            <w:pPr>
              <w:pStyle w:val="ListParagraph"/>
              <w:ind w:left="0"/>
              <w:contextualSpacing w:val="0"/>
              <w:jc w:val="center"/>
              <w:rPr>
                <w:color w:val="00B050"/>
                <w:sz w:val="20"/>
                <w:szCs w:val="20"/>
              </w:rPr>
            </w:pPr>
            <w:r w:rsidRPr="00C11875">
              <w:rPr>
                <w:color w:val="00B050"/>
                <w:sz w:val="20"/>
                <w:szCs w:val="20"/>
              </w:rPr>
              <w:t>+</w:t>
            </w:r>
            <w:r w:rsidR="00E00540" w:rsidRPr="00C11875">
              <w:rPr>
                <w:color w:val="00B050"/>
                <w:sz w:val="20"/>
                <w:szCs w:val="20"/>
              </w:rPr>
              <w:t>4</w:t>
            </w:r>
            <w:r w:rsidR="000C678C">
              <w:rPr>
                <w:color w:val="00B050"/>
                <w:sz w:val="20"/>
                <w:szCs w:val="20"/>
              </w:rPr>
              <w:t> </w:t>
            </w:r>
            <w:r w:rsidR="00E00540" w:rsidRPr="00C11875">
              <w:rPr>
                <w:color w:val="00B050"/>
                <w:sz w:val="20"/>
                <w:szCs w:val="20"/>
              </w:rPr>
              <w:t>6</w:t>
            </w:r>
            <w:r w:rsidR="00746880">
              <w:rPr>
                <w:color w:val="00B050"/>
                <w:sz w:val="20"/>
                <w:szCs w:val="20"/>
              </w:rPr>
              <w:t>15</w:t>
            </w:r>
            <w:r w:rsidR="000C678C">
              <w:rPr>
                <w:color w:val="00B050"/>
                <w:sz w:val="20"/>
                <w:szCs w:val="20"/>
              </w:rPr>
              <w:t xml:space="preserve"> 000</w:t>
            </w:r>
          </w:p>
        </w:tc>
        <w:tc>
          <w:tcPr>
            <w:tcW w:w="1276" w:type="dxa"/>
            <w:tcBorders>
              <w:top w:val="single" w:sz="4" w:space="0" w:color="808080" w:themeColor="background1" w:themeShade="80"/>
            </w:tcBorders>
            <w:shd w:val="clear" w:color="auto" w:fill="FFFFFF" w:themeFill="background1"/>
            <w:vAlign w:val="center"/>
          </w:tcPr>
          <w:p w14:paraId="41E93983" w14:textId="019676CE" w:rsidR="001342FB" w:rsidRPr="00C11875" w:rsidRDefault="001342FB" w:rsidP="001342FB">
            <w:pPr>
              <w:pStyle w:val="ListParagraph"/>
              <w:ind w:left="0"/>
              <w:contextualSpacing w:val="0"/>
              <w:jc w:val="center"/>
              <w:rPr>
                <w:sz w:val="20"/>
                <w:szCs w:val="20"/>
              </w:rPr>
            </w:pPr>
            <w:r w:rsidRPr="00C11875">
              <w:rPr>
                <w:color w:val="00B050"/>
                <w:sz w:val="20"/>
                <w:szCs w:val="20"/>
              </w:rPr>
              <w:t>+</w:t>
            </w:r>
            <w:r w:rsidR="00E00540" w:rsidRPr="00C11875">
              <w:rPr>
                <w:color w:val="00B050"/>
                <w:sz w:val="20"/>
                <w:szCs w:val="20"/>
              </w:rPr>
              <w:t>6</w:t>
            </w:r>
            <w:r w:rsidR="000C678C">
              <w:rPr>
                <w:color w:val="00B050"/>
                <w:sz w:val="20"/>
                <w:szCs w:val="20"/>
              </w:rPr>
              <w:t> </w:t>
            </w:r>
            <w:r w:rsidR="00746880">
              <w:rPr>
                <w:color w:val="00B050"/>
                <w:sz w:val="20"/>
                <w:szCs w:val="20"/>
              </w:rPr>
              <w:t>29</w:t>
            </w:r>
            <w:r w:rsidR="00E00540" w:rsidRPr="00C11875">
              <w:rPr>
                <w:color w:val="00B050"/>
                <w:sz w:val="20"/>
                <w:szCs w:val="20"/>
              </w:rPr>
              <w:t>3</w:t>
            </w:r>
            <w:r w:rsidR="000C678C">
              <w:rPr>
                <w:color w:val="00B050"/>
                <w:sz w:val="20"/>
                <w:szCs w:val="20"/>
              </w:rPr>
              <w:t xml:space="preserve"> 000</w:t>
            </w:r>
          </w:p>
        </w:tc>
        <w:tc>
          <w:tcPr>
            <w:tcW w:w="1275" w:type="dxa"/>
            <w:tcBorders>
              <w:top w:val="single" w:sz="4" w:space="0" w:color="808080" w:themeColor="background1" w:themeShade="80"/>
              <w:right w:val="nil"/>
            </w:tcBorders>
            <w:shd w:val="clear" w:color="auto" w:fill="FFFFFF" w:themeFill="background1"/>
            <w:vAlign w:val="center"/>
          </w:tcPr>
          <w:p w14:paraId="2B5035E6" w14:textId="0A85EB91" w:rsidR="001342FB" w:rsidRPr="00C11875" w:rsidRDefault="001342FB" w:rsidP="001342FB">
            <w:pPr>
              <w:pStyle w:val="ListParagraph"/>
              <w:ind w:left="0"/>
              <w:contextualSpacing w:val="0"/>
              <w:jc w:val="center"/>
              <w:rPr>
                <w:sz w:val="20"/>
                <w:szCs w:val="20"/>
              </w:rPr>
            </w:pPr>
            <w:r w:rsidRPr="00C11875">
              <w:rPr>
                <w:color w:val="00B050"/>
                <w:sz w:val="20"/>
                <w:szCs w:val="20"/>
              </w:rPr>
              <w:t>+</w:t>
            </w:r>
            <w:r w:rsidR="00E00540" w:rsidRPr="00C11875">
              <w:rPr>
                <w:color w:val="00B050"/>
                <w:sz w:val="20"/>
                <w:szCs w:val="20"/>
              </w:rPr>
              <w:t>7</w:t>
            </w:r>
            <w:r w:rsidR="000C678C">
              <w:rPr>
                <w:color w:val="00B050"/>
                <w:sz w:val="20"/>
                <w:szCs w:val="20"/>
              </w:rPr>
              <w:t> </w:t>
            </w:r>
            <w:r w:rsidR="00E00540" w:rsidRPr="00C11875">
              <w:rPr>
                <w:color w:val="00B050"/>
                <w:sz w:val="20"/>
                <w:szCs w:val="20"/>
              </w:rPr>
              <w:t>8</w:t>
            </w:r>
            <w:r w:rsidR="00187F18">
              <w:rPr>
                <w:color w:val="00B050"/>
                <w:sz w:val="20"/>
                <w:szCs w:val="20"/>
              </w:rPr>
              <w:t>05</w:t>
            </w:r>
            <w:r w:rsidR="000C678C">
              <w:rPr>
                <w:color w:val="00B050"/>
                <w:sz w:val="20"/>
                <w:szCs w:val="20"/>
              </w:rPr>
              <w:t xml:space="preserve"> 000</w:t>
            </w:r>
          </w:p>
        </w:tc>
      </w:tr>
      <w:tr w:rsidR="000C678C" w:rsidRPr="00E00540" w14:paraId="62EE67D0" w14:textId="77777777" w:rsidTr="000C678C">
        <w:tc>
          <w:tcPr>
            <w:tcW w:w="3823" w:type="dxa"/>
            <w:tcBorders>
              <w:left w:val="nil"/>
              <w:bottom w:val="single" w:sz="4" w:space="0" w:color="auto"/>
            </w:tcBorders>
            <w:shd w:val="clear" w:color="auto" w:fill="F2F2F2" w:themeFill="background1" w:themeFillShade="F2"/>
            <w:vAlign w:val="center"/>
          </w:tcPr>
          <w:p w14:paraId="45B1FB42" w14:textId="6CC94A72" w:rsidR="000C678C" w:rsidRPr="00C11875" w:rsidRDefault="000C678C" w:rsidP="000C678C">
            <w:pPr>
              <w:pStyle w:val="ListParagraph"/>
              <w:ind w:left="0"/>
              <w:contextualSpacing w:val="0"/>
              <w:jc w:val="left"/>
              <w:rPr>
                <w:sz w:val="20"/>
                <w:szCs w:val="20"/>
              </w:rPr>
            </w:pPr>
            <w:r w:rsidRPr="00C11875">
              <w:rPr>
                <w:b/>
                <w:bCs/>
                <w:sz w:val="20"/>
                <w:szCs w:val="20"/>
              </w:rPr>
              <w:t xml:space="preserve">KOPĀ </w:t>
            </w:r>
            <w:r w:rsidRPr="00C11875">
              <w:rPr>
                <w:b/>
                <w:bCs/>
                <w:sz w:val="20"/>
                <w:szCs w:val="20"/>
                <w:shd w:val="clear" w:color="auto" w:fill="F2F2F2" w:themeFill="background1" w:themeFillShade="F2"/>
              </w:rPr>
              <w:t>nodokļu ieņēmumu pieaugums saistībā ar minimālās darba algas paaugstināšanu</w:t>
            </w:r>
          </w:p>
        </w:tc>
        <w:tc>
          <w:tcPr>
            <w:tcW w:w="1417" w:type="dxa"/>
            <w:tcBorders>
              <w:bottom w:val="single" w:sz="4" w:space="0" w:color="auto"/>
            </w:tcBorders>
            <w:shd w:val="clear" w:color="auto" w:fill="F2F2F2" w:themeFill="background1" w:themeFillShade="F2"/>
            <w:vAlign w:val="center"/>
          </w:tcPr>
          <w:p w14:paraId="5800FC8D" w14:textId="476277C2" w:rsidR="000C678C" w:rsidRPr="000C678C" w:rsidRDefault="000C678C" w:rsidP="000C678C">
            <w:pPr>
              <w:pStyle w:val="ListParagraph"/>
              <w:ind w:left="0"/>
              <w:contextualSpacing w:val="0"/>
              <w:jc w:val="center"/>
              <w:rPr>
                <w:color w:val="00B050"/>
                <w:sz w:val="20"/>
                <w:szCs w:val="20"/>
              </w:rPr>
            </w:pPr>
            <w:r>
              <w:rPr>
                <w:b/>
                <w:bCs/>
                <w:color w:val="00B050"/>
                <w:sz w:val="20"/>
                <w:szCs w:val="20"/>
              </w:rPr>
              <w:t>+</w:t>
            </w:r>
            <w:r w:rsidRPr="000C678C">
              <w:rPr>
                <w:b/>
                <w:bCs/>
                <w:color w:val="00B050"/>
                <w:sz w:val="20"/>
                <w:szCs w:val="20"/>
              </w:rPr>
              <w:t>18 412 000</w:t>
            </w:r>
          </w:p>
        </w:tc>
        <w:tc>
          <w:tcPr>
            <w:tcW w:w="1276" w:type="dxa"/>
            <w:tcBorders>
              <w:bottom w:val="single" w:sz="4" w:space="0" w:color="auto"/>
            </w:tcBorders>
            <w:shd w:val="clear" w:color="auto" w:fill="F2F2F2" w:themeFill="background1" w:themeFillShade="F2"/>
            <w:vAlign w:val="center"/>
          </w:tcPr>
          <w:p w14:paraId="38E58471" w14:textId="27991CD4" w:rsidR="000C678C" w:rsidRPr="000C678C" w:rsidRDefault="000C678C" w:rsidP="000C678C">
            <w:pPr>
              <w:pStyle w:val="ListParagraph"/>
              <w:ind w:left="0"/>
              <w:contextualSpacing w:val="0"/>
              <w:jc w:val="center"/>
              <w:rPr>
                <w:color w:val="00B050"/>
                <w:sz w:val="20"/>
                <w:szCs w:val="20"/>
              </w:rPr>
            </w:pPr>
            <w:r>
              <w:rPr>
                <w:b/>
                <w:bCs/>
                <w:color w:val="00B050"/>
                <w:sz w:val="20"/>
                <w:szCs w:val="20"/>
              </w:rPr>
              <w:t>+</w:t>
            </w:r>
            <w:r w:rsidRPr="000C678C">
              <w:rPr>
                <w:b/>
                <w:bCs/>
                <w:color w:val="00B050"/>
                <w:sz w:val="20"/>
                <w:szCs w:val="20"/>
              </w:rPr>
              <w:t>29 827 000</w:t>
            </w:r>
          </w:p>
        </w:tc>
        <w:tc>
          <w:tcPr>
            <w:tcW w:w="1276" w:type="dxa"/>
            <w:tcBorders>
              <w:bottom w:val="single" w:sz="4" w:space="0" w:color="auto"/>
            </w:tcBorders>
            <w:shd w:val="clear" w:color="auto" w:fill="F2F2F2" w:themeFill="background1" w:themeFillShade="F2"/>
            <w:vAlign w:val="center"/>
          </w:tcPr>
          <w:p w14:paraId="5816A702" w14:textId="37F3B234" w:rsidR="000C678C" w:rsidRPr="000C678C" w:rsidRDefault="000C678C" w:rsidP="000C678C">
            <w:pPr>
              <w:pStyle w:val="ListParagraph"/>
              <w:ind w:left="0"/>
              <w:contextualSpacing w:val="0"/>
              <w:jc w:val="center"/>
              <w:rPr>
                <w:color w:val="00B050"/>
                <w:sz w:val="20"/>
                <w:szCs w:val="20"/>
              </w:rPr>
            </w:pPr>
            <w:r>
              <w:rPr>
                <w:b/>
                <w:bCs/>
                <w:color w:val="00B050"/>
                <w:sz w:val="20"/>
                <w:szCs w:val="20"/>
              </w:rPr>
              <w:t>+</w:t>
            </w:r>
            <w:r w:rsidRPr="000C678C">
              <w:rPr>
                <w:b/>
                <w:bCs/>
                <w:color w:val="00B050"/>
                <w:sz w:val="20"/>
                <w:szCs w:val="20"/>
              </w:rPr>
              <w:t>39 657 000</w:t>
            </w:r>
          </w:p>
        </w:tc>
        <w:tc>
          <w:tcPr>
            <w:tcW w:w="1275" w:type="dxa"/>
            <w:tcBorders>
              <w:bottom w:val="single" w:sz="4" w:space="0" w:color="auto"/>
              <w:right w:val="nil"/>
            </w:tcBorders>
            <w:shd w:val="clear" w:color="auto" w:fill="F2F2F2" w:themeFill="background1" w:themeFillShade="F2"/>
            <w:vAlign w:val="center"/>
          </w:tcPr>
          <w:p w14:paraId="7811EE43" w14:textId="1B084FC8" w:rsidR="000C678C" w:rsidRPr="000C678C" w:rsidRDefault="000C678C" w:rsidP="000C678C">
            <w:pPr>
              <w:pStyle w:val="ListParagraph"/>
              <w:ind w:left="0"/>
              <w:contextualSpacing w:val="0"/>
              <w:jc w:val="center"/>
              <w:rPr>
                <w:color w:val="00B050"/>
                <w:sz w:val="20"/>
                <w:szCs w:val="20"/>
              </w:rPr>
            </w:pPr>
            <w:r>
              <w:rPr>
                <w:b/>
                <w:bCs/>
                <w:color w:val="00B050"/>
                <w:sz w:val="20"/>
                <w:szCs w:val="20"/>
              </w:rPr>
              <w:t>+</w:t>
            </w:r>
            <w:r w:rsidRPr="000C678C">
              <w:rPr>
                <w:b/>
                <w:bCs/>
                <w:color w:val="00B050"/>
                <w:sz w:val="20"/>
                <w:szCs w:val="20"/>
              </w:rPr>
              <w:t>48 400 000</w:t>
            </w:r>
          </w:p>
        </w:tc>
      </w:tr>
      <w:tr w:rsidR="000C678C" w:rsidRPr="00D738ED" w14:paraId="1AB264B9" w14:textId="77777777" w:rsidTr="000C678C">
        <w:tc>
          <w:tcPr>
            <w:tcW w:w="3823" w:type="dxa"/>
            <w:tcBorders>
              <w:left w:val="nil"/>
            </w:tcBorders>
            <w:shd w:val="clear" w:color="auto" w:fill="F2F2F2" w:themeFill="background1" w:themeFillShade="F2"/>
            <w:vAlign w:val="center"/>
          </w:tcPr>
          <w:p w14:paraId="4151027D" w14:textId="7CE9888A" w:rsidR="000C678C" w:rsidRPr="00C11875" w:rsidRDefault="000C678C" w:rsidP="000C678C">
            <w:pPr>
              <w:pStyle w:val="ListParagraph"/>
              <w:ind w:left="0"/>
              <w:contextualSpacing w:val="0"/>
              <w:jc w:val="left"/>
              <w:rPr>
                <w:sz w:val="20"/>
                <w:szCs w:val="20"/>
              </w:rPr>
            </w:pPr>
            <w:r w:rsidRPr="00C11875">
              <w:rPr>
                <w:b/>
                <w:bCs/>
                <w:sz w:val="20"/>
                <w:szCs w:val="20"/>
              </w:rPr>
              <w:t>KOPĀ finansējums saistībā ar minimālās algas pieaugumu</w:t>
            </w:r>
          </w:p>
        </w:tc>
        <w:tc>
          <w:tcPr>
            <w:tcW w:w="1417" w:type="dxa"/>
            <w:shd w:val="clear" w:color="auto" w:fill="F2F2F2" w:themeFill="background1" w:themeFillShade="F2"/>
            <w:vAlign w:val="center"/>
          </w:tcPr>
          <w:p w14:paraId="5BD953AB" w14:textId="623F95C3" w:rsidR="000C678C" w:rsidRPr="000C678C" w:rsidRDefault="000C678C" w:rsidP="000C678C">
            <w:pPr>
              <w:pStyle w:val="ListParagraph"/>
              <w:ind w:left="0"/>
              <w:contextualSpacing w:val="0"/>
              <w:jc w:val="center"/>
              <w:rPr>
                <w:b/>
                <w:bCs/>
                <w:color w:val="C00000"/>
                <w:sz w:val="20"/>
                <w:szCs w:val="20"/>
              </w:rPr>
            </w:pPr>
            <w:r w:rsidRPr="000C678C">
              <w:rPr>
                <w:b/>
                <w:bCs/>
                <w:color w:val="C00000"/>
                <w:sz w:val="20"/>
                <w:szCs w:val="20"/>
              </w:rPr>
              <w:t>-1 331 000</w:t>
            </w:r>
          </w:p>
        </w:tc>
        <w:tc>
          <w:tcPr>
            <w:tcW w:w="1276" w:type="dxa"/>
            <w:shd w:val="clear" w:color="auto" w:fill="F2F2F2" w:themeFill="background1" w:themeFillShade="F2"/>
            <w:vAlign w:val="center"/>
          </w:tcPr>
          <w:p w14:paraId="3B6BB44B" w14:textId="7AE84AC6" w:rsidR="000C678C" w:rsidRPr="000C678C" w:rsidRDefault="000C678C" w:rsidP="000C678C">
            <w:pPr>
              <w:pStyle w:val="ListParagraph"/>
              <w:ind w:left="0"/>
              <w:contextualSpacing w:val="0"/>
              <w:jc w:val="center"/>
              <w:rPr>
                <w:b/>
                <w:bCs/>
                <w:color w:val="C00000"/>
                <w:sz w:val="20"/>
                <w:szCs w:val="20"/>
              </w:rPr>
            </w:pPr>
            <w:r w:rsidRPr="000C678C">
              <w:rPr>
                <w:b/>
                <w:bCs/>
                <w:color w:val="C00000"/>
                <w:sz w:val="20"/>
                <w:szCs w:val="20"/>
              </w:rPr>
              <w:t>-3 530 500</w:t>
            </w:r>
          </w:p>
        </w:tc>
        <w:tc>
          <w:tcPr>
            <w:tcW w:w="1276" w:type="dxa"/>
            <w:shd w:val="clear" w:color="auto" w:fill="F2F2F2" w:themeFill="background1" w:themeFillShade="F2"/>
            <w:vAlign w:val="center"/>
          </w:tcPr>
          <w:p w14:paraId="2DF06DAD" w14:textId="012D61FC" w:rsidR="000C678C" w:rsidRPr="000C678C" w:rsidRDefault="000C678C" w:rsidP="000C678C">
            <w:pPr>
              <w:pStyle w:val="ListParagraph"/>
              <w:ind w:left="0"/>
              <w:contextualSpacing w:val="0"/>
              <w:jc w:val="center"/>
              <w:rPr>
                <w:b/>
                <w:bCs/>
                <w:color w:val="C00000"/>
                <w:sz w:val="20"/>
                <w:szCs w:val="20"/>
              </w:rPr>
            </w:pPr>
            <w:r w:rsidRPr="000C678C">
              <w:rPr>
                <w:b/>
                <w:bCs/>
                <w:color w:val="C00000"/>
                <w:sz w:val="20"/>
                <w:szCs w:val="20"/>
              </w:rPr>
              <w:t>-5 937 000</w:t>
            </w:r>
          </w:p>
        </w:tc>
        <w:tc>
          <w:tcPr>
            <w:tcW w:w="1275" w:type="dxa"/>
            <w:tcBorders>
              <w:right w:val="nil"/>
            </w:tcBorders>
            <w:shd w:val="clear" w:color="auto" w:fill="F2F2F2" w:themeFill="background1" w:themeFillShade="F2"/>
            <w:vAlign w:val="center"/>
          </w:tcPr>
          <w:p w14:paraId="7BAC43CF" w14:textId="4819E708" w:rsidR="000C678C" w:rsidRPr="000C678C" w:rsidRDefault="000C678C" w:rsidP="000C678C">
            <w:pPr>
              <w:pStyle w:val="ListParagraph"/>
              <w:ind w:left="0"/>
              <w:contextualSpacing w:val="0"/>
              <w:jc w:val="center"/>
              <w:rPr>
                <w:b/>
                <w:bCs/>
                <w:color w:val="C00000"/>
                <w:sz w:val="20"/>
                <w:szCs w:val="20"/>
              </w:rPr>
            </w:pPr>
            <w:r w:rsidRPr="000C678C">
              <w:rPr>
                <w:b/>
                <w:bCs/>
                <w:color w:val="C00000"/>
                <w:sz w:val="20"/>
                <w:szCs w:val="20"/>
              </w:rPr>
              <w:t>-8 482 000</w:t>
            </w:r>
          </w:p>
        </w:tc>
      </w:tr>
      <w:tr w:rsidR="000C678C" w:rsidRPr="006D7653" w14:paraId="0836F05B" w14:textId="77777777" w:rsidTr="000C678C">
        <w:tc>
          <w:tcPr>
            <w:tcW w:w="3823" w:type="dxa"/>
            <w:tcBorders>
              <w:left w:val="nil"/>
              <w:bottom w:val="single" w:sz="4" w:space="0" w:color="auto"/>
            </w:tcBorders>
            <w:shd w:val="clear" w:color="auto" w:fill="FFF2CC" w:themeFill="accent4" w:themeFillTint="33"/>
            <w:vAlign w:val="center"/>
          </w:tcPr>
          <w:p w14:paraId="3A33D169" w14:textId="3D2F5A07" w:rsidR="000C678C" w:rsidRPr="00534BDF" w:rsidRDefault="000C678C" w:rsidP="000C678C">
            <w:pPr>
              <w:pStyle w:val="ListParagraph"/>
              <w:ind w:left="0"/>
              <w:contextualSpacing w:val="0"/>
              <w:rPr>
                <w:b/>
                <w:bCs/>
                <w:sz w:val="22"/>
              </w:rPr>
            </w:pPr>
            <w:r w:rsidRPr="00534BDF">
              <w:rPr>
                <w:b/>
                <w:bCs/>
                <w:sz w:val="22"/>
              </w:rPr>
              <w:t>PAVISAM</w:t>
            </w:r>
            <w:r w:rsidRPr="00534BDF">
              <w:rPr>
                <w:i/>
                <w:iCs/>
                <w:sz w:val="22"/>
              </w:rPr>
              <w:t>, no tā:</w:t>
            </w:r>
          </w:p>
        </w:tc>
        <w:tc>
          <w:tcPr>
            <w:tcW w:w="1417" w:type="dxa"/>
            <w:tcBorders>
              <w:bottom w:val="single" w:sz="4" w:space="0" w:color="auto"/>
            </w:tcBorders>
            <w:shd w:val="clear" w:color="auto" w:fill="FFF2CC" w:themeFill="accent4" w:themeFillTint="33"/>
            <w:vAlign w:val="center"/>
          </w:tcPr>
          <w:p w14:paraId="70F5877A" w14:textId="0D3F78B1" w:rsidR="000C678C" w:rsidRPr="000C678C" w:rsidRDefault="000C678C" w:rsidP="000C678C">
            <w:pPr>
              <w:pStyle w:val="ListParagraph"/>
              <w:ind w:left="0"/>
              <w:contextualSpacing w:val="0"/>
              <w:jc w:val="center"/>
              <w:rPr>
                <w:b/>
                <w:bCs/>
                <w:sz w:val="20"/>
                <w:szCs w:val="20"/>
              </w:rPr>
            </w:pPr>
            <w:r>
              <w:rPr>
                <w:b/>
                <w:bCs/>
                <w:color w:val="00B050"/>
                <w:sz w:val="20"/>
                <w:szCs w:val="20"/>
              </w:rPr>
              <w:t>+</w:t>
            </w:r>
            <w:r w:rsidRPr="000C678C">
              <w:rPr>
                <w:b/>
                <w:bCs/>
                <w:color w:val="00B050"/>
                <w:sz w:val="20"/>
                <w:szCs w:val="20"/>
              </w:rPr>
              <w:t>17 081 000</w:t>
            </w:r>
          </w:p>
        </w:tc>
        <w:tc>
          <w:tcPr>
            <w:tcW w:w="1276" w:type="dxa"/>
            <w:tcBorders>
              <w:bottom w:val="single" w:sz="4" w:space="0" w:color="auto"/>
            </w:tcBorders>
            <w:shd w:val="clear" w:color="auto" w:fill="FFF2CC" w:themeFill="accent4" w:themeFillTint="33"/>
            <w:vAlign w:val="center"/>
          </w:tcPr>
          <w:p w14:paraId="165B4776" w14:textId="5705DCF1" w:rsidR="000C678C" w:rsidRPr="000C678C" w:rsidRDefault="000C678C" w:rsidP="000C678C">
            <w:pPr>
              <w:pStyle w:val="ListParagraph"/>
              <w:ind w:left="0"/>
              <w:contextualSpacing w:val="0"/>
              <w:jc w:val="center"/>
              <w:rPr>
                <w:b/>
                <w:bCs/>
                <w:sz w:val="20"/>
                <w:szCs w:val="20"/>
              </w:rPr>
            </w:pPr>
            <w:r>
              <w:rPr>
                <w:b/>
                <w:bCs/>
                <w:color w:val="00B050"/>
                <w:sz w:val="20"/>
                <w:szCs w:val="20"/>
              </w:rPr>
              <w:t>+</w:t>
            </w:r>
            <w:r w:rsidRPr="000C678C">
              <w:rPr>
                <w:b/>
                <w:bCs/>
                <w:color w:val="00B050"/>
                <w:sz w:val="20"/>
                <w:szCs w:val="20"/>
              </w:rPr>
              <w:t>26 296 500</w:t>
            </w:r>
          </w:p>
        </w:tc>
        <w:tc>
          <w:tcPr>
            <w:tcW w:w="1276" w:type="dxa"/>
            <w:tcBorders>
              <w:bottom w:val="single" w:sz="4" w:space="0" w:color="auto"/>
            </w:tcBorders>
            <w:shd w:val="clear" w:color="auto" w:fill="FFF2CC" w:themeFill="accent4" w:themeFillTint="33"/>
            <w:vAlign w:val="center"/>
          </w:tcPr>
          <w:p w14:paraId="46D14253" w14:textId="16F9DDB3" w:rsidR="000C678C" w:rsidRPr="000C678C" w:rsidRDefault="000C678C" w:rsidP="000C678C">
            <w:pPr>
              <w:pStyle w:val="ListParagraph"/>
              <w:ind w:left="0"/>
              <w:contextualSpacing w:val="0"/>
              <w:jc w:val="center"/>
              <w:rPr>
                <w:b/>
                <w:bCs/>
                <w:sz w:val="20"/>
                <w:szCs w:val="20"/>
              </w:rPr>
            </w:pPr>
            <w:r>
              <w:rPr>
                <w:b/>
                <w:bCs/>
                <w:color w:val="00B050"/>
                <w:sz w:val="20"/>
                <w:szCs w:val="20"/>
              </w:rPr>
              <w:t>+</w:t>
            </w:r>
            <w:r w:rsidRPr="000C678C">
              <w:rPr>
                <w:b/>
                <w:bCs/>
                <w:color w:val="00B050"/>
                <w:sz w:val="20"/>
                <w:szCs w:val="20"/>
              </w:rPr>
              <w:t>33 720 000</w:t>
            </w:r>
          </w:p>
        </w:tc>
        <w:tc>
          <w:tcPr>
            <w:tcW w:w="1275" w:type="dxa"/>
            <w:tcBorders>
              <w:bottom w:val="single" w:sz="4" w:space="0" w:color="auto"/>
              <w:right w:val="nil"/>
            </w:tcBorders>
            <w:shd w:val="clear" w:color="auto" w:fill="FFF2CC" w:themeFill="accent4" w:themeFillTint="33"/>
            <w:vAlign w:val="center"/>
          </w:tcPr>
          <w:p w14:paraId="64EA366D" w14:textId="0ABACED5" w:rsidR="000C678C" w:rsidRPr="000C678C" w:rsidRDefault="000C678C" w:rsidP="000C678C">
            <w:pPr>
              <w:pStyle w:val="ListParagraph"/>
              <w:ind w:left="0"/>
              <w:contextualSpacing w:val="0"/>
              <w:jc w:val="center"/>
              <w:rPr>
                <w:b/>
                <w:bCs/>
                <w:sz w:val="20"/>
                <w:szCs w:val="20"/>
              </w:rPr>
            </w:pPr>
            <w:r>
              <w:rPr>
                <w:b/>
                <w:bCs/>
                <w:color w:val="00B050"/>
                <w:sz w:val="20"/>
                <w:szCs w:val="20"/>
              </w:rPr>
              <w:t>+</w:t>
            </w:r>
            <w:r w:rsidRPr="000C678C">
              <w:rPr>
                <w:b/>
                <w:bCs/>
                <w:color w:val="00B050"/>
                <w:sz w:val="20"/>
                <w:szCs w:val="20"/>
              </w:rPr>
              <w:t>39 918 000</w:t>
            </w:r>
          </w:p>
        </w:tc>
      </w:tr>
      <w:tr w:rsidR="00C11875" w:rsidRPr="006D7653" w14:paraId="6D20B43B" w14:textId="77777777" w:rsidTr="000C678C">
        <w:tc>
          <w:tcPr>
            <w:tcW w:w="3823" w:type="dxa"/>
            <w:tcBorders>
              <w:left w:val="nil"/>
              <w:bottom w:val="single" w:sz="4" w:space="0" w:color="808080" w:themeColor="background1" w:themeShade="80"/>
            </w:tcBorders>
            <w:shd w:val="clear" w:color="auto" w:fill="FFFFFF" w:themeFill="background1"/>
            <w:vAlign w:val="center"/>
          </w:tcPr>
          <w:p w14:paraId="639AB3F1" w14:textId="7A36A43D" w:rsidR="00C11875" w:rsidRPr="0034284D" w:rsidRDefault="00C11875" w:rsidP="00C11875">
            <w:pPr>
              <w:pStyle w:val="ListParagraph"/>
              <w:numPr>
                <w:ilvl w:val="0"/>
                <w:numId w:val="9"/>
              </w:numPr>
              <w:tabs>
                <w:tab w:val="clear" w:pos="720"/>
                <w:tab w:val="num" w:pos="306"/>
              </w:tabs>
              <w:ind w:left="306" w:hanging="306"/>
              <w:contextualSpacing w:val="0"/>
              <w:rPr>
                <w:b/>
                <w:bCs/>
                <w:sz w:val="22"/>
              </w:rPr>
            </w:pPr>
            <w:r w:rsidRPr="00C433C6">
              <w:rPr>
                <w:i/>
                <w:iCs/>
                <w:sz w:val="18"/>
                <w:szCs w:val="18"/>
              </w:rPr>
              <w:t>valsts pamatbudžetā</w:t>
            </w:r>
          </w:p>
        </w:tc>
        <w:tc>
          <w:tcPr>
            <w:tcW w:w="1417" w:type="dxa"/>
            <w:tcBorders>
              <w:bottom w:val="single" w:sz="4" w:space="0" w:color="808080" w:themeColor="background1" w:themeShade="80"/>
            </w:tcBorders>
            <w:shd w:val="clear" w:color="auto" w:fill="FFFFFF" w:themeFill="background1"/>
            <w:vAlign w:val="center"/>
          </w:tcPr>
          <w:p w14:paraId="40F5FE2A" w14:textId="08872400" w:rsidR="00C11875" w:rsidRPr="00843AAC" w:rsidRDefault="00C11875" w:rsidP="00C11875">
            <w:pPr>
              <w:pStyle w:val="ListParagraph"/>
              <w:ind w:left="0"/>
              <w:contextualSpacing w:val="0"/>
              <w:jc w:val="center"/>
              <w:rPr>
                <w:b/>
                <w:bCs/>
                <w:sz w:val="22"/>
              </w:rPr>
            </w:pPr>
            <w:r w:rsidRPr="00E00540">
              <w:rPr>
                <w:i/>
                <w:iCs/>
                <w:color w:val="00B050"/>
                <w:sz w:val="18"/>
                <w:szCs w:val="18"/>
              </w:rPr>
              <w:t>+4</w:t>
            </w:r>
            <w:r w:rsidR="0085783E">
              <w:rPr>
                <w:i/>
                <w:iCs/>
                <w:color w:val="00B050"/>
                <w:sz w:val="18"/>
                <w:szCs w:val="18"/>
              </w:rPr>
              <w:t> </w:t>
            </w:r>
            <w:r w:rsidRPr="00E00540">
              <w:rPr>
                <w:i/>
                <w:iCs/>
                <w:color w:val="00B050"/>
                <w:sz w:val="18"/>
                <w:szCs w:val="18"/>
              </w:rPr>
              <w:t>4</w:t>
            </w:r>
            <w:r w:rsidR="00746880">
              <w:rPr>
                <w:i/>
                <w:iCs/>
                <w:color w:val="00B050"/>
                <w:sz w:val="18"/>
                <w:szCs w:val="18"/>
              </w:rPr>
              <w:t>4</w:t>
            </w:r>
            <w:r w:rsidR="0085783E">
              <w:rPr>
                <w:i/>
                <w:iCs/>
                <w:color w:val="00B050"/>
                <w:sz w:val="18"/>
                <w:szCs w:val="18"/>
              </w:rPr>
              <w:t>4 750</w:t>
            </w:r>
          </w:p>
        </w:tc>
        <w:tc>
          <w:tcPr>
            <w:tcW w:w="1276" w:type="dxa"/>
            <w:tcBorders>
              <w:bottom w:val="single" w:sz="4" w:space="0" w:color="808080" w:themeColor="background1" w:themeShade="80"/>
            </w:tcBorders>
            <w:shd w:val="clear" w:color="auto" w:fill="FFFFFF" w:themeFill="background1"/>
            <w:vAlign w:val="center"/>
          </w:tcPr>
          <w:p w14:paraId="38247464" w14:textId="602CB84D" w:rsidR="00C11875" w:rsidRPr="00843AAC" w:rsidRDefault="00C11875" w:rsidP="00C11875">
            <w:pPr>
              <w:pStyle w:val="ListParagraph"/>
              <w:ind w:left="0"/>
              <w:contextualSpacing w:val="0"/>
              <w:jc w:val="center"/>
              <w:rPr>
                <w:b/>
                <w:bCs/>
                <w:sz w:val="22"/>
              </w:rPr>
            </w:pPr>
            <w:r>
              <w:rPr>
                <w:i/>
                <w:iCs/>
                <w:color w:val="00B050"/>
                <w:sz w:val="18"/>
                <w:szCs w:val="18"/>
              </w:rPr>
              <w:t>+7</w:t>
            </w:r>
            <w:r w:rsidR="0085783E">
              <w:rPr>
                <w:i/>
                <w:iCs/>
                <w:color w:val="00B050"/>
                <w:sz w:val="18"/>
                <w:szCs w:val="18"/>
              </w:rPr>
              <w:t> </w:t>
            </w:r>
            <w:r w:rsidR="00746880">
              <w:rPr>
                <w:i/>
                <w:iCs/>
                <w:color w:val="00B050"/>
                <w:sz w:val="18"/>
                <w:szCs w:val="18"/>
              </w:rPr>
              <w:t>46</w:t>
            </w:r>
            <w:r w:rsidR="0085783E">
              <w:rPr>
                <w:i/>
                <w:iCs/>
                <w:color w:val="00B050"/>
                <w:sz w:val="18"/>
                <w:szCs w:val="18"/>
              </w:rPr>
              <w:t>5 500</w:t>
            </w:r>
          </w:p>
        </w:tc>
        <w:tc>
          <w:tcPr>
            <w:tcW w:w="1276" w:type="dxa"/>
            <w:tcBorders>
              <w:bottom w:val="single" w:sz="4" w:space="0" w:color="808080" w:themeColor="background1" w:themeShade="80"/>
            </w:tcBorders>
            <w:shd w:val="clear" w:color="auto" w:fill="FFFFFF" w:themeFill="background1"/>
            <w:vAlign w:val="center"/>
          </w:tcPr>
          <w:p w14:paraId="6991DFB7" w14:textId="66B09BCF" w:rsidR="00C11875" w:rsidRPr="00843AAC" w:rsidRDefault="00C11875" w:rsidP="00C11875">
            <w:pPr>
              <w:pStyle w:val="ListParagraph"/>
              <w:ind w:left="0"/>
              <w:contextualSpacing w:val="0"/>
              <w:jc w:val="center"/>
              <w:rPr>
                <w:b/>
                <w:bCs/>
                <w:sz w:val="22"/>
              </w:rPr>
            </w:pPr>
            <w:r>
              <w:rPr>
                <w:i/>
                <w:iCs/>
                <w:color w:val="00B050"/>
                <w:sz w:val="18"/>
                <w:szCs w:val="18"/>
              </w:rPr>
              <w:t>+10</w:t>
            </w:r>
            <w:r w:rsidR="0085783E">
              <w:rPr>
                <w:i/>
                <w:iCs/>
                <w:color w:val="00B050"/>
                <w:sz w:val="18"/>
                <w:szCs w:val="18"/>
              </w:rPr>
              <w:t> </w:t>
            </w:r>
            <w:r>
              <w:rPr>
                <w:i/>
                <w:iCs/>
                <w:color w:val="00B050"/>
                <w:sz w:val="18"/>
                <w:szCs w:val="18"/>
              </w:rPr>
              <w:t>0</w:t>
            </w:r>
            <w:r w:rsidR="00746880">
              <w:rPr>
                <w:i/>
                <w:iCs/>
                <w:color w:val="00B050"/>
                <w:sz w:val="18"/>
                <w:szCs w:val="18"/>
              </w:rPr>
              <w:t>0</w:t>
            </w:r>
            <w:r w:rsidR="0085783E">
              <w:rPr>
                <w:i/>
                <w:iCs/>
                <w:color w:val="00B050"/>
                <w:sz w:val="18"/>
                <w:szCs w:val="18"/>
              </w:rPr>
              <w:t>8 750</w:t>
            </w:r>
          </w:p>
        </w:tc>
        <w:tc>
          <w:tcPr>
            <w:tcW w:w="1275" w:type="dxa"/>
            <w:tcBorders>
              <w:bottom w:val="single" w:sz="4" w:space="0" w:color="808080" w:themeColor="background1" w:themeShade="80"/>
              <w:right w:val="nil"/>
            </w:tcBorders>
            <w:shd w:val="clear" w:color="auto" w:fill="FFFFFF" w:themeFill="background1"/>
            <w:vAlign w:val="center"/>
          </w:tcPr>
          <w:p w14:paraId="1C4062F3" w14:textId="7AEA97A9" w:rsidR="00C11875" w:rsidRPr="00843AAC" w:rsidRDefault="00C11875" w:rsidP="00C11875">
            <w:pPr>
              <w:pStyle w:val="ListParagraph"/>
              <w:ind w:left="0"/>
              <w:contextualSpacing w:val="0"/>
              <w:jc w:val="center"/>
              <w:rPr>
                <w:b/>
                <w:bCs/>
                <w:sz w:val="22"/>
              </w:rPr>
            </w:pPr>
            <w:r>
              <w:rPr>
                <w:i/>
                <w:iCs/>
                <w:color w:val="00B050"/>
                <w:sz w:val="18"/>
                <w:szCs w:val="18"/>
              </w:rPr>
              <w:t>+12</w:t>
            </w:r>
            <w:r w:rsidR="006250E2">
              <w:rPr>
                <w:i/>
                <w:iCs/>
                <w:color w:val="00B050"/>
                <w:sz w:val="18"/>
                <w:szCs w:val="18"/>
              </w:rPr>
              <w:t> </w:t>
            </w:r>
            <w:r w:rsidR="00187F18">
              <w:rPr>
                <w:i/>
                <w:iCs/>
                <w:color w:val="00B050"/>
                <w:sz w:val="18"/>
                <w:szCs w:val="18"/>
              </w:rPr>
              <w:t>2</w:t>
            </w:r>
            <w:r w:rsidR="006250E2">
              <w:rPr>
                <w:i/>
                <w:iCs/>
                <w:color w:val="00B050"/>
                <w:sz w:val="18"/>
                <w:szCs w:val="18"/>
              </w:rPr>
              <w:t>79 250</w:t>
            </w:r>
          </w:p>
        </w:tc>
      </w:tr>
      <w:tr w:rsidR="00C11875" w:rsidRPr="006D7653" w14:paraId="63D463D5" w14:textId="77777777" w:rsidTr="000C678C">
        <w:tc>
          <w:tcPr>
            <w:tcW w:w="3823" w:type="dxa"/>
            <w:tcBorders>
              <w:top w:val="single" w:sz="4" w:space="0" w:color="808080" w:themeColor="background1" w:themeShade="80"/>
              <w:left w:val="nil"/>
              <w:bottom w:val="single" w:sz="4" w:space="0" w:color="808080" w:themeColor="background1" w:themeShade="80"/>
            </w:tcBorders>
            <w:shd w:val="clear" w:color="auto" w:fill="FFFFFF" w:themeFill="background1"/>
            <w:vAlign w:val="center"/>
          </w:tcPr>
          <w:p w14:paraId="1A6B3A13" w14:textId="1E57BCC7" w:rsidR="00C11875" w:rsidRPr="0034284D" w:rsidRDefault="00C11875" w:rsidP="00C11875">
            <w:pPr>
              <w:pStyle w:val="ListParagraph"/>
              <w:numPr>
                <w:ilvl w:val="0"/>
                <w:numId w:val="9"/>
              </w:numPr>
              <w:tabs>
                <w:tab w:val="clear" w:pos="720"/>
                <w:tab w:val="num" w:pos="306"/>
              </w:tabs>
              <w:ind w:left="306" w:hanging="306"/>
              <w:contextualSpacing w:val="0"/>
              <w:rPr>
                <w:b/>
                <w:bCs/>
                <w:sz w:val="22"/>
              </w:rPr>
            </w:pPr>
            <w:r w:rsidRPr="00C433C6">
              <w:rPr>
                <w:i/>
                <w:iCs/>
                <w:sz w:val="18"/>
                <w:szCs w:val="18"/>
              </w:rPr>
              <w:t>pašvaldību budžetos</w:t>
            </w:r>
          </w:p>
        </w:tc>
        <w:tc>
          <w:tcPr>
            <w:tcW w:w="1417"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1E9FBCA7" w14:textId="7E6BFBD6" w:rsidR="00C11875" w:rsidRPr="00843AAC" w:rsidRDefault="00C11875" w:rsidP="00C11875">
            <w:pPr>
              <w:pStyle w:val="ListParagraph"/>
              <w:ind w:left="0"/>
              <w:contextualSpacing w:val="0"/>
              <w:jc w:val="center"/>
              <w:rPr>
                <w:b/>
                <w:bCs/>
                <w:sz w:val="22"/>
              </w:rPr>
            </w:pPr>
            <w:r>
              <w:rPr>
                <w:i/>
                <w:iCs/>
                <w:color w:val="00B050"/>
                <w:sz w:val="18"/>
                <w:szCs w:val="18"/>
              </w:rPr>
              <w:t>+4</w:t>
            </w:r>
            <w:r w:rsidR="000C678C">
              <w:rPr>
                <w:i/>
                <w:iCs/>
                <w:color w:val="00B050"/>
                <w:sz w:val="18"/>
                <w:szCs w:val="18"/>
              </w:rPr>
              <w:t> </w:t>
            </w:r>
            <w:r>
              <w:rPr>
                <w:i/>
                <w:iCs/>
                <w:color w:val="00B050"/>
                <w:sz w:val="18"/>
                <w:szCs w:val="18"/>
              </w:rPr>
              <w:t>5</w:t>
            </w:r>
            <w:r w:rsidR="00746880">
              <w:rPr>
                <w:i/>
                <w:iCs/>
                <w:color w:val="00B050"/>
                <w:sz w:val="18"/>
                <w:szCs w:val="18"/>
              </w:rPr>
              <w:t>20</w:t>
            </w:r>
            <w:r w:rsidR="000C678C">
              <w:rPr>
                <w:i/>
                <w:iCs/>
                <w:color w:val="00B050"/>
                <w:sz w:val="18"/>
                <w:szCs w:val="18"/>
              </w:rPr>
              <w:t xml:space="preserve"> </w:t>
            </w:r>
            <w:r w:rsidR="000034CA">
              <w:rPr>
                <w:i/>
                <w:iCs/>
                <w:color w:val="00B050"/>
                <w:sz w:val="18"/>
                <w:szCs w:val="18"/>
              </w:rPr>
              <w:t>250</w:t>
            </w:r>
          </w:p>
        </w:tc>
        <w:tc>
          <w:tcPr>
            <w:tcW w:w="1276"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71150CA9" w14:textId="63955D0A" w:rsidR="00C11875" w:rsidRPr="00843AAC" w:rsidRDefault="00C11875" w:rsidP="00C11875">
            <w:pPr>
              <w:pStyle w:val="ListParagraph"/>
              <w:ind w:left="0"/>
              <w:contextualSpacing w:val="0"/>
              <w:jc w:val="center"/>
              <w:rPr>
                <w:b/>
                <w:bCs/>
                <w:sz w:val="22"/>
              </w:rPr>
            </w:pPr>
            <w:r>
              <w:rPr>
                <w:i/>
                <w:iCs/>
                <w:color w:val="00B050"/>
                <w:sz w:val="18"/>
                <w:szCs w:val="18"/>
              </w:rPr>
              <w:t>+6</w:t>
            </w:r>
            <w:r w:rsidR="0085783E">
              <w:rPr>
                <w:i/>
                <w:iCs/>
                <w:color w:val="00B050"/>
                <w:sz w:val="18"/>
                <w:szCs w:val="18"/>
              </w:rPr>
              <w:t> </w:t>
            </w:r>
            <w:r w:rsidR="00746880">
              <w:rPr>
                <w:i/>
                <w:iCs/>
                <w:color w:val="00B050"/>
                <w:sz w:val="18"/>
                <w:szCs w:val="18"/>
              </w:rPr>
              <w:t>87</w:t>
            </w:r>
            <w:r w:rsidR="0085783E">
              <w:rPr>
                <w:i/>
                <w:iCs/>
                <w:color w:val="00B050"/>
                <w:sz w:val="18"/>
                <w:szCs w:val="18"/>
              </w:rPr>
              <w:t>7 500</w:t>
            </w:r>
          </w:p>
        </w:tc>
        <w:tc>
          <w:tcPr>
            <w:tcW w:w="1276"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4F939FDC" w14:textId="433C6DEC" w:rsidR="00C11875" w:rsidRPr="00843AAC" w:rsidRDefault="00C11875" w:rsidP="00C11875">
            <w:pPr>
              <w:pStyle w:val="ListParagraph"/>
              <w:ind w:left="0"/>
              <w:contextualSpacing w:val="0"/>
              <w:jc w:val="center"/>
              <w:rPr>
                <w:b/>
                <w:bCs/>
                <w:sz w:val="22"/>
              </w:rPr>
            </w:pPr>
            <w:r>
              <w:rPr>
                <w:i/>
                <w:iCs/>
                <w:color w:val="00B050"/>
                <w:sz w:val="18"/>
                <w:szCs w:val="18"/>
              </w:rPr>
              <w:t>+8</w:t>
            </w:r>
            <w:r w:rsidR="0085783E">
              <w:rPr>
                <w:i/>
                <w:iCs/>
                <w:color w:val="00B050"/>
                <w:sz w:val="18"/>
                <w:szCs w:val="18"/>
              </w:rPr>
              <w:t> </w:t>
            </w:r>
            <w:r>
              <w:rPr>
                <w:i/>
                <w:iCs/>
                <w:color w:val="00B050"/>
                <w:sz w:val="18"/>
                <w:szCs w:val="18"/>
              </w:rPr>
              <w:t>9</w:t>
            </w:r>
            <w:r w:rsidR="00746880">
              <w:rPr>
                <w:i/>
                <w:iCs/>
                <w:color w:val="00B050"/>
                <w:sz w:val="18"/>
                <w:szCs w:val="18"/>
              </w:rPr>
              <w:t>03</w:t>
            </w:r>
            <w:r w:rsidR="0085783E">
              <w:rPr>
                <w:i/>
                <w:iCs/>
                <w:color w:val="00B050"/>
                <w:sz w:val="18"/>
                <w:szCs w:val="18"/>
              </w:rPr>
              <w:t xml:space="preserve"> 250</w:t>
            </w:r>
          </w:p>
        </w:tc>
        <w:tc>
          <w:tcPr>
            <w:tcW w:w="1275" w:type="dxa"/>
            <w:tcBorders>
              <w:top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6D68AD7C" w14:textId="7FCBD949" w:rsidR="00C11875" w:rsidRPr="00843AAC" w:rsidRDefault="00C11875" w:rsidP="00C11875">
            <w:pPr>
              <w:pStyle w:val="ListParagraph"/>
              <w:ind w:left="0"/>
              <w:contextualSpacing w:val="0"/>
              <w:jc w:val="center"/>
              <w:rPr>
                <w:b/>
                <w:bCs/>
                <w:sz w:val="22"/>
              </w:rPr>
            </w:pPr>
            <w:r w:rsidRPr="001342FB">
              <w:rPr>
                <w:i/>
                <w:iCs/>
                <w:color w:val="00B050"/>
                <w:sz w:val="18"/>
                <w:szCs w:val="18"/>
              </w:rPr>
              <w:t>+10</w:t>
            </w:r>
            <w:r w:rsidR="006250E2">
              <w:rPr>
                <w:i/>
                <w:iCs/>
                <w:color w:val="00B050"/>
                <w:sz w:val="18"/>
                <w:szCs w:val="18"/>
              </w:rPr>
              <w:t> </w:t>
            </w:r>
            <w:r w:rsidR="00187F18">
              <w:rPr>
                <w:i/>
                <w:iCs/>
                <w:color w:val="00B050"/>
                <w:sz w:val="18"/>
                <w:szCs w:val="18"/>
              </w:rPr>
              <w:t>66</w:t>
            </w:r>
            <w:r w:rsidR="006250E2">
              <w:rPr>
                <w:i/>
                <w:iCs/>
                <w:color w:val="00B050"/>
                <w:sz w:val="18"/>
                <w:szCs w:val="18"/>
              </w:rPr>
              <w:t>8 750</w:t>
            </w:r>
          </w:p>
        </w:tc>
      </w:tr>
      <w:tr w:rsidR="00C11875" w:rsidRPr="006D7653" w14:paraId="29F7EBB4" w14:textId="77777777" w:rsidTr="000C678C">
        <w:tc>
          <w:tcPr>
            <w:tcW w:w="3823" w:type="dxa"/>
            <w:tcBorders>
              <w:top w:val="single" w:sz="4" w:space="0" w:color="808080" w:themeColor="background1" w:themeShade="80"/>
              <w:left w:val="nil"/>
              <w:bottom w:val="single" w:sz="4" w:space="0" w:color="808080" w:themeColor="background1" w:themeShade="80"/>
            </w:tcBorders>
            <w:shd w:val="clear" w:color="auto" w:fill="FFFFFF" w:themeFill="background1"/>
            <w:vAlign w:val="center"/>
          </w:tcPr>
          <w:p w14:paraId="78217706" w14:textId="3094F87B" w:rsidR="00C11875" w:rsidRPr="0034284D" w:rsidRDefault="00C11875" w:rsidP="00C11875">
            <w:pPr>
              <w:pStyle w:val="ListParagraph"/>
              <w:numPr>
                <w:ilvl w:val="0"/>
                <w:numId w:val="9"/>
              </w:numPr>
              <w:tabs>
                <w:tab w:val="clear" w:pos="720"/>
                <w:tab w:val="num" w:pos="306"/>
              </w:tabs>
              <w:ind w:left="306" w:hanging="306"/>
              <w:contextualSpacing w:val="0"/>
              <w:rPr>
                <w:b/>
                <w:bCs/>
                <w:sz w:val="22"/>
              </w:rPr>
            </w:pPr>
            <w:r w:rsidRPr="001342FB">
              <w:rPr>
                <w:i/>
                <w:iCs/>
                <w:sz w:val="18"/>
                <w:szCs w:val="18"/>
              </w:rPr>
              <w:t>speciālajā budžetā</w:t>
            </w:r>
          </w:p>
        </w:tc>
        <w:tc>
          <w:tcPr>
            <w:tcW w:w="1417"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36E01458" w14:textId="6881F9A5" w:rsidR="00C11875" w:rsidRPr="00843AAC" w:rsidRDefault="00C11875" w:rsidP="00C11875">
            <w:pPr>
              <w:pStyle w:val="ListParagraph"/>
              <w:ind w:left="0"/>
              <w:contextualSpacing w:val="0"/>
              <w:jc w:val="center"/>
              <w:rPr>
                <w:b/>
                <w:bCs/>
                <w:sz w:val="22"/>
              </w:rPr>
            </w:pPr>
            <w:r>
              <w:rPr>
                <w:i/>
                <w:iCs/>
                <w:color w:val="00B050"/>
                <w:sz w:val="18"/>
                <w:szCs w:val="18"/>
              </w:rPr>
              <w:t>+9</w:t>
            </w:r>
            <w:r w:rsidR="0085783E">
              <w:rPr>
                <w:i/>
                <w:iCs/>
                <w:color w:val="00B050"/>
                <w:sz w:val="18"/>
                <w:szCs w:val="18"/>
              </w:rPr>
              <w:t> </w:t>
            </w:r>
            <w:r>
              <w:rPr>
                <w:i/>
                <w:iCs/>
                <w:color w:val="00B050"/>
                <w:sz w:val="18"/>
                <w:szCs w:val="18"/>
              </w:rPr>
              <w:t>4</w:t>
            </w:r>
            <w:r w:rsidR="00746880">
              <w:rPr>
                <w:i/>
                <w:iCs/>
                <w:color w:val="00B050"/>
                <w:sz w:val="18"/>
                <w:szCs w:val="18"/>
              </w:rPr>
              <w:t>47</w:t>
            </w:r>
            <w:r w:rsidR="0085783E">
              <w:rPr>
                <w:i/>
                <w:iCs/>
                <w:color w:val="00B050"/>
                <w:sz w:val="18"/>
                <w:szCs w:val="18"/>
              </w:rPr>
              <w:t xml:space="preserve"> 000</w:t>
            </w:r>
          </w:p>
        </w:tc>
        <w:tc>
          <w:tcPr>
            <w:tcW w:w="1276"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4D7954DA" w14:textId="129C4934" w:rsidR="00C11875" w:rsidRPr="00843AAC" w:rsidRDefault="00C11875" w:rsidP="00C11875">
            <w:pPr>
              <w:pStyle w:val="ListParagraph"/>
              <w:ind w:left="0"/>
              <w:contextualSpacing w:val="0"/>
              <w:jc w:val="center"/>
              <w:rPr>
                <w:b/>
                <w:bCs/>
                <w:sz w:val="22"/>
              </w:rPr>
            </w:pPr>
            <w:r>
              <w:rPr>
                <w:i/>
                <w:iCs/>
                <w:color w:val="00B050"/>
                <w:sz w:val="18"/>
                <w:szCs w:val="18"/>
              </w:rPr>
              <w:t>+15</w:t>
            </w:r>
            <w:r w:rsidR="0085783E">
              <w:rPr>
                <w:i/>
                <w:iCs/>
                <w:color w:val="00B050"/>
                <w:sz w:val="18"/>
                <w:szCs w:val="18"/>
              </w:rPr>
              <w:t> </w:t>
            </w:r>
            <w:r w:rsidR="00746880">
              <w:rPr>
                <w:i/>
                <w:iCs/>
                <w:color w:val="00B050"/>
                <w:sz w:val="18"/>
                <w:szCs w:val="18"/>
              </w:rPr>
              <w:t>484</w:t>
            </w:r>
            <w:r w:rsidR="0085783E">
              <w:rPr>
                <w:i/>
                <w:iCs/>
                <w:color w:val="00B050"/>
                <w:sz w:val="18"/>
                <w:szCs w:val="18"/>
              </w:rPr>
              <w:t xml:space="preserve"> 000</w:t>
            </w:r>
          </w:p>
        </w:tc>
        <w:tc>
          <w:tcPr>
            <w:tcW w:w="1276"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42B903B7" w14:textId="35DA1660" w:rsidR="00C11875" w:rsidRPr="00843AAC" w:rsidRDefault="00C11875" w:rsidP="00C11875">
            <w:pPr>
              <w:pStyle w:val="ListParagraph"/>
              <w:ind w:left="0"/>
              <w:contextualSpacing w:val="0"/>
              <w:jc w:val="center"/>
              <w:rPr>
                <w:b/>
                <w:bCs/>
                <w:sz w:val="22"/>
              </w:rPr>
            </w:pPr>
            <w:r>
              <w:rPr>
                <w:i/>
                <w:iCs/>
                <w:color w:val="00B050"/>
                <w:sz w:val="18"/>
                <w:szCs w:val="18"/>
              </w:rPr>
              <w:t>+20</w:t>
            </w:r>
            <w:r w:rsidR="0085783E">
              <w:rPr>
                <w:i/>
                <w:iCs/>
                <w:color w:val="00B050"/>
                <w:sz w:val="18"/>
                <w:szCs w:val="18"/>
              </w:rPr>
              <w:t> </w:t>
            </w:r>
            <w:r>
              <w:rPr>
                <w:i/>
                <w:iCs/>
                <w:color w:val="00B050"/>
                <w:sz w:val="18"/>
                <w:szCs w:val="18"/>
              </w:rPr>
              <w:t>7</w:t>
            </w:r>
            <w:r w:rsidR="00746880">
              <w:rPr>
                <w:i/>
                <w:iCs/>
                <w:color w:val="00B050"/>
                <w:sz w:val="18"/>
                <w:szCs w:val="18"/>
              </w:rPr>
              <w:t>45</w:t>
            </w:r>
            <w:r w:rsidR="0085783E">
              <w:rPr>
                <w:i/>
                <w:iCs/>
                <w:color w:val="00B050"/>
                <w:sz w:val="18"/>
                <w:szCs w:val="18"/>
              </w:rPr>
              <w:t xml:space="preserve"> 000</w:t>
            </w:r>
          </w:p>
        </w:tc>
        <w:tc>
          <w:tcPr>
            <w:tcW w:w="1275" w:type="dxa"/>
            <w:tcBorders>
              <w:top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4ED0591F" w14:textId="00B4D1DC" w:rsidR="00C11875" w:rsidRPr="00843AAC" w:rsidRDefault="00C11875" w:rsidP="00C11875">
            <w:pPr>
              <w:pStyle w:val="ListParagraph"/>
              <w:ind w:left="0"/>
              <w:contextualSpacing w:val="0"/>
              <w:jc w:val="center"/>
              <w:rPr>
                <w:b/>
                <w:bCs/>
                <w:sz w:val="22"/>
              </w:rPr>
            </w:pPr>
            <w:r w:rsidRPr="001342FB">
              <w:rPr>
                <w:i/>
                <w:iCs/>
                <w:color w:val="00B050"/>
                <w:sz w:val="18"/>
                <w:szCs w:val="18"/>
              </w:rPr>
              <w:t>+</w:t>
            </w:r>
            <w:r>
              <w:rPr>
                <w:i/>
                <w:iCs/>
                <w:color w:val="00B050"/>
                <w:sz w:val="18"/>
                <w:szCs w:val="18"/>
              </w:rPr>
              <w:t>25</w:t>
            </w:r>
            <w:r w:rsidR="006250E2">
              <w:rPr>
                <w:i/>
                <w:iCs/>
                <w:color w:val="00B050"/>
                <w:sz w:val="18"/>
                <w:szCs w:val="18"/>
              </w:rPr>
              <w:t> </w:t>
            </w:r>
            <w:r w:rsidR="00187F18">
              <w:rPr>
                <w:i/>
                <w:iCs/>
                <w:color w:val="00B050"/>
                <w:sz w:val="18"/>
                <w:szCs w:val="18"/>
              </w:rPr>
              <w:t>4</w:t>
            </w:r>
            <w:r>
              <w:rPr>
                <w:i/>
                <w:iCs/>
                <w:color w:val="00B050"/>
                <w:sz w:val="18"/>
                <w:szCs w:val="18"/>
              </w:rPr>
              <w:t>5</w:t>
            </w:r>
            <w:r w:rsidR="00187F18">
              <w:rPr>
                <w:i/>
                <w:iCs/>
                <w:color w:val="00B050"/>
                <w:sz w:val="18"/>
                <w:szCs w:val="18"/>
              </w:rPr>
              <w:t>2</w:t>
            </w:r>
            <w:r w:rsidR="006250E2">
              <w:rPr>
                <w:i/>
                <w:iCs/>
                <w:color w:val="00B050"/>
                <w:sz w:val="18"/>
                <w:szCs w:val="18"/>
              </w:rPr>
              <w:t xml:space="preserve"> 000</w:t>
            </w:r>
          </w:p>
        </w:tc>
      </w:tr>
      <w:tr w:rsidR="000C678C" w:rsidRPr="006D7653" w14:paraId="1CD854D3" w14:textId="77777777" w:rsidTr="000C678C">
        <w:tc>
          <w:tcPr>
            <w:tcW w:w="3823" w:type="dxa"/>
            <w:tcBorders>
              <w:top w:val="single" w:sz="4" w:space="0" w:color="808080" w:themeColor="background1" w:themeShade="80"/>
              <w:left w:val="nil"/>
              <w:bottom w:val="single" w:sz="4" w:space="0" w:color="auto"/>
            </w:tcBorders>
            <w:shd w:val="clear" w:color="auto" w:fill="FFFFFF" w:themeFill="background1"/>
            <w:vAlign w:val="center"/>
          </w:tcPr>
          <w:p w14:paraId="1F212997" w14:textId="77777777" w:rsidR="000C678C" w:rsidRPr="001342FB" w:rsidRDefault="000C678C" w:rsidP="000C678C">
            <w:pPr>
              <w:pStyle w:val="ListParagraph"/>
              <w:numPr>
                <w:ilvl w:val="0"/>
                <w:numId w:val="9"/>
              </w:numPr>
              <w:tabs>
                <w:tab w:val="clear" w:pos="720"/>
                <w:tab w:val="num" w:pos="306"/>
              </w:tabs>
              <w:ind w:left="306" w:hanging="306"/>
              <w:contextualSpacing w:val="0"/>
              <w:rPr>
                <w:i/>
                <w:iCs/>
                <w:sz w:val="18"/>
                <w:szCs w:val="18"/>
              </w:rPr>
            </w:pPr>
            <w:r>
              <w:rPr>
                <w:i/>
                <w:iCs/>
                <w:sz w:val="18"/>
                <w:szCs w:val="18"/>
              </w:rPr>
              <w:t>f</w:t>
            </w:r>
            <w:r w:rsidRPr="00D738ED">
              <w:rPr>
                <w:i/>
                <w:iCs/>
                <w:sz w:val="18"/>
                <w:szCs w:val="18"/>
              </w:rPr>
              <w:t>inansējums saistībā ar minimālās algas pieaugumu</w:t>
            </w:r>
            <w:r>
              <w:rPr>
                <w:i/>
                <w:iCs/>
                <w:sz w:val="18"/>
                <w:szCs w:val="18"/>
              </w:rPr>
              <w:t xml:space="preserve"> (no pamatbudžeta)</w:t>
            </w:r>
          </w:p>
        </w:tc>
        <w:tc>
          <w:tcPr>
            <w:tcW w:w="1417" w:type="dxa"/>
            <w:tcBorders>
              <w:top w:val="single" w:sz="4" w:space="0" w:color="808080" w:themeColor="background1" w:themeShade="80"/>
              <w:bottom w:val="single" w:sz="4" w:space="0" w:color="auto"/>
            </w:tcBorders>
            <w:shd w:val="clear" w:color="auto" w:fill="FFFFFF" w:themeFill="background1"/>
            <w:vAlign w:val="center"/>
          </w:tcPr>
          <w:p w14:paraId="56454611" w14:textId="339C5C8D" w:rsidR="000C678C" w:rsidRPr="000C678C" w:rsidRDefault="000C678C" w:rsidP="000C678C">
            <w:pPr>
              <w:pStyle w:val="ListParagraph"/>
              <w:ind w:left="0"/>
              <w:contextualSpacing w:val="0"/>
              <w:jc w:val="center"/>
              <w:rPr>
                <w:i/>
                <w:iCs/>
                <w:color w:val="00B050"/>
                <w:sz w:val="18"/>
                <w:szCs w:val="18"/>
              </w:rPr>
            </w:pPr>
            <w:r w:rsidRPr="000C678C">
              <w:rPr>
                <w:i/>
                <w:iCs/>
                <w:color w:val="C00000"/>
                <w:sz w:val="18"/>
                <w:szCs w:val="18"/>
              </w:rPr>
              <w:t>-1 331 000</w:t>
            </w:r>
          </w:p>
        </w:tc>
        <w:tc>
          <w:tcPr>
            <w:tcW w:w="1276" w:type="dxa"/>
            <w:tcBorders>
              <w:top w:val="single" w:sz="4" w:space="0" w:color="808080" w:themeColor="background1" w:themeShade="80"/>
              <w:bottom w:val="single" w:sz="4" w:space="0" w:color="auto"/>
            </w:tcBorders>
            <w:shd w:val="clear" w:color="auto" w:fill="FFFFFF" w:themeFill="background1"/>
            <w:vAlign w:val="center"/>
          </w:tcPr>
          <w:p w14:paraId="3A9DED91" w14:textId="175490C9" w:rsidR="000C678C" w:rsidRPr="000C678C" w:rsidRDefault="000C678C" w:rsidP="000C678C">
            <w:pPr>
              <w:pStyle w:val="ListParagraph"/>
              <w:ind w:left="0"/>
              <w:contextualSpacing w:val="0"/>
              <w:jc w:val="center"/>
              <w:rPr>
                <w:i/>
                <w:iCs/>
                <w:color w:val="00B050"/>
                <w:sz w:val="18"/>
                <w:szCs w:val="18"/>
              </w:rPr>
            </w:pPr>
            <w:r w:rsidRPr="000C678C">
              <w:rPr>
                <w:i/>
                <w:iCs/>
                <w:color w:val="C00000"/>
                <w:sz w:val="18"/>
                <w:szCs w:val="18"/>
              </w:rPr>
              <w:t>-3 530 500</w:t>
            </w:r>
          </w:p>
        </w:tc>
        <w:tc>
          <w:tcPr>
            <w:tcW w:w="1276" w:type="dxa"/>
            <w:tcBorders>
              <w:top w:val="single" w:sz="4" w:space="0" w:color="808080" w:themeColor="background1" w:themeShade="80"/>
              <w:bottom w:val="single" w:sz="4" w:space="0" w:color="auto"/>
            </w:tcBorders>
            <w:shd w:val="clear" w:color="auto" w:fill="FFFFFF" w:themeFill="background1"/>
            <w:vAlign w:val="center"/>
          </w:tcPr>
          <w:p w14:paraId="57AFA306" w14:textId="071E9653" w:rsidR="000C678C" w:rsidRPr="000C678C" w:rsidRDefault="000C678C" w:rsidP="000C678C">
            <w:pPr>
              <w:pStyle w:val="ListParagraph"/>
              <w:ind w:left="0"/>
              <w:contextualSpacing w:val="0"/>
              <w:jc w:val="center"/>
              <w:rPr>
                <w:i/>
                <w:iCs/>
                <w:color w:val="00B050"/>
                <w:sz w:val="18"/>
                <w:szCs w:val="18"/>
              </w:rPr>
            </w:pPr>
            <w:r w:rsidRPr="000C678C">
              <w:rPr>
                <w:i/>
                <w:iCs/>
                <w:color w:val="C00000"/>
                <w:sz w:val="18"/>
                <w:szCs w:val="18"/>
              </w:rPr>
              <w:t>-5 937 000</w:t>
            </w:r>
          </w:p>
        </w:tc>
        <w:tc>
          <w:tcPr>
            <w:tcW w:w="1275" w:type="dxa"/>
            <w:tcBorders>
              <w:top w:val="single" w:sz="4" w:space="0" w:color="808080" w:themeColor="background1" w:themeShade="80"/>
              <w:bottom w:val="single" w:sz="4" w:space="0" w:color="auto"/>
              <w:right w:val="nil"/>
            </w:tcBorders>
            <w:shd w:val="clear" w:color="auto" w:fill="FFFFFF" w:themeFill="background1"/>
            <w:vAlign w:val="center"/>
          </w:tcPr>
          <w:p w14:paraId="080E04BC" w14:textId="47148E50" w:rsidR="000C678C" w:rsidRPr="000C678C" w:rsidRDefault="000C678C" w:rsidP="000C678C">
            <w:pPr>
              <w:pStyle w:val="ListParagraph"/>
              <w:ind w:left="0"/>
              <w:contextualSpacing w:val="0"/>
              <w:jc w:val="center"/>
              <w:rPr>
                <w:i/>
                <w:iCs/>
                <w:color w:val="00B050"/>
                <w:sz w:val="18"/>
                <w:szCs w:val="18"/>
              </w:rPr>
            </w:pPr>
            <w:r w:rsidRPr="000C678C">
              <w:rPr>
                <w:i/>
                <w:iCs/>
                <w:color w:val="C00000"/>
                <w:sz w:val="18"/>
                <w:szCs w:val="18"/>
              </w:rPr>
              <w:t>-8 482 000</w:t>
            </w:r>
          </w:p>
        </w:tc>
      </w:tr>
      <w:tr w:rsidR="00C11875" w:rsidRPr="006D7653" w14:paraId="392E2934" w14:textId="77777777" w:rsidTr="000C678C">
        <w:tc>
          <w:tcPr>
            <w:tcW w:w="3823" w:type="dxa"/>
            <w:tcBorders>
              <w:top w:val="single" w:sz="4" w:space="0" w:color="auto"/>
              <w:left w:val="nil"/>
              <w:bottom w:val="nil"/>
            </w:tcBorders>
            <w:shd w:val="clear" w:color="auto" w:fill="FFFFFF" w:themeFill="background1"/>
            <w:vAlign w:val="center"/>
          </w:tcPr>
          <w:p w14:paraId="22C041FF" w14:textId="4676F9A4" w:rsidR="00C11875" w:rsidRPr="001342FB" w:rsidRDefault="00C11875" w:rsidP="00C11875">
            <w:pPr>
              <w:pStyle w:val="ListParagraph"/>
              <w:numPr>
                <w:ilvl w:val="0"/>
                <w:numId w:val="9"/>
              </w:numPr>
              <w:tabs>
                <w:tab w:val="clear" w:pos="720"/>
                <w:tab w:val="num" w:pos="306"/>
              </w:tabs>
              <w:ind w:left="306" w:hanging="306"/>
              <w:contextualSpacing w:val="0"/>
              <w:rPr>
                <w:i/>
                <w:iCs/>
                <w:sz w:val="18"/>
                <w:szCs w:val="18"/>
              </w:rPr>
            </w:pPr>
            <w:r w:rsidRPr="001342FB">
              <w:rPr>
                <w:i/>
                <w:iCs/>
                <w:sz w:val="18"/>
                <w:szCs w:val="18"/>
              </w:rPr>
              <w:t>valsts fondēto pensiju shēmā</w:t>
            </w:r>
            <w:r>
              <w:rPr>
                <w:i/>
                <w:iCs/>
                <w:sz w:val="18"/>
                <w:szCs w:val="18"/>
              </w:rPr>
              <w:t xml:space="preserve"> (informatīvi)</w:t>
            </w:r>
          </w:p>
        </w:tc>
        <w:tc>
          <w:tcPr>
            <w:tcW w:w="1417" w:type="dxa"/>
            <w:tcBorders>
              <w:top w:val="single" w:sz="4" w:space="0" w:color="auto"/>
              <w:bottom w:val="nil"/>
            </w:tcBorders>
            <w:shd w:val="clear" w:color="auto" w:fill="FFFFFF" w:themeFill="background1"/>
            <w:vAlign w:val="center"/>
          </w:tcPr>
          <w:p w14:paraId="44B0A0AA" w14:textId="145C584A" w:rsidR="00C11875" w:rsidRDefault="002D73B1" w:rsidP="00C11875">
            <w:pPr>
              <w:pStyle w:val="ListParagraph"/>
              <w:ind w:left="0"/>
              <w:contextualSpacing w:val="0"/>
              <w:jc w:val="center"/>
              <w:rPr>
                <w:i/>
                <w:iCs/>
                <w:color w:val="00B050"/>
                <w:sz w:val="18"/>
                <w:szCs w:val="18"/>
              </w:rPr>
            </w:pPr>
            <w:r>
              <w:rPr>
                <w:i/>
                <w:iCs/>
                <w:color w:val="00B050"/>
                <w:sz w:val="18"/>
                <w:szCs w:val="18"/>
              </w:rPr>
              <w:t>+</w:t>
            </w:r>
            <w:r w:rsidR="00C11875">
              <w:rPr>
                <w:i/>
                <w:iCs/>
                <w:color w:val="00B050"/>
                <w:sz w:val="18"/>
                <w:szCs w:val="18"/>
              </w:rPr>
              <w:t>1</w:t>
            </w:r>
            <w:r w:rsidR="0085783E">
              <w:rPr>
                <w:i/>
                <w:iCs/>
                <w:color w:val="00B050"/>
                <w:sz w:val="18"/>
                <w:szCs w:val="18"/>
              </w:rPr>
              <w:t> </w:t>
            </w:r>
            <w:r w:rsidR="00746880">
              <w:rPr>
                <w:i/>
                <w:iCs/>
                <w:color w:val="00B050"/>
                <w:sz w:val="18"/>
                <w:szCs w:val="18"/>
              </w:rPr>
              <w:t>88</w:t>
            </w:r>
            <w:r w:rsidR="00C11875">
              <w:rPr>
                <w:i/>
                <w:iCs/>
                <w:color w:val="00B050"/>
                <w:sz w:val="18"/>
                <w:szCs w:val="18"/>
              </w:rPr>
              <w:t>9</w:t>
            </w:r>
            <w:r w:rsidR="0085783E">
              <w:rPr>
                <w:i/>
                <w:iCs/>
                <w:color w:val="00B050"/>
                <w:sz w:val="18"/>
                <w:szCs w:val="18"/>
              </w:rPr>
              <w:t xml:space="preserve"> 000</w:t>
            </w:r>
          </w:p>
        </w:tc>
        <w:tc>
          <w:tcPr>
            <w:tcW w:w="1276" w:type="dxa"/>
            <w:tcBorders>
              <w:top w:val="single" w:sz="4" w:space="0" w:color="auto"/>
              <w:bottom w:val="nil"/>
            </w:tcBorders>
            <w:shd w:val="clear" w:color="auto" w:fill="FFFFFF" w:themeFill="background1"/>
            <w:vAlign w:val="center"/>
          </w:tcPr>
          <w:p w14:paraId="4710691B" w14:textId="45C23E11" w:rsidR="00C11875" w:rsidRDefault="00C11875" w:rsidP="00C11875">
            <w:pPr>
              <w:pStyle w:val="ListParagraph"/>
              <w:ind w:left="0"/>
              <w:contextualSpacing w:val="0"/>
              <w:jc w:val="center"/>
              <w:rPr>
                <w:i/>
                <w:iCs/>
                <w:color w:val="00B050"/>
                <w:sz w:val="18"/>
                <w:szCs w:val="18"/>
              </w:rPr>
            </w:pPr>
            <w:r>
              <w:rPr>
                <w:i/>
                <w:iCs/>
                <w:color w:val="00B050"/>
                <w:sz w:val="18"/>
                <w:szCs w:val="18"/>
              </w:rPr>
              <w:t>+3</w:t>
            </w:r>
            <w:r w:rsidR="0085783E">
              <w:rPr>
                <w:i/>
                <w:iCs/>
                <w:color w:val="00B050"/>
                <w:sz w:val="18"/>
                <w:szCs w:val="18"/>
              </w:rPr>
              <w:t> </w:t>
            </w:r>
            <w:r w:rsidR="00746880">
              <w:rPr>
                <w:i/>
                <w:iCs/>
                <w:color w:val="00B050"/>
                <w:sz w:val="18"/>
                <w:szCs w:val="18"/>
              </w:rPr>
              <w:t>094</w:t>
            </w:r>
            <w:r w:rsidR="0085783E">
              <w:rPr>
                <w:i/>
                <w:iCs/>
                <w:color w:val="00B050"/>
                <w:sz w:val="18"/>
                <w:szCs w:val="18"/>
              </w:rPr>
              <w:t xml:space="preserve"> 000</w:t>
            </w:r>
          </w:p>
        </w:tc>
        <w:tc>
          <w:tcPr>
            <w:tcW w:w="1276" w:type="dxa"/>
            <w:tcBorders>
              <w:top w:val="single" w:sz="4" w:space="0" w:color="auto"/>
              <w:bottom w:val="nil"/>
            </w:tcBorders>
            <w:shd w:val="clear" w:color="auto" w:fill="FFFFFF" w:themeFill="background1"/>
            <w:vAlign w:val="center"/>
          </w:tcPr>
          <w:p w14:paraId="5B9D185C" w14:textId="7C156454" w:rsidR="00C11875" w:rsidRDefault="00C11875" w:rsidP="00C11875">
            <w:pPr>
              <w:pStyle w:val="ListParagraph"/>
              <w:ind w:left="0"/>
              <w:contextualSpacing w:val="0"/>
              <w:jc w:val="center"/>
              <w:rPr>
                <w:i/>
                <w:iCs/>
                <w:color w:val="00B050"/>
                <w:sz w:val="18"/>
                <w:szCs w:val="18"/>
              </w:rPr>
            </w:pPr>
            <w:r>
              <w:rPr>
                <w:i/>
                <w:iCs/>
                <w:color w:val="00B050"/>
                <w:sz w:val="18"/>
                <w:szCs w:val="18"/>
              </w:rPr>
              <w:t>+4</w:t>
            </w:r>
            <w:r w:rsidR="0085783E">
              <w:rPr>
                <w:i/>
                <w:iCs/>
                <w:color w:val="00B050"/>
                <w:sz w:val="18"/>
                <w:szCs w:val="18"/>
              </w:rPr>
              <w:t> </w:t>
            </w:r>
            <w:r>
              <w:rPr>
                <w:i/>
                <w:iCs/>
                <w:color w:val="00B050"/>
                <w:sz w:val="18"/>
                <w:szCs w:val="18"/>
              </w:rPr>
              <w:t>1</w:t>
            </w:r>
            <w:r w:rsidR="00746880">
              <w:rPr>
                <w:i/>
                <w:iCs/>
                <w:color w:val="00B050"/>
                <w:sz w:val="18"/>
                <w:szCs w:val="18"/>
              </w:rPr>
              <w:t>43</w:t>
            </w:r>
            <w:r w:rsidR="0085783E">
              <w:rPr>
                <w:i/>
                <w:iCs/>
                <w:color w:val="00B050"/>
                <w:sz w:val="18"/>
                <w:szCs w:val="18"/>
              </w:rPr>
              <w:t xml:space="preserve"> 000</w:t>
            </w:r>
          </w:p>
        </w:tc>
        <w:tc>
          <w:tcPr>
            <w:tcW w:w="1275" w:type="dxa"/>
            <w:tcBorders>
              <w:top w:val="single" w:sz="4" w:space="0" w:color="auto"/>
              <w:bottom w:val="nil"/>
              <w:right w:val="nil"/>
            </w:tcBorders>
            <w:shd w:val="clear" w:color="auto" w:fill="FFFFFF" w:themeFill="background1"/>
            <w:vAlign w:val="center"/>
          </w:tcPr>
          <w:p w14:paraId="34BC5C50" w14:textId="11447F23" w:rsidR="00C11875" w:rsidRPr="001342FB" w:rsidRDefault="00C11875" w:rsidP="00C11875">
            <w:pPr>
              <w:pStyle w:val="ListParagraph"/>
              <w:ind w:left="0"/>
              <w:contextualSpacing w:val="0"/>
              <w:jc w:val="center"/>
              <w:rPr>
                <w:i/>
                <w:iCs/>
                <w:color w:val="00B050"/>
                <w:sz w:val="18"/>
                <w:szCs w:val="18"/>
              </w:rPr>
            </w:pPr>
            <w:r w:rsidRPr="001342FB">
              <w:rPr>
                <w:i/>
                <w:iCs/>
                <w:color w:val="00B050"/>
                <w:sz w:val="18"/>
                <w:szCs w:val="18"/>
              </w:rPr>
              <w:t>+</w:t>
            </w:r>
            <w:r>
              <w:rPr>
                <w:i/>
                <w:iCs/>
                <w:color w:val="00B050"/>
                <w:sz w:val="18"/>
                <w:szCs w:val="18"/>
              </w:rPr>
              <w:t>5</w:t>
            </w:r>
            <w:r w:rsidR="006250E2">
              <w:rPr>
                <w:i/>
                <w:iCs/>
                <w:color w:val="00B050"/>
                <w:sz w:val="18"/>
                <w:szCs w:val="18"/>
              </w:rPr>
              <w:t> </w:t>
            </w:r>
            <w:r w:rsidR="00187F18">
              <w:rPr>
                <w:i/>
                <w:iCs/>
                <w:color w:val="00B050"/>
                <w:sz w:val="18"/>
                <w:szCs w:val="18"/>
              </w:rPr>
              <w:t>08</w:t>
            </w:r>
            <w:r w:rsidRPr="001342FB">
              <w:rPr>
                <w:i/>
                <w:iCs/>
                <w:color w:val="00B050"/>
                <w:sz w:val="18"/>
                <w:szCs w:val="18"/>
              </w:rPr>
              <w:t>1</w:t>
            </w:r>
            <w:r w:rsidR="006250E2">
              <w:rPr>
                <w:i/>
                <w:iCs/>
                <w:color w:val="00B050"/>
                <w:sz w:val="18"/>
                <w:szCs w:val="18"/>
              </w:rPr>
              <w:t xml:space="preserve"> 000</w:t>
            </w:r>
          </w:p>
        </w:tc>
      </w:tr>
    </w:tbl>
    <w:p w14:paraId="03A9BCBB" w14:textId="77777777" w:rsidR="00C11875" w:rsidRDefault="00C11875" w:rsidP="00C433C6">
      <w:pPr>
        <w:tabs>
          <w:tab w:val="left" w:pos="426"/>
        </w:tabs>
        <w:rPr>
          <w:rFonts w:cs="Times New Roman"/>
          <w:b/>
          <w:bCs/>
          <w:sz w:val="18"/>
          <w:szCs w:val="18"/>
          <w:vertAlign w:val="superscript"/>
        </w:rPr>
      </w:pPr>
    </w:p>
    <w:p w14:paraId="48CEBEE2" w14:textId="61C95409" w:rsidR="00C433C6" w:rsidRPr="002E0A09" w:rsidRDefault="00C433C6" w:rsidP="00C433C6">
      <w:pPr>
        <w:tabs>
          <w:tab w:val="left" w:pos="426"/>
        </w:tabs>
        <w:rPr>
          <w:rFonts w:cs="Times New Roman"/>
          <w:b/>
          <w:bCs/>
          <w:i/>
          <w:sz w:val="18"/>
        </w:rPr>
      </w:pPr>
      <w:r w:rsidRPr="002E0A09">
        <w:rPr>
          <w:rFonts w:cs="Times New Roman"/>
          <w:b/>
          <w:bCs/>
          <w:sz w:val="18"/>
          <w:szCs w:val="18"/>
          <w:vertAlign w:val="superscript"/>
        </w:rPr>
        <w:t>*</w:t>
      </w:r>
      <w:r w:rsidRPr="002E0A09">
        <w:rPr>
          <w:rFonts w:cs="Times New Roman"/>
          <w:i/>
          <w:sz w:val="16"/>
          <w:szCs w:val="16"/>
        </w:rPr>
        <w:t>202</w:t>
      </w:r>
      <w:r>
        <w:rPr>
          <w:rFonts w:cs="Times New Roman"/>
          <w:i/>
          <w:sz w:val="16"/>
          <w:szCs w:val="16"/>
        </w:rPr>
        <w:t>5</w:t>
      </w:r>
      <w:r w:rsidRPr="002E0A09">
        <w:rPr>
          <w:rFonts w:cs="Times New Roman"/>
          <w:i/>
          <w:sz w:val="16"/>
          <w:szCs w:val="16"/>
        </w:rPr>
        <w:t>. gadā norādīta 11 mēnešu ietekme.</w:t>
      </w:r>
    </w:p>
    <w:p w14:paraId="3E7DCE5A" w14:textId="77777777" w:rsidR="00C433C6" w:rsidRPr="002E0A09" w:rsidRDefault="00C433C6" w:rsidP="00C433C6">
      <w:pPr>
        <w:tabs>
          <w:tab w:val="left" w:pos="426"/>
        </w:tabs>
        <w:spacing w:after="120"/>
        <w:rPr>
          <w:rFonts w:cs="Times New Roman"/>
          <w:i/>
          <w:sz w:val="18"/>
        </w:rPr>
      </w:pPr>
      <w:r w:rsidRPr="002E0A09">
        <w:rPr>
          <w:rFonts w:cs="Times New Roman"/>
          <w:b/>
          <w:bCs/>
          <w:i/>
          <w:sz w:val="18"/>
        </w:rPr>
        <w:t>Avots</w:t>
      </w:r>
      <w:r w:rsidRPr="002E0A09">
        <w:rPr>
          <w:rFonts w:cs="Times New Roman"/>
          <w:i/>
          <w:sz w:val="18"/>
        </w:rPr>
        <w:t>: FM aprēķini.</w:t>
      </w:r>
    </w:p>
    <w:p w14:paraId="254DC0B6" w14:textId="7B621BE6" w:rsidR="0015733B" w:rsidRDefault="0015733B" w:rsidP="0015733B">
      <w:pPr>
        <w:rPr>
          <w:rFonts w:eastAsiaTheme="majorEastAsia" w:cstheme="majorBidi"/>
          <w:sz w:val="40"/>
          <w:szCs w:val="32"/>
        </w:rPr>
      </w:pPr>
    </w:p>
    <w:p w14:paraId="6F8820C6" w14:textId="77777777" w:rsidR="00C433C6" w:rsidRDefault="00C433C6">
      <w:pPr>
        <w:rPr>
          <w:rFonts w:eastAsiaTheme="majorEastAsia" w:cstheme="majorBidi"/>
          <w:b/>
          <w:sz w:val="40"/>
          <w:szCs w:val="32"/>
          <w:highlight w:val="yellow"/>
        </w:rPr>
      </w:pPr>
      <w:r>
        <w:rPr>
          <w:highlight w:val="yellow"/>
        </w:rPr>
        <w:br w:type="page"/>
      </w:r>
    </w:p>
    <w:p w14:paraId="100AE95C" w14:textId="04FA51F6" w:rsidR="00D421B2" w:rsidRPr="00B50AC3" w:rsidRDefault="00D421B2" w:rsidP="00850F47">
      <w:pPr>
        <w:pStyle w:val="Heading1"/>
        <w:numPr>
          <w:ilvl w:val="0"/>
          <w:numId w:val="22"/>
        </w:numPr>
      </w:pPr>
      <w:bookmarkStart w:id="76" w:name="_Toc177627726"/>
      <w:r w:rsidRPr="00B50AC3">
        <w:lastRenderedPageBreak/>
        <w:t>Kop</w:t>
      </w:r>
      <w:r w:rsidR="007237FD">
        <w:t xml:space="preserve">ējās </w:t>
      </w:r>
      <w:r w:rsidR="00141C2C" w:rsidRPr="00B50AC3">
        <w:t xml:space="preserve">fiskālās </w:t>
      </w:r>
      <w:r w:rsidR="007237FD">
        <w:t>ietekmes</w:t>
      </w:r>
      <w:bookmarkEnd w:id="76"/>
    </w:p>
    <w:p w14:paraId="25A57066" w14:textId="7F3AED0B" w:rsidR="00501035" w:rsidRDefault="00C549C6" w:rsidP="00501035">
      <w:pPr>
        <w:ind w:firstLine="567"/>
        <w:contextualSpacing/>
        <w:jc w:val="both"/>
        <w:rPr>
          <w:szCs w:val="24"/>
        </w:rPr>
      </w:pPr>
      <w:r w:rsidRPr="00B67BFC">
        <w:rPr>
          <w:szCs w:val="24"/>
        </w:rPr>
        <w:t xml:space="preserve">Veikto nodokļu pasākumu kopējo izmaiņu rezultātā fiskālās ietekmes uz valsts kopbudžetu ir </w:t>
      </w:r>
      <w:r w:rsidR="0035068B">
        <w:rPr>
          <w:szCs w:val="24"/>
        </w:rPr>
        <w:t>šādas</w:t>
      </w:r>
      <w:r w:rsidR="00501035">
        <w:rPr>
          <w:szCs w:val="24"/>
        </w:rPr>
        <w:t>:</w:t>
      </w:r>
    </w:p>
    <w:p w14:paraId="2E9BC434" w14:textId="455C8E3E" w:rsidR="00501035" w:rsidRPr="00501035" w:rsidRDefault="00501035" w:rsidP="00FF31ED">
      <w:pPr>
        <w:pStyle w:val="ListParagraph"/>
        <w:numPr>
          <w:ilvl w:val="0"/>
          <w:numId w:val="3"/>
        </w:numPr>
        <w:rPr>
          <w:szCs w:val="24"/>
        </w:rPr>
      </w:pPr>
      <w:r>
        <w:rPr>
          <w:b/>
          <w:szCs w:val="24"/>
        </w:rPr>
        <w:t>2025.</w:t>
      </w:r>
      <w:r w:rsidR="002D73B1">
        <w:rPr>
          <w:b/>
          <w:szCs w:val="24"/>
        </w:rPr>
        <w:t> </w:t>
      </w:r>
      <w:r>
        <w:rPr>
          <w:b/>
          <w:szCs w:val="24"/>
        </w:rPr>
        <w:t xml:space="preserve">gadā </w:t>
      </w:r>
      <w:r w:rsidR="00096CB7">
        <w:rPr>
          <w:b/>
          <w:color w:val="C00000"/>
          <w:szCs w:val="24"/>
        </w:rPr>
        <w:t>-</w:t>
      </w:r>
      <w:r w:rsidR="00685A93">
        <w:rPr>
          <w:b/>
          <w:color w:val="C00000"/>
          <w:szCs w:val="24"/>
        </w:rPr>
        <w:t>7,7</w:t>
      </w:r>
      <w:r w:rsidR="00C549C6" w:rsidRPr="00501035">
        <w:rPr>
          <w:b/>
          <w:color w:val="00B050"/>
          <w:szCs w:val="24"/>
        </w:rPr>
        <w:t xml:space="preserve"> </w:t>
      </w:r>
      <w:r w:rsidR="00C549C6" w:rsidRPr="00501035">
        <w:rPr>
          <w:i/>
          <w:szCs w:val="24"/>
        </w:rPr>
        <w:t>milj. euro</w:t>
      </w:r>
      <w:r>
        <w:rPr>
          <w:i/>
          <w:szCs w:val="24"/>
        </w:rPr>
        <w:t>;</w:t>
      </w:r>
    </w:p>
    <w:p w14:paraId="20443F12" w14:textId="13B906A1" w:rsidR="00501035" w:rsidRPr="00501035" w:rsidRDefault="00C549C6" w:rsidP="00FF31ED">
      <w:pPr>
        <w:pStyle w:val="ListParagraph"/>
        <w:numPr>
          <w:ilvl w:val="0"/>
          <w:numId w:val="3"/>
        </w:numPr>
        <w:rPr>
          <w:szCs w:val="24"/>
        </w:rPr>
      </w:pPr>
      <w:r w:rsidRPr="00501035">
        <w:rPr>
          <w:b/>
          <w:bCs/>
          <w:szCs w:val="24"/>
        </w:rPr>
        <w:t>202</w:t>
      </w:r>
      <w:r w:rsidR="00501035" w:rsidRPr="00501035">
        <w:rPr>
          <w:b/>
          <w:bCs/>
          <w:szCs w:val="24"/>
        </w:rPr>
        <w:t>6</w:t>
      </w:r>
      <w:r w:rsidRPr="00501035">
        <w:rPr>
          <w:b/>
          <w:bCs/>
          <w:szCs w:val="24"/>
        </w:rPr>
        <w:t>.</w:t>
      </w:r>
      <w:r w:rsidR="002D73B1">
        <w:t> </w:t>
      </w:r>
      <w:r w:rsidRPr="00501035">
        <w:rPr>
          <w:b/>
          <w:bCs/>
          <w:szCs w:val="24"/>
        </w:rPr>
        <w:t>gadā</w:t>
      </w:r>
      <w:r w:rsidR="00501035">
        <w:rPr>
          <w:b/>
          <w:bCs/>
          <w:szCs w:val="24"/>
        </w:rPr>
        <w:t xml:space="preserve"> </w:t>
      </w:r>
      <w:r w:rsidR="002941DB" w:rsidRPr="00501035">
        <w:rPr>
          <w:b/>
          <w:color w:val="00B050"/>
          <w:szCs w:val="24"/>
        </w:rPr>
        <w:t>+</w:t>
      </w:r>
      <w:r w:rsidR="00096CB7">
        <w:rPr>
          <w:b/>
          <w:color w:val="00B050"/>
          <w:szCs w:val="24"/>
        </w:rPr>
        <w:t>2</w:t>
      </w:r>
      <w:r w:rsidR="00685A93">
        <w:rPr>
          <w:b/>
          <w:color w:val="00B050"/>
          <w:szCs w:val="24"/>
        </w:rPr>
        <w:t>3</w:t>
      </w:r>
      <w:r w:rsidR="00096CB7">
        <w:rPr>
          <w:b/>
          <w:color w:val="00B050"/>
          <w:szCs w:val="24"/>
        </w:rPr>
        <w:t>,</w:t>
      </w:r>
      <w:r w:rsidR="00685A93">
        <w:rPr>
          <w:b/>
          <w:color w:val="00B050"/>
          <w:szCs w:val="24"/>
        </w:rPr>
        <w:t>6</w:t>
      </w:r>
      <w:r w:rsidR="001939D3" w:rsidRPr="00501035">
        <w:rPr>
          <w:b/>
          <w:color w:val="00B050"/>
          <w:szCs w:val="24"/>
        </w:rPr>
        <w:t xml:space="preserve"> </w:t>
      </w:r>
      <w:r w:rsidR="001939D3" w:rsidRPr="00501035">
        <w:rPr>
          <w:i/>
          <w:szCs w:val="24"/>
        </w:rPr>
        <w:t>milj. euro</w:t>
      </w:r>
      <w:r w:rsidR="00501035">
        <w:rPr>
          <w:i/>
          <w:szCs w:val="24"/>
        </w:rPr>
        <w:t>;</w:t>
      </w:r>
    </w:p>
    <w:p w14:paraId="7397B827" w14:textId="376973BE" w:rsidR="00501035" w:rsidRPr="00501035" w:rsidRDefault="001939D3" w:rsidP="00FF31ED">
      <w:pPr>
        <w:pStyle w:val="ListParagraph"/>
        <w:numPr>
          <w:ilvl w:val="0"/>
          <w:numId w:val="3"/>
        </w:numPr>
        <w:rPr>
          <w:szCs w:val="24"/>
        </w:rPr>
      </w:pPr>
      <w:r w:rsidRPr="00501035">
        <w:rPr>
          <w:b/>
          <w:bCs/>
          <w:szCs w:val="24"/>
        </w:rPr>
        <w:t>202</w:t>
      </w:r>
      <w:r w:rsidR="00501035" w:rsidRPr="00501035">
        <w:rPr>
          <w:b/>
          <w:bCs/>
          <w:szCs w:val="24"/>
        </w:rPr>
        <w:t>7</w:t>
      </w:r>
      <w:r w:rsidRPr="00501035">
        <w:rPr>
          <w:b/>
          <w:bCs/>
          <w:szCs w:val="24"/>
        </w:rPr>
        <w:t>.</w:t>
      </w:r>
      <w:r w:rsidR="002D73B1">
        <w:rPr>
          <w:b/>
          <w:bCs/>
          <w:szCs w:val="24"/>
        </w:rPr>
        <w:t> </w:t>
      </w:r>
      <w:r w:rsidRPr="00501035">
        <w:rPr>
          <w:b/>
          <w:bCs/>
          <w:szCs w:val="24"/>
        </w:rPr>
        <w:t>gadā</w:t>
      </w:r>
      <w:r w:rsidR="00C549C6" w:rsidRPr="00501035">
        <w:rPr>
          <w:szCs w:val="24"/>
        </w:rPr>
        <w:t xml:space="preserve"> </w:t>
      </w:r>
      <w:r w:rsidR="00096CB7" w:rsidRPr="00E92B6C">
        <w:rPr>
          <w:b/>
          <w:bCs/>
          <w:color w:val="C00000"/>
          <w:szCs w:val="24"/>
        </w:rPr>
        <w:t>-1</w:t>
      </w:r>
      <w:r w:rsidR="00685A93">
        <w:rPr>
          <w:b/>
          <w:bCs/>
          <w:color w:val="C00000"/>
          <w:szCs w:val="24"/>
        </w:rPr>
        <w:t>3,0</w:t>
      </w:r>
      <w:r w:rsidR="00096CB7" w:rsidRPr="00096CB7">
        <w:rPr>
          <w:color w:val="C00000"/>
          <w:szCs w:val="24"/>
        </w:rPr>
        <w:t xml:space="preserve"> </w:t>
      </w:r>
      <w:r w:rsidRPr="00501035">
        <w:rPr>
          <w:i/>
          <w:szCs w:val="24"/>
        </w:rPr>
        <w:t>milj. euro</w:t>
      </w:r>
      <w:r w:rsidR="00501035">
        <w:rPr>
          <w:i/>
          <w:szCs w:val="24"/>
        </w:rPr>
        <w:t>;</w:t>
      </w:r>
    </w:p>
    <w:p w14:paraId="30339B49" w14:textId="70D8C71F" w:rsidR="00C549C6" w:rsidRDefault="00501035" w:rsidP="00FF31ED">
      <w:pPr>
        <w:pStyle w:val="ListParagraph"/>
        <w:numPr>
          <w:ilvl w:val="0"/>
          <w:numId w:val="3"/>
        </w:numPr>
        <w:rPr>
          <w:szCs w:val="24"/>
        </w:rPr>
      </w:pPr>
      <w:r>
        <w:rPr>
          <w:b/>
          <w:bCs/>
          <w:szCs w:val="24"/>
        </w:rPr>
        <w:t>2028.</w:t>
      </w:r>
      <w:r w:rsidR="002D73B1">
        <w:rPr>
          <w:b/>
          <w:bCs/>
          <w:szCs w:val="24"/>
        </w:rPr>
        <w:t> </w:t>
      </w:r>
      <w:r>
        <w:rPr>
          <w:b/>
          <w:bCs/>
          <w:szCs w:val="24"/>
        </w:rPr>
        <w:t xml:space="preserve">gadā </w:t>
      </w:r>
      <w:r w:rsidR="00096CB7" w:rsidRPr="00E92B6C">
        <w:rPr>
          <w:b/>
          <w:bCs/>
          <w:color w:val="C00000"/>
          <w:szCs w:val="24"/>
        </w:rPr>
        <w:t>-1</w:t>
      </w:r>
      <w:r w:rsidR="00685A93">
        <w:rPr>
          <w:b/>
          <w:bCs/>
          <w:color w:val="C00000"/>
          <w:szCs w:val="24"/>
        </w:rPr>
        <w:t>4,2</w:t>
      </w:r>
      <w:r w:rsidRPr="00096CB7">
        <w:rPr>
          <w:b/>
          <w:color w:val="C00000"/>
          <w:szCs w:val="24"/>
        </w:rPr>
        <w:t xml:space="preserve"> </w:t>
      </w:r>
      <w:r w:rsidRPr="00501035">
        <w:rPr>
          <w:i/>
          <w:szCs w:val="24"/>
        </w:rPr>
        <w:t>milj. euro</w:t>
      </w:r>
      <w:r w:rsidR="00C549C6" w:rsidRPr="00501035">
        <w:rPr>
          <w:szCs w:val="24"/>
        </w:rPr>
        <w:t>.</w:t>
      </w:r>
      <w:r w:rsidR="00BD1544" w:rsidRPr="00501035">
        <w:rPr>
          <w:szCs w:val="24"/>
        </w:rPr>
        <w:t xml:space="preserve"> </w:t>
      </w:r>
    </w:p>
    <w:p w14:paraId="2FFF0D0F" w14:textId="77777777" w:rsidR="00501035" w:rsidRDefault="00501035" w:rsidP="00C549C6">
      <w:pPr>
        <w:rPr>
          <w:sz w:val="22"/>
        </w:rPr>
      </w:pPr>
    </w:p>
    <w:p w14:paraId="11C88EEF" w14:textId="64507ECC" w:rsidR="00C549C6" w:rsidRPr="00742D1E" w:rsidRDefault="006F5E64" w:rsidP="00C549C6">
      <w:pPr>
        <w:spacing w:after="120"/>
        <w:ind w:firstLine="709"/>
        <w:jc w:val="center"/>
        <w:rPr>
          <w:i/>
          <w:sz w:val="20"/>
          <w:szCs w:val="20"/>
        </w:rPr>
      </w:pPr>
      <w:r>
        <w:rPr>
          <w:sz w:val="20"/>
          <w:szCs w:val="20"/>
        </w:rPr>
        <w:t>4</w:t>
      </w:r>
      <w:r w:rsidR="00725CD9">
        <w:rPr>
          <w:sz w:val="20"/>
          <w:szCs w:val="20"/>
        </w:rPr>
        <w:t>2</w:t>
      </w:r>
      <w:r w:rsidR="00C549C6" w:rsidRPr="00742D1E">
        <w:rPr>
          <w:sz w:val="20"/>
          <w:szCs w:val="20"/>
        </w:rPr>
        <w:t>.tab.</w:t>
      </w:r>
      <w:r w:rsidR="00C549C6" w:rsidRPr="00742D1E">
        <w:rPr>
          <w:b/>
          <w:sz w:val="20"/>
          <w:szCs w:val="20"/>
        </w:rPr>
        <w:t xml:space="preserve"> Kopējās pasākumu fiskālās ietekmes</w:t>
      </w:r>
      <w:r w:rsidR="00C549C6" w:rsidRPr="00742D1E">
        <w:rPr>
          <w:b/>
          <w:sz w:val="20"/>
          <w:szCs w:val="20"/>
          <w:vertAlign w:val="superscript"/>
        </w:rPr>
        <w:t>*</w:t>
      </w:r>
      <w:r w:rsidR="005B0C47" w:rsidRPr="00742D1E">
        <w:rPr>
          <w:b/>
          <w:sz w:val="20"/>
          <w:szCs w:val="20"/>
        </w:rPr>
        <w:t xml:space="preserve">, </w:t>
      </w:r>
      <w:r w:rsidR="005B0C47" w:rsidRPr="00742D1E">
        <w:rPr>
          <w:i/>
          <w:sz w:val="20"/>
          <w:szCs w:val="20"/>
        </w:rPr>
        <w:t>milj.</w:t>
      </w:r>
      <w:r w:rsidR="002D73B1">
        <w:rPr>
          <w:i/>
          <w:sz w:val="20"/>
          <w:szCs w:val="20"/>
        </w:rPr>
        <w:t> </w:t>
      </w:r>
      <w:r w:rsidR="005B0C47" w:rsidRPr="00742D1E">
        <w:rPr>
          <w:i/>
          <w:sz w:val="20"/>
          <w:szCs w:val="20"/>
        </w:rPr>
        <w:t>euro</w:t>
      </w:r>
      <w:r w:rsidR="00C549C6" w:rsidRPr="00742D1E">
        <w:rPr>
          <w:i/>
          <w:sz w:val="20"/>
          <w:szCs w:val="20"/>
        </w:rPr>
        <w:t xml:space="preserve"> </w:t>
      </w:r>
    </w:p>
    <w:tbl>
      <w:tblPr>
        <w:tblW w:w="921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5101"/>
        <w:gridCol w:w="851"/>
        <w:gridCol w:w="851"/>
        <w:gridCol w:w="851"/>
        <w:gridCol w:w="851"/>
      </w:tblGrid>
      <w:tr w:rsidR="000E469E" w:rsidRPr="007E5CF8" w14:paraId="0593452F" w14:textId="77777777" w:rsidTr="00D07F6F">
        <w:trPr>
          <w:trHeight w:val="340"/>
        </w:trPr>
        <w:tc>
          <w:tcPr>
            <w:tcW w:w="709" w:type="dxa"/>
            <w:tcBorders>
              <w:right w:val="single" w:sz="4" w:space="0" w:color="FFFFFF" w:themeColor="background1"/>
            </w:tcBorders>
            <w:shd w:val="clear" w:color="auto" w:fill="002060"/>
            <w:tcMar>
              <w:top w:w="15" w:type="dxa"/>
              <w:left w:w="100" w:type="dxa"/>
              <w:bottom w:w="0" w:type="dxa"/>
              <w:right w:w="100" w:type="dxa"/>
            </w:tcMar>
            <w:vAlign w:val="center"/>
            <w:hideMark/>
          </w:tcPr>
          <w:p w14:paraId="6B674CA4" w14:textId="11BCB2F0" w:rsidR="0011062E" w:rsidRDefault="0011062E" w:rsidP="0011062E">
            <w:pPr>
              <w:jc w:val="center"/>
              <w:rPr>
                <w:b/>
                <w:bCs/>
                <w:iCs/>
                <w:color w:val="FFFFFF" w:themeColor="background1"/>
                <w:sz w:val="20"/>
                <w:szCs w:val="20"/>
              </w:rPr>
            </w:pPr>
            <w:r>
              <w:rPr>
                <w:b/>
                <w:bCs/>
                <w:iCs/>
                <w:color w:val="FFFFFF" w:themeColor="background1"/>
                <w:sz w:val="20"/>
                <w:szCs w:val="20"/>
              </w:rPr>
              <w:t>Nr.</w:t>
            </w:r>
          </w:p>
          <w:p w14:paraId="2B7F61BE" w14:textId="0F295D6F" w:rsidR="007E5CF8" w:rsidRPr="007E5CF8" w:rsidRDefault="0011062E" w:rsidP="0011062E">
            <w:pPr>
              <w:jc w:val="center"/>
              <w:rPr>
                <w:iCs/>
                <w:color w:val="FFFFFF" w:themeColor="background1"/>
                <w:sz w:val="20"/>
                <w:szCs w:val="20"/>
              </w:rPr>
            </w:pPr>
            <w:r>
              <w:rPr>
                <w:b/>
                <w:bCs/>
                <w:iCs/>
                <w:color w:val="FFFFFF" w:themeColor="background1"/>
                <w:sz w:val="20"/>
                <w:szCs w:val="20"/>
              </w:rPr>
              <w:t>p.k.</w:t>
            </w:r>
          </w:p>
        </w:tc>
        <w:tc>
          <w:tcPr>
            <w:tcW w:w="5101" w:type="dxa"/>
            <w:tcBorders>
              <w:left w:val="single" w:sz="4" w:space="0" w:color="FFFFFF" w:themeColor="background1"/>
              <w:right w:val="single" w:sz="4" w:space="0" w:color="FFFFFF" w:themeColor="background1"/>
            </w:tcBorders>
            <w:shd w:val="clear" w:color="auto" w:fill="002060"/>
            <w:tcMar>
              <w:top w:w="15" w:type="dxa"/>
              <w:left w:w="100" w:type="dxa"/>
              <w:bottom w:w="0" w:type="dxa"/>
              <w:right w:w="100" w:type="dxa"/>
            </w:tcMar>
            <w:vAlign w:val="center"/>
            <w:hideMark/>
          </w:tcPr>
          <w:p w14:paraId="50D589CB" w14:textId="40F2204C" w:rsidR="007E5CF8" w:rsidRPr="007E5CF8" w:rsidRDefault="0011062E" w:rsidP="0011062E">
            <w:pPr>
              <w:ind w:firstLine="709"/>
              <w:jc w:val="center"/>
              <w:rPr>
                <w:iCs/>
                <w:color w:val="FFFFFF" w:themeColor="background1"/>
                <w:sz w:val="20"/>
                <w:szCs w:val="20"/>
              </w:rPr>
            </w:pPr>
            <w:r>
              <w:rPr>
                <w:b/>
                <w:bCs/>
                <w:iCs/>
                <w:color w:val="FFFFFF" w:themeColor="background1"/>
                <w:sz w:val="20"/>
                <w:szCs w:val="20"/>
              </w:rPr>
              <w:t>Pasākums</w:t>
            </w:r>
          </w:p>
        </w:tc>
        <w:tc>
          <w:tcPr>
            <w:tcW w:w="851" w:type="dxa"/>
            <w:tcBorders>
              <w:left w:val="single" w:sz="4" w:space="0" w:color="FFFFFF" w:themeColor="background1"/>
            </w:tcBorders>
            <w:shd w:val="clear" w:color="auto" w:fill="002060"/>
            <w:tcMar>
              <w:top w:w="15" w:type="dxa"/>
              <w:left w:w="100" w:type="dxa"/>
              <w:bottom w:w="0" w:type="dxa"/>
              <w:right w:w="100" w:type="dxa"/>
            </w:tcMar>
            <w:vAlign w:val="center"/>
            <w:hideMark/>
          </w:tcPr>
          <w:p w14:paraId="2B140D6F" w14:textId="77777777" w:rsidR="007E5CF8" w:rsidRPr="007E5CF8" w:rsidRDefault="007E5CF8" w:rsidP="0011062E">
            <w:pPr>
              <w:jc w:val="center"/>
              <w:rPr>
                <w:iCs/>
                <w:color w:val="FFFFFF" w:themeColor="background1"/>
                <w:sz w:val="20"/>
                <w:szCs w:val="20"/>
              </w:rPr>
            </w:pPr>
            <w:r w:rsidRPr="007E5CF8">
              <w:rPr>
                <w:b/>
                <w:bCs/>
                <w:iCs/>
                <w:color w:val="FFFFFF" w:themeColor="background1"/>
                <w:sz w:val="20"/>
                <w:szCs w:val="20"/>
                <w:lang w:val="en-US"/>
              </w:rPr>
              <w:t>2025</w:t>
            </w:r>
          </w:p>
        </w:tc>
        <w:tc>
          <w:tcPr>
            <w:tcW w:w="851" w:type="dxa"/>
            <w:tcBorders>
              <w:right w:val="single" w:sz="4" w:space="0" w:color="FFFFFF"/>
            </w:tcBorders>
            <w:shd w:val="clear" w:color="auto" w:fill="002060"/>
            <w:tcMar>
              <w:top w:w="15" w:type="dxa"/>
              <w:left w:w="100" w:type="dxa"/>
              <w:bottom w:w="0" w:type="dxa"/>
              <w:right w:w="100" w:type="dxa"/>
            </w:tcMar>
            <w:vAlign w:val="center"/>
            <w:hideMark/>
          </w:tcPr>
          <w:p w14:paraId="3B542940" w14:textId="77777777" w:rsidR="007E5CF8" w:rsidRPr="007E5CF8" w:rsidRDefault="007E5CF8" w:rsidP="0011062E">
            <w:pPr>
              <w:jc w:val="center"/>
              <w:rPr>
                <w:iCs/>
                <w:color w:val="FFFFFF" w:themeColor="background1"/>
                <w:sz w:val="20"/>
                <w:szCs w:val="20"/>
              </w:rPr>
            </w:pPr>
            <w:r w:rsidRPr="007E5CF8">
              <w:rPr>
                <w:b/>
                <w:bCs/>
                <w:iCs/>
                <w:color w:val="FFFFFF" w:themeColor="background1"/>
                <w:sz w:val="20"/>
                <w:szCs w:val="20"/>
                <w:lang w:val="en-US"/>
              </w:rPr>
              <w:t>2026</w:t>
            </w:r>
          </w:p>
        </w:tc>
        <w:tc>
          <w:tcPr>
            <w:tcW w:w="851" w:type="dxa"/>
            <w:tcBorders>
              <w:left w:val="single" w:sz="4" w:space="0" w:color="FFFFFF"/>
              <w:right w:val="single" w:sz="4" w:space="0" w:color="FFFFFF"/>
            </w:tcBorders>
            <w:shd w:val="clear" w:color="auto" w:fill="002060"/>
            <w:tcMar>
              <w:top w:w="15" w:type="dxa"/>
              <w:left w:w="100" w:type="dxa"/>
              <w:bottom w:w="0" w:type="dxa"/>
              <w:right w:w="100" w:type="dxa"/>
            </w:tcMar>
            <w:vAlign w:val="center"/>
            <w:hideMark/>
          </w:tcPr>
          <w:p w14:paraId="26BF527F" w14:textId="77777777" w:rsidR="007E5CF8" w:rsidRPr="007E5CF8" w:rsidRDefault="007E5CF8" w:rsidP="0011062E">
            <w:pPr>
              <w:jc w:val="center"/>
              <w:rPr>
                <w:iCs/>
                <w:color w:val="FFFFFF" w:themeColor="background1"/>
                <w:sz w:val="20"/>
                <w:szCs w:val="20"/>
              </w:rPr>
            </w:pPr>
            <w:r w:rsidRPr="007E5CF8">
              <w:rPr>
                <w:b/>
                <w:bCs/>
                <w:iCs/>
                <w:color w:val="FFFFFF" w:themeColor="background1"/>
                <w:sz w:val="20"/>
                <w:szCs w:val="20"/>
                <w:lang w:val="en-US"/>
              </w:rPr>
              <w:t>2027</w:t>
            </w:r>
          </w:p>
        </w:tc>
        <w:tc>
          <w:tcPr>
            <w:tcW w:w="851" w:type="dxa"/>
            <w:tcBorders>
              <w:left w:val="single" w:sz="4" w:space="0" w:color="FFFFFF"/>
            </w:tcBorders>
            <w:shd w:val="clear" w:color="auto" w:fill="002060"/>
            <w:tcMar>
              <w:top w:w="15" w:type="dxa"/>
              <w:left w:w="100" w:type="dxa"/>
              <w:bottom w:w="0" w:type="dxa"/>
              <w:right w:w="100" w:type="dxa"/>
            </w:tcMar>
            <w:vAlign w:val="center"/>
            <w:hideMark/>
          </w:tcPr>
          <w:p w14:paraId="14CC883D" w14:textId="77777777" w:rsidR="007E5CF8" w:rsidRPr="007E5CF8" w:rsidRDefault="007E5CF8" w:rsidP="0011062E">
            <w:pPr>
              <w:jc w:val="center"/>
              <w:rPr>
                <w:iCs/>
                <w:color w:val="FFFFFF" w:themeColor="background1"/>
                <w:sz w:val="20"/>
                <w:szCs w:val="20"/>
              </w:rPr>
            </w:pPr>
            <w:r w:rsidRPr="007E5CF8">
              <w:rPr>
                <w:b/>
                <w:bCs/>
                <w:iCs/>
                <w:color w:val="FFFFFF" w:themeColor="background1"/>
                <w:sz w:val="20"/>
                <w:szCs w:val="20"/>
                <w:lang w:val="en-US"/>
              </w:rPr>
              <w:t>2028</w:t>
            </w:r>
          </w:p>
        </w:tc>
      </w:tr>
      <w:tr w:rsidR="002B3A46" w:rsidRPr="00E43591" w14:paraId="689CD6A8" w14:textId="77777777" w:rsidTr="00D07F6F">
        <w:trPr>
          <w:trHeight w:val="170"/>
        </w:trPr>
        <w:tc>
          <w:tcPr>
            <w:tcW w:w="709" w:type="dxa"/>
            <w:shd w:val="clear" w:color="auto" w:fill="FFF2CC" w:themeFill="accent4" w:themeFillTint="33"/>
            <w:tcMar>
              <w:top w:w="15" w:type="dxa"/>
              <w:left w:w="100" w:type="dxa"/>
              <w:bottom w:w="0" w:type="dxa"/>
              <w:right w:w="100" w:type="dxa"/>
            </w:tcMar>
            <w:vAlign w:val="center"/>
            <w:hideMark/>
          </w:tcPr>
          <w:p w14:paraId="7DD1D850" w14:textId="45D66EB2" w:rsidR="002B3A46" w:rsidRPr="00E43591" w:rsidRDefault="002B3A46" w:rsidP="002B3A46">
            <w:pPr>
              <w:jc w:val="center"/>
              <w:rPr>
                <w:iCs/>
                <w:sz w:val="22"/>
              </w:rPr>
            </w:pPr>
            <w:r w:rsidRPr="00E43591">
              <w:rPr>
                <w:b/>
                <w:bCs/>
                <w:iCs/>
                <w:sz w:val="22"/>
              </w:rPr>
              <w:t>1.</w:t>
            </w:r>
          </w:p>
        </w:tc>
        <w:tc>
          <w:tcPr>
            <w:tcW w:w="5101" w:type="dxa"/>
            <w:shd w:val="clear" w:color="auto" w:fill="FFF2CC" w:themeFill="accent4" w:themeFillTint="33"/>
            <w:tcMar>
              <w:top w:w="15" w:type="dxa"/>
              <w:left w:w="100" w:type="dxa"/>
              <w:bottom w:w="0" w:type="dxa"/>
              <w:right w:w="100" w:type="dxa"/>
            </w:tcMar>
            <w:vAlign w:val="center"/>
            <w:hideMark/>
          </w:tcPr>
          <w:p w14:paraId="766476C3" w14:textId="7BA120F2" w:rsidR="002B3A46" w:rsidRPr="00E43591" w:rsidRDefault="002B3A46" w:rsidP="002B3A46">
            <w:pPr>
              <w:rPr>
                <w:iCs/>
                <w:sz w:val="22"/>
              </w:rPr>
            </w:pPr>
            <w:r w:rsidRPr="00E43591">
              <w:rPr>
                <w:b/>
                <w:bCs/>
                <w:iCs/>
                <w:sz w:val="22"/>
              </w:rPr>
              <w:t xml:space="preserve">Kopējā darbaspēka nodokļu izmaiņas </w:t>
            </w:r>
          </w:p>
        </w:tc>
        <w:tc>
          <w:tcPr>
            <w:tcW w:w="851" w:type="dxa"/>
            <w:shd w:val="clear" w:color="auto" w:fill="FFF2CC" w:themeFill="accent4" w:themeFillTint="33"/>
            <w:tcMar>
              <w:top w:w="15" w:type="dxa"/>
              <w:left w:w="100" w:type="dxa"/>
              <w:bottom w:w="0" w:type="dxa"/>
              <w:right w:w="100" w:type="dxa"/>
            </w:tcMar>
            <w:vAlign w:val="center"/>
          </w:tcPr>
          <w:p w14:paraId="072D00DE" w14:textId="0386D7E5" w:rsidR="002B3A46" w:rsidRPr="002B3A46" w:rsidRDefault="002B3A46" w:rsidP="002B3A46">
            <w:pPr>
              <w:jc w:val="center"/>
              <w:rPr>
                <w:b/>
                <w:bCs/>
                <w:color w:val="C00000"/>
                <w:sz w:val="22"/>
              </w:rPr>
            </w:pPr>
            <w:r w:rsidRPr="002B3A46">
              <w:rPr>
                <w:b/>
                <w:bCs/>
                <w:color w:val="C00000"/>
                <w:sz w:val="22"/>
              </w:rPr>
              <w:t>-87,1</w:t>
            </w:r>
          </w:p>
        </w:tc>
        <w:tc>
          <w:tcPr>
            <w:tcW w:w="851" w:type="dxa"/>
            <w:shd w:val="clear" w:color="auto" w:fill="FFF2CC" w:themeFill="accent4" w:themeFillTint="33"/>
            <w:tcMar>
              <w:top w:w="15" w:type="dxa"/>
              <w:left w:w="100" w:type="dxa"/>
              <w:bottom w:w="0" w:type="dxa"/>
              <w:right w:w="100" w:type="dxa"/>
            </w:tcMar>
            <w:vAlign w:val="center"/>
          </w:tcPr>
          <w:p w14:paraId="6486F905" w14:textId="67151FBD" w:rsidR="002B3A46" w:rsidRPr="002B3A46" w:rsidRDefault="002B3A46" w:rsidP="002B3A46">
            <w:pPr>
              <w:jc w:val="center"/>
              <w:rPr>
                <w:b/>
                <w:bCs/>
                <w:color w:val="C00000"/>
                <w:sz w:val="22"/>
              </w:rPr>
            </w:pPr>
            <w:r w:rsidRPr="002B3A46">
              <w:rPr>
                <w:b/>
                <w:bCs/>
                <w:color w:val="C00000"/>
                <w:sz w:val="22"/>
              </w:rPr>
              <w:t>-79,0</w:t>
            </w:r>
          </w:p>
        </w:tc>
        <w:tc>
          <w:tcPr>
            <w:tcW w:w="851" w:type="dxa"/>
            <w:shd w:val="clear" w:color="auto" w:fill="FFF2CC" w:themeFill="accent4" w:themeFillTint="33"/>
            <w:tcMar>
              <w:top w:w="15" w:type="dxa"/>
              <w:left w:w="100" w:type="dxa"/>
              <w:bottom w:w="0" w:type="dxa"/>
              <w:right w:w="100" w:type="dxa"/>
            </w:tcMar>
            <w:vAlign w:val="center"/>
          </w:tcPr>
          <w:p w14:paraId="290C33BF" w14:textId="306F94AA" w:rsidR="002B3A46" w:rsidRPr="002B3A46" w:rsidRDefault="002B3A46" w:rsidP="002B3A46">
            <w:pPr>
              <w:jc w:val="center"/>
              <w:rPr>
                <w:b/>
                <w:bCs/>
                <w:color w:val="C00000"/>
                <w:sz w:val="22"/>
              </w:rPr>
            </w:pPr>
            <w:r w:rsidRPr="002B3A46">
              <w:rPr>
                <w:b/>
                <w:bCs/>
                <w:color w:val="C00000"/>
                <w:sz w:val="22"/>
              </w:rPr>
              <w:t>-103,5</w:t>
            </w:r>
          </w:p>
        </w:tc>
        <w:tc>
          <w:tcPr>
            <w:tcW w:w="851" w:type="dxa"/>
            <w:shd w:val="clear" w:color="auto" w:fill="FFF2CC" w:themeFill="accent4" w:themeFillTint="33"/>
            <w:tcMar>
              <w:top w:w="15" w:type="dxa"/>
              <w:left w:w="100" w:type="dxa"/>
              <w:bottom w:w="0" w:type="dxa"/>
              <w:right w:w="100" w:type="dxa"/>
            </w:tcMar>
            <w:vAlign w:val="center"/>
          </w:tcPr>
          <w:p w14:paraId="5429F4B0" w14:textId="43A71307" w:rsidR="002B3A46" w:rsidRPr="002B3A46" w:rsidRDefault="002B3A46" w:rsidP="002B3A46">
            <w:pPr>
              <w:jc w:val="center"/>
              <w:rPr>
                <w:b/>
                <w:bCs/>
                <w:color w:val="C00000"/>
                <w:sz w:val="22"/>
              </w:rPr>
            </w:pPr>
            <w:r w:rsidRPr="002B3A46">
              <w:rPr>
                <w:b/>
                <w:bCs/>
                <w:color w:val="C00000"/>
                <w:sz w:val="22"/>
              </w:rPr>
              <w:t>-101,2</w:t>
            </w:r>
          </w:p>
        </w:tc>
      </w:tr>
      <w:tr w:rsidR="002B3A46" w:rsidRPr="007E5CF8" w14:paraId="3EF07BE8" w14:textId="77777777" w:rsidTr="00D07F6F">
        <w:trPr>
          <w:trHeight w:val="170"/>
        </w:trPr>
        <w:tc>
          <w:tcPr>
            <w:tcW w:w="709" w:type="dxa"/>
            <w:shd w:val="clear" w:color="auto" w:fill="DCE6F2"/>
            <w:tcMar>
              <w:top w:w="15" w:type="dxa"/>
              <w:left w:w="100" w:type="dxa"/>
              <w:bottom w:w="0" w:type="dxa"/>
              <w:right w:w="100" w:type="dxa"/>
            </w:tcMar>
            <w:vAlign w:val="center"/>
            <w:hideMark/>
          </w:tcPr>
          <w:p w14:paraId="63E3D940" w14:textId="77777777" w:rsidR="002B3A46" w:rsidRPr="007E5CF8" w:rsidRDefault="002B3A46" w:rsidP="002B3A46">
            <w:pPr>
              <w:jc w:val="center"/>
              <w:rPr>
                <w:iCs/>
                <w:sz w:val="20"/>
                <w:szCs w:val="20"/>
              </w:rPr>
            </w:pPr>
            <w:r w:rsidRPr="007E5CF8">
              <w:rPr>
                <w:b/>
                <w:bCs/>
                <w:iCs/>
                <w:sz w:val="20"/>
                <w:szCs w:val="20"/>
              </w:rPr>
              <w:t>1.1.</w:t>
            </w:r>
          </w:p>
        </w:tc>
        <w:tc>
          <w:tcPr>
            <w:tcW w:w="5101" w:type="dxa"/>
            <w:shd w:val="clear" w:color="auto" w:fill="DCE6F2"/>
            <w:tcMar>
              <w:top w:w="15" w:type="dxa"/>
              <w:left w:w="100" w:type="dxa"/>
              <w:bottom w:w="0" w:type="dxa"/>
              <w:right w:w="100" w:type="dxa"/>
            </w:tcMar>
            <w:vAlign w:val="center"/>
            <w:hideMark/>
          </w:tcPr>
          <w:p w14:paraId="37124D82" w14:textId="77777777" w:rsidR="002B3A46" w:rsidRPr="007E5CF8" w:rsidRDefault="002B3A46" w:rsidP="002B3A46">
            <w:pPr>
              <w:rPr>
                <w:iCs/>
                <w:sz w:val="20"/>
                <w:szCs w:val="20"/>
              </w:rPr>
            </w:pPr>
            <w:r w:rsidRPr="007E5CF8">
              <w:rPr>
                <w:b/>
                <w:bCs/>
                <w:iCs/>
                <w:sz w:val="20"/>
                <w:szCs w:val="20"/>
              </w:rPr>
              <w:t>Iedzīvotāju ienākuma nodokļa (IIN) izmaiņas</w:t>
            </w:r>
          </w:p>
        </w:tc>
        <w:tc>
          <w:tcPr>
            <w:tcW w:w="851" w:type="dxa"/>
            <w:shd w:val="clear" w:color="auto" w:fill="DCE6F2"/>
            <w:tcMar>
              <w:top w:w="15" w:type="dxa"/>
              <w:left w:w="100" w:type="dxa"/>
              <w:bottom w:w="0" w:type="dxa"/>
              <w:right w:w="100" w:type="dxa"/>
            </w:tcMar>
            <w:vAlign w:val="center"/>
          </w:tcPr>
          <w:p w14:paraId="54344539" w14:textId="7B91C224" w:rsidR="002B3A46" w:rsidRPr="00041FEC" w:rsidRDefault="002B3A46" w:rsidP="002B3A46">
            <w:pPr>
              <w:jc w:val="center"/>
              <w:rPr>
                <w:b/>
                <w:bCs/>
                <w:color w:val="C00000"/>
                <w:sz w:val="20"/>
                <w:szCs w:val="20"/>
              </w:rPr>
            </w:pPr>
            <w:r w:rsidRPr="00041FEC">
              <w:rPr>
                <w:b/>
                <w:bCs/>
                <w:color w:val="C00000"/>
                <w:sz w:val="20"/>
                <w:szCs w:val="20"/>
              </w:rPr>
              <w:t>-191,1</w:t>
            </w:r>
          </w:p>
        </w:tc>
        <w:tc>
          <w:tcPr>
            <w:tcW w:w="851" w:type="dxa"/>
            <w:shd w:val="clear" w:color="auto" w:fill="DCE6F2"/>
            <w:tcMar>
              <w:top w:w="15" w:type="dxa"/>
              <w:left w:w="100" w:type="dxa"/>
              <w:bottom w:w="0" w:type="dxa"/>
              <w:right w:w="100" w:type="dxa"/>
            </w:tcMar>
            <w:vAlign w:val="center"/>
          </w:tcPr>
          <w:p w14:paraId="7450831B" w14:textId="21D1CDAD" w:rsidR="002B3A46" w:rsidRPr="00041FEC" w:rsidRDefault="002B3A46" w:rsidP="002B3A46">
            <w:pPr>
              <w:jc w:val="center"/>
              <w:rPr>
                <w:b/>
                <w:bCs/>
                <w:color w:val="C00000"/>
                <w:sz w:val="20"/>
                <w:szCs w:val="20"/>
              </w:rPr>
            </w:pPr>
            <w:r w:rsidRPr="00041FEC">
              <w:rPr>
                <w:b/>
                <w:bCs/>
                <w:color w:val="C00000"/>
                <w:sz w:val="20"/>
                <w:szCs w:val="20"/>
              </w:rPr>
              <w:t>-254,0</w:t>
            </w:r>
          </w:p>
        </w:tc>
        <w:tc>
          <w:tcPr>
            <w:tcW w:w="851" w:type="dxa"/>
            <w:shd w:val="clear" w:color="auto" w:fill="DCE6F2"/>
            <w:tcMar>
              <w:top w:w="15" w:type="dxa"/>
              <w:left w:w="100" w:type="dxa"/>
              <w:bottom w:w="0" w:type="dxa"/>
              <w:right w:w="100" w:type="dxa"/>
            </w:tcMar>
            <w:vAlign w:val="center"/>
          </w:tcPr>
          <w:p w14:paraId="4FC2961F" w14:textId="08CC1D39" w:rsidR="002B3A46" w:rsidRPr="00041FEC" w:rsidRDefault="002B3A46" w:rsidP="002B3A46">
            <w:pPr>
              <w:jc w:val="center"/>
              <w:rPr>
                <w:b/>
                <w:bCs/>
                <w:color w:val="C00000"/>
                <w:sz w:val="20"/>
                <w:szCs w:val="20"/>
              </w:rPr>
            </w:pPr>
            <w:r w:rsidRPr="00041FEC">
              <w:rPr>
                <w:b/>
                <w:bCs/>
                <w:color w:val="C00000"/>
                <w:sz w:val="20"/>
                <w:szCs w:val="20"/>
              </w:rPr>
              <w:t>-287,5</w:t>
            </w:r>
          </w:p>
        </w:tc>
        <w:tc>
          <w:tcPr>
            <w:tcW w:w="851" w:type="dxa"/>
            <w:shd w:val="clear" w:color="auto" w:fill="DCE6F2"/>
            <w:tcMar>
              <w:top w:w="15" w:type="dxa"/>
              <w:left w:w="100" w:type="dxa"/>
              <w:bottom w:w="0" w:type="dxa"/>
              <w:right w:w="100" w:type="dxa"/>
            </w:tcMar>
            <w:vAlign w:val="center"/>
          </w:tcPr>
          <w:p w14:paraId="77061214" w14:textId="1989D01A" w:rsidR="002B3A46" w:rsidRPr="00041FEC" w:rsidRDefault="002B3A46" w:rsidP="002B3A46">
            <w:pPr>
              <w:jc w:val="center"/>
              <w:rPr>
                <w:b/>
                <w:bCs/>
                <w:color w:val="C00000"/>
                <w:sz w:val="20"/>
                <w:szCs w:val="20"/>
              </w:rPr>
            </w:pPr>
            <w:r w:rsidRPr="00041FEC">
              <w:rPr>
                <w:b/>
                <w:bCs/>
                <w:color w:val="C00000"/>
                <w:sz w:val="20"/>
                <w:szCs w:val="20"/>
              </w:rPr>
              <w:t>-293,2</w:t>
            </w:r>
          </w:p>
        </w:tc>
      </w:tr>
      <w:tr w:rsidR="00E43591" w:rsidRPr="007E5CF8" w14:paraId="77723FE4" w14:textId="77777777" w:rsidTr="00D07F6F">
        <w:trPr>
          <w:trHeight w:val="654"/>
        </w:trPr>
        <w:tc>
          <w:tcPr>
            <w:tcW w:w="709" w:type="dxa"/>
            <w:shd w:val="clear" w:color="auto" w:fill="FFFFFF"/>
            <w:tcMar>
              <w:top w:w="15" w:type="dxa"/>
              <w:left w:w="100" w:type="dxa"/>
              <w:bottom w:w="0" w:type="dxa"/>
              <w:right w:w="100" w:type="dxa"/>
            </w:tcMar>
            <w:vAlign w:val="center"/>
            <w:hideMark/>
          </w:tcPr>
          <w:p w14:paraId="2ACE49D3" w14:textId="77777777" w:rsidR="00E43591" w:rsidRPr="007E5CF8" w:rsidRDefault="00E43591" w:rsidP="00E43591">
            <w:pPr>
              <w:jc w:val="center"/>
              <w:rPr>
                <w:iCs/>
                <w:sz w:val="20"/>
                <w:szCs w:val="20"/>
              </w:rPr>
            </w:pPr>
            <w:r w:rsidRPr="007E5CF8">
              <w:rPr>
                <w:iCs/>
                <w:sz w:val="20"/>
                <w:szCs w:val="20"/>
              </w:rPr>
              <w:t>1.1.1.</w:t>
            </w:r>
          </w:p>
        </w:tc>
        <w:tc>
          <w:tcPr>
            <w:tcW w:w="5101" w:type="dxa"/>
            <w:shd w:val="clear" w:color="auto" w:fill="FFFFFF"/>
            <w:tcMar>
              <w:top w:w="15" w:type="dxa"/>
              <w:left w:w="100" w:type="dxa"/>
              <w:bottom w:w="0" w:type="dxa"/>
              <w:right w:w="100" w:type="dxa"/>
            </w:tcMar>
            <w:vAlign w:val="center"/>
            <w:hideMark/>
          </w:tcPr>
          <w:p w14:paraId="46F2F5A0" w14:textId="77777777" w:rsidR="00E43591" w:rsidRPr="007E5CF8" w:rsidRDefault="00E43591" w:rsidP="00E43591">
            <w:pPr>
              <w:rPr>
                <w:iCs/>
                <w:sz w:val="20"/>
                <w:szCs w:val="20"/>
              </w:rPr>
            </w:pPr>
            <w:r w:rsidRPr="007E5CF8">
              <w:rPr>
                <w:iCs/>
                <w:sz w:val="20"/>
                <w:szCs w:val="20"/>
              </w:rPr>
              <w:t>Neapliekamā minimuma (NM) izmaiņas:</w:t>
            </w:r>
          </w:p>
          <w:p w14:paraId="00B5EEC3" w14:textId="4716C140" w:rsidR="00E43591" w:rsidRPr="000E469E" w:rsidRDefault="00E43591" w:rsidP="00E43591">
            <w:pPr>
              <w:pStyle w:val="ListParagraph"/>
              <w:numPr>
                <w:ilvl w:val="0"/>
                <w:numId w:val="7"/>
              </w:numPr>
              <w:tabs>
                <w:tab w:val="clear" w:pos="720"/>
                <w:tab w:val="num" w:pos="353"/>
              </w:tabs>
              <w:ind w:left="353" w:hanging="284"/>
              <w:rPr>
                <w:iCs/>
                <w:sz w:val="18"/>
                <w:szCs w:val="18"/>
              </w:rPr>
            </w:pPr>
            <w:r w:rsidRPr="000E469E">
              <w:rPr>
                <w:b/>
                <w:bCs/>
                <w:iCs/>
                <w:sz w:val="18"/>
                <w:szCs w:val="18"/>
              </w:rPr>
              <w:t>2025.</w:t>
            </w:r>
            <w:r w:rsidR="002D73B1">
              <w:rPr>
                <w:b/>
                <w:bCs/>
                <w:iCs/>
                <w:sz w:val="18"/>
                <w:szCs w:val="18"/>
              </w:rPr>
              <w:t> </w:t>
            </w:r>
            <w:r w:rsidRPr="000E469E">
              <w:rPr>
                <w:b/>
                <w:bCs/>
                <w:iCs/>
                <w:sz w:val="18"/>
                <w:szCs w:val="18"/>
              </w:rPr>
              <w:t xml:space="preserve">gadā </w:t>
            </w:r>
            <w:r w:rsidRPr="000E469E">
              <w:rPr>
                <w:iCs/>
                <w:sz w:val="18"/>
                <w:szCs w:val="18"/>
              </w:rPr>
              <w:t xml:space="preserve">fiksētā NM ieviešana </w:t>
            </w:r>
            <w:r w:rsidRPr="000E469E">
              <w:rPr>
                <w:b/>
                <w:bCs/>
                <w:iCs/>
                <w:color w:val="FF0000"/>
                <w:sz w:val="18"/>
                <w:szCs w:val="18"/>
              </w:rPr>
              <w:t>5</w:t>
            </w:r>
            <w:r>
              <w:rPr>
                <w:b/>
                <w:bCs/>
                <w:iCs/>
                <w:color w:val="FF0000"/>
                <w:sz w:val="18"/>
                <w:szCs w:val="18"/>
              </w:rPr>
              <w:t>1</w:t>
            </w:r>
            <w:r w:rsidRPr="000E469E">
              <w:rPr>
                <w:b/>
                <w:bCs/>
                <w:iCs/>
                <w:color w:val="FF0000"/>
                <w:sz w:val="18"/>
                <w:szCs w:val="18"/>
              </w:rPr>
              <w:t>0</w:t>
            </w:r>
            <w:r w:rsidRPr="000E469E">
              <w:rPr>
                <w:iCs/>
                <w:color w:val="FF0000"/>
                <w:sz w:val="18"/>
                <w:szCs w:val="18"/>
              </w:rPr>
              <w:t xml:space="preserve"> </w:t>
            </w:r>
            <w:r w:rsidRPr="000E469E">
              <w:rPr>
                <w:i/>
                <w:sz w:val="18"/>
                <w:szCs w:val="18"/>
              </w:rPr>
              <w:t>euro</w:t>
            </w:r>
            <w:r w:rsidRPr="000E469E">
              <w:rPr>
                <w:iCs/>
                <w:sz w:val="18"/>
                <w:szCs w:val="18"/>
              </w:rPr>
              <w:t xml:space="preserve"> mēnesī;</w:t>
            </w:r>
          </w:p>
          <w:p w14:paraId="4467CFAF" w14:textId="2BABB404" w:rsidR="00E43591" w:rsidRPr="000E469E" w:rsidRDefault="00E43591" w:rsidP="00E43591">
            <w:pPr>
              <w:pStyle w:val="ListParagraph"/>
              <w:numPr>
                <w:ilvl w:val="0"/>
                <w:numId w:val="7"/>
              </w:numPr>
              <w:tabs>
                <w:tab w:val="clear" w:pos="720"/>
                <w:tab w:val="num" w:pos="353"/>
              </w:tabs>
              <w:ind w:left="353" w:hanging="284"/>
              <w:rPr>
                <w:iCs/>
                <w:sz w:val="18"/>
                <w:szCs w:val="18"/>
              </w:rPr>
            </w:pPr>
            <w:r w:rsidRPr="000E469E">
              <w:rPr>
                <w:b/>
                <w:bCs/>
                <w:iCs/>
                <w:sz w:val="18"/>
                <w:szCs w:val="18"/>
              </w:rPr>
              <w:t>2026.</w:t>
            </w:r>
            <w:r w:rsidR="002D73B1">
              <w:rPr>
                <w:b/>
                <w:bCs/>
                <w:iCs/>
                <w:sz w:val="18"/>
                <w:szCs w:val="18"/>
              </w:rPr>
              <w:t> </w:t>
            </w:r>
            <w:r w:rsidRPr="000E469E">
              <w:rPr>
                <w:b/>
                <w:bCs/>
                <w:iCs/>
                <w:sz w:val="18"/>
                <w:szCs w:val="18"/>
              </w:rPr>
              <w:t xml:space="preserve">gadā </w:t>
            </w:r>
            <w:r w:rsidRPr="000E469E">
              <w:rPr>
                <w:iCs/>
                <w:sz w:val="18"/>
                <w:szCs w:val="18"/>
              </w:rPr>
              <w:t xml:space="preserve">fiksētā NM paaugstināšana </w:t>
            </w:r>
            <w:r>
              <w:rPr>
                <w:iCs/>
                <w:sz w:val="18"/>
                <w:szCs w:val="18"/>
              </w:rPr>
              <w:t xml:space="preserve">uz </w:t>
            </w:r>
            <w:r w:rsidRPr="000E469E">
              <w:rPr>
                <w:b/>
                <w:bCs/>
                <w:iCs/>
                <w:color w:val="FF0000"/>
                <w:sz w:val="18"/>
                <w:szCs w:val="18"/>
              </w:rPr>
              <w:t>5</w:t>
            </w:r>
            <w:r>
              <w:rPr>
                <w:b/>
                <w:bCs/>
                <w:iCs/>
                <w:color w:val="FF0000"/>
                <w:sz w:val="18"/>
                <w:szCs w:val="18"/>
              </w:rPr>
              <w:t>5</w:t>
            </w:r>
            <w:r w:rsidRPr="000E469E">
              <w:rPr>
                <w:b/>
                <w:bCs/>
                <w:iCs/>
                <w:color w:val="FF0000"/>
                <w:sz w:val="18"/>
                <w:szCs w:val="18"/>
              </w:rPr>
              <w:t>0</w:t>
            </w:r>
            <w:r w:rsidRPr="000E469E">
              <w:rPr>
                <w:iCs/>
                <w:color w:val="FF0000"/>
                <w:sz w:val="18"/>
                <w:szCs w:val="18"/>
              </w:rPr>
              <w:t xml:space="preserve"> </w:t>
            </w:r>
            <w:r w:rsidRPr="000E469E">
              <w:rPr>
                <w:i/>
                <w:sz w:val="18"/>
                <w:szCs w:val="18"/>
              </w:rPr>
              <w:t>euro</w:t>
            </w:r>
            <w:r w:rsidRPr="000E469E">
              <w:rPr>
                <w:iCs/>
                <w:sz w:val="18"/>
                <w:szCs w:val="18"/>
              </w:rPr>
              <w:t xml:space="preserve"> mēnesī;</w:t>
            </w:r>
          </w:p>
          <w:p w14:paraId="0B83B9C6" w14:textId="1B13331C" w:rsidR="00E43591" w:rsidRPr="007E5CF8" w:rsidRDefault="00E43591" w:rsidP="00E43591">
            <w:pPr>
              <w:pStyle w:val="ListParagraph"/>
              <w:numPr>
                <w:ilvl w:val="0"/>
                <w:numId w:val="7"/>
              </w:numPr>
              <w:tabs>
                <w:tab w:val="clear" w:pos="720"/>
                <w:tab w:val="num" w:pos="353"/>
              </w:tabs>
              <w:ind w:left="353" w:hanging="284"/>
              <w:rPr>
                <w:i/>
                <w:sz w:val="20"/>
                <w:szCs w:val="20"/>
              </w:rPr>
            </w:pPr>
            <w:r w:rsidRPr="000E469E">
              <w:rPr>
                <w:b/>
                <w:bCs/>
                <w:iCs/>
                <w:sz w:val="18"/>
                <w:szCs w:val="18"/>
              </w:rPr>
              <w:t>2027.</w:t>
            </w:r>
            <w:r w:rsidR="002D73B1">
              <w:rPr>
                <w:b/>
                <w:bCs/>
                <w:iCs/>
                <w:sz w:val="18"/>
                <w:szCs w:val="18"/>
              </w:rPr>
              <w:t> </w:t>
            </w:r>
            <w:r w:rsidRPr="000E469E">
              <w:rPr>
                <w:b/>
                <w:bCs/>
                <w:iCs/>
                <w:sz w:val="18"/>
                <w:szCs w:val="18"/>
              </w:rPr>
              <w:t xml:space="preserve">gadā </w:t>
            </w:r>
            <w:r w:rsidRPr="000E469E">
              <w:rPr>
                <w:iCs/>
                <w:sz w:val="18"/>
                <w:szCs w:val="18"/>
              </w:rPr>
              <w:t xml:space="preserve">fiksētā NM paaugstināšana uz </w:t>
            </w:r>
            <w:r w:rsidRPr="00E43591">
              <w:rPr>
                <w:b/>
                <w:bCs/>
                <w:iCs/>
                <w:color w:val="FF0000"/>
                <w:sz w:val="18"/>
                <w:szCs w:val="18"/>
              </w:rPr>
              <w:t>57</w:t>
            </w:r>
            <w:r w:rsidRPr="000E469E">
              <w:rPr>
                <w:b/>
                <w:bCs/>
                <w:iCs/>
                <w:color w:val="FF0000"/>
                <w:sz w:val="18"/>
                <w:szCs w:val="18"/>
              </w:rPr>
              <w:t>0</w:t>
            </w:r>
            <w:r w:rsidRPr="000E469E">
              <w:rPr>
                <w:iCs/>
                <w:color w:val="FF0000"/>
                <w:sz w:val="18"/>
                <w:szCs w:val="18"/>
              </w:rPr>
              <w:t xml:space="preserve"> </w:t>
            </w:r>
            <w:r w:rsidRPr="000E469E">
              <w:rPr>
                <w:i/>
                <w:sz w:val="18"/>
                <w:szCs w:val="18"/>
              </w:rPr>
              <w:t>euro</w:t>
            </w:r>
            <w:r w:rsidRPr="000E469E">
              <w:rPr>
                <w:iCs/>
                <w:sz w:val="18"/>
                <w:szCs w:val="18"/>
              </w:rPr>
              <w:t xml:space="preserve"> mēnesī</w:t>
            </w:r>
            <w:r>
              <w:rPr>
                <w:iCs/>
                <w:sz w:val="18"/>
                <w:szCs w:val="18"/>
              </w:rPr>
              <w:t>.</w:t>
            </w:r>
            <w:r w:rsidRPr="007E5CF8">
              <w:rPr>
                <w:i/>
                <w:sz w:val="20"/>
                <w:szCs w:val="20"/>
              </w:rPr>
              <w:t xml:space="preserve"> </w:t>
            </w:r>
          </w:p>
        </w:tc>
        <w:tc>
          <w:tcPr>
            <w:tcW w:w="851" w:type="dxa"/>
            <w:shd w:val="clear" w:color="auto" w:fill="FFFFFF"/>
            <w:tcMar>
              <w:top w:w="15" w:type="dxa"/>
              <w:left w:w="100" w:type="dxa"/>
              <w:bottom w:w="0" w:type="dxa"/>
              <w:right w:w="100" w:type="dxa"/>
            </w:tcMar>
            <w:vAlign w:val="center"/>
            <w:hideMark/>
          </w:tcPr>
          <w:p w14:paraId="577A9ED2" w14:textId="7B59ABE0" w:rsidR="00E43591" w:rsidRPr="002D73B1" w:rsidRDefault="00E43591" w:rsidP="00E43591">
            <w:pPr>
              <w:jc w:val="center"/>
              <w:rPr>
                <w:iCs/>
                <w:color w:val="C00000"/>
                <w:sz w:val="20"/>
                <w:szCs w:val="20"/>
              </w:rPr>
            </w:pPr>
            <w:r w:rsidRPr="002D73B1">
              <w:rPr>
                <w:color w:val="C00000"/>
                <w:sz w:val="20"/>
                <w:szCs w:val="20"/>
              </w:rPr>
              <w:t>-449,9</w:t>
            </w:r>
          </w:p>
        </w:tc>
        <w:tc>
          <w:tcPr>
            <w:tcW w:w="851" w:type="dxa"/>
            <w:shd w:val="clear" w:color="auto" w:fill="FFFFFF"/>
            <w:tcMar>
              <w:top w:w="15" w:type="dxa"/>
              <w:left w:w="100" w:type="dxa"/>
              <w:bottom w:w="0" w:type="dxa"/>
              <w:right w:w="100" w:type="dxa"/>
            </w:tcMar>
            <w:vAlign w:val="center"/>
            <w:hideMark/>
          </w:tcPr>
          <w:p w14:paraId="162BB97B" w14:textId="057F17FF" w:rsidR="00E43591" w:rsidRPr="002D73B1" w:rsidRDefault="00E43591" w:rsidP="00E43591">
            <w:pPr>
              <w:jc w:val="center"/>
              <w:rPr>
                <w:iCs/>
                <w:color w:val="C00000"/>
                <w:sz w:val="20"/>
                <w:szCs w:val="20"/>
              </w:rPr>
            </w:pPr>
            <w:r w:rsidRPr="002D73B1">
              <w:rPr>
                <w:color w:val="C00000"/>
                <w:sz w:val="20"/>
                <w:szCs w:val="20"/>
              </w:rPr>
              <w:t>-568,4</w:t>
            </w:r>
          </w:p>
        </w:tc>
        <w:tc>
          <w:tcPr>
            <w:tcW w:w="851" w:type="dxa"/>
            <w:shd w:val="clear" w:color="auto" w:fill="FFFFFF"/>
            <w:tcMar>
              <w:top w:w="15" w:type="dxa"/>
              <w:left w:w="100" w:type="dxa"/>
              <w:bottom w:w="0" w:type="dxa"/>
              <w:right w:w="100" w:type="dxa"/>
            </w:tcMar>
            <w:vAlign w:val="center"/>
            <w:hideMark/>
          </w:tcPr>
          <w:p w14:paraId="26775956" w14:textId="5AFBC517" w:rsidR="00E43591" w:rsidRPr="002D73B1" w:rsidRDefault="00E43591" w:rsidP="00E43591">
            <w:pPr>
              <w:jc w:val="center"/>
              <w:rPr>
                <w:iCs/>
                <w:color w:val="C00000"/>
                <w:sz w:val="20"/>
                <w:szCs w:val="20"/>
              </w:rPr>
            </w:pPr>
            <w:r w:rsidRPr="002D73B1">
              <w:rPr>
                <w:color w:val="C00000"/>
                <w:sz w:val="20"/>
                <w:szCs w:val="20"/>
              </w:rPr>
              <w:t>-616,8</w:t>
            </w:r>
          </w:p>
        </w:tc>
        <w:tc>
          <w:tcPr>
            <w:tcW w:w="851" w:type="dxa"/>
            <w:shd w:val="clear" w:color="auto" w:fill="FFFFFF"/>
            <w:tcMar>
              <w:top w:w="15" w:type="dxa"/>
              <w:left w:w="100" w:type="dxa"/>
              <w:bottom w:w="0" w:type="dxa"/>
              <w:right w:w="100" w:type="dxa"/>
            </w:tcMar>
            <w:vAlign w:val="center"/>
            <w:hideMark/>
          </w:tcPr>
          <w:p w14:paraId="4BAAEDD1" w14:textId="29F8AFB6" w:rsidR="00E43591" w:rsidRPr="002D73B1" w:rsidRDefault="00E43591" w:rsidP="00E43591">
            <w:pPr>
              <w:jc w:val="center"/>
              <w:rPr>
                <w:iCs/>
                <w:color w:val="C00000"/>
                <w:sz w:val="20"/>
                <w:szCs w:val="20"/>
              </w:rPr>
            </w:pPr>
            <w:r w:rsidRPr="002D73B1">
              <w:rPr>
                <w:color w:val="C00000"/>
                <w:sz w:val="20"/>
                <w:szCs w:val="20"/>
              </w:rPr>
              <w:t>-633,4</w:t>
            </w:r>
          </w:p>
        </w:tc>
      </w:tr>
      <w:tr w:rsidR="00E43591" w:rsidRPr="007E5CF8" w14:paraId="3B759109" w14:textId="77777777" w:rsidTr="00D07F6F">
        <w:trPr>
          <w:trHeight w:val="495"/>
        </w:trPr>
        <w:tc>
          <w:tcPr>
            <w:tcW w:w="709" w:type="dxa"/>
            <w:shd w:val="clear" w:color="auto" w:fill="FFFFFF"/>
            <w:tcMar>
              <w:top w:w="15" w:type="dxa"/>
              <w:left w:w="100" w:type="dxa"/>
              <w:bottom w:w="0" w:type="dxa"/>
              <w:right w:w="100" w:type="dxa"/>
            </w:tcMar>
            <w:vAlign w:val="center"/>
            <w:hideMark/>
          </w:tcPr>
          <w:p w14:paraId="750A0D47" w14:textId="77777777" w:rsidR="00E43591" w:rsidRPr="007E5CF8" w:rsidRDefault="00E43591" w:rsidP="00E43591">
            <w:pPr>
              <w:jc w:val="center"/>
              <w:rPr>
                <w:iCs/>
                <w:sz w:val="20"/>
                <w:szCs w:val="20"/>
              </w:rPr>
            </w:pPr>
            <w:r w:rsidRPr="007E5CF8">
              <w:rPr>
                <w:iCs/>
                <w:sz w:val="20"/>
                <w:szCs w:val="20"/>
              </w:rPr>
              <w:t>1.1.2.</w:t>
            </w:r>
          </w:p>
        </w:tc>
        <w:tc>
          <w:tcPr>
            <w:tcW w:w="5101" w:type="dxa"/>
            <w:shd w:val="clear" w:color="auto" w:fill="FFFFFF"/>
            <w:tcMar>
              <w:top w:w="15" w:type="dxa"/>
              <w:left w:w="100" w:type="dxa"/>
              <w:bottom w:w="0" w:type="dxa"/>
              <w:right w:w="100" w:type="dxa"/>
            </w:tcMar>
            <w:vAlign w:val="center"/>
            <w:hideMark/>
          </w:tcPr>
          <w:p w14:paraId="1DAC5BF3" w14:textId="77777777" w:rsidR="00E43591" w:rsidRPr="007E5CF8" w:rsidRDefault="00E43591" w:rsidP="00E43591">
            <w:pPr>
              <w:rPr>
                <w:iCs/>
                <w:sz w:val="20"/>
                <w:szCs w:val="20"/>
              </w:rPr>
            </w:pPr>
            <w:r w:rsidRPr="007E5CF8">
              <w:rPr>
                <w:iCs/>
                <w:sz w:val="20"/>
                <w:szCs w:val="20"/>
              </w:rPr>
              <w:t>IIN likmju un ienākumu sliekšņu izmaiņas:</w:t>
            </w:r>
          </w:p>
          <w:p w14:paraId="5D3F4037" w14:textId="733CB600" w:rsidR="00E43591" w:rsidRPr="000E469E" w:rsidRDefault="00E43591" w:rsidP="00E43591">
            <w:pPr>
              <w:pStyle w:val="ListParagraph"/>
              <w:numPr>
                <w:ilvl w:val="0"/>
                <w:numId w:val="7"/>
              </w:numPr>
              <w:tabs>
                <w:tab w:val="clear" w:pos="720"/>
                <w:tab w:val="num" w:pos="353"/>
              </w:tabs>
              <w:ind w:hanging="720"/>
              <w:rPr>
                <w:iCs/>
                <w:sz w:val="18"/>
                <w:szCs w:val="18"/>
              </w:rPr>
            </w:pPr>
            <w:r w:rsidRPr="000E469E">
              <w:rPr>
                <w:b/>
                <w:bCs/>
                <w:iCs/>
                <w:sz w:val="18"/>
                <w:szCs w:val="18"/>
              </w:rPr>
              <w:t>no 202</w:t>
            </w:r>
            <w:r>
              <w:rPr>
                <w:b/>
                <w:bCs/>
                <w:iCs/>
                <w:sz w:val="18"/>
                <w:szCs w:val="18"/>
              </w:rPr>
              <w:t>5</w:t>
            </w:r>
            <w:r w:rsidRPr="000E469E">
              <w:rPr>
                <w:b/>
                <w:bCs/>
                <w:iCs/>
                <w:sz w:val="18"/>
                <w:szCs w:val="18"/>
              </w:rPr>
              <w:t>.</w:t>
            </w:r>
            <w:r w:rsidR="002D73B1">
              <w:rPr>
                <w:b/>
                <w:bCs/>
                <w:iCs/>
                <w:sz w:val="18"/>
                <w:szCs w:val="18"/>
              </w:rPr>
              <w:t> </w:t>
            </w:r>
            <w:r w:rsidRPr="000E469E">
              <w:rPr>
                <w:b/>
                <w:bCs/>
                <w:iCs/>
                <w:sz w:val="18"/>
                <w:szCs w:val="18"/>
              </w:rPr>
              <w:t xml:space="preserve">gada tiek ieviesta </w:t>
            </w:r>
            <w:r>
              <w:rPr>
                <w:b/>
                <w:bCs/>
                <w:iCs/>
                <w:sz w:val="18"/>
                <w:szCs w:val="18"/>
              </w:rPr>
              <w:t>2</w:t>
            </w:r>
            <w:r w:rsidRPr="000E469E">
              <w:rPr>
                <w:b/>
                <w:bCs/>
                <w:iCs/>
                <w:sz w:val="18"/>
                <w:szCs w:val="18"/>
              </w:rPr>
              <w:t xml:space="preserve"> pakāpju likmju sistēma</w:t>
            </w:r>
            <w:r>
              <w:rPr>
                <w:b/>
                <w:bCs/>
                <w:iCs/>
                <w:sz w:val="18"/>
                <w:szCs w:val="18"/>
              </w:rPr>
              <w:t>:</w:t>
            </w:r>
          </w:p>
          <w:p w14:paraId="7C3AF5EA" w14:textId="2ADDC67D" w:rsidR="00E43591" w:rsidRDefault="00E43591" w:rsidP="00E43591">
            <w:pPr>
              <w:pStyle w:val="ListParagraph"/>
              <w:numPr>
                <w:ilvl w:val="0"/>
                <w:numId w:val="10"/>
              </w:numPr>
              <w:ind w:left="636" w:hanging="283"/>
              <w:rPr>
                <w:iCs/>
                <w:sz w:val="18"/>
                <w:szCs w:val="18"/>
              </w:rPr>
            </w:pPr>
            <w:r w:rsidRPr="000E469E">
              <w:rPr>
                <w:b/>
                <w:bCs/>
                <w:iCs/>
                <w:color w:val="FF0000"/>
                <w:sz w:val="18"/>
                <w:szCs w:val="18"/>
              </w:rPr>
              <w:t>2</w:t>
            </w:r>
            <w:r>
              <w:rPr>
                <w:b/>
                <w:bCs/>
                <w:iCs/>
                <w:color w:val="FF0000"/>
                <w:sz w:val="18"/>
                <w:szCs w:val="18"/>
              </w:rPr>
              <w:t>5,5</w:t>
            </w:r>
            <w:r w:rsidRPr="000E469E">
              <w:rPr>
                <w:b/>
                <w:bCs/>
                <w:iCs/>
                <w:color w:val="FF0000"/>
                <w:sz w:val="18"/>
                <w:szCs w:val="18"/>
              </w:rPr>
              <w:t>%</w:t>
            </w:r>
            <w:r w:rsidRPr="000E469E">
              <w:rPr>
                <w:b/>
                <w:bCs/>
                <w:iCs/>
                <w:sz w:val="18"/>
                <w:szCs w:val="18"/>
              </w:rPr>
              <w:t xml:space="preserve"> </w:t>
            </w:r>
            <w:r w:rsidRPr="000E469E">
              <w:rPr>
                <w:iCs/>
                <w:sz w:val="18"/>
                <w:szCs w:val="18"/>
              </w:rPr>
              <w:t xml:space="preserve">ienākumam līdz </w:t>
            </w:r>
            <w:r w:rsidRPr="000E469E">
              <w:rPr>
                <w:b/>
                <w:bCs/>
                <w:iCs/>
                <w:sz w:val="18"/>
                <w:szCs w:val="18"/>
              </w:rPr>
              <w:t xml:space="preserve">105 300 </w:t>
            </w:r>
            <w:r w:rsidRPr="000E469E">
              <w:rPr>
                <w:i/>
                <w:sz w:val="18"/>
                <w:szCs w:val="18"/>
              </w:rPr>
              <w:t>euro</w:t>
            </w:r>
            <w:r w:rsidRPr="000E469E">
              <w:rPr>
                <w:b/>
                <w:bCs/>
                <w:iCs/>
                <w:sz w:val="18"/>
                <w:szCs w:val="18"/>
              </w:rPr>
              <w:t xml:space="preserve"> </w:t>
            </w:r>
            <w:r w:rsidRPr="000E469E">
              <w:rPr>
                <w:iCs/>
                <w:sz w:val="18"/>
                <w:szCs w:val="18"/>
              </w:rPr>
              <w:t>gadā;</w:t>
            </w:r>
          </w:p>
          <w:p w14:paraId="6F947FE8" w14:textId="534A549C" w:rsidR="00E43591" w:rsidRPr="000E469E" w:rsidRDefault="00E43591" w:rsidP="00E43591">
            <w:pPr>
              <w:pStyle w:val="ListParagraph"/>
              <w:numPr>
                <w:ilvl w:val="0"/>
                <w:numId w:val="10"/>
              </w:numPr>
              <w:ind w:left="636" w:hanging="283"/>
              <w:rPr>
                <w:iCs/>
                <w:sz w:val="18"/>
                <w:szCs w:val="18"/>
              </w:rPr>
            </w:pPr>
            <w:r w:rsidRPr="000E469E">
              <w:rPr>
                <w:b/>
                <w:bCs/>
                <w:iCs/>
                <w:color w:val="FF0000"/>
                <w:sz w:val="18"/>
                <w:szCs w:val="18"/>
              </w:rPr>
              <w:t>3</w:t>
            </w:r>
            <w:r>
              <w:rPr>
                <w:b/>
                <w:bCs/>
                <w:iCs/>
                <w:color w:val="FF0000"/>
                <w:sz w:val="18"/>
                <w:szCs w:val="18"/>
              </w:rPr>
              <w:t>3</w:t>
            </w:r>
            <w:r w:rsidRPr="000E469E">
              <w:rPr>
                <w:b/>
                <w:bCs/>
                <w:iCs/>
                <w:color w:val="FF0000"/>
                <w:sz w:val="18"/>
                <w:szCs w:val="18"/>
              </w:rPr>
              <w:t xml:space="preserve">% </w:t>
            </w:r>
            <w:r w:rsidRPr="000E469E">
              <w:rPr>
                <w:iCs/>
                <w:sz w:val="18"/>
                <w:szCs w:val="18"/>
              </w:rPr>
              <w:t xml:space="preserve">ienākumam virs </w:t>
            </w:r>
            <w:r w:rsidRPr="000E469E">
              <w:rPr>
                <w:b/>
                <w:bCs/>
                <w:iCs/>
                <w:sz w:val="18"/>
                <w:szCs w:val="18"/>
              </w:rPr>
              <w:t xml:space="preserve">105 300 </w:t>
            </w:r>
            <w:r w:rsidRPr="000E469E">
              <w:rPr>
                <w:i/>
                <w:sz w:val="18"/>
                <w:szCs w:val="18"/>
              </w:rPr>
              <w:t>euro</w:t>
            </w:r>
            <w:r w:rsidRPr="000E469E">
              <w:rPr>
                <w:b/>
                <w:bCs/>
                <w:iCs/>
                <w:sz w:val="18"/>
                <w:szCs w:val="18"/>
              </w:rPr>
              <w:t xml:space="preserve"> </w:t>
            </w:r>
            <w:r w:rsidRPr="000E469E">
              <w:rPr>
                <w:iCs/>
                <w:sz w:val="18"/>
                <w:szCs w:val="18"/>
              </w:rPr>
              <w:t>gadā.</w:t>
            </w:r>
          </w:p>
        </w:tc>
        <w:tc>
          <w:tcPr>
            <w:tcW w:w="851" w:type="dxa"/>
            <w:shd w:val="clear" w:color="auto" w:fill="FFFFFF"/>
            <w:tcMar>
              <w:top w:w="15" w:type="dxa"/>
              <w:left w:w="100" w:type="dxa"/>
              <w:bottom w:w="0" w:type="dxa"/>
              <w:right w:w="100" w:type="dxa"/>
            </w:tcMar>
            <w:vAlign w:val="center"/>
            <w:hideMark/>
          </w:tcPr>
          <w:p w14:paraId="2EFBCDA2" w14:textId="0595A512" w:rsidR="00E43591" w:rsidRPr="002D73B1" w:rsidRDefault="00E43591" w:rsidP="00E43591">
            <w:pPr>
              <w:jc w:val="center"/>
              <w:rPr>
                <w:iCs/>
                <w:sz w:val="20"/>
                <w:szCs w:val="20"/>
              </w:rPr>
            </w:pPr>
            <w:r w:rsidRPr="002D73B1">
              <w:rPr>
                <w:color w:val="00B050"/>
                <w:sz w:val="20"/>
                <w:szCs w:val="20"/>
              </w:rPr>
              <w:t>352,9</w:t>
            </w:r>
          </w:p>
        </w:tc>
        <w:tc>
          <w:tcPr>
            <w:tcW w:w="851" w:type="dxa"/>
            <w:shd w:val="clear" w:color="auto" w:fill="FFFFFF"/>
            <w:tcMar>
              <w:top w:w="15" w:type="dxa"/>
              <w:left w:w="100" w:type="dxa"/>
              <w:bottom w:w="0" w:type="dxa"/>
              <w:right w:w="100" w:type="dxa"/>
            </w:tcMar>
            <w:vAlign w:val="center"/>
            <w:hideMark/>
          </w:tcPr>
          <w:p w14:paraId="0D0C9E7D" w14:textId="31A5DFCA" w:rsidR="00E43591" w:rsidRPr="002D73B1" w:rsidRDefault="00E43591" w:rsidP="00E43591">
            <w:pPr>
              <w:jc w:val="center"/>
              <w:rPr>
                <w:iCs/>
                <w:color w:val="00B050"/>
                <w:sz w:val="20"/>
                <w:szCs w:val="20"/>
              </w:rPr>
            </w:pPr>
            <w:r w:rsidRPr="002D73B1">
              <w:rPr>
                <w:color w:val="00B050"/>
                <w:sz w:val="20"/>
                <w:szCs w:val="20"/>
              </w:rPr>
              <w:t>409,7</w:t>
            </w:r>
          </w:p>
        </w:tc>
        <w:tc>
          <w:tcPr>
            <w:tcW w:w="851" w:type="dxa"/>
            <w:shd w:val="clear" w:color="auto" w:fill="FFFFFF"/>
            <w:tcMar>
              <w:top w:w="15" w:type="dxa"/>
              <w:left w:w="100" w:type="dxa"/>
              <w:bottom w:w="0" w:type="dxa"/>
              <w:right w:w="100" w:type="dxa"/>
            </w:tcMar>
            <w:vAlign w:val="center"/>
            <w:hideMark/>
          </w:tcPr>
          <w:p w14:paraId="3828E4B2" w14:textId="30A3689D" w:rsidR="00E43591" w:rsidRPr="002D73B1" w:rsidRDefault="00E43591" w:rsidP="00E43591">
            <w:pPr>
              <w:jc w:val="center"/>
              <w:rPr>
                <w:iCs/>
                <w:color w:val="00B050"/>
                <w:sz w:val="20"/>
                <w:szCs w:val="20"/>
              </w:rPr>
            </w:pPr>
            <w:r w:rsidRPr="002D73B1">
              <w:rPr>
                <w:color w:val="00B050"/>
                <w:sz w:val="20"/>
                <w:szCs w:val="20"/>
              </w:rPr>
              <w:t>430,6</w:t>
            </w:r>
          </w:p>
        </w:tc>
        <w:tc>
          <w:tcPr>
            <w:tcW w:w="851" w:type="dxa"/>
            <w:shd w:val="clear" w:color="auto" w:fill="FFFFFF"/>
            <w:tcMar>
              <w:top w:w="15" w:type="dxa"/>
              <w:left w:w="100" w:type="dxa"/>
              <w:bottom w:w="0" w:type="dxa"/>
              <w:right w:w="100" w:type="dxa"/>
            </w:tcMar>
            <w:vAlign w:val="center"/>
            <w:hideMark/>
          </w:tcPr>
          <w:p w14:paraId="13DA5EDA" w14:textId="4A80421F" w:rsidR="00E43591" w:rsidRPr="002D73B1" w:rsidRDefault="00E43591" w:rsidP="00E43591">
            <w:pPr>
              <w:jc w:val="center"/>
              <w:rPr>
                <w:iCs/>
                <w:color w:val="00B050"/>
                <w:sz w:val="20"/>
                <w:szCs w:val="20"/>
              </w:rPr>
            </w:pPr>
            <w:r w:rsidRPr="002D73B1">
              <w:rPr>
                <w:color w:val="00B050"/>
                <w:sz w:val="20"/>
                <w:szCs w:val="20"/>
              </w:rPr>
              <w:t>451,8</w:t>
            </w:r>
          </w:p>
        </w:tc>
      </w:tr>
      <w:tr w:rsidR="002B3A46" w:rsidRPr="007E5CF8" w14:paraId="1A55071B" w14:textId="77777777" w:rsidTr="00D07F6F">
        <w:trPr>
          <w:trHeight w:val="495"/>
        </w:trPr>
        <w:tc>
          <w:tcPr>
            <w:tcW w:w="709" w:type="dxa"/>
            <w:shd w:val="clear" w:color="auto" w:fill="FFFFFF"/>
            <w:tcMar>
              <w:top w:w="15" w:type="dxa"/>
              <w:left w:w="100" w:type="dxa"/>
              <w:bottom w:w="0" w:type="dxa"/>
              <w:right w:w="100" w:type="dxa"/>
            </w:tcMar>
            <w:vAlign w:val="center"/>
            <w:hideMark/>
          </w:tcPr>
          <w:p w14:paraId="2849D6D2" w14:textId="77777777" w:rsidR="002B3A46" w:rsidRPr="007E5CF8" w:rsidRDefault="002B3A46" w:rsidP="002B3A46">
            <w:pPr>
              <w:jc w:val="center"/>
              <w:rPr>
                <w:iCs/>
                <w:sz w:val="20"/>
                <w:szCs w:val="20"/>
              </w:rPr>
            </w:pPr>
            <w:r w:rsidRPr="007E5CF8">
              <w:rPr>
                <w:iCs/>
                <w:sz w:val="20"/>
                <w:szCs w:val="20"/>
              </w:rPr>
              <w:t>1.1.3.</w:t>
            </w:r>
          </w:p>
        </w:tc>
        <w:tc>
          <w:tcPr>
            <w:tcW w:w="5101" w:type="dxa"/>
            <w:shd w:val="clear" w:color="auto" w:fill="FFFFFF"/>
            <w:tcMar>
              <w:top w:w="15" w:type="dxa"/>
              <w:left w:w="100" w:type="dxa"/>
              <w:bottom w:w="0" w:type="dxa"/>
              <w:right w:w="100" w:type="dxa"/>
            </w:tcMar>
            <w:vAlign w:val="center"/>
            <w:hideMark/>
          </w:tcPr>
          <w:p w14:paraId="33C2F3E2" w14:textId="77777777" w:rsidR="002B3A46" w:rsidRPr="007E5CF8" w:rsidRDefault="002B3A46" w:rsidP="002B3A46">
            <w:pPr>
              <w:rPr>
                <w:iCs/>
                <w:sz w:val="20"/>
                <w:szCs w:val="20"/>
              </w:rPr>
            </w:pPr>
            <w:r w:rsidRPr="007E5CF8">
              <w:rPr>
                <w:iCs/>
                <w:sz w:val="20"/>
                <w:szCs w:val="20"/>
              </w:rPr>
              <w:t>Pensionāra neapliekamā minimuma paaugstināšana:</w:t>
            </w:r>
          </w:p>
          <w:p w14:paraId="44D1A301" w14:textId="0BAEF700" w:rsidR="002B3A46" w:rsidRPr="00E43591" w:rsidRDefault="002B3A46" w:rsidP="002B3A46">
            <w:pPr>
              <w:pStyle w:val="ListParagraph"/>
              <w:numPr>
                <w:ilvl w:val="0"/>
                <w:numId w:val="8"/>
              </w:numPr>
              <w:tabs>
                <w:tab w:val="clear" w:pos="720"/>
                <w:tab w:val="num" w:pos="353"/>
              </w:tabs>
              <w:ind w:left="211" w:hanging="211"/>
              <w:rPr>
                <w:iCs/>
                <w:sz w:val="18"/>
                <w:szCs w:val="18"/>
              </w:rPr>
            </w:pPr>
            <w:r w:rsidRPr="000E469E">
              <w:rPr>
                <w:b/>
                <w:bCs/>
                <w:iCs/>
                <w:sz w:val="18"/>
                <w:szCs w:val="18"/>
              </w:rPr>
              <w:t>202</w:t>
            </w:r>
            <w:r>
              <w:rPr>
                <w:b/>
                <w:bCs/>
                <w:iCs/>
                <w:sz w:val="18"/>
                <w:szCs w:val="18"/>
              </w:rPr>
              <w:t>5</w:t>
            </w:r>
            <w:r w:rsidRPr="000E469E">
              <w:rPr>
                <w:b/>
                <w:bCs/>
                <w:iCs/>
                <w:sz w:val="18"/>
                <w:szCs w:val="18"/>
              </w:rPr>
              <w:t>.</w:t>
            </w:r>
            <w:r>
              <w:rPr>
                <w:b/>
                <w:bCs/>
                <w:iCs/>
                <w:sz w:val="18"/>
                <w:szCs w:val="18"/>
              </w:rPr>
              <w:t> </w:t>
            </w:r>
            <w:r w:rsidRPr="000E469E">
              <w:rPr>
                <w:b/>
                <w:bCs/>
                <w:iCs/>
                <w:sz w:val="18"/>
                <w:szCs w:val="18"/>
              </w:rPr>
              <w:t xml:space="preserve">gadā </w:t>
            </w:r>
            <w:r w:rsidRPr="000E469E">
              <w:rPr>
                <w:iCs/>
                <w:sz w:val="18"/>
                <w:szCs w:val="18"/>
              </w:rPr>
              <w:t xml:space="preserve">pensionāru NM paaugstināšana uz </w:t>
            </w:r>
            <w:r>
              <w:rPr>
                <w:b/>
                <w:bCs/>
                <w:iCs/>
                <w:color w:val="FF0000"/>
                <w:sz w:val="18"/>
                <w:szCs w:val="18"/>
              </w:rPr>
              <w:t>1 000</w:t>
            </w:r>
            <w:r w:rsidRPr="000E469E">
              <w:rPr>
                <w:iCs/>
                <w:color w:val="FF0000"/>
                <w:sz w:val="18"/>
                <w:szCs w:val="18"/>
              </w:rPr>
              <w:t xml:space="preserve"> </w:t>
            </w:r>
            <w:r w:rsidRPr="000E469E">
              <w:rPr>
                <w:i/>
                <w:sz w:val="18"/>
                <w:szCs w:val="18"/>
              </w:rPr>
              <w:t>euro</w:t>
            </w:r>
            <w:r w:rsidRPr="000E469E">
              <w:rPr>
                <w:iCs/>
                <w:sz w:val="18"/>
                <w:szCs w:val="18"/>
              </w:rPr>
              <w:t xml:space="preserve"> mēnesī</w:t>
            </w:r>
          </w:p>
        </w:tc>
        <w:tc>
          <w:tcPr>
            <w:tcW w:w="851" w:type="dxa"/>
            <w:shd w:val="clear" w:color="auto" w:fill="FFFFFF"/>
            <w:tcMar>
              <w:top w:w="15" w:type="dxa"/>
              <w:left w:w="100" w:type="dxa"/>
              <w:bottom w:w="0" w:type="dxa"/>
              <w:right w:w="100" w:type="dxa"/>
            </w:tcMar>
            <w:vAlign w:val="center"/>
          </w:tcPr>
          <w:p w14:paraId="396737CD" w14:textId="35252A94" w:rsidR="002B3A46" w:rsidRPr="002B3A46" w:rsidRDefault="002B3A46" w:rsidP="002B3A46">
            <w:pPr>
              <w:jc w:val="center"/>
              <w:rPr>
                <w:color w:val="C00000"/>
                <w:sz w:val="20"/>
                <w:szCs w:val="20"/>
              </w:rPr>
            </w:pPr>
            <w:r w:rsidRPr="002B3A46">
              <w:rPr>
                <w:color w:val="C00000"/>
                <w:sz w:val="20"/>
                <w:szCs w:val="20"/>
              </w:rPr>
              <w:t>-119,3</w:t>
            </w:r>
          </w:p>
        </w:tc>
        <w:tc>
          <w:tcPr>
            <w:tcW w:w="851" w:type="dxa"/>
            <w:shd w:val="clear" w:color="auto" w:fill="FFFFFF"/>
            <w:tcMar>
              <w:top w:w="15" w:type="dxa"/>
              <w:left w:w="100" w:type="dxa"/>
              <w:bottom w:w="0" w:type="dxa"/>
              <w:right w:w="100" w:type="dxa"/>
            </w:tcMar>
            <w:vAlign w:val="center"/>
          </w:tcPr>
          <w:p w14:paraId="47D49687" w14:textId="6DDF4362" w:rsidR="002B3A46" w:rsidRPr="002B3A46" w:rsidRDefault="002B3A46" w:rsidP="002B3A46">
            <w:pPr>
              <w:jc w:val="center"/>
              <w:rPr>
                <w:color w:val="C00000"/>
                <w:sz w:val="20"/>
                <w:szCs w:val="20"/>
              </w:rPr>
            </w:pPr>
            <w:r w:rsidRPr="002B3A46">
              <w:rPr>
                <w:color w:val="C00000"/>
                <w:sz w:val="20"/>
                <w:szCs w:val="20"/>
              </w:rPr>
              <w:t>-128,9</w:t>
            </w:r>
          </w:p>
        </w:tc>
        <w:tc>
          <w:tcPr>
            <w:tcW w:w="851" w:type="dxa"/>
            <w:shd w:val="clear" w:color="auto" w:fill="FFFFFF"/>
            <w:tcMar>
              <w:top w:w="15" w:type="dxa"/>
              <w:left w:w="100" w:type="dxa"/>
              <w:bottom w:w="0" w:type="dxa"/>
              <w:right w:w="100" w:type="dxa"/>
            </w:tcMar>
            <w:vAlign w:val="center"/>
          </w:tcPr>
          <w:p w14:paraId="419F97D4" w14:textId="2928FBB7" w:rsidR="002B3A46" w:rsidRPr="002B3A46" w:rsidRDefault="002B3A46" w:rsidP="002B3A46">
            <w:pPr>
              <w:jc w:val="center"/>
              <w:rPr>
                <w:color w:val="C00000"/>
                <w:sz w:val="20"/>
                <w:szCs w:val="20"/>
              </w:rPr>
            </w:pPr>
            <w:r w:rsidRPr="002B3A46">
              <w:rPr>
                <w:color w:val="C00000"/>
                <w:sz w:val="20"/>
                <w:szCs w:val="20"/>
              </w:rPr>
              <w:t>-139,2</w:t>
            </w:r>
          </w:p>
        </w:tc>
        <w:tc>
          <w:tcPr>
            <w:tcW w:w="851" w:type="dxa"/>
            <w:shd w:val="clear" w:color="auto" w:fill="FFFFFF"/>
            <w:tcMar>
              <w:top w:w="15" w:type="dxa"/>
              <w:left w:w="100" w:type="dxa"/>
              <w:bottom w:w="0" w:type="dxa"/>
              <w:right w:w="100" w:type="dxa"/>
            </w:tcMar>
            <w:vAlign w:val="center"/>
          </w:tcPr>
          <w:p w14:paraId="2290713D" w14:textId="244D71BA" w:rsidR="002B3A46" w:rsidRPr="002B3A46" w:rsidRDefault="002B3A46" w:rsidP="002B3A46">
            <w:pPr>
              <w:jc w:val="center"/>
              <w:rPr>
                <w:color w:val="C00000"/>
                <w:sz w:val="20"/>
                <w:szCs w:val="20"/>
              </w:rPr>
            </w:pPr>
            <w:r w:rsidRPr="002B3A46">
              <w:rPr>
                <w:color w:val="C00000"/>
                <w:sz w:val="20"/>
                <w:szCs w:val="20"/>
              </w:rPr>
              <w:t>-150,3</w:t>
            </w:r>
          </w:p>
        </w:tc>
      </w:tr>
      <w:tr w:rsidR="002B3A46" w:rsidRPr="007E5CF8" w14:paraId="021FF47C" w14:textId="77777777" w:rsidTr="00D07F6F">
        <w:trPr>
          <w:trHeight w:val="113"/>
        </w:trPr>
        <w:tc>
          <w:tcPr>
            <w:tcW w:w="709" w:type="dxa"/>
            <w:shd w:val="clear" w:color="auto" w:fill="FFFFFF"/>
            <w:tcMar>
              <w:top w:w="15" w:type="dxa"/>
              <w:left w:w="100" w:type="dxa"/>
              <w:bottom w:w="0" w:type="dxa"/>
              <w:right w:w="100" w:type="dxa"/>
            </w:tcMar>
            <w:vAlign w:val="center"/>
            <w:hideMark/>
          </w:tcPr>
          <w:p w14:paraId="4AFE5765" w14:textId="77777777" w:rsidR="002B3A46" w:rsidRPr="007E5CF8" w:rsidRDefault="002B3A46" w:rsidP="002B3A46">
            <w:pPr>
              <w:jc w:val="center"/>
              <w:rPr>
                <w:iCs/>
                <w:sz w:val="20"/>
                <w:szCs w:val="20"/>
              </w:rPr>
            </w:pPr>
            <w:r w:rsidRPr="007E5CF8">
              <w:rPr>
                <w:iCs/>
                <w:sz w:val="20"/>
                <w:szCs w:val="20"/>
              </w:rPr>
              <w:t>1.1.4.</w:t>
            </w:r>
          </w:p>
        </w:tc>
        <w:tc>
          <w:tcPr>
            <w:tcW w:w="5101" w:type="dxa"/>
            <w:shd w:val="clear" w:color="auto" w:fill="FFFFFF"/>
            <w:tcMar>
              <w:top w:w="15" w:type="dxa"/>
              <w:left w:w="100" w:type="dxa"/>
              <w:bottom w:w="0" w:type="dxa"/>
              <w:right w:w="100" w:type="dxa"/>
            </w:tcMar>
            <w:vAlign w:val="center"/>
            <w:hideMark/>
          </w:tcPr>
          <w:p w14:paraId="1A6BAD90" w14:textId="77777777" w:rsidR="002B3A46" w:rsidRPr="007E5CF8" w:rsidRDefault="002B3A46" w:rsidP="002B3A46">
            <w:pPr>
              <w:rPr>
                <w:iCs/>
                <w:sz w:val="20"/>
                <w:szCs w:val="20"/>
              </w:rPr>
            </w:pPr>
            <w:r w:rsidRPr="007E5CF8">
              <w:rPr>
                <w:iCs/>
                <w:sz w:val="20"/>
                <w:szCs w:val="20"/>
              </w:rPr>
              <w:t>PVN atgriezeniskais efekts</w:t>
            </w:r>
          </w:p>
        </w:tc>
        <w:tc>
          <w:tcPr>
            <w:tcW w:w="851" w:type="dxa"/>
            <w:shd w:val="clear" w:color="auto" w:fill="FFFFFF"/>
            <w:tcMar>
              <w:top w:w="15" w:type="dxa"/>
              <w:left w:w="100" w:type="dxa"/>
              <w:bottom w:w="0" w:type="dxa"/>
              <w:right w:w="100" w:type="dxa"/>
            </w:tcMar>
            <w:vAlign w:val="center"/>
          </w:tcPr>
          <w:p w14:paraId="2FEE280F" w14:textId="01CB87C0" w:rsidR="002B3A46" w:rsidRPr="002B3A46" w:rsidRDefault="002B3A46" w:rsidP="002B3A46">
            <w:pPr>
              <w:jc w:val="center"/>
              <w:rPr>
                <w:color w:val="00B050"/>
                <w:sz w:val="20"/>
                <w:szCs w:val="20"/>
              </w:rPr>
            </w:pPr>
            <w:r w:rsidRPr="002B3A46">
              <w:rPr>
                <w:color w:val="00B050"/>
                <w:sz w:val="20"/>
                <w:szCs w:val="20"/>
              </w:rPr>
              <w:t>25,2</w:t>
            </w:r>
          </w:p>
        </w:tc>
        <w:tc>
          <w:tcPr>
            <w:tcW w:w="851" w:type="dxa"/>
            <w:shd w:val="clear" w:color="auto" w:fill="FFFFFF"/>
            <w:tcMar>
              <w:top w:w="15" w:type="dxa"/>
              <w:left w:w="100" w:type="dxa"/>
              <w:bottom w:w="0" w:type="dxa"/>
              <w:right w:w="100" w:type="dxa"/>
            </w:tcMar>
            <w:vAlign w:val="center"/>
          </w:tcPr>
          <w:p w14:paraId="5E838A82" w14:textId="78237A42" w:rsidR="002B3A46" w:rsidRPr="002B3A46" w:rsidRDefault="002B3A46" w:rsidP="002B3A46">
            <w:pPr>
              <w:jc w:val="center"/>
              <w:rPr>
                <w:color w:val="00B050"/>
                <w:sz w:val="20"/>
                <w:szCs w:val="20"/>
              </w:rPr>
            </w:pPr>
            <w:r w:rsidRPr="002B3A46">
              <w:rPr>
                <w:color w:val="00B050"/>
                <w:sz w:val="20"/>
                <w:szCs w:val="20"/>
              </w:rPr>
              <w:t>33,5</w:t>
            </w:r>
          </w:p>
        </w:tc>
        <w:tc>
          <w:tcPr>
            <w:tcW w:w="851" w:type="dxa"/>
            <w:shd w:val="clear" w:color="auto" w:fill="FFFFFF"/>
            <w:tcMar>
              <w:top w:w="15" w:type="dxa"/>
              <w:left w:w="100" w:type="dxa"/>
              <w:bottom w:w="0" w:type="dxa"/>
              <w:right w:w="100" w:type="dxa"/>
            </w:tcMar>
            <w:vAlign w:val="center"/>
          </w:tcPr>
          <w:p w14:paraId="77658CDE" w14:textId="041627F3" w:rsidR="002B3A46" w:rsidRPr="002B3A46" w:rsidRDefault="002B3A46" w:rsidP="002B3A46">
            <w:pPr>
              <w:jc w:val="center"/>
              <w:rPr>
                <w:color w:val="00B050"/>
                <w:sz w:val="20"/>
                <w:szCs w:val="20"/>
              </w:rPr>
            </w:pPr>
            <w:r w:rsidRPr="002B3A46">
              <w:rPr>
                <w:color w:val="00B050"/>
                <w:sz w:val="20"/>
                <w:szCs w:val="20"/>
              </w:rPr>
              <w:t>37,9</w:t>
            </w:r>
          </w:p>
        </w:tc>
        <w:tc>
          <w:tcPr>
            <w:tcW w:w="851" w:type="dxa"/>
            <w:shd w:val="clear" w:color="auto" w:fill="FFFFFF"/>
            <w:tcMar>
              <w:top w:w="15" w:type="dxa"/>
              <w:left w:w="100" w:type="dxa"/>
              <w:bottom w:w="0" w:type="dxa"/>
              <w:right w:w="100" w:type="dxa"/>
            </w:tcMar>
            <w:vAlign w:val="center"/>
          </w:tcPr>
          <w:p w14:paraId="0DDA1338" w14:textId="610743F5" w:rsidR="002B3A46" w:rsidRPr="002B3A46" w:rsidRDefault="002B3A46" w:rsidP="002B3A46">
            <w:pPr>
              <w:jc w:val="center"/>
              <w:rPr>
                <w:color w:val="00B050"/>
                <w:sz w:val="20"/>
                <w:szCs w:val="20"/>
              </w:rPr>
            </w:pPr>
            <w:r w:rsidRPr="002B3A46">
              <w:rPr>
                <w:color w:val="00B050"/>
                <w:sz w:val="20"/>
                <w:szCs w:val="20"/>
              </w:rPr>
              <w:t>38,7</w:t>
            </w:r>
          </w:p>
        </w:tc>
      </w:tr>
      <w:tr w:rsidR="00E43591" w:rsidRPr="007E5CF8" w14:paraId="6DA1F186" w14:textId="77777777" w:rsidTr="00D07F6F">
        <w:trPr>
          <w:trHeight w:val="250"/>
        </w:trPr>
        <w:tc>
          <w:tcPr>
            <w:tcW w:w="709" w:type="dxa"/>
            <w:shd w:val="clear" w:color="auto" w:fill="DCE6F2"/>
            <w:tcMar>
              <w:top w:w="15" w:type="dxa"/>
              <w:left w:w="100" w:type="dxa"/>
              <w:bottom w:w="0" w:type="dxa"/>
              <w:right w:w="100" w:type="dxa"/>
            </w:tcMar>
            <w:vAlign w:val="center"/>
            <w:hideMark/>
          </w:tcPr>
          <w:p w14:paraId="1EF2E1CF" w14:textId="77777777" w:rsidR="00E43591" w:rsidRPr="007E5CF8" w:rsidRDefault="00E43591" w:rsidP="00D72474">
            <w:pPr>
              <w:jc w:val="center"/>
              <w:rPr>
                <w:iCs/>
                <w:sz w:val="20"/>
                <w:szCs w:val="20"/>
              </w:rPr>
            </w:pPr>
            <w:bookmarkStart w:id="77" w:name="_Hlk175752348"/>
            <w:r w:rsidRPr="007E5CF8">
              <w:rPr>
                <w:b/>
                <w:bCs/>
                <w:iCs/>
                <w:sz w:val="20"/>
                <w:szCs w:val="20"/>
              </w:rPr>
              <w:t>1.2.</w:t>
            </w:r>
          </w:p>
        </w:tc>
        <w:tc>
          <w:tcPr>
            <w:tcW w:w="5101" w:type="dxa"/>
            <w:shd w:val="clear" w:color="auto" w:fill="DCE6F2"/>
            <w:tcMar>
              <w:top w:w="15" w:type="dxa"/>
              <w:left w:w="100" w:type="dxa"/>
              <w:bottom w:w="0" w:type="dxa"/>
              <w:right w:w="100" w:type="dxa"/>
            </w:tcMar>
            <w:vAlign w:val="center"/>
            <w:hideMark/>
          </w:tcPr>
          <w:p w14:paraId="66CD94D8" w14:textId="3514FEB7" w:rsidR="00E43591" w:rsidRPr="007E5CF8" w:rsidRDefault="00E43591" w:rsidP="00D72474">
            <w:pPr>
              <w:jc w:val="both"/>
              <w:rPr>
                <w:iCs/>
                <w:sz w:val="20"/>
                <w:szCs w:val="20"/>
              </w:rPr>
            </w:pPr>
            <w:r w:rsidRPr="00E43591">
              <w:rPr>
                <w:b/>
                <w:bCs/>
                <w:iCs/>
                <w:color w:val="FF0000"/>
                <w:sz w:val="20"/>
                <w:szCs w:val="20"/>
              </w:rPr>
              <w:t>1%</w:t>
            </w:r>
            <w:r w:rsidRPr="00E43591">
              <w:rPr>
                <w:b/>
                <w:bCs/>
                <w:iCs/>
                <w:sz w:val="20"/>
                <w:szCs w:val="20"/>
              </w:rPr>
              <w:t xml:space="preserve"> pārnese no fondētās pensiju shēmas uz pirmo līmeni</w:t>
            </w:r>
          </w:p>
        </w:tc>
        <w:tc>
          <w:tcPr>
            <w:tcW w:w="851" w:type="dxa"/>
            <w:shd w:val="clear" w:color="auto" w:fill="DCE6F2"/>
            <w:tcMar>
              <w:top w:w="15" w:type="dxa"/>
              <w:left w:w="100" w:type="dxa"/>
              <w:bottom w:w="0" w:type="dxa"/>
              <w:right w:w="100" w:type="dxa"/>
            </w:tcMar>
            <w:vAlign w:val="center"/>
            <w:hideMark/>
          </w:tcPr>
          <w:p w14:paraId="77D420B8" w14:textId="1E4FAB21" w:rsidR="00E43591" w:rsidRPr="00E43591" w:rsidRDefault="00E43591" w:rsidP="00D72474">
            <w:pPr>
              <w:jc w:val="center"/>
              <w:rPr>
                <w:iCs/>
                <w:color w:val="00B050"/>
                <w:sz w:val="20"/>
                <w:szCs w:val="20"/>
              </w:rPr>
            </w:pPr>
            <w:r w:rsidRPr="00E43591">
              <w:rPr>
                <w:b/>
                <w:bCs/>
                <w:color w:val="00B050"/>
                <w:sz w:val="20"/>
                <w:szCs w:val="20"/>
              </w:rPr>
              <w:t>104,0</w:t>
            </w:r>
          </w:p>
        </w:tc>
        <w:tc>
          <w:tcPr>
            <w:tcW w:w="851" w:type="dxa"/>
            <w:shd w:val="clear" w:color="auto" w:fill="DCE6F2"/>
            <w:tcMar>
              <w:top w:w="15" w:type="dxa"/>
              <w:left w:w="100" w:type="dxa"/>
              <w:bottom w:w="0" w:type="dxa"/>
              <w:right w:w="100" w:type="dxa"/>
            </w:tcMar>
            <w:vAlign w:val="center"/>
            <w:hideMark/>
          </w:tcPr>
          <w:p w14:paraId="1FF83585" w14:textId="41C09BAE" w:rsidR="00E43591" w:rsidRPr="00E43591" w:rsidRDefault="00E43591" w:rsidP="00D72474">
            <w:pPr>
              <w:jc w:val="center"/>
              <w:rPr>
                <w:iCs/>
                <w:color w:val="00B050"/>
                <w:sz w:val="20"/>
                <w:szCs w:val="20"/>
              </w:rPr>
            </w:pPr>
            <w:r w:rsidRPr="00E43591">
              <w:rPr>
                <w:b/>
                <w:bCs/>
                <w:color w:val="00B050"/>
                <w:sz w:val="20"/>
                <w:szCs w:val="20"/>
              </w:rPr>
              <w:t>162,0</w:t>
            </w:r>
          </w:p>
        </w:tc>
        <w:tc>
          <w:tcPr>
            <w:tcW w:w="851" w:type="dxa"/>
            <w:shd w:val="clear" w:color="auto" w:fill="DCE6F2"/>
            <w:tcMar>
              <w:top w:w="15" w:type="dxa"/>
              <w:left w:w="100" w:type="dxa"/>
              <w:bottom w:w="0" w:type="dxa"/>
              <w:right w:w="100" w:type="dxa"/>
            </w:tcMar>
            <w:vAlign w:val="center"/>
            <w:hideMark/>
          </w:tcPr>
          <w:p w14:paraId="102A00C4" w14:textId="34ED28B5" w:rsidR="00E43591" w:rsidRPr="00E43591" w:rsidRDefault="00E43591" w:rsidP="00D72474">
            <w:pPr>
              <w:jc w:val="center"/>
              <w:rPr>
                <w:iCs/>
                <w:color w:val="00B050"/>
                <w:sz w:val="20"/>
                <w:szCs w:val="20"/>
              </w:rPr>
            </w:pPr>
            <w:r w:rsidRPr="00E43591">
              <w:rPr>
                <w:b/>
                <w:bCs/>
                <w:color w:val="00B050"/>
                <w:sz w:val="20"/>
                <w:szCs w:val="20"/>
              </w:rPr>
              <w:t>171,0</w:t>
            </w:r>
          </w:p>
        </w:tc>
        <w:tc>
          <w:tcPr>
            <w:tcW w:w="851" w:type="dxa"/>
            <w:shd w:val="clear" w:color="auto" w:fill="DCE6F2"/>
            <w:tcMar>
              <w:top w:w="15" w:type="dxa"/>
              <w:left w:w="100" w:type="dxa"/>
              <w:bottom w:w="0" w:type="dxa"/>
              <w:right w:w="100" w:type="dxa"/>
            </w:tcMar>
            <w:vAlign w:val="center"/>
            <w:hideMark/>
          </w:tcPr>
          <w:p w14:paraId="366C23B0" w14:textId="6569A9BB" w:rsidR="00E43591" w:rsidRPr="00E43591" w:rsidRDefault="00E43591" w:rsidP="00D72474">
            <w:pPr>
              <w:jc w:val="center"/>
              <w:rPr>
                <w:iCs/>
                <w:color w:val="00B050"/>
                <w:sz w:val="20"/>
                <w:szCs w:val="20"/>
              </w:rPr>
            </w:pPr>
            <w:r w:rsidRPr="00E43591">
              <w:rPr>
                <w:b/>
                <w:bCs/>
                <w:color w:val="00B050"/>
                <w:sz w:val="20"/>
                <w:szCs w:val="20"/>
              </w:rPr>
              <w:t>179,0</w:t>
            </w:r>
          </w:p>
        </w:tc>
      </w:tr>
      <w:bookmarkEnd w:id="77"/>
      <w:tr w:rsidR="00E43591" w:rsidRPr="00E43591" w14:paraId="0943EF55" w14:textId="77777777" w:rsidTr="00D07F6F">
        <w:trPr>
          <w:trHeight w:val="227"/>
        </w:trPr>
        <w:tc>
          <w:tcPr>
            <w:tcW w:w="709" w:type="dxa"/>
            <w:shd w:val="clear" w:color="auto" w:fill="DEEAF6" w:themeFill="accent1" w:themeFillTint="33"/>
            <w:tcMar>
              <w:top w:w="15" w:type="dxa"/>
              <w:left w:w="100" w:type="dxa"/>
              <w:bottom w:w="0" w:type="dxa"/>
              <w:right w:w="100" w:type="dxa"/>
            </w:tcMar>
            <w:vAlign w:val="center"/>
            <w:hideMark/>
          </w:tcPr>
          <w:p w14:paraId="78BB92AB" w14:textId="0C0E0BBB" w:rsidR="00E43591" w:rsidRPr="00E43591" w:rsidRDefault="00E43591" w:rsidP="00E43591">
            <w:pPr>
              <w:jc w:val="center"/>
              <w:rPr>
                <w:b/>
                <w:bCs/>
                <w:iCs/>
                <w:sz w:val="20"/>
                <w:szCs w:val="20"/>
              </w:rPr>
            </w:pPr>
            <w:r w:rsidRPr="00E43591">
              <w:rPr>
                <w:b/>
                <w:bCs/>
                <w:iCs/>
                <w:sz w:val="20"/>
                <w:szCs w:val="20"/>
              </w:rPr>
              <w:t>1.3.</w:t>
            </w:r>
          </w:p>
        </w:tc>
        <w:tc>
          <w:tcPr>
            <w:tcW w:w="5101" w:type="dxa"/>
            <w:shd w:val="clear" w:color="auto" w:fill="DEEAF6" w:themeFill="accent1" w:themeFillTint="33"/>
            <w:tcMar>
              <w:top w:w="15" w:type="dxa"/>
              <w:left w:w="100" w:type="dxa"/>
              <w:bottom w:w="0" w:type="dxa"/>
              <w:right w:w="100" w:type="dxa"/>
            </w:tcMar>
            <w:vAlign w:val="center"/>
            <w:hideMark/>
          </w:tcPr>
          <w:p w14:paraId="4EF6A707" w14:textId="02171958" w:rsidR="00E43591" w:rsidRPr="00E43591" w:rsidRDefault="00E43591" w:rsidP="00E43591">
            <w:pPr>
              <w:rPr>
                <w:b/>
                <w:bCs/>
                <w:iCs/>
                <w:sz w:val="20"/>
                <w:szCs w:val="20"/>
              </w:rPr>
            </w:pPr>
            <w:r w:rsidRPr="00E43591">
              <w:rPr>
                <w:b/>
                <w:bCs/>
                <w:iCs/>
                <w:sz w:val="20"/>
                <w:szCs w:val="20"/>
              </w:rPr>
              <w:t xml:space="preserve">Papildus IIN likme </w:t>
            </w:r>
            <w:r w:rsidRPr="00E43591">
              <w:rPr>
                <w:b/>
                <w:bCs/>
                <w:iCs/>
                <w:color w:val="FF0000"/>
                <w:sz w:val="20"/>
                <w:szCs w:val="20"/>
              </w:rPr>
              <w:t>3%</w:t>
            </w:r>
            <w:r w:rsidRPr="00E43591">
              <w:rPr>
                <w:b/>
                <w:bCs/>
                <w:iCs/>
                <w:sz w:val="20"/>
                <w:szCs w:val="20"/>
              </w:rPr>
              <w:t xml:space="preserve"> apmērā ienākumiem (atalgojums, dividendes, kapitāls) virs </w:t>
            </w:r>
            <w:r w:rsidRPr="00E43591">
              <w:rPr>
                <w:b/>
                <w:bCs/>
                <w:iCs/>
                <w:color w:val="FF0000"/>
                <w:sz w:val="20"/>
                <w:szCs w:val="20"/>
              </w:rPr>
              <w:t>200 000</w:t>
            </w:r>
            <w:r w:rsidRPr="00E43591">
              <w:rPr>
                <w:b/>
                <w:bCs/>
                <w:iCs/>
                <w:sz w:val="20"/>
                <w:szCs w:val="20"/>
              </w:rPr>
              <w:t xml:space="preserve"> </w:t>
            </w:r>
            <w:r w:rsidRPr="00E43591">
              <w:rPr>
                <w:i/>
                <w:sz w:val="20"/>
                <w:szCs w:val="20"/>
              </w:rPr>
              <w:t>euro</w:t>
            </w:r>
            <w:r w:rsidRPr="00E43591">
              <w:rPr>
                <w:b/>
                <w:bCs/>
                <w:iCs/>
                <w:sz w:val="20"/>
                <w:szCs w:val="20"/>
              </w:rPr>
              <w:t xml:space="preserve"> gadā</w:t>
            </w:r>
          </w:p>
        </w:tc>
        <w:tc>
          <w:tcPr>
            <w:tcW w:w="851" w:type="dxa"/>
            <w:shd w:val="clear" w:color="auto" w:fill="DEEAF6" w:themeFill="accent1" w:themeFillTint="33"/>
            <w:tcMar>
              <w:top w:w="15" w:type="dxa"/>
              <w:left w:w="100" w:type="dxa"/>
              <w:bottom w:w="0" w:type="dxa"/>
              <w:right w:w="100" w:type="dxa"/>
            </w:tcMar>
            <w:vAlign w:val="center"/>
          </w:tcPr>
          <w:p w14:paraId="67728996" w14:textId="4B1CACFF" w:rsidR="00E43591" w:rsidRPr="00E43591" w:rsidRDefault="00D72474" w:rsidP="00E43591">
            <w:pPr>
              <w:jc w:val="center"/>
              <w:rPr>
                <w:b/>
                <w:bCs/>
                <w:iCs/>
                <w:color w:val="00B050"/>
                <w:sz w:val="20"/>
                <w:szCs w:val="20"/>
              </w:rPr>
            </w:pPr>
            <w:r w:rsidRPr="00D72474">
              <w:rPr>
                <w:sz w:val="20"/>
                <w:szCs w:val="20"/>
              </w:rPr>
              <w:t>-</w:t>
            </w:r>
          </w:p>
        </w:tc>
        <w:tc>
          <w:tcPr>
            <w:tcW w:w="851" w:type="dxa"/>
            <w:shd w:val="clear" w:color="auto" w:fill="DEEAF6" w:themeFill="accent1" w:themeFillTint="33"/>
            <w:tcMar>
              <w:top w:w="15" w:type="dxa"/>
              <w:left w:w="100" w:type="dxa"/>
              <w:bottom w:w="0" w:type="dxa"/>
              <w:right w:w="100" w:type="dxa"/>
            </w:tcMar>
            <w:vAlign w:val="center"/>
            <w:hideMark/>
          </w:tcPr>
          <w:p w14:paraId="30153BB9" w14:textId="7CA591B5" w:rsidR="00E43591" w:rsidRPr="00E43591" w:rsidRDefault="00E43591" w:rsidP="00E43591">
            <w:pPr>
              <w:jc w:val="center"/>
              <w:rPr>
                <w:b/>
                <w:bCs/>
                <w:iCs/>
                <w:color w:val="00B050"/>
                <w:sz w:val="20"/>
                <w:szCs w:val="20"/>
              </w:rPr>
            </w:pPr>
            <w:r w:rsidRPr="00E43591">
              <w:rPr>
                <w:b/>
                <w:bCs/>
                <w:color w:val="00B050"/>
                <w:sz w:val="20"/>
                <w:szCs w:val="20"/>
              </w:rPr>
              <w:t>13,0</w:t>
            </w:r>
          </w:p>
        </w:tc>
        <w:tc>
          <w:tcPr>
            <w:tcW w:w="851" w:type="dxa"/>
            <w:shd w:val="clear" w:color="auto" w:fill="DEEAF6" w:themeFill="accent1" w:themeFillTint="33"/>
            <w:tcMar>
              <w:top w:w="15" w:type="dxa"/>
              <w:left w:w="100" w:type="dxa"/>
              <w:bottom w:w="0" w:type="dxa"/>
              <w:right w:w="100" w:type="dxa"/>
            </w:tcMar>
            <w:vAlign w:val="center"/>
            <w:hideMark/>
          </w:tcPr>
          <w:p w14:paraId="39A10831" w14:textId="381131D1" w:rsidR="00E43591" w:rsidRPr="00E43591" w:rsidRDefault="00E43591" w:rsidP="00E43591">
            <w:pPr>
              <w:jc w:val="center"/>
              <w:rPr>
                <w:b/>
                <w:bCs/>
                <w:iCs/>
                <w:color w:val="00B050"/>
                <w:sz w:val="20"/>
                <w:szCs w:val="20"/>
              </w:rPr>
            </w:pPr>
            <w:r w:rsidRPr="00E43591">
              <w:rPr>
                <w:b/>
                <w:bCs/>
                <w:color w:val="00B050"/>
                <w:sz w:val="20"/>
                <w:szCs w:val="20"/>
              </w:rPr>
              <w:t>13,0</w:t>
            </w:r>
          </w:p>
        </w:tc>
        <w:tc>
          <w:tcPr>
            <w:tcW w:w="851" w:type="dxa"/>
            <w:shd w:val="clear" w:color="auto" w:fill="DEEAF6" w:themeFill="accent1" w:themeFillTint="33"/>
            <w:tcMar>
              <w:top w:w="15" w:type="dxa"/>
              <w:left w:w="100" w:type="dxa"/>
              <w:bottom w:w="0" w:type="dxa"/>
              <w:right w:w="100" w:type="dxa"/>
            </w:tcMar>
            <w:vAlign w:val="center"/>
            <w:hideMark/>
          </w:tcPr>
          <w:p w14:paraId="71C40D6C" w14:textId="4BC065D8" w:rsidR="00E43591" w:rsidRPr="00E43591" w:rsidRDefault="00E43591" w:rsidP="00E43591">
            <w:pPr>
              <w:jc w:val="center"/>
              <w:rPr>
                <w:b/>
                <w:bCs/>
                <w:iCs/>
                <w:color w:val="00B050"/>
                <w:sz w:val="20"/>
                <w:szCs w:val="20"/>
              </w:rPr>
            </w:pPr>
            <w:r w:rsidRPr="00E43591">
              <w:rPr>
                <w:b/>
                <w:bCs/>
                <w:color w:val="00B050"/>
                <w:sz w:val="20"/>
                <w:szCs w:val="20"/>
              </w:rPr>
              <w:t>13,0</w:t>
            </w:r>
          </w:p>
        </w:tc>
      </w:tr>
      <w:tr w:rsidR="00685A93" w:rsidRPr="00E43591" w14:paraId="1D91CFE0" w14:textId="77777777" w:rsidTr="00D07F6F">
        <w:trPr>
          <w:trHeight w:val="367"/>
        </w:trPr>
        <w:tc>
          <w:tcPr>
            <w:tcW w:w="709" w:type="dxa"/>
            <w:shd w:val="clear" w:color="auto" w:fill="FFF2CC" w:themeFill="accent4" w:themeFillTint="33"/>
            <w:tcMar>
              <w:top w:w="15" w:type="dxa"/>
              <w:left w:w="47" w:type="dxa"/>
              <w:bottom w:w="0" w:type="dxa"/>
              <w:right w:w="47" w:type="dxa"/>
            </w:tcMar>
            <w:vAlign w:val="center"/>
            <w:hideMark/>
          </w:tcPr>
          <w:p w14:paraId="08A7BC07" w14:textId="77777777" w:rsidR="00685A93" w:rsidRPr="00E43591" w:rsidRDefault="00685A93" w:rsidP="00685A93">
            <w:pPr>
              <w:jc w:val="center"/>
              <w:rPr>
                <w:iCs/>
                <w:sz w:val="22"/>
              </w:rPr>
            </w:pPr>
            <w:r w:rsidRPr="00E43591">
              <w:rPr>
                <w:b/>
                <w:bCs/>
                <w:iCs/>
                <w:sz w:val="22"/>
              </w:rPr>
              <w:t>2.</w:t>
            </w:r>
          </w:p>
        </w:tc>
        <w:tc>
          <w:tcPr>
            <w:tcW w:w="5101" w:type="dxa"/>
            <w:shd w:val="clear" w:color="auto" w:fill="FFF2CC" w:themeFill="accent4" w:themeFillTint="33"/>
            <w:tcMar>
              <w:top w:w="15" w:type="dxa"/>
              <w:left w:w="47" w:type="dxa"/>
              <w:bottom w:w="0" w:type="dxa"/>
              <w:right w:w="47" w:type="dxa"/>
            </w:tcMar>
            <w:vAlign w:val="center"/>
            <w:hideMark/>
          </w:tcPr>
          <w:p w14:paraId="25E514A3" w14:textId="540BCD2A" w:rsidR="00685A93" w:rsidRPr="00E43591" w:rsidRDefault="00685A93" w:rsidP="00685A93">
            <w:pPr>
              <w:rPr>
                <w:iCs/>
                <w:sz w:val="22"/>
              </w:rPr>
            </w:pPr>
            <w:r w:rsidRPr="00E43591">
              <w:rPr>
                <w:b/>
                <w:bCs/>
                <w:iCs/>
                <w:sz w:val="22"/>
              </w:rPr>
              <w:t>Citi pasākumi</w:t>
            </w:r>
          </w:p>
        </w:tc>
        <w:tc>
          <w:tcPr>
            <w:tcW w:w="851" w:type="dxa"/>
            <w:shd w:val="clear" w:color="auto" w:fill="FFF2CC" w:themeFill="accent4" w:themeFillTint="33"/>
            <w:tcMar>
              <w:top w:w="15" w:type="dxa"/>
              <w:left w:w="47" w:type="dxa"/>
              <w:bottom w:w="0" w:type="dxa"/>
              <w:right w:w="47" w:type="dxa"/>
            </w:tcMar>
            <w:vAlign w:val="center"/>
          </w:tcPr>
          <w:p w14:paraId="60557E9D" w14:textId="08443E0D" w:rsidR="00685A93" w:rsidRPr="00685A93" w:rsidRDefault="00685A93" w:rsidP="00685A93">
            <w:pPr>
              <w:jc w:val="center"/>
              <w:rPr>
                <w:b/>
                <w:bCs/>
                <w:color w:val="C00000"/>
                <w:sz w:val="22"/>
              </w:rPr>
            </w:pPr>
            <w:r w:rsidRPr="00685A93">
              <w:rPr>
                <w:b/>
                <w:bCs/>
                <w:color w:val="C00000"/>
                <w:sz w:val="22"/>
              </w:rPr>
              <w:t>-40,7</w:t>
            </w:r>
          </w:p>
        </w:tc>
        <w:tc>
          <w:tcPr>
            <w:tcW w:w="851" w:type="dxa"/>
            <w:shd w:val="clear" w:color="auto" w:fill="FFF2CC" w:themeFill="accent4" w:themeFillTint="33"/>
            <w:tcMar>
              <w:top w:w="15" w:type="dxa"/>
              <w:left w:w="47" w:type="dxa"/>
              <w:bottom w:w="0" w:type="dxa"/>
              <w:right w:w="47" w:type="dxa"/>
            </w:tcMar>
            <w:vAlign w:val="center"/>
          </w:tcPr>
          <w:p w14:paraId="4AE73F3A" w14:textId="3AE74EE9" w:rsidR="00685A93" w:rsidRPr="00685A93" w:rsidRDefault="00685A93" w:rsidP="00685A93">
            <w:pPr>
              <w:jc w:val="center"/>
              <w:rPr>
                <w:b/>
                <w:bCs/>
                <w:color w:val="C00000"/>
                <w:sz w:val="22"/>
              </w:rPr>
            </w:pPr>
            <w:r w:rsidRPr="00685A93">
              <w:rPr>
                <w:b/>
                <w:bCs/>
                <w:color w:val="C00000"/>
                <w:sz w:val="22"/>
              </w:rPr>
              <w:t>-66,4</w:t>
            </w:r>
          </w:p>
        </w:tc>
        <w:tc>
          <w:tcPr>
            <w:tcW w:w="851" w:type="dxa"/>
            <w:shd w:val="clear" w:color="auto" w:fill="FFF2CC" w:themeFill="accent4" w:themeFillTint="33"/>
            <w:tcMar>
              <w:top w:w="15" w:type="dxa"/>
              <w:left w:w="47" w:type="dxa"/>
              <w:bottom w:w="0" w:type="dxa"/>
              <w:right w:w="47" w:type="dxa"/>
            </w:tcMar>
            <w:vAlign w:val="center"/>
          </w:tcPr>
          <w:p w14:paraId="24716705" w14:textId="47D26395" w:rsidR="00685A93" w:rsidRPr="00685A93" w:rsidRDefault="00685A93" w:rsidP="00685A93">
            <w:pPr>
              <w:jc w:val="center"/>
              <w:rPr>
                <w:b/>
                <w:bCs/>
                <w:color w:val="C00000"/>
                <w:sz w:val="22"/>
              </w:rPr>
            </w:pPr>
            <w:r w:rsidRPr="00685A93">
              <w:rPr>
                <w:b/>
                <w:bCs/>
                <w:color w:val="C00000"/>
                <w:sz w:val="22"/>
              </w:rPr>
              <w:t>-70,8</w:t>
            </w:r>
          </w:p>
        </w:tc>
        <w:tc>
          <w:tcPr>
            <w:tcW w:w="851" w:type="dxa"/>
            <w:shd w:val="clear" w:color="auto" w:fill="FFF2CC" w:themeFill="accent4" w:themeFillTint="33"/>
            <w:tcMar>
              <w:top w:w="15" w:type="dxa"/>
              <w:left w:w="47" w:type="dxa"/>
              <w:bottom w:w="0" w:type="dxa"/>
              <w:right w:w="47" w:type="dxa"/>
            </w:tcMar>
            <w:vAlign w:val="center"/>
          </w:tcPr>
          <w:p w14:paraId="2D89E137" w14:textId="43FF4EFD" w:rsidR="00685A93" w:rsidRPr="00685A93" w:rsidRDefault="00685A93" w:rsidP="00685A93">
            <w:pPr>
              <w:jc w:val="center"/>
              <w:rPr>
                <w:b/>
                <w:bCs/>
                <w:color w:val="C00000"/>
                <w:sz w:val="22"/>
              </w:rPr>
            </w:pPr>
            <w:r w:rsidRPr="00685A93">
              <w:rPr>
                <w:b/>
                <w:bCs/>
                <w:color w:val="C00000"/>
                <w:sz w:val="22"/>
              </w:rPr>
              <w:t>-71,5</w:t>
            </w:r>
          </w:p>
        </w:tc>
      </w:tr>
      <w:tr w:rsidR="000E469E" w:rsidRPr="007E5CF8" w14:paraId="7F2C92F2" w14:textId="77777777" w:rsidTr="00D07F6F">
        <w:trPr>
          <w:trHeight w:val="397"/>
        </w:trPr>
        <w:tc>
          <w:tcPr>
            <w:tcW w:w="709" w:type="dxa"/>
            <w:shd w:val="clear" w:color="auto" w:fill="FFFFFF"/>
            <w:tcMar>
              <w:top w:w="15" w:type="dxa"/>
              <w:left w:w="47" w:type="dxa"/>
              <w:bottom w:w="0" w:type="dxa"/>
              <w:right w:w="47" w:type="dxa"/>
            </w:tcMar>
            <w:vAlign w:val="center"/>
            <w:hideMark/>
          </w:tcPr>
          <w:p w14:paraId="7DE0967E" w14:textId="77777777" w:rsidR="007E5CF8" w:rsidRPr="007E5CF8" w:rsidRDefault="007E5CF8" w:rsidP="000E469E">
            <w:pPr>
              <w:jc w:val="center"/>
              <w:rPr>
                <w:iCs/>
                <w:sz w:val="20"/>
                <w:szCs w:val="20"/>
              </w:rPr>
            </w:pPr>
            <w:r w:rsidRPr="007E5CF8">
              <w:rPr>
                <w:iCs/>
                <w:sz w:val="20"/>
                <w:szCs w:val="20"/>
              </w:rPr>
              <w:t>2.1.</w:t>
            </w:r>
          </w:p>
        </w:tc>
        <w:tc>
          <w:tcPr>
            <w:tcW w:w="5101" w:type="dxa"/>
            <w:shd w:val="clear" w:color="auto" w:fill="FFFFFF"/>
            <w:tcMar>
              <w:top w:w="15" w:type="dxa"/>
              <w:left w:w="47" w:type="dxa"/>
              <w:bottom w:w="0" w:type="dxa"/>
              <w:right w:w="47" w:type="dxa"/>
            </w:tcMar>
            <w:vAlign w:val="center"/>
            <w:hideMark/>
          </w:tcPr>
          <w:p w14:paraId="2BFA62F9" w14:textId="304749A1" w:rsidR="007E5CF8" w:rsidRPr="007E5CF8" w:rsidRDefault="007E5CF8" w:rsidP="00742D1E">
            <w:pPr>
              <w:jc w:val="both"/>
              <w:rPr>
                <w:iCs/>
                <w:sz w:val="20"/>
                <w:szCs w:val="20"/>
              </w:rPr>
            </w:pPr>
            <w:r w:rsidRPr="007E5CF8">
              <w:rPr>
                <w:iCs/>
                <w:sz w:val="20"/>
                <w:szCs w:val="20"/>
              </w:rPr>
              <w:t xml:space="preserve">PVN likmes </w:t>
            </w:r>
            <w:r w:rsidRPr="007E5CF8">
              <w:rPr>
                <w:b/>
                <w:bCs/>
                <w:iCs/>
                <w:color w:val="FF0000"/>
                <w:sz w:val="20"/>
                <w:szCs w:val="20"/>
              </w:rPr>
              <w:t>12%</w:t>
            </w:r>
            <w:r w:rsidRPr="007E5CF8">
              <w:rPr>
                <w:iCs/>
                <w:sz w:val="20"/>
                <w:szCs w:val="20"/>
              </w:rPr>
              <w:t xml:space="preserve"> apmērā </w:t>
            </w:r>
            <w:r w:rsidR="000471BA">
              <w:rPr>
                <w:iCs/>
                <w:sz w:val="20"/>
                <w:szCs w:val="20"/>
              </w:rPr>
              <w:t xml:space="preserve"> </w:t>
            </w:r>
            <w:r w:rsidR="000471BA" w:rsidRPr="000471BA">
              <w:rPr>
                <w:sz w:val="20"/>
                <w:szCs w:val="20"/>
              </w:rPr>
              <w:t>Pievienotās vērtības nodokļa likuma pielikumā minētajiem</w:t>
            </w:r>
            <w:r w:rsidR="000471BA" w:rsidRPr="007E5CF8">
              <w:rPr>
                <w:iCs/>
                <w:sz w:val="20"/>
                <w:szCs w:val="20"/>
              </w:rPr>
              <w:t xml:space="preserve"> </w:t>
            </w:r>
            <w:r w:rsidRPr="007E5CF8">
              <w:rPr>
                <w:iCs/>
                <w:sz w:val="20"/>
                <w:szCs w:val="20"/>
              </w:rPr>
              <w:t xml:space="preserve">svaigiem augļiem, ogām un dārzeņiem piemērošana arī turpmāk </w:t>
            </w:r>
          </w:p>
        </w:tc>
        <w:tc>
          <w:tcPr>
            <w:tcW w:w="851" w:type="dxa"/>
            <w:shd w:val="clear" w:color="auto" w:fill="FFFFFF"/>
            <w:tcMar>
              <w:top w:w="15" w:type="dxa"/>
              <w:left w:w="47" w:type="dxa"/>
              <w:bottom w:w="0" w:type="dxa"/>
              <w:right w:w="47" w:type="dxa"/>
            </w:tcMar>
            <w:vAlign w:val="center"/>
            <w:hideMark/>
          </w:tcPr>
          <w:p w14:paraId="3FB3C665" w14:textId="77777777" w:rsidR="007E5CF8" w:rsidRPr="007E5CF8" w:rsidRDefault="007E5CF8" w:rsidP="000E469E">
            <w:pPr>
              <w:jc w:val="center"/>
              <w:rPr>
                <w:iCs/>
                <w:color w:val="C00000"/>
                <w:sz w:val="20"/>
                <w:szCs w:val="20"/>
              </w:rPr>
            </w:pPr>
            <w:r w:rsidRPr="007E5CF8">
              <w:rPr>
                <w:iCs/>
                <w:color w:val="C00000"/>
                <w:sz w:val="20"/>
                <w:szCs w:val="20"/>
              </w:rPr>
              <w:t>-17,1</w:t>
            </w:r>
          </w:p>
        </w:tc>
        <w:tc>
          <w:tcPr>
            <w:tcW w:w="851" w:type="dxa"/>
            <w:shd w:val="clear" w:color="auto" w:fill="FFFFFF"/>
            <w:tcMar>
              <w:top w:w="15" w:type="dxa"/>
              <w:left w:w="47" w:type="dxa"/>
              <w:bottom w:w="0" w:type="dxa"/>
              <w:right w:w="47" w:type="dxa"/>
            </w:tcMar>
            <w:vAlign w:val="center"/>
            <w:hideMark/>
          </w:tcPr>
          <w:p w14:paraId="6ECEE5A8" w14:textId="77777777" w:rsidR="007E5CF8" w:rsidRPr="007E5CF8" w:rsidRDefault="007E5CF8" w:rsidP="000E469E">
            <w:pPr>
              <w:jc w:val="center"/>
              <w:rPr>
                <w:iCs/>
                <w:color w:val="C00000"/>
                <w:sz w:val="20"/>
                <w:szCs w:val="20"/>
              </w:rPr>
            </w:pPr>
            <w:r w:rsidRPr="007E5CF8">
              <w:rPr>
                <w:iCs/>
                <w:color w:val="C00000"/>
                <w:sz w:val="20"/>
                <w:szCs w:val="20"/>
              </w:rPr>
              <w:t>-19,1</w:t>
            </w:r>
          </w:p>
        </w:tc>
        <w:tc>
          <w:tcPr>
            <w:tcW w:w="851" w:type="dxa"/>
            <w:shd w:val="clear" w:color="auto" w:fill="FFFFFF"/>
            <w:tcMar>
              <w:top w:w="15" w:type="dxa"/>
              <w:left w:w="47" w:type="dxa"/>
              <w:bottom w:w="0" w:type="dxa"/>
              <w:right w:w="47" w:type="dxa"/>
            </w:tcMar>
            <w:vAlign w:val="center"/>
            <w:hideMark/>
          </w:tcPr>
          <w:p w14:paraId="124D5D7D" w14:textId="77777777" w:rsidR="007E5CF8" w:rsidRPr="007E5CF8" w:rsidRDefault="007E5CF8" w:rsidP="000E469E">
            <w:pPr>
              <w:jc w:val="center"/>
              <w:rPr>
                <w:iCs/>
                <w:color w:val="C00000"/>
                <w:sz w:val="20"/>
                <w:szCs w:val="20"/>
              </w:rPr>
            </w:pPr>
            <w:r w:rsidRPr="007E5CF8">
              <w:rPr>
                <w:iCs/>
                <w:color w:val="C00000"/>
                <w:sz w:val="20"/>
                <w:szCs w:val="20"/>
              </w:rPr>
              <w:t>-23,4</w:t>
            </w:r>
          </w:p>
        </w:tc>
        <w:tc>
          <w:tcPr>
            <w:tcW w:w="851" w:type="dxa"/>
            <w:shd w:val="clear" w:color="auto" w:fill="FFFFFF"/>
            <w:tcMar>
              <w:top w:w="15" w:type="dxa"/>
              <w:left w:w="47" w:type="dxa"/>
              <w:bottom w:w="0" w:type="dxa"/>
              <w:right w:w="47" w:type="dxa"/>
            </w:tcMar>
            <w:vAlign w:val="center"/>
            <w:hideMark/>
          </w:tcPr>
          <w:p w14:paraId="3D0836D6" w14:textId="77777777" w:rsidR="007E5CF8" w:rsidRPr="007E5CF8" w:rsidRDefault="007E5CF8" w:rsidP="000E469E">
            <w:pPr>
              <w:jc w:val="center"/>
              <w:rPr>
                <w:iCs/>
                <w:color w:val="C00000"/>
                <w:sz w:val="20"/>
                <w:szCs w:val="20"/>
              </w:rPr>
            </w:pPr>
            <w:r w:rsidRPr="007E5CF8">
              <w:rPr>
                <w:iCs/>
                <w:color w:val="C00000"/>
                <w:sz w:val="20"/>
                <w:szCs w:val="20"/>
              </w:rPr>
              <w:t>-24,0</w:t>
            </w:r>
          </w:p>
        </w:tc>
      </w:tr>
      <w:tr w:rsidR="000E469E" w:rsidRPr="007E5CF8" w14:paraId="278D0B50" w14:textId="77777777" w:rsidTr="00D07F6F">
        <w:trPr>
          <w:trHeight w:val="283"/>
        </w:trPr>
        <w:tc>
          <w:tcPr>
            <w:tcW w:w="709" w:type="dxa"/>
            <w:shd w:val="clear" w:color="auto" w:fill="FFFFFF"/>
            <w:tcMar>
              <w:top w:w="15" w:type="dxa"/>
              <w:left w:w="47" w:type="dxa"/>
              <w:bottom w:w="0" w:type="dxa"/>
              <w:right w:w="47" w:type="dxa"/>
            </w:tcMar>
            <w:vAlign w:val="center"/>
            <w:hideMark/>
          </w:tcPr>
          <w:p w14:paraId="6C0E3AA2" w14:textId="77777777" w:rsidR="007E5CF8" w:rsidRPr="007E5CF8" w:rsidRDefault="007E5CF8" w:rsidP="000E469E">
            <w:pPr>
              <w:jc w:val="center"/>
              <w:rPr>
                <w:iCs/>
                <w:sz w:val="20"/>
                <w:szCs w:val="20"/>
              </w:rPr>
            </w:pPr>
            <w:r w:rsidRPr="007E5CF8">
              <w:rPr>
                <w:iCs/>
                <w:sz w:val="20"/>
                <w:szCs w:val="20"/>
              </w:rPr>
              <w:t>2.2.</w:t>
            </w:r>
          </w:p>
        </w:tc>
        <w:tc>
          <w:tcPr>
            <w:tcW w:w="5101" w:type="dxa"/>
            <w:shd w:val="clear" w:color="auto" w:fill="FFFFFF"/>
            <w:tcMar>
              <w:top w:w="15" w:type="dxa"/>
              <w:left w:w="47" w:type="dxa"/>
              <w:bottom w:w="0" w:type="dxa"/>
              <w:right w:w="47" w:type="dxa"/>
            </w:tcMar>
            <w:vAlign w:val="center"/>
            <w:hideMark/>
          </w:tcPr>
          <w:p w14:paraId="78EC4844" w14:textId="77777777" w:rsidR="007E5CF8" w:rsidRPr="007E5CF8" w:rsidRDefault="007E5CF8" w:rsidP="00742D1E">
            <w:pPr>
              <w:jc w:val="both"/>
              <w:rPr>
                <w:iCs/>
                <w:sz w:val="20"/>
                <w:szCs w:val="20"/>
              </w:rPr>
            </w:pPr>
            <w:r w:rsidRPr="007E5CF8">
              <w:rPr>
                <w:iCs/>
                <w:sz w:val="20"/>
                <w:szCs w:val="20"/>
              </w:rPr>
              <w:t>Lauksaimnieku saņemtās atbalsta summas arī turpmāka neaplikšana ar IIN (</w:t>
            </w:r>
            <w:r w:rsidRPr="007E5CF8">
              <w:rPr>
                <w:i/>
                <w:sz w:val="20"/>
                <w:szCs w:val="20"/>
              </w:rPr>
              <w:t xml:space="preserve">šobrīd </w:t>
            </w:r>
            <w:r w:rsidRPr="007E5CF8">
              <w:rPr>
                <w:i/>
                <w:color w:val="FF0000"/>
                <w:sz w:val="20"/>
                <w:szCs w:val="20"/>
              </w:rPr>
              <w:t>terminēts līdz 31.12.2024</w:t>
            </w:r>
            <w:r w:rsidRPr="007E5CF8">
              <w:rPr>
                <w:iCs/>
                <w:sz w:val="20"/>
                <w:szCs w:val="20"/>
              </w:rPr>
              <w:t>.)</w:t>
            </w:r>
          </w:p>
        </w:tc>
        <w:tc>
          <w:tcPr>
            <w:tcW w:w="851" w:type="dxa"/>
            <w:shd w:val="clear" w:color="auto" w:fill="FFFFFF"/>
            <w:tcMar>
              <w:top w:w="15" w:type="dxa"/>
              <w:left w:w="47" w:type="dxa"/>
              <w:bottom w:w="0" w:type="dxa"/>
              <w:right w:w="47" w:type="dxa"/>
            </w:tcMar>
            <w:vAlign w:val="center"/>
            <w:hideMark/>
          </w:tcPr>
          <w:p w14:paraId="1B9D5CCE" w14:textId="67DAAC9B" w:rsidR="007E5CF8" w:rsidRPr="007E5CF8" w:rsidRDefault="00D72474" w:rsidP="00D72474">
            <w:pPr>
              <w:jc w:val="center"/>
              <w:rPr>
                <w:iCs/>
                <w:color w:val="C00000"/>
                <w:sz w:val="20"/>
                <w:szCs w:val="20"/>
              </w:rPr>
            </w:pPr>
            <w:r w:rsidRPr="00D72474">
              <w:rPr>
                <w:sz w:val="20"/>
                <w:szCs w:val="20"/>
              </w:rPr>
              <w:t>-</w:t>
            </w:r>
          </w:p>
        </w:tc>
        <w:tc>
          <w:tcPr>
            <w:tcW w:w="851" w:type="dxa"/>
            <w:shd w:val="clear" w:color="auto" w:fill="FFFFFF"/>
            <w:tcMar>
              <w:top w:w="15" w:type="dxa"/>
              <w:left w:w="47" w:type="dxa"/>
              <w:bottom w:w="0" w:type="dxa"/>
              <w:right w:w="47" w:type="dxa"/>
            </w:tcMar>
            <w:vAlign w:val="center"/>
            <w:hideMark/>
          </w:tcPr>
          <w:p w14:paraId="7EFE074D" w14:textId="77777777" w:rsidR="007E5CF8" w:rsidRPr="007E5CF8" w:rsidRDefault="007E5CF8" w:rsidP="000E469E">
            <w:pPr>
              <w:jc w:val="center"/>
              <w:rPr>
                <w:iCs/>
                <w:color w:val="C00000"/>
                <w:sz w:val="20"/>
                <w:szCs w:val="20"/>
              </w:rPr>
            </w:pPr>
            <w:r w:rsidRPr="007E5CF8">
              <w:rPr>
                <w:iCs/>
                <w:color w:val="C00000"/>
                <w:sz w:val="20"/>
                <w:szCs w:val="20"/>
              </w:rPr>
              <w:t>-23,1</w:t>
            </w:r>
          </w:p>
        </w:tc>
        <w:tc>
          <w:tcPr>
            <w:tcW w:w="851" w:type="dxa"/>
            <w:shd w:val="clear" w:color="auto" w:fill="FFFFFF"/>
            <w:tcMar>
              <w:top w:w="15" w:type="dxa"/>
              <w:left w:w="47" w:type="dxa"/>
              <w:bottom w:w="0" w:type="dxa"/>
              <w:right w:w="47" w:type="dxa"/>
            </w:tcMar>
            <w:vAlign w:val="center"/>
            <w:hideMark/>
          </w:tcPr>
          <w:p w14:paraId="726B0536" w14:textId="77777777" w:rsidR="007E5CF8" w:rsidRPr="007E5CF8" w:rsidRDefault="007E5CF8" w:rsidP="000E469E">
            <w:pPr>
              <w:jc w:val="center"/>
              <w:rPr>
                <w:iCs/>
                <w:color w:val="C00000"/>
                <w:sz w:val="20"/>
                <w:szCs w:val="20"/>
              </w:rPr>
            </w:pPr>
            <w:r w:rsidRPr="007E5CF8">
              <w:rPr>
                <w:iCs/>
                <w:color w:val="C00000"/>
                <w:sz w:val="20"/>
                <w:szCs w:val="20"/>
              </w:rPr>
              <w:t>-23,1</w:t>
            </w:r>
          </w:p>
        </w:tc>
        <w:tc>
          <w:tcPr>
            <w:tcW w:w="851" w:type="dxa"/>
            <w:shd w:val="clear" w:color="auto" w:fill="FFFFFF"/>
            <w:tcMar>
              <w:top w:w="15" w:type="dxa"/>
              <w:left w:w="47" w:type="dxa"/>
              <w:bottom w:w="0" w:type="dxa"/>
              <w:right w:w="47" w:type="dxa"/>
            </w:tcMar>
            <w:vAlign w:val="center"/>
            <w:hideMark/>
          </w:tcPr>
          <w:p w14:paraId="0EB3ECB8" w14:textId="77777777" w:rsidR="007E5CF8" w:rsidRPr="007E5CF8" w:rsidRDefault="007E5CF8" w:rsidP="000E469E">
            <w:pPr>
              <w:jc w:val="center"/>
              <w:rPr>
                <w:iCs/>
                <w:color w:val="C00000"/>
                <w:sz w:val="20"/>
                <w:szCs w:val="20"/>
              </w:rPr>
            </w:pPr>
            <w:r w:rsidRPr="007E5CF8">
              <w:rPr>
                <w:iCs/>
                <w:color w:val="C00000"/>
                <w:sz w:val="20"/>
                <w:szCs w:val="20"/>
              </w:rPr>
              <w:t>-23,1</w:t>
            </w:r>
          </w:p>
        </w:tc>
      </w:tr>
      <w:tr w:rsidR="000E469E" w:rsidRPr="007E5CF8" w14:paraId="1691BAE8" w14:textId="77777777" w:rsidTr="00D07F6F">
        <w:trPr>
          <w:trHeight w:val="454"/>
        </w:trPr>
        <w:tc>
          <w:tcPr>
            <w:tcW w:w="709" w:type="dxa"/>
            <w:shd w:val="clear" w:color="auto" w:fill="FFFFFF"/>
            <w:tcMar>
              <w:top w:w="15" w:type="dxa"/>
              <w:left w:w="47" w:type="dxa"/>
              <w:bottom w:w="0" w:type="dxa"/>
              <w:right w:w="47" w:type="dxa"/>
            </w:tcMar>
            <w:vAlign w:val="center"/>
            <w:hideMark/>
          </w:tcPr>
          <w:p w14:paraId="68F7C5F1" w14:textId="77777777" w:rsidR="007E5CF8" w:rsidRPr="007E5CF8" w:rsidRDefault="007E5CF8" w:rsidP="000E469E">
            <w:pPr>
              <w:jc w:val="center"/>
              <w:rPr>
                <w:iCs/>
                <w:sz w:val="20"/>
                <w:szCs w:val="20"/>
              </w:rPr>
            </w:pPr>
            <w:r w:rsidRPr="007E5CF8">
              <w:rPr>
                <w:iCs/>
                <w:sz w:val="20"/>
                <w:szCs w:val="20"/>
              </w:rPr>
              <w:t>2.3.</w:t>
            </w:r>
          </w:p>
        </w:tc>
        <w:tc>
          <w:tcPr>
            <w:tcW w:w="5101" w:type="dxa"/>
            <w:shd w:val="clear" w:color="auto" w:fill="FFFFFF"/>
            <w:tcMar>
              <w:top w:w="15" w:type="dxa"/>
              <w:left w:w="47" w:type="dxa"/>
              <w:bottom w:w="0" w:type="dxa"/>
              <w:right w:w="47" w:type="dxa"/>
            </w:tcMar>
            <w:vAlign w:val="center"/>
            <w:hideMark/>
          </w:tcPr>
          <w:p w14:paraId="04718C24" w14:textId="2B38EA6E" w:rsidR="007E5CF8" w:rsidRPr="007E5CF8" w:rsidRDefault="00E43591" w:rsidP="00742D1E">
            <w:pPr>
              <w:jc w:val="both"/>
              <w:rPr>
                <w:iCs/>
                <w:sz w:val="20"/>
                <w:szCs w:val="20"/>
              </w:rPr>
            </w:pPr>
            <w:r w:rsidRPr="00E43591">
              <w:rPr>
                <w:iCs/>
                <w:sz w:val="20"/>
                <w:szCs w:val="20"/>
              </w:rPr>
              <w:t>Ienākumu no lauksaimniecības zemes atsavināšanas neaplikšana ar IIN</w:t>
            </w:r>
          </w:p>
        </w:tc>
        <w:tc>
          <w:tcPr>
            <w:tcW w:w="851" w:type="dxa"/>
            <w:shd w:val="clear" w:color="auto" w:fill="FFFFFF"/>
            <w:tcMar>
              <w:top w:w="15" w:type="dxa"/>
              <w:left w:w="47" w:type="dxa"/>
              <w:bottom w:w="0" w:type="dxa"/>
              <w:right w:w="47" w:type="dxa"/>
            </w:tcMar>
            <w:vAlign w:val="center"/>
          </w:tcPr>
          <w:p w14:paraId="1319EF89" w14:textId="4F190708" w:rsidR="007E5CF8" w:rsidRPr="00E43591" w:rsidRDefault="00E43591" w:rsidP="00E43591">
            <w:pPr>
              <w:jc w:val="center"/>
              <w:rPr>
                <w:iCs/>
                <w:sz w:val="20"/>
                <w:szCs w:val="20"/>
              </w:rPr>
            </w:pPr>
            <w:r w:rsidRPr="00E43591">
              <w:rPr>
                <w:iCs/>
                <w:sz w:val="20"/>
                <w:szCs w:val="20"/>
              </w:rPr>
              <w:t>-</w:t>
            </w:r>
          </w:p>
        </w:tc>
        <w:tc>
          <w:tcPr>
            <w:tcW w:w="851" w:type="dxa"/>
            <w:shd w:val="clear" w:color="auto" w:fill="FFFFFF"/>
            <w:tcMar>
              <w:top w:w="15" w:type="dxa"/>
              <w:left w:w="47" w:type="dxa"/>
              <w:bottom w:w="0" w:type="dxa"/>
              <w:right w:w="47" w:type="dxa"/>
            </w:tcMar>
            <w:vAlign w:val="center"/>
          </w:tcPr>
          <w:p w14:paraId="650725EC" w14:textId="0E2F90B5" w:rsidR="007E5CF8" w:rsidRPr="00E43591" w:rsidRDefault="00E43591" w:rsidP="000E469E">
            <w:pPr>
              <w:jc w:val="center"/>
              <w:rPr>
                <w:iCs/>
                <w:sz w:val="20"/>
                <w:szCs w:val="20"/>
              </w:rPr>
            </w:pPr>
            <w:r w:rsidRPr="00E43591">
              <w:rPr>
                <w:iCs/>
                <w:sz w:val="20"/>
                <w:szCs w:val="20"/>
              </w:rPr>
              <w:t>-</w:t>
            </w:r>
          </w:p>
        </w:tc>
        <w:tc>
          <w:tcPr>
            <w:tcW w:w="851" w:type="dxa"/>
            <w:shd w:val="clear" w:color="auto" w:fill="FFFFFF"/>
            <w:tcMar>
              <w:top w:w="15" w:type="dxa"/>
              <w:left w:w="47" w:type="dxa"/>
              <w:bottom w:w="0" w:type="dxa"/>
              <w:right w:w="47" w:type="dxa"/>
            </w:tcMar>
            <w:vAlign w:val="center"/>
          </w:tcPr>
          <w:p w14:paraId="5E46AFB1" w14:textId="51CF1837" w:rsidR="007E5CF8" w:rsidRPr="00E43591" w:rsidRDefault="00E43591" w:rsidP="000E469E">
            <w:pPr>
              <w:jc w:val="center"/>
              <w:rPr>
                <w:iCs/>
                <w:sz w:val="20"/>
                <w:szCs w:val="20"/>
              </w:rPr>
            </w:pPr>
            <w:r w:rsidRPr="00E43591">
              <w:rPr>
                <w:iCs/>
                <w:sz w:val="20"/>
                <w:szCs w:val="20"/>
              </w:rPr>
              <w:t>-</w:t>
            </w:r>
          </w:p>
        </w:tc>
        <w:tc>
          <w:tcPr>
            <w:tcW w:w="851" w:type="dxa"/>
            <w:shd w:val="clear" w:color="auto" w:fill="FFFFFF"/>
            <w:tcMar>
              <w:top w:w="15" w:type="dxa"/>
              <w:left w:w="47" w:type="dxa"/>
              <w:bottom w:w="0" w:type="dxa"/>
              <w:right w:w="47" w:type="dxa"/>
            </w:tcMar>
            <w:vAlign w:val="center"/>
          </w:tcPr>
          <w:p w14:paraId="58CEF4C9" w14:textId="10E0D31F" w:rsidR="007E5CF8" w:rsidRPr="00E43591" w:rsidRDefault="00E43591" w:rsidP="000E469E">
            <w:pPr>
              <w:jc w:val="center"/>
              <w:rPr>
                <w:iCs/>
                <w:sz w:val="20"/>
                <w:szCs w:val="20"/>
              </w:rPr>
            </w:pPr>
            <w:r w:rsidRPr="00E43591">
              <w:rPr>
                <w:iCs/>
                <w:sz w:val="20"/>
                <w:szCs w:val="20"/>
              </w:rPr>
              <w:t>-</w:t>
            </w:r>
          </w:p>
        </w:tc>
      </w:tr>
      <w:tr w:rsidR="000E469E" w:rsidRPr="007E5CF8" w14:paraId="6E197C5A" w14:textId="77777777" w:rsidTr="00D07F6F">
        <w:trPr>
          <w:trHeight w:val="340"/>
        </w:trPr>
        <w:tc>
          <w:tcPr>
            <w:tcW w:w="709" w:type="dxa"/>
            <w:shd w:val="clear" w:color="auto" w:fill="FFFFFF"/>
            <w:tcMar>
              <w:top w:w="15" w:type="dxa"/>
              <w:left w:w="47" w:type="dxa"/>
              <w:bottom w:w="0" w:type="dxa"/>
              <w:right w:w="47" w:type="dxa"/>
            </w:tcMar>
            <w:vAlign w:val="center"/>
            <w:hideMark/>
          </w:tcPr>
          <w:p w14:paraId="6FBC21BB" w14:textId="77777777" w:rsidR="007E5CF8" w:rsidRPr="007E5CF8" w:rsidRDefault="007E5CF8" w:rsidP="000E469E">
            <w:pPr>
              <w:jc w:val="center"/>
              <w:rPr>
                <w:iCs/>
                <w:sz w:val="20"/>
                <w:szCs w:val="20"/>
              </w:rPr>
            </w:pPr>
            <w:r w:rsidRPr="007E5CF8">
              <w:rPr>
                <w:iCs/>
                <w:sz w:val="20"/>
                <w:szCs w:val="20"/>
              </w:rPr>
              <w:t>2.4.</w:t>
            </w:r>
          </w:p>
        </w:tc>
        <w:tc>
          <w:tcPr>
            <w:tcW w:w="5101" w:type="dxa"/>
            <w:shd w:val="clear" w:color="auto" w:fill="FFFFFF"/>
            <w:tcMar>
              <w:top w:w="15" w:type="dxa"/>
              <w:left w:w="47" w:type="dxa"/>
              <w:bottom w:w="0" w:type="dxa"/>
              <w:right w:w="47" w:type="dxa"/>
            </w:tcMar>
            <w:vAlign w:val="center"/>
            <w:hideMark/>
          </w:tcPr>
          <w:p w14:paraId="1F66FFC4" w14:textId="77777777" w:rsidR="007E5CF8" w:rsidRPr="007E5CF8" w:rsidRDefault="007E5CF8" w:rsidP="00742D1E">
            <w:pPr>
              <w:jc w:val="both"/>
              <w:rPr>
                <w:iCs/>
                <w:sz w:val="20"/>
                <w:szCs w:val="20"/>
              </w:rPr>
            </w:pPr>
            <w:r w:rsidRPr="007E5CF8">
              <w:rPr>
                <w:iCs/>
                <w:sz w:val="20"/>
                <w:szCs w:val="20"/>
              </w:rPr>
              <w:t xml:space="preserve">IIN atvieglojuma koplīgumiem paplašināšana (mobilitātei) līdz </w:t>
            </w:r>
            <w:r w:rsidRPr="007E5CF8">
              <w:rPr>
                <w:b/>
                <w:bCs/>
                <w:iCs/>
                <w:color w:val="FF0000"/>
                <w:sz w:val="20"/>
                <w:szCs w:val="20"/>
              </w:rPr>
              <w:t>700</w:t>
            </w:r>
            <w:r w:rsidRPr="007E5CF8">
              <w:rPr>
                <w:iCs/>
                <w:color w:val="FF0000"/>
                <w:sz w:val="20"/>
                <w:szCs w:val="20"/>
              </w:rPr>
              <w:t xml:space="preserve"> </w:t>
            </w:r>
            <w:r w:rsidRPr="007E5CF8">
              <w:rPr>
                <w:i/>
                <w:sz w:val="20"/>
                <w:szCs w:val="20"/>
              </w:rPr>
              <w:t>euro</w:t>
            </w:r>
            <w:r w:rsidRPr="007E5CF8">
              <w:rPr>
                <w:iCs/>
                <w:sz w:val="20"/>
                <w:szCs w:val="20"/>
              </w:rPr>
              <w:t xml:space="preserve"> gadā</w:t>
            </w:r>
          </w:p>
        </w:tc>
        <w:tc>
          <w:tcPr>
            <w:tcW w:w="851" w:type="dxa"/>
            <w:shd w:val="clear" w:color="auto" w:fill="FFFFFF"/>
            <w:tcMar>
              <w:top w:w="15" w:type="dxa"/>
              <w:left w:w="47" w:type="dxa"/>
              <w:bottom w:w="0" w:type="dxa"/>
              <w:right w:w="47" w:type="dxa"/>
            </w:tcMar>
            <w:vAlign w:val="center"/>
            <w:hideMark/>
          </w:tcPr>
          <w:p w14:paraId="4D6ECD5B" w14:textId="77777777" w:rsidR="007E5CF8" w:rsidRPr="007E5CF8" w:rsidRDefault="007E5CF8" w:rsidP="000E469E">
            <w:pPr>
              <w:jc w:val="center"/>
              <w:rPr>
                <w:iCs/>
                <w:color w:val="C00000"/>
                <w:sz w:val="20"/>
                <w:szCs w:val="20"/>
              </w:rPr>
            </w:pPr>
            <w:r w:rsidRPr="007E5CF8">
              <w:rPr>
                <w:iCs/>
                <w:color w:val="C00000"/>
                <w:sz w:val="20"/>
                <w:szCs w:val="20"/>
                <w:lang w:val="en-US"/>
              </w:rPr>
              <w:t>-</w:t>
            </w:r>
            <w:r w:rsidRPr="007E5CF8">
              <w:rPr>
                <w:iCs/>
                <w:color w:val="C00000"/>
                <w:sz w:val="20"/>
                <w:szCs w:val="20"/>
              </w:rPr>
              <w:t>14,0</w:t>
            </w:r>
          </w:p>
        </w:tc>
        <w:tc>
          <w:tcPr>
            <w:tcW w:w="851" w:type="dxa"/>
            <w:shd w:val="clear" w:color="auto" w:fill="FFFFFF"/>
            <w:tcMar>
              <w:top w:w="15" w:type="dxa"/>
              <w:left w:w="47" w:type="dxa"/>
              <w:bottom w:w="0" w:type="dxa"/>
              <w:right w:w="47" w:type="dxa"/>
            </w:tcMar>
            <w:vAlign w:val="center"/>
            <w:hideMark/>
          </w:tcPr>
          <w:p w14:paraId="2EC8FD04" w14:textId="77777777" w:rsidR="007E5CF8" w:rsidRPr="007E5CF8" w:rsidRDefault="007E5CF8" w:rsidP="000E469E">
            <w:pPr>
              <w:jc w:val="center"/>
              <w:rPr>
                <w:iCs/>
                <w:color w:val="C00000"/>
                <w:sz w:val="20"/>
                <w:szCs w:val="20"/>
              </w:rPr>
            </w:pPr>
            <w:r w:rsidRPr="007E5CF8">
              <w:rPr>
                <w:iCs/>
                <w:color w:val="C00000"/>
                <w:sz w:val="20"/>
                <w:szCs w:val="20"/>
                <w:lang w:val="en-US"/>
              </w:rPr>
              <w:t>-1</w:t>
            </w:r>
            <w:r w:rsidRPr="007E5CF8">
              <w:rPr>
                <w:iCs/>
                <w:color w:val="C00000"/>
                <w:sz w:val="20"/>
                <w:szCs w:val="20"/>
              </w:rPr>
              <w:t>4</w:t>
            </w:r>
            <w:r w:rsidRPr="007E5CF8">
              <w:rPr>
                <w:iCs/>
                <w:color w:val="C00000"/>
                <w:sz w:val="20"/>
                <w:szCs w:val="20"/>
                <w:lang w:val="en-US"/>
              </w:rPr>
              <w:t>,</w:t>
            </w:r>
            <w:r w:rsidRPr="007E5CF8">
              <w:rPr>
                <w:iCs/>
                <w:color w:val="C00000"/>
                <w:sz w:val="20"/>
                <w:szCs w:val="20"/>
              </w:rPr>
              <w:t>0</w:t>
            </w:r>
          </w:p>
        </w:tc>
        <w:tc>
          <w:tcPr>
            <w:tcW w:w="851" w:type="dxa"/>
            <w:shd w:val="clear" w:color="auto" w:fill="FFFFFF"/>
            <w:tcMar>
              <w:top w:w="15" w:type="dxa"/>
              <w:left w:w="47" w:type="dxa"/>
              <w:bottom w:w="0" w:type="dxa"/>
              <w:right w:w="47" w:type="dxa"/>
            </w:tcMar>
            <w:vAlign w:val="center"/>
            <w:hideMark/>
          </w:tcPr>
          <w:p w14:paraId="6F9F5DF0" w14:textId="77777777" w:rsidR="007E5CF8" w:rsidRPr="007E5CF8" w:rsidRDefault="007E5CF8" w:rsidP="000E469E">
            <w:pPr>
              <w:jc w:val="center"/>
              <w:rPr>
                <w:iCs/>
                <w:color w:val="C00000"/>
                <w:sz w:val="20"/>
                <w:szCs w:val="20"/>
              </w:rPr>
            </w:pPr>
            <w:r w:rsidRPr="007E5CF8">
              <w:rPr>
                <w:iCs/>
                <w:color w:val="C00000"/>
                <w:sz w:val="20"/>
                <w:szCs w:val="20"/>
                <w:lang w:val="en-US"/>
              </w:rPr>
              <w:t>-1</w:t>
            </w:r>
            <w:r w:rsidRPr="007E5CF8">
              <w:rPr>
                <w:iCs/>
                <w:color w:val="C00000"/>
                <w:sz w:val="20"/>
                <w:szCs w:val="20"/>
              </w:rPr>
              <w:t>4</w:t>
            </w:r>
            <w:r w:rsidRPr="007E5CF8">
              <w:rPr>
                <w:iCs/>
                <w:color w:val="C00000"/>
                <w:sz w:val="20"/>
                <w:szCs w:val="20"/>
                <w:lang w:val="en-US"/>
              </w:rPr>
              <w:t>,</w:t>
            </w:r>
            <w:r w:rsidRPr="007E5CF8">
              <w:rPr>
                <w:iCs/>
                <w:color w:val="C00000"/>
                <w:sz w:val="20"/>
                <w:szCs w:val="20"/>
              </w:rPr>
              <w:t>0</w:t>
            </w:r>
          </w:p>
        </w:tc>
        <w:tc>
          <w:tcPr>
            <w:tcW w:w="851" w:type="dxa"/>
            <w:shd w:val="clear" w:color="auto" w:fill="FFFFFF"/>
            <w:tcMar>
              <w:top w:w="15" w:type="dxa"/>
              <w:left w:w="47" w:type="dxa"/>
              <w:bottom w:w="0" w:type="dxa"/>
              <w:right w:w="47" w:type="dxa"/>
            </w:tcMar>
            <w:vAlign w:val="center"/>
            <w:hideMark/>
          </w:tcPr>
          <w:p w14:paraId="4FE3B812" w14:textId="77777777" w:rsidR="007E5CF8" w:rsidRPr="007E5CF8" w:rsidRDefault="007E5CF8" w:rsidP="000E469E">
            <w:pPr>
              <w:jc w:val="center"/>
              <w:rPr>
                <w:iCs/>
                <w:color w:val="C00000"/>
                <w:sz w:val="20"/>
                <w:szCs w:val="20"/>
              </w:rPr>
            </w:pPr>
            <w:r w:rsidRPr="007E5CF8">
              <w:rPr>
                <w:iCs/>
                <w:color w:val="C00000"/>
                <w:sz w:val="20"/>
                <w:szCs w:val="20"/>
                <w:lang w:val="en-US"/>
              </w:rPr>
              <w:t>-1</w:t>
            </w:r>
            <w:r w:rsidRPr="007E5CF8">
              <w:rPr>
                <w:iCs/>
                <w:color w:val="C00000"/>
                <w:sz w:val="20"/>
                <w:szCs w:val="20"/>
              </w:rPr>
              <w:t>4</w:t>
            </w:r>
            <w:r w:rsidRPr="007E5CF8">
              <w:rPr>
                <w:iCs/>
                <w:color w:val="C00000"/>
                <w:sz w:val="20"/>
                <w:szCs w:val="20"/>
                <w:lang w:val="en-US"/>
              </w:rPr>
              <w:t>,</w:t>
            </w:r>
            <w:r w:rsidRPr="007E5CF8">
              <w:rPr>
                <w:iCs/>
                <w:color w:val="C00000"/>
                <w:sz w:val="20"/>
                <w:szCs w:val="20"/>
              </w:rPr>
              <w:t>0</w:t>
            </w:r>
          </w:p>
        </w:tc>
      </w:tr>
      <w:tr w:rsidR="000E469E" w:rsidRPr="007E5CF8" w14:paraId="55E40591" w14:textId="77777777" w:rsidTr="00D07F6F">
        <w:trPr>
          <w:trHeight w:val="624"/>
        </w:trPr>
        <w:tc>
          <w:tcPr>
            <w:tcW w:w="709" w:type="dxa"/>
            <w:shd w:val="clear" w:color="auto" w:fill="FFFFFF"/>
            <w:tcMar>
              <w:top w:w="15" w:type="dxa"/>
              <w:left w:w="47" w:type="dxa"/>
              <w:bottom w:w="0" w:type="dxa"/>
              <w:right w:w="47" w:type="dxa"/>
            </w:tcMar>
            <w:vAlign w:val="center"/>
            <w:hideMark/>
          </w:tcPr>
          <w:p w14:paraId="62C48586" w14:textId="77777777" w:rsidR="007E5CF8" w:rsidRPr="007E5CF8" w:rsidRDefault="007E5CF8" w:rsidP="000E469E">
            <w:pPr>
              <w:jc w:val="center"/>
              <w:rPr>
                <w:iCs/>
                <w:sz w:val="20"/>
                <w:szCs w:val="20"/>
              </w:rPr>
            </w:pPr>
            <w:r w:rsidRPr="007E5CF8">
              <w:rPr>
                <w:iCs/>
                <w:sz w:val="20"/>
                <w:szCs w:val="20"/>
              </w:rPr>
              <w:t>2.5.</w:t>
            </w:r>
          </w:p>
        </w:tc>
        <w:tc>
          <w:tcPr>
            <w:tcW w:w="5101" w:type="dxa"/>
            <w:shd w:val="clear" w:color="auto" w:fill="FFFFFF"/>
            <w:tcMar>
              <w:top w:w="15" w:type="dxa"/>
              <w:left w:w="47" w:type="dxa"/>
              <w:bottom w:w="0" w:type="dxa"/>
              <w:right w:w="47" w:type="dxa"/>
            </w:tcMar>
            <w:vAlign w:val="center"/>
            <w:hideMark/>
          </w:tcPr>
          <w:p w14:paraId="28435733" w14:textId="40FDE846" w:rsidR="007E5CF8" w:rsidRPr="007E5CF8" w:rsidRDefault="007E5CF8" w:rsidP="00742D1E">
            <w:pPr>
              <w:jc w:val="both"/>
              <w:rPr>
                <w:iCs/>
                <w:sz w:val="20"/>
                <w:szCs w:val="20"/>
              </w:rPr>
            </w:pPr>
            <w:r w:rsidRPr="007E5CF8">
              <w:rPr>
                <w:iCs/>
                <w:sz w:val="20"/>
                <w:szCs w:val="20"/>
              </w:rPr>
              <w:t xml:space="preserve">No IIN atbrīvojamās summas paaugstināšana no </w:t>
            </w:r>
            <w:r w:rsidRPr="007E5CF8">
              <w:rPr>
                <w:b/>
                <w:bCs/>
                <w:iCs/>
                <w:sz w:val="20"/>
                <w:szCs w:val="20"/>
              </w:rPr>
              <w:t>250</w:t>
            </w:r>
            <w:r w:rsidRPr="007E5CF8">
              <w:rPr>
                <w:iCs/>
                <w:sz w:val="20"/>
                <w:szCs w:val="20"/>
              </w:rPr>
              <w:t xml:space="preserve"> uz </w:t>
            </w:r>
            <w:r w:rsidRPr="007E5CF8">
              <w:rPr>
                <w:b/>
                <w:bCs/>
                <w:iCs/>
                <w:color w:val="FF0000"/>
                <w:sz w:val="20"/>
                <w:szCs w:val="20"/>
              </w:rPr>
              <w:t>500</w:t>
            </w:r>
            <w:r w:rsidRPr="007E5CF8">
              <w:rPr>
                <w:iCs/>
                <w:color w:val="FF0000"/>
                <w:sz w:val="20"/>
                <w:szCs w:val="20"/>
              </w:rPr>
              <w:t xml:space="preserve"> </w:t>
            </w:r>
            <w:r w:rsidRPr="007E5CF8">
              <w:rPr>
                <w:i/>
                <w:sz w:val="20"/>
                <w:szCs w:val="20"/>
              </w:rPr>
              <w:t>euro</w:t>
            </w:r>
            <w:r w:rsidRPr="007E5CF8">
              <w:rPr>
                <w:iCs/>
                <w:sz w:val="20"/>
                <w:szCs w:val="20"/>
              </w:rPr>
              <w:t xml:space="preserve"> darba devēja izmaksātajam bēru pabalstam un bērna piedzimšanas pabalstam</w:t>
            </w:r>
            <w:r w:rsidR="00E43591">
              <w:rPr>
                <w:iCs/>
                <w:sz w:val="20"/>
                <w:szCs w:val="20"/>
              </w:rPr>
              <w:t xml:space="preserve">, kā arī </w:t>
            </w:r>
            <w:r w:rsidR="00E43591" w:rsidRPr="007E5CF8">
              <w:rPr>
                <w:iCs/>
                <w:sz w:val="20"/>
                <w:szCs w:val="20"/>
              </w:rPr>
              <w:t xml:space="preserve">no </w:t>
            </w:r>
            <w:r w:rsidR="00E43591" w:rsidRPr="007E5CF8">
              <w:rPr>
                <w:b/>
                <w:bCs/>
                <w:iCs/>
                <w:sz w:val="20"/>
                <w:szCs w:val="20"/>
              </w:rPr>
              <w:t>15</w:t>
            </w:r>
            <w:r w:rsidR="00E43591" w:rsidRPr="007E5CF8">
              <w:rPr>
                <w:iCs/>
                <w:sz w:val="20"/>
                <w:szCs w:val="20"/>
              </w:rPr>
              <w:t xml:space="preserve"> uz </w:t>
            </w:r>
            <w:r w:rsidR="00E43591" w:rsidRPr="007E5CF8">
              <w:rPr>
                <w:b/>
                <w:bCs/>
                <w:iCs/>
                <w:color w:val="FF0000"/>
                <w:sz w:val="20"/>
                <w:szCs w:val="20"/>
              </w:rPr>
              <w:t>100</w:t>
            </w:r>
            <w:r w:rsidR="00E43591" w:rsidRPr="007E5CF8">
              <w:rPr>
                <w:iCs/>
                <w:color w:val="FF0000"/>
                <w:sz w:val="20"/>
                <w:szCs w:val="20"/>
              </w:rPr>
              <w:t xml:space="preserve"> </w:t>
            </w:r>
            <w:r w:rsidR="00E43591" w:rsidRPr="007E5CF8">
              <w:rPr>
                <w:iCs/>
                <w:sz w:val="20"/>
                <w:szCs w:val="20"/>
              </w:rPr>
              <w:t>euro darba devēja dāvanām</w:t>
            </w:r>
          </w:p>
        </w:tc>
        <w:tc>
          <w:tcPr>
            <w:tcW w:w="851" w:type="dxa"/>
            <w:shd w:val="clear" w:color="auto" w:fill="FFFFFF"/>
            <w:tcMar>
              <w:top w:w="15" w:type="dxa"/>
              <w:left w:w="47" w:type="dxa"/>
              <w:bottom w:w="0" w:type="dxa"/>
              <w:right w:w="47" w:type="dxa"/>
            </w:tcMar>
            <w:vAlign w:val="center"/>
            <w:hideMark/>
          </w:tcPr>
          <w:p w14:paraId="3A74FA1F" w14:textId="77777777" w:rsidR="007E5CF8" w:rsidRPr="007E5CF8" w:rsidRDefault="007E5CF8" w:rsidP="000E469E">
            <w:pPr>
              <w:jc w:val="center"/>
              <w:rPr>
                <w:iCs/>
                <w:color w:val="C00000"/>
                <w:sz w:val="20"/>
                <w:szCs w:val="20"/>
              </w:rPr>
            </w:pPr>
            <w:r w:rsidRPr="007E5CF8">
              <w:rPr>
                <w:iCs/>
                <w:color w:val="C00000"/>
                <w:sz w:val="20"/>
                <w:szCs w:val="20"/>
                <w:lang w:val="en-US"/>
              </w:rPr>
              <w:t>-1,9</w:t>
            </w:r>
          </w:p>
        </w:tc>
        <w:tc>
          <w:tcPr>
            <w:tcW w:w="851" w:type="dxa"/>
            <w:shd w:val="clear" w:color="auto" w:fill="FFFFFF"/>
            <w:tcMar>
              <w:top w:w="15" w:type="dxa"/>
              <w:left w:w="47" w:type="dxa"/>
              <w:bottom w:w="0" w:type="dxa"/>
              <w:right w:w="47" w:type="dxa"/>
            </w:tcMar>
            <w:vAlign w:val="center"/>
            <w:hideMark/>
          </w:tcPr>
          <w:p w14:paraId="34AC52C0" w14:textId="77777777" w:rsidR="007E5CF8" w:rsidRPr="007E5CF8" w:rsidRDefault="007E5CF8" w:rsidP="000E469E">
            <w:pPr>
              <w:jc w:val="center"/>
              <w:rPr>
                <w:iCs/>
                <w:color w:val="C00000"/>
                <w:sz w:val="20"/>
                <w:szCs w:val="20"/>
              </w:rPr>
            </w:pPr>
            <w:r w:rsidRPr="007E5CF8">
              <w:rPr>
                <w:iCs/>
                <w:color w:val="C00000"/>
                <w:sz w:val="20"/>
                <w:szCs w:val="20"/>
                <w:lang w:val="en-US"/>
              </w:rPr>
              <w:t>-1,9</w:t>
            </w:r>
          </w:p>
        </w:tc>
        <w:tc>
          <w:tcPr>
            <w:tcW w:w="851" w:type="dxa"/>
            <w:shd w:val="clear" w:color="auto" w:fill="FFFFFF"/>
            <w:tcMar>
              <w:top w:w="15" w:type="dxa"/>
              <w:left w:w="47" w:type="dxa"/>
              <w:bottom w:w="0" w:type="dxa"/>
              <w:right w:w="47" w:type="dxa"/>
            </w:tcMar>
            <w:vAlign w:val="center"/>
            <w:hideMark/>
          </w:tcPr>
          <w:p w14:paraId="51EF6145" w14:textId="77777777" w:rsidR="007E5CF8" w:rsidRPr="007E5CF8" w:rsidRDefault="007E5CF8" w:rsidP="000E469E">
            <w:pPr>
              <w:jc w:val="center"/>
              <w:rPr>
                <w:iCs/>
                <w:color w:val="C00000"/>
                <w:sz w:val="20"/>
                <w:szCs w:val="20"/>
              </w:rPr>
            </w:pPr>
            <w:r w:rsidRPr="007E5CF8">
              <w:rPr>
                <w:iCs/>
                <w:color w:val="C00000"/>
                <w:sz w:val="20"/>
                <w:szCs w:val="20"/>
                <w:lang w:val="en-US"/>
              </w:rPr>
              <w:t>-1,9</w:t>
            </w:r>
          </w:p>
        </w:tc>
        <w:tc>
          <w:tcPr>
            <w:tcW w:w="851" w:type="dxa"/>
            <w:shd w:val="clear" w:color="auto" w:fill="FFFFFF"/>
            <w:tcMar>
              <w:top w:w="15" w:type="dxa"/>
              <w:left w:w="47" w:type="dxa"/>
              <w:bottom w:w="0" w:type="dxa"/>
              <w:right w:w="47" w:type="dxa"/>
            </w:tcMar>
            <w:vAlign w:val="center"/>
            <w:hideMark/>
          </w:tcPr>
          <w:p w14:paraId="677385E1" w14:textId="77777777" w:rsidR="007E5CF8" w:rsidRPr="007E5CF8" w:rsidRDefault="007E5CF8" w:rsidP="000E469E">
            <w:pPr>
              <w:jc w:val="center"/>
              <w:rPr>
                <w:iCs/>
                <w:color w:val="C00000"/>
                <w:sz w:val="20"/>
                <w:szCs w:val="20"/>
              </w:rPr>
            </w:pPr>
            <w:r w:rsidRPr="007E5CF8">
              <w:rPr>
                <w:iCs/>
                <w:color w:val="C00000"/>
                <w:sz w:val="20"/>
                <w:szCs w:val="20"/>
                <w:lang w:val="en-US"/>
              </w:rPr>
              <w:t>-1,9</w:t>
            </w:r>
          </w:p>
        </w:tc>
      </w:tr>
      <w:tr w:rsidR="00E43591" w:rsidRPr="007E5CF8" w14:paraId="3C39A706" w14:textId="77777777" w:rsidTr="00D07F6F">
        <w:trPr>
          <w:trHeight w:val="340"/>
        </w:trPr>
        <w:tc>
          <w:tcPr>
            <w:tcW w:w="709" w:type="dxa"/>
            <w:shd w:val="clear" w:color="auto" w:fill="FFFFFF"/>
            <w:tcMar>
              <w:top w:w="15" w:type="dxa"/>
              <w:left w:w="47" w:type="dxa"/>
              <w:bottom w:w="0" w:type="dxa"/>
              <w:right w:w="47" w:type="dxa"/>
            </w:tcMar>
            <w:vAlign w:val="center"/>
          </w:tcPr>
          <w:p w14:paraId="67E29D74" w14:textId="03260C25" w:rsidR="00E43591" w:rsidRPr="00742D1E" w:rsidRDefault="00E43591" w:rsidP="00E43591">
            <w:pPr>
              <w:jc w:val="center"/>
              <w:rPr>
                <w:iCs/>
                <w:sz w:val="20"/>
                <w:szCs w:val="20"/>
              </w:rPr>
            </w:pPr>
            <w:r w:rsidRPr="007E5CF8">
              <w:rPr>
                <w:iCs/>
                <w:sz w:val="20"/>
                <w:szCs w:val="20"/>
              </w:rPr>
              <w:t>2.6.</w:t>
            </w:r>
          </w:p>
        </w:tc>
        <w:tc>
          <w:tcPr>
            <w:tcW w:w="5101" w:type="dxa"/>
            <w:shd w:val="clear" w:color="auto" w:fill="FFFFFF"/>
            <w:tcMar>
              <w:top w:w="15" w:type="dxa"/>
              <w:left w:w="47" w:type="dxa"/>
              <w:bottom w:w="0" w:type="dxa"/>
              <w:right w:w="47" w:type="dxa"/>
            </w:tcMar>
            <w:vAlign w:val="center"/>
          </w:tcPr>
          <w:p w14:paraId="7BBF662B" w14:textId="5B7D0955" w:rsidR="00E43591" w:rsidRPr="00742D1E" w:rsidRDefault="00E43591" w:rsidP="00E43591">
            <w:pPr>
              <w:jc w:val="both"/>
              <w:rPr>
                <w:iCs/>
                <w:sz w:val="20"/>
                <w:szCs w:val="20"/>
              </w:rPr>
            </w:pPr>
            <w:r w:rsidRPr="007E5CF8">
              <w:rPr>
                <w:iCs/>
                <w:sz w:val="20"/>
                <w:szCs w:val="20"/>
              </w:rPr>
              <w:t>IIN atbrīvojuma konkursos</w:t>
            </w:r>
            <w:r>
              <w:rPr>
                <w:iCs/>
                <w:sz w:val="20"/>
                <w:szCs w:val="20"/>
              </w:rPr>
              <w:t xml:space="preserve"> </w:t>
            </w:r>
            <w:r w:rsidRPr="007E5CF8">
              <w:rPr>
                <w:iCs/>
                <w:sz w:val="20"/>
                <w:szCs w:val="20"/>
              </w:rPr>
              <w:t>un sacensībās saņemtajām mantiskajām un naudas balvām (prēmijām) vienādošana</w:t>
            </w:r>
            <w:r w:rsidRPr="007E5CF8">
              <w:rPr>
                <w:b/>
                <w:bCs/>
                <w:iCs/>
                <w:sz w:val="20"/>
                <w:szCs w:val="20"/>
              </w:rPr>
              <w:t>,</w:t>
            </w:r>
            <w:r w:rsidRPr="007E5CF8">
              <w:rPr>
                <w:iCs/>
                <w:sz w:val="20"/>
                <w:szCs w:val="20"/>
              </w:rPr>
              <w:t xml:space="preserve"> nosakot vienotu limita apmēru visām konkursos un sacensībās saņemtajām mantiskajām un naudas balvām </w:t>
            </w:r>
            <w:r w:rsidRPr="007E5CF8">
              <w:rPr>
                <w:b/>
                <w:bCs/>
                <w:iCs/>
                <w:color w:val="FF0000"/>
                <w:sz w:val="20"/>
                <w:szCs w:val="20"/>
              </w:rPr>
              <w:t xml:space="preserve">1 500 </w:t>
            </w:r>
            <w:r w:rsidRPr="007E5CF8">
              <w:rPr>
                <w:i/>
                <w:sz w:val="20"/>
                <w:szCs w:val="20"/>
              </w:rPr>
              <w:t>euro</w:t>
            </w:r>
          </w:p>
        </w:tc>
        <w:tc>
          <w:tcPr>
            <w:tcW w:w="3404" w:type="dxa"/>
            <w:gridSpan w:val="4"/>
            <w:shd w:val="clear" w:color="auto" w:fill="FFFFFF"/>
            <w:tcMar>
              <w:top w:w="15" w:type="dxa"/>
              <w:left w:w="47" w:type="dxa"/>
              <w:bottom w:w="0" w:type="dxa"/>
              <w:right w:w="47" w:type="dxa"/>
            </w:tcMar>
            <w:vAlign w:val="center"/>
          </w:tcPr>
          <w:p w14:paraId="27BA96D8" w14:textId="4051327F" w:rsidR="00E43591" w:rsidRPr="00742D1E" w:rsidRDefault="00E43591" w:rsidP="00E43591">
            <w:pPr>
              <w:jc w:val="center"/>
              <w:rPr>
                <w:iCs/>
                <w:sz w:val="20"/>
                <w:szCs w:val="20"/>
                <w:lang w:val="en-US"/>
              </w:rPr>
            </w:pPr>
            <w:r w:rsidRPr="007E5CF8">
              <w:rPr>
                <w:iCs/>
                <w:sz w:val="20"/>
                <w:szCs w:val="20"/>
              </w:rPr>
              <w:t>Nebūtiska ietekme</w:t>
            </w:r>
          </w:p>
        </w:tc>
      </w:tr>
      <w:tr w:rsidR="00041FEC" w:rsidRPr="007E5CF8" w14:paraId="59F42E30" w14:textId="77777777" w:rsidTr="00D07F6F">
        <w:trPr>
          <w:trHeight w:val="282"/>
        </w:trPr>
        <w:tc>
          <w:tcPr>
            <w:tcW w:w="709" w:type="dxa"/>
            <w:shd w:val="clear" w:color="auto" w:fill="FFFFFF"/>
            <w:tcMar>
              <w:top w:w="15" w:type="dxa"/>
              <w:left w:w="47" w:type="dxa"/>
              <w:bottom w:w="0" w:type="dxa"/>
              <w:right w:w="47" w:type="dxa"/>
            </w:tcMar>
            <w:vAlign w:val="center"/>
          </w:tcPr>
          <w:p w14:paraId="1C5AFB2D" w14:textId="29148C12" w:rsidR="00041FEC" w:rsidRPr="00501035" w:rsidRDefault="00041FEC" w:rsidP="00041FEC">
            <w:pPr>
              <w:jc w:val="center"/>
              <w:rPr>
                <w:iCs/>
                <w:sz w:val="20"/>
                <w:szCs w:val="20"/>
              </w:rPr>
            </w:pPr>
            <w:r w:rsidRPr="007E5CF8">
              <w:rPr>
                <w:iCs/>
                <w:sz w:val="20"/>
                <w:szCs w:val="20"/>
              </w:rPr>
              <w:t>2.7.</w:t>
            </w:r>
          </w:p>
        </w:tc>
        <w:tc>
          <w:tcPr>
            <w:tcW w:w="5101" w:type="dxa"/>
            <w:shd w:val="clear" w:color="auto" w:fill="FFFFFF"/>
            <w:tcMar>
              <w:top w:w="15" w:type="dxa"/>
              <w:left w:w="47" w:type="dxa"/>
              <w:bottom w:w="0" w:type="dxa"/>
              <w:right w:w="47" w:type="dxa"/>
            </w:tcMar>
            <w:vAlign w:val="center"/>
          </w:tcPr>
          <w:p w14:paraId="6962C10A" w14:textId="3965CB14" w:rsidR="00041FEC" w:rsidRPr="0002495E" w:rsidRDefault="0002495E" w:rsidP="00041FEC">
            <w:pPr>
              <w:jc w:val="both"/>
              <w:rPr>
                <w:iCs/>
                <w:sz w:val="20"/>
                <w:szCs w:val="20"/>
              </w:rPr>
            </w:pPr>
            <w:r w:rsidRPr="0002495E">
              <w:rPr>
                <w:iCs/>
                <w:sz w:val="20"/>
                <w:szCs w:val="20"/>
              </w:rPr>
              <w:t xml:space="preserve">Strādājošu vecāku </w:t>
            </w:r>
            <w:r w:rsidRPr="0002495E">
              <w:rPr>
                <w:b/>
                <w:bCs/>
                <w:iCs/>
                <w:color w:val="FF0000"/>
                <w:sz w:val="20"/>
                <w:szCs w:val="20"/>
              </w:rPr>
              <w:t>pabalstu noteikt 2025.g. 75% pārējos 50%</w:t>
            </w:r>
            <w:r w:rsidRPr="0002495E">
              <w:rPr>
                <w:iCs/>
                <w:color w:val="FF0000"/>
                <w:sz w:val="20"/>
                <w:szCs w:val="20"/>
              </w:rPr>
              <w:t xml:space="preserve"> </w:t>
            </w:r>
            <w:r w:rsidRPr="0002495E">
              <w:rPr>
                <w:iCs/>
                <w:sz w:val="20"/>
                <w:szCs w:val="20"/>
              </w:rPr>
              <w:t>(šobrīd 50%) no piešķirtā vecāku pabalsta apmēra</w:t>
            </w:r>
          </w:p>
        </w:tc>
        <w:tc>
          <w:tcPr>
            <w:tcW w:w="851" w:type="dxa"/>
            <w:shd w:val="clear" w:color="auto" w:fill="FFFFFF"/>
            <w:tcMar>
              <w:top w:w="15" w:type="dxa"/>
              <w:left w:w="47" w:type="dxa"/>
              <w:bottom w:w="0" w:type="dxa"/>
              <w:right w:w="47" w:type="dxa"/>
            </w:tcMar>
            <w:vAlign w:val="center"/>
          </w:tcPr>
          <w:p w14:paraId="1D1555FF" w14:textId="0D30D1F1" w:rsidR="00041FEC" w:rsidRPr="00041FEC" w:rsidRDefault="0002495E" w:rsidP="00041FEC">
            <w:pPr>
              <w:jc w:val="center"/>
              <w:rPr>
                <w:rFonts w:eastAsia="Times New Roman" w:cs="Times New Roman"/>
                <w:color w:val="C00000"/>
                <w:sz w:val="20"/>
                <w:szCs w:val="20"/>
                <w:lang w:eastAsia="lv-LV"/>
              </w:rPr>
            </w:pPr>
            <w:r>
              <w:rPr>
                <w:rFonts w:eastAsia="Times New Roman" w:cs="Times New Roman"/>
                <w:color w:val="C00000"/>
                <w:sz w:val="20"/>
                <w:szCs w:val="20"/>
                <w:lang w:eastAsia="lv-LV"/>
              </w:rPr>
              <w:t>-7,7</w:t>
            </w:r>
          </w:p>
        </w:tc>
        <w:tc>
          <w:tcPr>
            <w:tcW w:w="851" w:type="dxa"/>
            <w:shd w:val="clear" w:color="auto" w:fill="FFFFFF"/>
            <w:vAlign w:val="center"/>
          </w:tcPr>
          <w:p w14:paraId="36767D67" w14:textId="24F2D52E" w:rsidR="00041FEC" w:rsidRPr="0002495E" w:rsidRDefault="0002495E" w:rsidP="00041FEC">
            <w:pPr>
              <w:jc w:val="center"/>
              <w:rPr>
                <w:rFonts w:eastAsia="Times New Roman" w:cs="Times New Roman"/>
                <w:sz w:val="20"/>
                <w:szCs w:val="20"/>
                <w:lang w:eastAsia="lv-LV"/>
              </w:rPr>
            </w:pPr>
            <w:r w:rsidRPr="0002495E">
              <w:rPr>
                <w:rFonts w:eastAsia="Times New Roman" w:cs="Times New Roman"/>
                <w:sz w:val="20"/>
                <w:szCs w:val="20"/>
                <w:lang w:eastAsia="lv-LV"/>
              </w:rPr>
              <w:t>-</w:t>
            </w:r>
          </w:p>
        </w:tc>
        <w:tc>
          <w:tcPr>
            <w:tcW w:w="851" w:type="dxa"/>
            <w:shd w:val="clear" w:color="auto" w:fill="FFFFFF"/>
            <w:vAlign w:val="center"/>
          </w:tcPr>
          <w:p w14:paraId="00D6598F" w14:textId="12E91C42" w:rsidR="00041FEC" w:rsidRPr="0002495E" w:rsidRDefault="0002495E" w:rsidP="00041FEC">
            <w:pPr>
              <w:jc w:val="center"/>
              <w:rPr>
                <w:rFonts w:eastAsia="Times New Roman" w:cs="Times New Roman"/>
                <w:sz w:val="20"/>
                <w:szCs w:val="20"/>
                <w:lang w:eastAsia="lv-LV"/>
              </w:rPr>
            </w:pPr>
            <w:r w:rsidRPr="0002495E">
              <w:rPr>
                <w:rFonts w:eastAsia="Times New Roman" w:cs="Times New Roman"/>
                <w:sz w:val="20"/>
                <w:szCs w:val="20"/>
                <w:lang w:eastAsia="lv-LV"/>
              </w:rPr>
              <w:t>-</w:t>
            </w:r>
          </w:p>
        </w:tc>
        <w:tc>
          <w:tcPr>
            <w:tcW w:w="851" w:type="dxa"/>
            <w:shd w:val="clear" w:color="auto" w:fill="FFFFFF"/>
            <w:vAlign w:val="center"/>
          </w:tcPr>
          <w:p w14:paraId="469840A1" w14:textId="13EDBB96" w:rsidR="00041FEC" w:rsidRPr="0002495E" w:rsidRDefault="0002495E" w:rsidP="00041FEC">
            <w:pPr>
              <w:jc w:val="center"/>
              <w:rPr>
                <w:rFonts w:eastAsia="Times New Roman" w:cs="Times New Roman"/>
                <w:sz w:val="20"/>
                <w:szCs w:val="20"/>
                <w:lang w:eastAsia="lv-LV"/>
              </w:rPr>
            </w:pPr>
            <w:r w:rsidRPr="0002495E">
              <w:rPr>
                <w:rFonts w:eastAsia="Times New Roman" w:cs="Times New Roman"/>
                <w:sz w:val="20"/>
                <w:szCs w:val="20"/>
                <w:lang w:eastAsia="lv-LV"/>
              </w:rPr>
              <w:t>-</w:t>
            </w:r>
          </w:p>
        </w:tc>
      </w:tr>
      <w:tr w:rsidR="00D72474" w:rsidRPr="007E5CF8" w14:paraId="7FCF9BDC" w14:textId="77777777" w:rsidTr="00D07F6F">
        <w:trPr>
          <w:trHeight w:val="232"/>
        </w:trPr>
        <w:tc>
          <w:tcPr>
            <w:tcW w:w="709" w:type="dxa"/>
            <w:shd w:val="clear" w:color="auto" w:fill="FFFFFF"/>
            <w:tcMar>
              <w:top w:w="15" w:type="dxa"/>
              <w:left w:w="47" w:type="dxa"/>
              <w:bottom w:w="0" w:type="dxa"/>
              <w:right w:w="47" w:type="dxa"/>
            </w:tcMar>
            <w:vAlign w:val="center"/>
          </w:tcPr>
          <w:p w14:paraId="2A01B6D7" w14:textId="05F925FA" w:rsidR="00D72474" w:rsidRPr="007E5CF8" w:rsidRDefault="00D72474" w:rsidP="00D72474">
            <w:pPr>
              <w:jc w:val="center"/>
              <w:rPr>
                <w:iCs/>
                <w:sz w:val="20"/>
                <w:szCs w:val="20"/>
              </w:rPr>
            </w:pPr>
            <w:r>
              <w:rPr>
                <w:iCs/>
                <w:sz w:val="20"/>
                <w:szCs w:val="20"/>
              </w:rPr>
              <w:t>2.8.</w:t>
            </w:r>
          </w:p>
        </w:tc>
        <w:tc>
          <w:tcPr>
            <w:tcW w:w="5101" w:type="dxa"/>
            <w:shd w:val="clear" w:color="auto" w:fill="FFFFFF"/>
            <w:tcMar>
              <w:top w:w="15" w:type="dxa"/>
              <w:left w:w="47" w:type="dxa"/>
              <w:bottom w:w="0" w:type="dxa"/>
              <w:right w:w="47" w:type="dxa"/>
            </w:tcMar>
            <w:vAlign w:val="center"/>
          </w:tcPr>
          <w:p w14:paraId="1ED02CF3" w14:textId="38DABFDE" w:rsidR="00D72474" w:rsidRPr="00E43591" w:rsidRDefault="00F034EA" w:rsidP="00D72474">
            <w:pPr>
              <w:rPr>
                <w:iCs/>
                <w:sz w:val="20"/>
                <w:szCs w:val="20"/>
              </w:rPr>
            </w:pPr>
            <w:r w:rsidRPr="00F034EA">
              <w:rPr>
                <w:rFonts w:eastAsia="Times New Roman" w:cs="Times New Roman"/>
                <w:color w:val="000000"/>
                <w:sz w:val="20"/>
                <w:szCs w:val="20"/>
                <w:lang w:eastAsia="lv-LV"/>
              </w:rPr>
              <w:t xml:space="preserve">Pārejot uz </w:t>
            </w:r>
            <w:r w:rsidRPr="00F034EA">
              <w:rPr>
                <w:rFonts w:eastAsia="Times New Roman" w:cs="Times New Roman"/>
                <w:b/>
                <w:bCs/>
                <w:color w:val="FF0000"/>
                <w:sz w:val="20"/>
                <w:szCs w:val="20"/>
                <w:lang w:eastAsia="lv-LV"/>
              </w:rPr>
              <w:t>25,5%</w:t>
            </w:r>
            <w:r w:rsidRPr="00F034EA">
              <w:rPr>
                <w:rFonts w:eastAsia="Times New Roman" w:cs="Times New Roman"/>
                <w:color w:val="FF0000"/>
                <w:sz w:val="20"/>
                <w:szCs w:val="20"/>
                <w:lang w:eastAsia="lv-LV"/>
              </w:rPr>
              <w:t xml:space="preserve"> </w:t>
            </w:r>
            <w:r w:rsidRPr="00F034EA">
              <w:rPr>
                <w:rFonts w:eastAsia="Times New Roman" w:cs="Times New Roman"/>
                <w:sz w:val="20"/>
                <w:szCs w:val="20"/>
                <w:lang w:eastAsia="lv-LV"/>
              </w:rPr>
              <w:t>IIN</w:t>
            </w:r>
            <w:r w:rsidRPr="00F034EA">
              <w:rPr>
                <w:rFonts w:eastAsia="Times New Roman" w:cs="Times New Roman"/>
                <w:color w:val="FF0000"/>
                <w:sz w:val="20"/>
                <w:szCs w:val="20"/>
                <w:lang w:eastAsia="lv-LV"/>
              </w:rPr>
              <w:t xml:space="preserve"> </w:t>
            </w:r>
            <w:r w:rsidRPr="00F034EA">
              <w:rPr>
                <w:rFonts w:eastAsia="Times New Roman" w:cs="Times New Roman"/>
                <w:color w:val="000000"/>
                <w:sz w:val="20"/>
                <w:szCs w:val="20"/>
                <w:lang w:eastAsia="lv-LV"/>
              </w:rPr>
              <w:t>pamatlikmi (šobrīd 20%) pieaugs attaisnoto izdevumu atmaksas</w:t>
            </w:r>
          </w:p>
        </w:tc>
        <w:tc>
          <w:tcPr>
            <w:tcW w:w="851" w:type="dxa"/>
            <w:shd w:val="clear" w:color="auto" w:fill="FFFFFF"/>
            <w:tcMar>
              <w:top w:w="15" w:type="dxa"/>
              <w:left w:w="47" w:type="dxa"/>
              <w:bottom w:w="0" w:type="dxa"/>
              <w:right w:w="47" w:type="dxa"/>
            </w:tcMar>
            <w:vAlign w:val="center"/>
          </w:tcPr>
          <w:p w14:paraId="33592DC3" w14:textId="07E7DEE3" w:rsidR="00D72474" w:rsidRPr="00D72474" w:rsidRDefault="00D72474" w:rsidP="00D72474">
            <w:pPr>
              <w:jc w:val="center"/>
              <w:rPr>
                <w:rFonts w:eastAsia="Times New Roman" w:cs="Times New Roman"/>
                <w:color w:val="C00000"/>
                <w:sz w:val="20"/>
                <w:szCs w:val="20"/>
                <w:lang w:eastAsia="lv-LV"/>
              </w:rPr>
            </w:pPr>
            <w:r w:rsidRPr="00D72474">
              <w:rPr>
                <w:sz w:val="20"/>
                <w:szCs w:val="20"/>
              </w:rPr>
              <w:t>-</w:t>
            </w:r>
          </w:p>
        </w:tc>
        <w:tc>
          <w:tcPr>
            <w:tcW w:w="851" w:type="dxa"/>
            <w:shd w:val="clear" w:color="auto" w:fill="FFFFFF"/>
            <w:vAlign w:val="center"/>
          </w:tcPr>
          <w:p w14:paraId="7F3D5040" w14:textId="523E09A9" w:rsidR="00D72474" w:rsidRPr="00D72474" w:rsidRDefault="00D72474" w:rsidP="00D72474">
            <w:pPr>
              <w:jc w:val="center"/>
              <w:rPr>
                <w:rFonts w:eastAsia="Times New Roman" w:cs="Times New Roman"/>
                <w:color w:val="C00000"/>
                <w:sz w:val="20"/>
                <w:szCs w:val="20"/>
                <w:lang w:eastAsia="lv-LV"/>
              </w:rPr>
            </w:pPr>
            <w:r w:rsidRPr="00D72474">
              <w:rPr>
                <w:color w:val="C00000"/>
                <w:sz w:val="20"/>
                <w:szCs w:val="20"/>
              </w:rPr>
              <w:t>-8,3</w:t>
            </w:r>
          </w:p>
        </w:tc>
        <w:tc>
          <w:tcPr>
            <w:tcW w:w="851" w:type="dxa"/>
            <w:shd w:val="clear" w:color="auto" w:fill="FFFFFF"/>
            <w:vAlign w:val="center"/>
          </w:tcPr>
          <w:p w14:paraId="6E3CB337" w14:textId="3105753B" w:rsidR="00D72474" w:rsidRPr="00D72474" w:rsidRDefault="00D72474" w:rsidP="00D72474">
            <w:pPr>
              <w:jc w:val="center"/>
              <w:rPr>
                <w:rFonts w:eastAsia="Times New Roman" w:cs="Times New Roman"/>
                <w:color w:val="C00000"/>
                <w:sz w:val="20"/>
                <w:szCs w:val="20"/>
                <w:lang w:eastAsia="lv-LV"/>
              </w:rPr>
            </w:pPr>
            <w:r w:rsidRPr="00D72474">
              <w:rPr>
                <w:color w:val="C00000"/>
                <w:sz w:val="20"/>
                <w:szCs w:val="20"/>
              </w:rPr>
              <w:t>-8,4</w:t>
            </w:r>
          </w:p>
        </w:tc>
        <w:tc>
          <w:tcPr>
            <w:tcW w:w="851" w:type="dxa"/>
            <w:shd w:val="clear" w:color="auto" w:fill="FFFFFF"/>
            <w:vAlign w:val="center"/>
          </w:tcPr>
          <w:p w14:paraId="29B42A83" w14:textId="396F344C" w:rsidR="00D72474" w:rsidRPr="00D72474" w:rsidRDefault="00D72474" w:rsidP="00D72474">
            <w:pPr>
              <w:jc w:val="center"/>
              <w:rPr>
                <w:rFonts w:eastAsia="Times New Roman" w:cs="Times New Roman"/>
                <w:color w:val="C00000"/>
                <w:sz w:val="20"/>
                <w:szCs w:val="20"/>
                <w:lang w:eastAsia="lv-LV"/>
              </w:rPr>
            </w:pPr>
            <w:r w:rsidRPr="00D72474">
              <w:rPr>
                <w:color w:val="C00000"/>
                <w:sz w:val="20"/>
                <w:szCs w:val="20"/>
              </w:rPr>
              <w:t>-8,5</w:t>
            </w:r>
          </w:p>
        </w:tc>
      </w:tr>
    </w:tbl>
    <w:p w14:paraId="2621688A" w14:textId="77777777" w:rsidR="00501035" w:rsidRDefault="00501035" w:rsidP="00742D1E">
      <w:pPr>
        <w:spacing w:after="120"/>
        <w:ind w:firstLine="709"/>
        <w:jc w:val="center"/>
        <w:rPr>
          <w:sz w:val="20"/>
          <w:szCs w:val="20"/>
        </w:rPr>
      </w:pPr>
    </w:p>
    <w:p w14:paraId="10492CCA" w14:textId="77777777" w:rsidR="00D72474" w:rsidRDefault="00D72474">
      <w:pPr>
        <w:rPr>
          <w:sz w:val="20"/>
          <w:szCs w:val="20"/>
        </w:rPr>
      </w:pPr>
      <w:r>
        <w:rPr>
          <w:sz w:val="20"/>
          <w:szCs w:val="20"/>
        </w:rPr>
        <w:br w:type="page"/>
      </w:r>
    </w:p>
    <w:p w14:paraId="7760D19F" w14:textId="1FBB75D0" w:rsidR="00742D1E" w:rsidRPr="00742D1E" w:rsidRDefault="006F5E64" w:rsidP="00742D1E">
      <w:pPr>
        <w:spacing w:after="120"/>
        <w:ind w:firstLine="709"/>
        <w:jc w:val="center"/>
        <w:rPr>
          <w:i/>
          <w:sz w:val="20"/>
          <w:szCs w:val="20"/>
        </w:rPr>
      </w:pPr>
      <w:r>
        <w:rPr>
          <w:sz w:val="20"/>
          <w:szCs w:val="20"/>
        </w:rPr>
        <w:lastRenderedPageBreak/>
        <w:t>4</w:t>
      </w:r>
      <w:r w:rsidR="00725CD9">
        <w:rPr>
          <w:sz w:val="20"/>
          <w:szCs w:val="20"/>
        </w:rPr>
        <w:t>2</w:t>
      </w:r>
      <w:r w:rsidR="00742D1E" w:rsidRPr="00742D1E">
        <w:rPr>
          <w:sz w:val="20"/>
          <w:szCs w:val="20"/>
        </w:rPr>
        <w:t>.tab.</w:t>
      </w:r>
      <w:r w:rsidR="00742D1E" w:rsidRPr="00742D1E">
        <w:rPr>
          <w:b/>
          <w:sz w:val="20"/>
          <w:szCs w:val="20"/>
        </w:rPr>
        <w:t xml:space="preserve"> Kopējās pasākumu fiskālās ietekmes</w:t>
      </w:r>
      <w:r w:rsidR="00742D1E" w:rsidRPr="00742D1E">
        <w:rPr>
          <w:b/>
          <w:sz w:val="20"/>
          <w:szCs w:val="20"/>
          <w:vertAlign w:val="superscript"/>
        </w:rPr>
        <w:t>*</w:t>
      </w:r>
      <w:r w:rsidR="00742D1E" w:rsidRPr="00742D1E">
        <w:rPr>
          <w:b/>
          <w:sz w:val="20"/>
          <w:szCs w:val="20"/>
        </w:rPr>
        <w:t xml:space="preserve">, </w:t>
      </w:r>
      <w:r w:rsidR="00742D1E" w:rsidRPr="00742D1E">
        <w:rPr>
          <w:i/>
          <w:sz w:val="20"/>
          <w:szCs w:val="20"/>
        </w:rPr>
        <w:t>milj.</w:t>
      </w:r>
      <w:r w:rsidR="002D73B1">
        <w:rPr>
          <w:i/>
          <w:sz w:val="20"/>
          <w:szCs w:val="20"/>
        </w:rPr>
        <w:t> </w:t>
      </w:r>
      <w:r w:rsidR="00742D1E" w:rsidRPr="00742D1E">
        <w:rPr>
          <w:i/>
          <w:sz w:val="20"/>
          <w:szCs w:val="20"/>
        </w:rPr>
        <w:t xml:space="preserve">euro </w:t>
      </w:r>
      <w:r w:rsidR="00742D1E">
        <w:rPr>
          <w:i/>
          <w:sz w:val="20"/>
          <w:szCs w:val="20"/>
        </w:rPr>
        <w:t>(turpinājums)</w:t>
      </w: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5107"/>
        <w:gridCol w:w="850"/>
        <w:gridCol w:w="707"/>
        <w:gridCol w:w="850"/>
        <w:gridCol w:w="849"/>
      </w:tblGrid>
      <w:tr w:rsidR="00742D1E" w:rsidRPr="007E5CF8" w14:paraId="4D0552FB" w14:textId="77777777" w:rsidTr="00D07F6F">
        <w:trPr>
          <w:trHeight w:val="340"/>
        </w:trPr>
        <w:tc>
          <w:tcPr>
            <w:tcW w:w="704" w:type="dxa"/>
            <w:tcBorders>
              <w:right w:val="single" w:sz="4" w:space="0" w:color="FFFFFF" w:themeColor="background1"/>
            </w:tcBorders>
            <w:shd w:val="clear" w:color="auto" w:fill="002060"/>
            <w:tcMar>
              <w:top w:w="15" w:type="dxa"/>
              <w:left w:w="100" w:type="dxa"/>
              <w:bottom w:w="0" w:type="dxa"/>
              <w:right w:w="100" w:type="dxa"/>
            </w:tcMar>
            <w:vAlign w:val="center"/>
            <w:hideMark/>
          </w:tcPr>
          <w:p w14:paraId="5856CBAD" w14:textId="77777777" w:rsidR="00742D1E" w:rsidRDefault="00742D1E" w:rsidP="00195D54">
            <w:pPr>
              <w:jc w:val="center"/>
              <w:rPr>
                <w:b/>
                <w:bCs/>
                <w:iCs/>
                <w:color w:val="FFFFFF" w:themeColor="background1"/>
                <w:sz w:val="20"/>
                <w:szCs w:val="20"/>
              </w:rPr>
            </w:pPr>
            <w:r>
              <w:rPr>
                <w:b/>
                <w:bCs/>
                <w:iCs/>
                <w:color w:val="FFFFFF" w:themeColor="background1"/>
                <w:sz w:val="20"/>
                <w:szCs w:val="20"/>
              </w:rPr>
              <w:t>Nr.</w:t>
            </w:r>
          </w:p>
          <w:p w14:paraId="14D0A310" w14:textId="77777777" w:rsidR="00742D1E" w:rsidRPr="007E5CF8" w:rsidRDefault="00742D1E" w:rsidP="00195D54">
            <w:pPr>
              <w:jc w:val="center"/>
              <w:rPr>
                <w:iCs/>
                <w:color w:val="FFFFFF" w:themeColor="background1"/>
                <w:sz w:val="20"/>
                <w:szCs w:val="20"/>
              </w:rPr>
            </w:pPr>
            <w:r>
              <w:rPr>
                <w:b/>
                <w:bCs/>
                <w:iCs/>
                <w:color w:val="FFFFFF" w:themeColor="background1"/>
                <w:sz w:val="20"/>
                <w:szCs w:val="20"/>
              </w:rPr>
              <w:t>p.k.</w:t>
            </w:r>
          </w:p>
        </w:tc>
        <w:tc>
          <w:tcPr>
            <w:tcW w:w="5107" w:type="dxa"/>
            <w:tcBorders>
              <w:left w:val="single" w:sz="4" w:space="0" w:color="FFFFFF" w:themeColor="background1"/>
              <w:right w:val="single" w:sz="4" w:space="0" w:color="FFFFFF" w:themeColor="background1"/>
            </w:tcBorders>
            <w:shd w:val="clear" w:color="auto" w:fill="002060"/>
            <w:tcMar>
              <w:top w:w="15" w:type="dxa"/>
              <w:left w:w="100" w:type="dxa"/>
              <w:bottom w:w="0" w:type="dxa"/>
              <w:right w:w="100" w:type="dxa"/>
            </w:tcMar>
            <w:vAlign w:val="center"/>
            <w:hideMark/>
          </w:tcPr>
          <w:p w14:paraId="230C4FEA" w14:textId="77777777" w:rsidR="00742D1E" w:rsidRPr="007E5CF8" w:rsidRDefault="00742D1E" w:rsidP="00195D54">
            <w:pPr>
              <w:ind w:firstLine="709"/>
              <w:jc w:val="center"/>
              <w:rPr>
                <w:iCs/>
                <w:color w:val="FFFFFF" w:themeColor="background1"/>
                <w:sz w:val="20"/>
                <w:szCs w:val="20"/>
              </w:rPr>
            </w:pPr>
            <w:r>
              <w:rPr>
                <w:b/>
                <w:bCs/>
                <w:iCs/>
                <w:color w:val="FFFFFF" w:themeColor="background1"/>
                <w:sz w:val="20"/>
                <w:szCs w:val="20"/>
              </w:rPr>
              <w:t>Pasākums</w:t>
            </w:r>
          </w:p>
        </w:tc>
        <w:tc>
          <w:tcPr>
            <w:tcW w:w="850" w:type="dxa"/>
            <w:tcBorders>
              <w:left w:val="single" w:sz="4" w:space="0" w:color="FFFFFF" w:themeColor="background1"/>
              <w:right w:val="single" w:sz="4" w:space="0" w:color="FFFFFF" w:themeColor="background1"/>
            </w:tcBorders>
            <w:shd w:val="clear" w:color="auto" w:fill="002060"/>
            <w:tcMar>
              <w:top w:w="15" w:type="dxa"/>
              <w:left w:w="100" w:type="dxa"/>
              <w:bottom w:w="0" w:type="dxa"/>
              <w:right w:w="100" w:type="dxa"/>
            </w:tcMar>
            <w:vAlign w:val="center"/>
            <w:hideMark/>
          </w:tcPr>
          <w:p w14:paraId="2A629934" w14:textId="77777777" w:rsidR="00742D1E" w:rsidRPr="007E5CF8" w:rsidRDefault="00742D1E" w:rsidP="00195D54">
            <w:pPr>
              <w:jc w:val="center"/>
              <w:rPr>
                <w:iCs/>
                <w:color w:val="FFFFFF" w:themeColor="background1"/>
                <w:sz w:val="20"/>
                <w:szCs w:val="20"/>
              </w:rPr>
            </w:pPr>
            <w:r w:rsidRPr="007E5CF8">
              <w:rPr>
                <w:b/>
                <w:bCs/>
                <w:iCs/>
                <w:color w:val="FFFFFF" w:themeColor="background1"/>
                <w:sz w:val="20"/>
                <w:szCs w:val="20"/>
                <w:lang w:val="en-US"/>
              </w:rPr>
              <w:t>2025</w:t>
            </w:r>
          </w:p>
        </w:tc>
        <w:tc>
          <w:tcPr>
            <w:tcW w:w="707" w:type="dxa"/>
            <w:tcBorders>
              <w:left w:val="single" w:sz="4" w:space="0" w:color="FFFFFF" w:themeColor="background1"/>
              <w:right w:val="single" w:sz="4" w:space="0" w:color="FFFFFF" w:themeColor="background1"/>
            </w:tcBorders>
            <w:shd w:val="clear" w:color="auto" w:fill="002060"/>
            <w:tcMar>
              <w:top w:w="15" w:type="dxa"/>
              <w:left w:w="100" w:type="dxa"/>
              <w:bottom w:w="0" w:type="dxa"/>
              <w:right w:w="100" w:type="dxa"/>
            </w:tcMar>
            <w:vAlign w:val="center"/>
            <w:hideMark/>
          </w:tcPr>
          <w:p w14:paraId="239C2786" w14:textId="77777777" w:rsidR="00742D1E" w:rsidRPr="007E5CF8" w:rsidRDefault="00742D1E" w:rsidP="00195D54">
            <w:pPr>
              <w:jc w:val="center"/>
              <w:rPr>
                <w:iCs/>
                <w:color w:val="FFFFFF" w:themeColor="background1"/>
                <w:sz w:val="20"/>
                <w:szCs w:val="20"/>
              </w:rPr>
            </w:pPr>
            <w:r w:rsidRPr="007E5CF8">
              <w:rPr>
                <w:b/>
                <w:bCs/>
                <w:iCs/>
                <w:color w:val="FFFFFF" w:themeColor="background1"/>
                <w:sz w:val="20"/>
                <w:szCs w:val="20"/>
                <w:lang w:val="en-US"/>
              </w:rPr>
              <w:t>2026</w:t>
            </w:r>
          </w:p>
        </w:tc>
        <w:tc>
          <w:tcPr>
            <w:tcW w:w="850" w:type="dxa"/>
            <w:tcBorders>
              <w:left w:val="single" w:sz="4" w:space="0" w:color="FFFFFF" w:themeColor="background1"/>
            </w:tcBorders>
            <w:shd w:val="clear" w:color="auto" w:fill="002060"/>
            <w:tcMar>
              <w:top w:w="15" w:type="dxa"/>
              <w:left w:w="100" w:type="dxa"/>
              <w:bottom w:w="0" w:type="dxa"/>
              <w:right w:w="100" w:type="dxa"/>
            </w:tcMar>
            <w:vAlign w:val="center"/>
            <w:hideMark/>
          </w:tcPr>
          <w:p w14:paraId="38A50C08" w14:textId="77777777" w:rsidR="00742D1E" w:rsidRPr="007E5CF8" w:rsidRDefault="00742D1E" w:rsidP="00195D54">
            <w:pPr>
              <w:jc w:val="center"/>
              <w:rPr>
                <w:iCs/>
                <w:color w:val="FFFFFF" w:themeColor="background1"/>
                <w:sz w:val="20"/>
                <w:szCs w:val="20"/>
              </w:rPr>
            </w:pPr>
            <w:r w:rsidRPr="007E5CF8">
              <w:rPr>
                <w:b/>
                <w:bCs/>
                <w:iCs/>
                <w:color w:val="FFFFFF" w:themeColor="background1"/>
                <w:sz w:val="20"/>
                <w:szCs w:val="20"/>
                <w:lang w:val="en-US"/>
              </w:rPr>
              <w:t>2027</w:t>
            </w:r>
          </w:p>
        </w:tc>
        <w:tc>
          <w:tcPr>
            <w:tcW w:w="849" w:type="dxa"/>
            <w:shd w:val="clear" w:color="auto" w:fill="002060"/>
            <w:tcMar>
              <w:top w:w="15" w:type="dxa"/>
              <w:left w:w="100" w:type="dxa"/>
              <w:bottom w:w="0" w:type="dxa"/>
              <w:right w:w="100" w:type="dxa"/>
            </w:tcMar>
            <w:vAlign w:val="center"/>
            <w:hideMark/>
          </w:tcPr>
          <w:p w14:paraId="2ECB6C45" w14:textId="77777777" w:rsidR="00742D1E" w:rsidRPr="007E5CF8" w:rsidRDefault="00742D1E" w:rsidP="00195D54">
            <w:pPr>
              <w:jc w:val="center"/>
              <w:rPr>
                <w:iCs/>
                <w:color w:val="FFFFFF" w:themeColor="background1"/>
                <w:sz w:val="20"/>
                <w:szCs w:val="20"/>
              </w:rPr>
            </w:pPr>
            <w:r w:rsidRPr="007E5CF8">
              <w:rPr>
                <w:b/>
                <w:bCs/>
                <w:iCs/>
                <w:color w:val="FFFFFF" w:themeColor="background1"/>
                <w:sz w:val="20"/>
                <w:szCs w:val="20"/>
                <w:lang w:val="en-US"/>
              </w:rPr>
              <w:t>2028</w:t>
            </w:r>
          </w:p>
        </w:tc>
      </w:tr>
      <w:tr w:rsidR="002D73B1" w:rsidRPr="00D72474" w14:paraId="6872B011" w14:textId="77777777" w:rsidTr="00D07F6F">
        <w:trPr>
          <w:trHeight w:val="20"/>
        </w:trPr>
        <w:tc>
          <w:tcPr>
            <w:tcW w:w="704" w:type="dxa"/>
            <w:shd w:val="clear" w:color="auto" w:fill="FFF2CC" w:themeFill="accent4" w:themeFillTint="33"/>
            <w:tcMar>
              <w:top w:w="15" w:type="dxa"/>
              <w:left w:w="47" w:type="dxa"/>
              <w:bottom w:w="0" w:type="dxa"/>
              <w:right w:w="47" w:type="dxa"/>
            </w:tcMar>
            <w:vAlign w:val="center"/>
          </w:tcPr>
          <w:p w14:paraId="370D74C1" w14:textId="2BA3AC24" w:rsidR="002D73B1" w:rsidRPr="00D72474" w:rsidRDefault="002D73B1" w:rsidP="002D73B1">
            <w:pPr>
              <w:jc w:val="center"/>
              <w:rPr>
                <w:b/>
                <w:bCs/>
                <w:iCs/>
                <w:sz w:val="22"/>
              </w:rPr>
            </w:pPr>
            <w:bookmarkStart w:id="78" w:name="_Hlk176787867"/>
            <w:r w:rsidRPr="00D72474">
              <w:rPr>
                <w:b/>
                <w:bCs/>
                <w:iCs/>
                <w:sz w:val="22"/>
              </w:rPr>
              <w:t>3.</w:t>
            </w:r>
          </w:p>
        </w:tc>
        <w:tc>
          <w:tcPr>
            <w:tcW w:w="5107" w:type="dxa"/>
            <w:shd w:val="clear" w:color="auto" w:fill="FFF2CC" w:themeFill="accent4" w:themeFillTint="33"/>
            <w:tcMar>
              <w:top w:w="15" w:type="dxa"/>
              <w:left w:w="47" w:type="dxa"/>
              <w:bottom w:w="0" w:type="dxa"/>
              <w:right w:w="47" w:type="dxa"/>
            </w:tcMar>
            <w:vAlign w:val="center"/>
          </w:tcPr>
          <w:p w14:paraId="1A44E802" w14:textId="4A4EC3AF" w:rsidR="002D73B1" w:rsidRPr="00D72474" w:rsidRDefault="002D73B1" w:rsidP="002D73B1">
            <w:pPr>
              <w:rPr>
                <w:iCs/>
                <w:sz w:val="22"/>
              </w:rPr>
            </w:pPr>
            <w:r w:rsidRPr="00D72474">
              <w:rPr>
                <w:b/>
                <w:bCs/>
                <w:iCs/>
                <w:sz w:val="22"/>
              </w:rPr>
              <w:t>Kompensējošie pasākumi</w:t>
            </w:r>
          </w:p>
        </w:tc>
        <w:tc>
          <w:tcPr>
            <w:tcW w:w="850" w:type="dxa"/>
            <w:shd w:val="clear" w:color="auto" w:fill="FFF2CC" w:themeFill="accent4" w:themeFillTint="33"/>
            <w:tcMar>
              <w:top w:w="15" w:type="dxa"/>
              <w:left w:w="47" w:type="dxa"/>
              <w:bottom w:w="0" w:type="dxa"/>
              <w:right w:w="47" w:type="dxa"/>
            </w:tcMar>
            <w:vAlign w:val="center"/>
          </w:tcPr>
          <w:p w14:paraId="60854AAC" w14:textId="175C4EF2" w:rsidR="002D73B1" w:rsidRPr="00D72474" w:rsidRDefault="002D73B1" w:rsidP="002D73B1">
            <w:pPr>
              <w:jc w:val="center"/>
              <w:rPr>
                <w:iCs/>
                <w:color w:val="00B050"/>
                <w:sz w:val="22"/>
              </w:rPr>
            </w:pPr>
            <w:r w:rsidRPr="00D72474">
              <w:rPr>
                <w:b/>
                <w:bCs/>
                <w:color w:val="00B050"/>
                <w:sz w:val="22"/>
              </w:rPr>
              <w:t>103,0</w:t>
            </w:r>
          </w:p>
        </w:tc>
        <w:tc>
          <w:tcPr>
            <w:tcW w:w="707" w:type="dxa"/>
            <w:shd w:val="clear" w:color="auto" w:fill="FFF2CC" w:themeFill="accent4" w:themeFillTint="33"/>
            <w:tcMar>
              <w:top w:w="15" w:type="dxa"/>
              <w:left w:w="47" w:type="dxa"/>
              <w:bottom w:w="0" w:type="dxa"/>
              <w:right w:w="47" w:type="dxa"/>
            </w:tcMar>
            <w:vAlign w:val="center"/>
          </w:tcPr>
          <w:p w14:paraId="748EA04B" w14:textId="708A7C65" w:rsidR="002D73B1" w:rsidRPr="00D72474" w:rsidRDefault="002D73B1" w:rsidP="002D73B1">
            <w:pPr>
              <w:jc w:val="center"/>
              <w:rPr>
                <w:b/>
                <w:bCs/>
                <w:iCs/>
                <w:color w:val="00B050"/>
                <w:sz w:val="22"/>
                <w:lang w:val="en-US"/>
              </w:rPr>
            </w:pPr>
            <w:r w:rsidRPr="00D72474">
              <w:rPr>
                <w:b/>
                <w:bCs/>
                <w:color w:val="00B050"/>
                <w:sz w:val="22"/>
              </w:rPr>
              <w:t>142,7</w:t>
            </w:r>
          </w:p>
        </w:tc>
        <w:tc>
          <w:tcPr>
            <w:tcW w:w="850" w:type="dxa"/>
            <w:shd w:val="clear" w:color="auto" w:fill="FFF2CC" w:themeFill="accent4" w:themeFillTint="33"/>
            <w:tcMar>
              <w:top w:w="15" w:type="dxa"/>
              <w:left w:w="47" w:type="dxa"/>
              <w:bottom w:w="0" w:type="dxa"/>
              <w:right w:w="47" w:type="dxa"/>
            </w:tcMar>
            <w:vAlign w:val="center"/>
          </w:tcPr>
          <w:p w14:paraId="1EA84819" w14:textId="1B675C78" w:rsidR="002D73B1" w:rsidRPr="002D73B1" w:rsidRDefault="002D73B1" w:rsidP="002D73B1">
            <w:pPr>
              <w:jc w:val="center"/>
              <w:rPr>
                <w:b/>
                <w:bCs/>
                <w:iCs/>
                <w:color w:val="00B050"/>
                <w:sz w:val="22"/>
                <w:lang w:val="en-US"/>
              </w:rPr>
            </w:pPr>
            <w:r w:rsidRPr="002D73B1">
              <w:rPr>
                <w:b/>
                <w:bCs/>
                <w:color w:val="00B050"/>
                <w:sz w:val="22"/>
              </w:rPr>
              <w:t>127,5</w:t>
            </w:r>
          </w:p>
        </w:tc>
        <w:tc>
          <w:tcPr>
            <w:tcW w:w="849" w:type="dxa"/>
            <w:shd w:val="clear" w:color="auto" w:fill="FFF2CC" w:themeFill="accent4" w:themeFillTint="33"/>
            <w:tcMar>
              <w:top w:w="15" w:type="dxa"/>
              <w:left w:w="47" w:type="dxa"/>
              <w:bottom w:w="0" w:type="dxa"/>
              <w:right w:w="47" w:type="dxa"/>
            </w:tcMar>
            <w:vAlign w:val="center"/>
          </w:tcPr>
          <w:p w14:paraId="38E29B75" w14:textId="347ABF5F" w:rsidR="002D73B1" w:rsidRPr="002D73B1" w:rsidRDefault="002D73B1" w:rsidP="002D73B1">
            <w:pPr>
              <w:jc w:val="center"/>
              <w:rPr>
                <w:b/>
                <w:bCs/>
                <w:iCs/>
                <w:color w:val="00B050"/>
                <w:sz w:val="22"/>
                <w:lang w:val="en-US"/>
              </w:rPr>
            </w:pPr>
            <w:r w:rsidRPr="002D73B1">
              <w:rPr>
                <w:b/>
                <w:bCs/>
                <w:color w:val="00B050"/>
                <w:sz w:val="22"/>
              </w:rPr>
              <w:t>118,6</w:t>
            </w:r>
          </w:p>
        </w:tc>
      </w:tr>
      <w:tr w:rsidR="0099156B" w:rsidRPr="007E5CF8" w14:paraId="7E5A3079" w14:textId="77777777" w:rsidTr="00D07F6F">
        <w:trPr>
          <w:trHeight w:val="113"/>
        </w:trPr>
        <w:tc>
          <w:tcPr>
            <w:tcW w:w="704" w:type="dxa"/>
            <w:shd w:val="clear" w:color="auto" w:fill="FFFFFF"/>
            <w:tcMar>
              <w:top w:w="15" w:type="dxa"/>
              <w:left w:w="47" w:type="dxa"/>
              <w:bottom w:w="0" w:type="dxa"/>
              <w:right w:w="47" w:type="dxa"/>
            </w:tcMar>
            <w:vAlign w:val="center"/>
          </w:tcPr>
          <w:p w14:paraId="0CC733C7" w14:textId="3899109D" w:rsidR="0099156B" w:rsidRPr="00742D1E" w:rsidRDefault="0099156B" w:rsidP="00742D1E">
            <w:pPr>
              <w:jc w:val="center"/>
              <w:rPr>
                <w:iCs/>
                <w:sz w:val="20"/>
                <w:szCs w:val="20"/>
              </w:rPr>
            </w:pPr>
            <w:r w:rsidRPr="007E5CF8">
              <w:rPr>
                <w:iCs/>
                <w:sz w:val="20"/>
                <w:szCs w:val="20"/>
              </w:rPr>
              <w:t>3.1.</w:t>
            </w:r>
          </w:p>
        </w:tc>
        <w:tc>
          <w:tcPr>
            <w:tcW w:w="5107" w:type="dxa"/>
            <w:shd w:val="clear" w:color="auto" w:fill="FFFFFF"/>
            <w:tcMar>
              <w:top w:w="15" w:type="dxa"/>
              <w:left w:w="47" w:type="dxa"/>
              <w:bottom w:w="0" w:type="dxa"/>
              <w:right w:w="47" w:type="dxa"/>
            </w:tcMar>
            <w:vAlign w:val="center"/>
          </w:tcPr>
          <w:p w14:paraId="511A0CB1" w14:textId="0E3B9894" w:rsidR="0099156B" w:rsidRPr="00742D1E" w:rsidRDefault="0099156B" w:rsidP="00742D1E">
            <w:pPr>
              <w:jc w:val="both"/>
              <w:rPr>
                <w:iCs/>
                <w:sz w:val="20"/>
                <w:szCs w:val="20"/>
              </w:rPr>
            </w:pPr>
            <w:r w:rsidRPr="007E5CF8">
              <w:rPr>
                <w:iCs/>
                <w:sz w:val="20"/>
                <w:szCs w:val="20"/>
              </w:rPr>
              <w:t xml:space="preserve">AN </w:t>
            </w:r>
            <w:r w:rsidR="00D72474">
              <w:rPr>
                <w:iCs/>
                <w:sz w:val="20"/>
                <w:szCs w:val="20"/>
              </w:rPr>
              <w:t xml:space="preserve">likmju </w:t>
            </w:r>
            <w:r w:rsidRPr="007E5CF8">
              <w:rPr>
                <w:iCs/>
                <w:sz w:val="20"/>
                <w:szCs w:val="20"/>
              </w:rPr>
              <w:t>paaugstināšana</w:t>
            </w:r>
            <w:r w:rsidR="00D72474" w:rsidRPr="007E5CF8">
              <w:rPr>
                <w:iCs/>
                <w:sz w:val="20"/>
                <w:szCs w:val="20"/>
              </w:rPr>
              <w:t xml:space="preserve"> degvielai</w:t>
            </w:r>
            <w:r w:rsidRPr="007E5CF8">
              <w:rPr>
                <w:iCs/>
                <w:sz w:val="20"/>
                <w:szCs w:val="20"/>
              </w:rPr>
              <w:t>, ietverot AN CO</w:t>
            </w:r>
            <w:r w:rsidRPr="007E5CF8">
              <w:rPr>
                <w:iCs/>
                <w:sz w:val="20"/>
                <w:szCs w:val="20"/>
                <w:vertAlign w:val="subscript"/>
              </w:rPr>
              <w:t>2</w:t>
            </w:r>
            <w:r w:rsidRPr="007E5CF8">
              <w:rPr>
                <w:iCs/>
                <w:sz w:val="20"/>
                <w:szCs w:val="20"/>
              </w:rPr>
              <w:t xml:space="preserve"> komponenti </w:t>
            </w:r>
          </w:p>
        </w:tc>
        <w:tc>
          <w:tcPr>
            <w:tcW w:w="850" w:type="dxa"/>
            <w:shd w:val="clear" w:color="auto" w:fill="FFFFFF"/>
            <w:tcMar>
              <w:top w:w="15" w:type="dxa"/>
              <w:left w:w="47" w:type="dxa"/>
              <w:bottom w:w="0" w:type="dxa"/>
              <w:right w:w="47" w:type="dxa"/>
            </w:tcMar>
            <w:vAlign w:val="center"/>
          </w:tcPr>
          <w:p w14:paraId="6F65D35D" w14:textId="3D6C6104" w:rsidR="0099156B" w:rsidRPr="00742D1E" w:rsidRDefault="0099156B" w:rsidP="00742D1E">
            <w:pPr>
              <w:jc w:val="center"/>
              <w:rPr>
                <w:iCs/>
                <w:color w:val="00B050"/>
                <w:sz w:val="20"/>
                <w:szCs w:val="20"/>
                <w:lang w:val="en-US"/>
              </w:rPr>
            </w:pPr>
            <w:r w:rsidRPr="007E5CF8">
              <w:rPr>
                <w:iCs/>
                <w:color w:val="00B050"/>
                <w:sz w:val="20"/>
                <w:szCs w:val="20"/>
                <w:lang w:val="en-US"/>
              </w:rPr>
              <w:t>33,0</w:t>
            </w:r>
          </w:p>
        </w:tc>
        <w:tc>
          <w:tcPr>
            <w:tcW w:w="707" w:type="dxa"/>
            <w:shd w:val="clear" w:color="auto" w:fill="FFFFFF"/>
            <w:tcMar>
              <w:top w:w="15" w:type="dxa"/>
              <w:left w:w="47" w:type="dxa"/>
              <w:bottom w:w="0" w:type="dxa"/>
              <w:right w:w="47" w:type="dxa"/>
            </w:tcMar>
            <w:vAlign w:val="center"/>
          </w:tcPr>
          <w:p w14:paraId="306A9AA9" w14:textId="01D2A090" w:rsidR="0099156B" w:rsidRPr="00742D1E" w:rsidRDefault="0099156B" w:rsidP="00742D1E">
            <w:pPr>
              <w:jc w:val="center"/>
              <w:rPr>
                <w:iCs/>
                <w:color w:val="00B050"/>
                <w:sz w:val="20"/>
                <w:szCs w:val="20"/>
                <w:lang w:val="en-US"/>
              </w:rPr>
            </w:pPr>
            <w:r w:rsidRPr="007E5CF8">
              <w:rPr>
                <w:iCs/>
                <w:color w:val="00B050"/>
                <w:sz w:val="20"/>
                <w:szCs w:val="20"/>
                <w:lang w:val="en-US"/>
              </w:rPr>
              <w:t>62,5</w:t>
            </w:r>
          </w:p>
        </w:tc>
        <w:tc>
          <w:tcPr>
            <w:tcW w:w="850" w:type="dxa"/>
            <w:shd w:val="clear" w:color="auto" w:fill="FFFFFF"/>
            <w:tcMar>
              <w:top w:w="15" w:type="dxa"/>
              <w:left w:w="47" w:type="dxa"/>
              <w:bottom w:w="0" w:type="dxa"/>
              <w:right w:w="47" w:type="dxa"/>
            </w:tcMar>
            <w:vAlign w:val="center"/>
          </w:tcPr>
          <w:p w14:paraId="04BC1340" w14:textId="2284F69C" w:rsidR="0099156B" w:rsidRPr="002D73B1" w:rsidRDefault="002D73B1" w:rsidP="00742D1E">
            <w:pPr>
              <w:jc w:val="center"/>
              <w:rPr>
                <w:iCs/>
                <w:color w:val="00B050"/>
                <w:sz w:val="20"/>
                <w:szCs w:val="20"/>
                <w:lang w:val="en-US"/>
              </w:rPr>
            </w:pPr>
            <w:r w:rsidRPr="002D73B1">
              <w:rPr>
                <w:iCs/>
                <w:color w:val="00B050"/>
                <w:sz w:val="20"/>
                <w:szCs w:val="20"/>
                <w:lang w:val="en-US"/>
              </w:rPr>
              <w:t>7,0</w:t>
            </w:r>
          </w:p>
        </w:tc>
        <w:tc>
          <w:tcPr>
            <w:tcW w:w="849" w:type="dxa"/>
            <w:shd w:val="clear" w:color="auto" w:fill="FFFFFF"/>
            <w:tcMar>
              <w:top w:w="15" w:type="dxa"/>
              <w:left w:w="47" w:type="dxa"/>
              <w:bottom w:w="0" w:type="dxa"/>
              <w:right w:w="47" w:type="dxa"/>
            </w:tcMar>
            <w:vAlign w:val="center"/>
          </w:tcPr>
          <w:p w14:paraId="3E3B2729" w14:textId="6C411955" w:rsidR="0099156B" w:rsidRPr="002D73B1" w:rsidRDefault="008B4BA7" w:rsidP="00742D1E">
            <w:pPr>
              <w:jc w:val="center"/>
              <w:rPr>
                <w:iCs/>
                <w:color w:val="00B050"/>
                <w:sz w:val="20"/>
                <w:szCs w:val="20"/>
                <w:lang w:val="en-US"/>
              </w:rPr>
            </w:pPr>
            <w:r w:rsidRPr="008B4BA7">
              <w:rPr>
                <w:iCs/>
                <w:sz w:val="20"/>
                <w:szCs w:val="20"/>
                <w:lang w:val="en-US"/>
              </w:rPr>
              <w:t>-</w:t>
            </w:r>
          </w:p>
        </w:tc>
      </w:tr>
      <w:tr w:rsidR="000C146B" w:rsidRPr="007E5CF8" w14:paraId="1C24149C" w14:textId="77777777" w:rsidTr="00D07F6F">
        <w:trPr>
          <w:trHeight w:val="283"/>
        </w:trPr>
        <w:tc>
          <w:tcPr>
            <w:tcW w:w="704" w:type="dxa"/>
            <w:shd w:val="clear" w:color="auto" w:fill="FFFFFF"/>
            <w:tcMar>
              <w:top w:w="15" w:type="dxa"/>
              <w:left w:w="47" w:type="dxa"/>
              <w:bottom w:w="0" w:type="dxa"/>
              <w:right w:w="47" w:type="dxa"/>
            </w:tcMar>
            <w:vAlign w:val="center"/>
          </w:tcPr>
          <w:p w14:paraId="6ABC878D" w14:textId="461B6AEC" w:rsidR="000C146B" w:rsidRPr="00742D1E" w:rsidRDefault="000C146B" w:rsidP="00742D1E">
            <w:pPr>
              <w:jc w:val="center"/>
              <w:rPr>
                <w:iCs/>
                <w:sz w:val="20"/>
                <w:szCs w:val="20"/>
              </w:rPr>
            </w:pPr>
            <w:r w:rsidRPr="007E5CF8">
              <w:rPr>
                <w:iCs/>
                <w:sz w:val="20"/>
                <w:szCs w:val="20"/>
              </w:rPr>
              <w:t>3.2.</w:t>
            </w:r>
          </w:p>
        </w:tc>
        <w:tc>
          <w:tcPr>
            <w:tcW w:w="5107" w:type="dxa"/>
            <w:shd w:val="clear" w:color="auto" w:fill="FFFFFF"/>
            <w:tcMar>
              <w:top w:w="15" w:type="dxa"/>
              <w:left w:w="47" w:type="dxa"/>
              <w:bottom w:w="0" w:type="dxa"/>
              <w:right w:w="47" w:type="dxa"/>
            </w:tcMar>
            <w:vAlign w:val="center"/>
          </w:tcPr>
          <w:p w14:paraId="5DA9096F" w14:textId="5DD2DCFC" w:rsidR="000C146B" w:rsidRPr="00742D1E" w:rsidRDefault="000C146B" w:rsidP="00742D1E">
            <w:pPr>
              <w:jc w:val="both"/>
              <w:rPr>
                <w:iCs/>
                <w:sz w:val="20"/>
                <w:szCs w:val="20"/>
              </w:rPr>
            </w:pPr>
            <w:r w:rsidRPr="007E5CF8">
              <w:rPr>
                <w:iCs/>
                <w:sz w:val="20"/>
                <w:szCs w:val="20"/>
              </w:rPr>
              <w:t>AN likm</w:t>
            </w:r>
            <w:r w:rsidR="00D72474">
              <w:rPr>
                <w:iCs/>
                <w:sz w:val="20"/>
                <w:szCs w:val="20"/>
              </w:rPr>
              <w:t>ju</w:t>
            </w:r>
            <w:r w:rsidRPr="007E5CF8">
              <w:rPr>
                <w:iCs/>
                <w:sz w:val="20"/>
                <w:szCs w:val="20"/>
              </w:rPr>
              <w:t xml:space="preserve"> </w:t>
            </w:r>
            <w:r w:rsidR="00D72474" w:rsidRPr="007E5CF8">
              <w:rPr>
                <w:iCs/>
                <w:sz w:val="20"/>
                <w:szCs w:val="20"/>
              </w:rPr>
              <w:t xml:space="preserve">pakāpeniska paaugstināšana </w:t>
            </w:r>
            <w:r w:rsidRPr="007E5CF8">
              <w:rPr>
                <w:iCs/>
                <w:sz w:val="20"/>
                <w:szCs w:val="20"/>
              </w:rPr>
              <w:t>degvielai, dabasgāzei un naftas gāzēm, ko izmanto par kurināmo</w:t>
            </w:r>
          </w:p>
        </w:tc>
        <w:tc>
          <w:tcPr>
            <w:tcW w:w="850" w:type="dxa"/>
            <w:shd w:val="clear" w:color="auto" w:fill="FFFFFF"/>
            <w:tcMar>
              <w:top w:w="15" w:type="dxa"/>
              <w:left w:w="47" w:type="dxa"/>
              <w:bottom w:w="0" w:type="dxa"/>
              <w:right w:w="47" w:type="dxa"/>
            </w:tcMar>
            <w:vAlign w:val="center"/>
          </w:tcPr>
          <w:p w14:paraId="38DBBFAA" w14:textId="019379D9" w:rsidR="000C146B" w:rsidRPr="00742D1E" w:rsidRDefault="000C146B" w:rsidP="00742D1E">
            <w:pPr>
              <w:jc w:val="center"/>
              <w:rPr>
                <w:iCs/>
                <w:color w:val="00B050"/>
                <w:sz w:val="20"/>
                <w:szCs w:val="20"/>
                <w:lang w:val="en-US"/>
              </w:rPr>
            </w:pPr>
            <w:r w:rsidRPr="007E5CF8">
              <w:rPr>
                <w:iCs/>
                <w:color w:val="00B050"/>
                <w:sz w:val="20"/>
                <w:szCs w:val="20"/>
                <w:lang w:val="en-US"/>
              </w:rPr>
              <w:t>5,3</w:t>
            </w:r>
          </w:p>
        </w:tc>
        <w:tc>
          <w:tcPr>
            <w:tcW w:w="707" w:type="dxa"/>
            <w:shd w:val="clear" w:color="auto" w:fill="FFFFFF"/>
            <w:tcMar>
              <w:top w:w="15" w:type="dxa"/>
              <w:left w:w="47" w:type="dxa"/>
              <w:bottom w:w="0" w:type="dxa"/>
              <w:right w:w="47" w:type="dxa"/>
            </w:tcMar>
            <w:vAlign w:val="center"/>
          </w:tcPr>
          <w:p w14:paraId="6154BC84" w14:textId="11B6243F" w:rsidR="000C146B" w:rsidRPr="00742D1E" w:rsidRDefault="000C146B" w:rsidP="00742D1E">
            <w:pPr>
              <w:jc w:val="center"/>
              <w:rPr>
                <w:iCs/>
                <w:color w:val="00B050"/>
                <w:sz w:val="20"/>
                <w:szCs w:val="20"/>
                <w:lang w:val="en-US"/>
              </w:rPr>
            </w:pPr>
            <w:r w:rsidRPr="007E5CF8">
              <w:rPr>
                <w:iCs/>
                <w:color w:val="00B050"/>
                <w:sz w:val="20"/>
                <w:szCs w:val="20"/>
                <w:lang w:val="en-US"/>
              </w:rPr>
              <w:t>9,6</w:t>
            </w:r>
          </w:p>
        </w:tc>
        <w:tc>
          <w:tcPr>
            <w:tcW w:w="850" w:type="dxa"/>
            <w:shd w:val="clear" w:color="auto" w:fill="FFFFFF"/>
            <w:tcMar>
              <w:top w:w="15" w:type="dxa"/>
              <w:left w:w="47" w:type="dxa"/>
              <w:bottom w:w="0" w:type="dxa"/>
              <w:right w:w="47" w:type="dxa"/>
            </w:tcMar>
            <w:vAlign w:val="center"/>
          </w:tcPr>
          <w:p w14:paraId="0AD0F30A" w14:textId="13993106" w:rsidR="000C146B" w:rsidRPr="00742D1E" w:rsidRDefault="000C146B" w:rsidP="00742D1E">
            <w:pPr>
              <w:jc w:val="center"/>
              <w:rPr>
                <w:iCs/>
                <w:color w:val="00B050"/>
                <w:sz w:val="20"/>
                <w:szCs w:val="20"/>
                <w:lang w:val="en-US"/>
              </w:rPr>
            </w:pPr>
            <w:r w:rsidRPr="007E5CF8">
              <w:rPr>
                <w:iCs/>
                <w:color w:val="00B050"/>
                <w:sz w:val="20"/>
                <w:szCs w:val="20"/>
                <w:lang w:val="en-US"/>
              </w:rPr>
              <w:t>14,2</w:t>
            </w:r>
          </w:p>
        </w:tc>
        <w:tc>
          <w:tcPr>
            <w:tcW w:w="849" w:type="dxa"/>
            <w:shd w:val="clear" w:color="auto" w:fill="FFFFFF"/>
            <w:tcMar>
              <w:top w:w="15" w:type="dxa"/>
              <w:left w:w="47" w:type="dxa"/>
              <w:bottom w:w="0" w:type="dxa"/>
              <w:right w:w="47" w:type="dxa"/>
            </w:tcMar>
            <w:vAlign w:val="center"/>
          </w:tcPr>
          <w:p w14:paraId="0D088D5E" w14:textId="76FA71A1" w:rsidR="000C146B" w:rsidRPr="00742D1E" w:rsidRDefault="000C146B" w:rsidP="00742D1E">
            <w:pPr>
              <w:jc w:val="center"/>
              <w:rPr>
                <w:iCs/>
                <w:color w:val="00B050"/>
                <w:sz w:val="20"/>
                <w:szCs w:val="20"/>
                <w:lang w:val="en-US"/>
              </w:rPr>
            </w:pPr>
            <w:r w:rsidRPr="007E5CF8">
              <w:rPr>
                <w:iCs/>
                <w:color w:val="00B050"/>
                <w:sz w:val="20"/>
                <w:szCs w:val="20"/>
                <w:lang w:val="en-US"/>
              </w:rPr>
              <w:t>14,6</w:t>
            </w:r>
          </w:p>
        </w:tc>
      </w:tr>
      <w:bookmarkEnd w:id="78"/>
      <w:tr w:rsidR="000C146B" w:rsidRPr="007E5CF8" w14:paraId="1C2FAF5D" w14:textId="77777777" w:rsidTr="00D07F6F">
        <w:trPr>
          <w:trHeight w:val="340"/>
        </w:trPr>
        <w:tc>
          <w:tcPr>
            <w:tcW w:w="704" w:type="dxa"/>
            <w:shd w:val="clear" w:color="auto" w:fill="FFFFFF"/>
            <w:tcMar>
              <w:top w:w="15" w:type="dxa"/>
              <w:left w:w="47" w:type="dxa"/>
              <w:bottom w:w="0" w:type="dxa"/>
              <w:right w:w="47" w:type="dxa"/>
            </w:tcMar>
            <w:vAlign w:val="center"/>
          </w:tcPr>
          <w:p w14:paraId="309F96DA" w14:textId="12D9306D" w:rsidR="000C146B" w:rsidRPr="00742D1E" w:rsidRDefault="000C146B" w:rsidP="00742D1E">
            <w:pPr>
              <w:jc w:val="center"/>
              <w:rPr>
                <w:iCs/>
                <w:sz w:val="20"/>
                <w:szCs w:val="20"/>
              </w:rPr>
            </w:pPr>
            <w:r w:rsidRPr="007E5CF8">
              <w:rPr>
                <w:iCs/>
                <w:sz w:val="20"/>
                <w:szCs w:val="20"/>
              </w:rPr>
              <w:t>3.3</w:t>
            </w:r>
          </w:p>
        </w:tc>
        <w:tc>
          <w:tcPr>
            <w:tcW w:w="5107" w:type="dxa"/>
            <w:shd w:val="clear" w:color="auto" w:fill="FFFFFF"/>
            <w:tcMar>
              <w:top w:w="15" w:type="dxa"/>
              <w:left w:w="47" w:type="dxa"/>
              <w:bottom w:w="0" w:type="dxa"/>
              <w:right w:w="47" w:type="dxa"/>
            </w:tcMar>
            <w:vAlign w:val="center"/>
          </w:tcPr>
          <w:p w14:paraId="756B00EF" w14:textId="31238CEE" w:rsidR="000C146B" w:rsidRPr="00742D1E" w:rsidRDefault="000C146B" w:rsidP="00742D1E">
            <w:pPr>
              <w:jc w:val="both"/>
              <w:rPr>
                <w:iCs/>
                <w:sz w:val="20"/>
                <w:szCs w:val="20"/>
              </w:rPr>
            </w:pPr>
            <w:r w:rsidRPr="007E5CF8">
              <w:rPr>
                <w:iCs/>
                <w:sz w:val="20"/>
                <w:szCs w:val="20"/>
              </w:rPr>
              <w:t>AN atbrīvojuma atcelšana naftas produktiem, kurus izmanto elektroenerģijas ražošanā un koģenerācijā</w:t>
            </w:r>
          </w:p>
        </w:tc>
        <w:tc>
          <w:tcPr>
            <w:tcW w:w="850" w:type="dxa"/>
            <w:shd w:val="clear" w:color="auto" w:fill="FFFFFF"/>
            <w:tcMar>
              <w:top w:w="15" w:type="dxa"/>
              <w:left w:w="47" w:type="dxa"/>
              <w:bottom w:w="0" w:type="dxa"/>
              <w:right w:w="47" w:type="dxa"/>
            </w:tcMar>
            <w:vAlign w:val="center"/>
          </w:tcPr>
          <w:p w14:paraId="250FC591" w14:textId="3BE25D4E" w:rsidR="000C146B" w:rsidRPr="00742D1E" w:rsidRDefault="000C146B" w:rsidP="00742D1E">
            <w:pPr>
              <w:jc w:val="center"/>
              <w:rPr>
                <w:iCs/>
                <w:color w:val="00B050"/>
                <w:sz w:val="20"/>
                <w:szCs w:val="20"/>
                <w:lang w:val="en-US"/>
              </w:rPr>
            </w:pPr>
            <w:r w:rsidRPr="007E5CF8">
              <w:rPr>
                <w:iCs/>
                <w:color w:val="00B050"/>
                <w:sz w:val="20"/>
                <w:szCs w:val="20"/>
                <w:lang w:val="en-US"/>
              </w:rPr>
              <w:t>0,2</w:t>
            </w:r>
          </w:p>
        </w:tc>
        <w:tc>
          <w:tcPr>
            <w:tcW w:w="707" w:type="dxa"/>
            <w:shd w:val="clear" w:color="auto" w:fill="FFFFFF"/>
            <w:tcMar>
              <w:top w:w="15" w:type="dxa"/>
              <w:left w:w="47" w:type="dxa"/>
              <w:bottom w:w="0" w:type="dxa"/>
              <w:right w:w="47" w:type="dxa"/>
            </w:tcMar>
            <w:vAlign w:val="center"/>
          </w:tcPr>
          <w:p w14:paraId="691AFF26" w14:textId="762240D1" w:rsidR="000C146B" w:rsidRPr="00742D1E" w:rsidRDefault="000C146B" w:rsidP="00742D1E">
            <w:pPr>
              <w:jc w:val="center"/>
              <w:rPr>
                <w:iCs/>
                <w:color w:val="00B050"/>
                <w:sz w:val="20"/>
                <w:szCs w:val="20"/>
                <w:lang w:val="en-US"/>
              </w:rPr>
            </w:pPr>
            <w:r w:rsidRPr="007E5CF8">
              <w:rPr>
                <w:iCs/>
                <w:color w:val="00B050"/>
                <w:sz w:val="20"/>
                <w:szCs w:val="20"/>
                <w:lang w:val="en-US"/>
              </w:rPr>
              <w:t>0,3</w:t>
            </w:r>
          </w:p>
        </w:tc>
        <w:tc>
          <w:tcPr>
            <w:tcW w:w="850" w:type="dxa"/>
            <w:shd w:val="clear" w:color="auto" w:fill="FFFFFF"/>
            <w:tcMar>
              <w:top w:w="15" w:type="dxa"/>
              <w:left w:w="47" w:type="dxa"/>
              <w:bottom w:w="0" w:type="dxa"/>
              <w:right w:w="47" w:type="dxa"/>
            </w:tcMar>
            <w:vAlign w:val="center"/>
          </w:tcPr>
          <w:p w14:paraId="4BBB4CD7" w14:textId="1B1D76B5" w:rsidR="000C146B" w:rsidRPr="00742D1E" w:rsidRDefault="000C146B" w:rsidP="00742D1E">
            <w:pPr>
              <w:jc w:val="center"/>
              <w:rPr>
                <w:iCs/>
                <w:color w:val="00B050"/>
                <w:sz w:val="20"/>
                <w:szCs w:val="20"/>
                <w:lang w:val="en-US"/>
              </w:rPr>
            </w:pPr>
            <w:r w:rsidRPr="007E5CF8">
              <w:rPr>
                <w:iCs/>
                <w:color w:val="00B050"/>
                <w:sz w:val="20"/>
                <w:szCs w:val="20"/>
                <w:lang w:val="en-US"/>
              </w:rPr>
              <w:t>0,4</w:t>
            </w:r>
          </w:p>
        </w:tc>
        <w:tc>
          <w:tcPr>
            <w:tcW w:w="849" w:type="dxa"/>
            <w:shd w:val="clear" w:color="auto" w:fill="FFFFFF"/>
            <w:tcMar>
              <w:top w:w="15" w:type="dxa"/>
              <w:left w:w="47" w:type="dxa"/>
              <w:bottom w:w="0" w:type="dxa"/>
              <w:right w:w="47" w:type="dxa"/>
            </w:tcMar>
            <w:vAlign w:val="center"/>
          </w:tcPr>
          <w:p w14:paraId="6B7FAD7E" w14:textId="545FBD11" w:rsidR="000C146B" w:rsidRPr="00742D1E" w:rsidRDefault="000C146B" w:rsidP="00742D1E">
            <w:pPr>
              <w:jc w:val="center"/>
              <w:rPr>
                <w:iCs/>
                <w:color w:val="00B050"/>
                <w:sz w:val="20"/>
                <w:szCs w:val="20"/>
                <w:lang w:val="en-US"/>
              </w:rPr>
            </w:pPr>
            <w:r w:rsidRPr="007E5CF8">
              <w:rPr>
                <w:iCs/>
                <w:color w:val="00B050"/>
                <w:sz w:val="20"/>
                <w:szCs w:val="20"/>
                <w:lang w:val="en-US"/>
              </w:rPr>
              <w:t>0,5</w:t>
            </w:r>
          </w:p>
        </w:tc>
      </w:tr>
      <w:tr w:rsidR="00D72474" w:rsidRPr="007E5CF8" w14:paraId="46CC6D0A" w14:textId="77777777" w:rsidTr="00D07F6F">
        <w:trPr>
          <w:trHeight w:val="283"/>
        </w:trPr>
        <w:tc>
          <w:tcPr>
            <w:tcW w:w="704" w:type="dxa"/>
            <w:shd w:val="clear" w:color="auto" w:fill="FFFFFF"/>
            <w:tcMar>
              <w:top w:w="15" w:type="dxa"/>
              <w:left w:w="47" w:type="dxa"/>
              <w:bottom w:w="0" w:type="dxa"/>
              <w:right w:w="47" w:type="dxa"/>
            </w:tcMar>
            <w:vAlign w:val="center"/>
          </w:tcPr>
          <w:p w14:paraId="38487D77" w14:textId="4F0094CA" w:rsidR="00D72474" w:rsidRPr="00742D1E" w:rsidRDefault="00D72474" w:rsidP="00D72474">
            <w:pPr>
              <w:jc w:val="center"/>
              <w:rPr>
                <w:iCs/>
                <w:sz w:val="20"/>
                <w:szCs w:val="20"/>
              </w:rPr>
            </w:pPr>
            <w:r w:rsidRPr="007E5CF8">
              <w:rPr>
                <w:iCs/>
                <w:sz w:val="20"/>
                <w:szCs w:val="20"/>
              </w:rPr>
              <w:t>3.4.</w:t>
            </w:r>
          </w:p>
        </w:tc>
        <w:tc>
          <w:tcPr>
            <w:tcW w:w="5107" w:type="dxa"/>
            <w:shd w:val="clear" w:color="auto" w:fill="FFFFFF"/>
            <w:tcMar>
              <w:top w:w="15" w:type="dxa"/>
              <w:left w:w="47" w:type="dxa"/>
              <w:bottom w:w="0" w:type="dxa"/>
              <w:right w:w="47" w:type="dxa"/>
            </w:tcMar>
            <w:vAlign w:val="center"/>
          </w:tcPr>
          <w:p w14:paraId="5002197E" w14:textId="16F27704" w:rsidR="00D72474" w:rsidRPr="00742D1E" w:rsidRDefault="00D72474" w:rsidP="00D72474">
            <w:pPr>
              <w:jc w:val="both"/>
              <w:rPr>
                <w:iCs/>
                <w:sz w:val="20"/>
                <w:szCs w:val="20"/>
              </w:rPr>
            </w:pPr>
            <w:r w:rsidRPr="007E5CF8">
              <w:rPr>
                <w:iCs/>
                <w:sz w:val="20"/>
                <w:szCs w:val="20"/>
              </w:rPr>
              <w:t>AN likmes paaugstināšana</w:t>
            </w:r>
            <w:r w:rsidRPr="00D72474">
              <w:rPr>
                <w:iCs/>
                <w:sz w:val="20"/>
                <w:szCs w:val="20"/>
              </w:rPr>
              <w:t xml:space="preserve"> bezalkoholiskajiem dzērieniem </w:t>
            </w:r>
            <w:r>
              <w:rPr>
                <w:iCs/>
                <w:sz w:val="20"/>
                <w:szCs w:val="20"/>
              </w:rPr>
              <w:t>(</w:t>
            </w:r>
            <w:r w:rsidRPr="00D72474">
              <w:rPr>
                <w:iCs/>
                <w:sz w:val="20"/>
                <w:szCs w:val="20"/>
              </w:rPr>
              <w:t>ar cukura saturu līdz 8 g</w:t>
            </w:r>
            <w:r>
              <w:rPr>
                <w:iCs/>
                <w:sz w:val="20"/>
                <w:szCs w:val="20"/>
              </w:rPr>
              <w:t>rami)</w:t>
            </w:r>
            <w:r w:rsidRPr="00D72474">
              <w:rPr>
                <w:iCs/>
                <w:sz w:val="20"/>
                <w:szCs w:val="20"/>
              </w:rPr>
              <w:t xml:space="preserve"> </w:t>
            </w:r>
          </w:p>
        </w:tc>
        <w:tc>
          <w:tcPr>
            <w:tcW w:w="850" w:type="dxa"/>
            <w:shd w:val="clear" w:color="auto" w:fill="FFFFFF"/>
            <w:tcMar>
              <w:top w:w="15" w:type="dxa"/>
              <w:left w:w="47" w:type="dxa"/>
              <w:bottom w:w="0" w:type="dxa"/>
              <w:right w:w="47" w:type="dxa"/>
            </w:tcMar>
            <w:vAlign w:val="center"/>
          </w:tcPr>
          <w:p w14:paraId="7B98D9C0" w14:textId="2B78FC9B" w:rsidR="00D72474" w:rsidRPr="00D72474" w:rsidRDefault="00D72474" w:rsidP="00D72474">
            <w:pPr>
              <w:jc w:val="center"/>
              <w:rPr>
                <w:iCs/>
                <w:color w:val="00B050"/>
                <w:sz w:val="20"/>
                <w:szCs w:val="20"/>
              </w:rPr>
            </w:pPr>
            <w:r w:rsidRPr="00D72474">
              <w:rPr>
                <w:color w:val="00B050"/>
                <w:sz w:val="20"/>
                <w:szCs w:val="20"/>
              </w:rPr>
              <w:t>3,3</w:t>
            </w:r>
          </w:p>
        </w:tc>
        <w:tc>
          <w:tcPr>
            <w:tcW w:w="707" w:type="dxa"/>
            <w:shd w:val="clear" w:color="auto" w:fill="FFFFFF"/>
            <w:tcMar>
              <w:top w:w="15" w:type="dxa"/>
              <w:left w:w="47" w:type="dxa"/>
              <w:bottom w:w="0" w:type="dxa"/>
              <w:right w:w="47" w:type="dxa"/>
            </w:tcMar>
            <w:vAlign w:val="center"/>
          </w:tcPr>
          <w:p w14:paraId="31E698EE" w14:textId="46B76B70" w:rsidR="00D72474" w:rsidRPr="00D72474" w:rsidRDefault="00D72474" w:rsidP="00D72474">
            <w:pPr>
              <w:jc w:val="center"/>
              <w:rPr>
                <w:iCs/>
                <w:color w:val="00B050"/>
                <w:sz w:val="20"/>
                <w:szCs w:val="20"/>
                <w:lang w:val="en-US"/>
              </w:rPr>
            </w:pPr>
            <w:r w:rsidRPr="00D72474">
              <w:rPr>
                <w:color w:val="00B050"/>
                <w:sz w:val="20"/>
                <w:szCs w:val="20"/>
              </w:rPr>
              <w:t>3,6</w:t>
            </w:r>
          </w:p>
        </w:tc>
        <w:tc>
          <w:tcPr>
            <w:tcW w:w="850" w:type="dxa"/>
            <w:shd w:val="clear" w:color="auto" w:fill="FFFFFF"/>
            <w:tcMar>
              <w:top w:w="15" w:type="dxa"/>
              <w:left w:w="47" w:type="dxa"/>
              <w:bottom w:w="0" w:type="dxa"/>
              <w:right w:w="47" w:type="dxa"/>
            </w:tcMar>
            <w:vAlign w:val="center"/>
          </w:tcPr>
          <w:p w14:paraId="7685B7CD" w14:textId="20FE3DB1" w:rsidR="00D72474" w:rsidRPr="00D72474" w:rsidRDefault="00D72474" w:rsidP="00D72474">
            <w:pPr>
              <w:jc w:val="center"/>
              <w:rPr>
                <w:iCs/>
                <w:color w:val="00B050"/>
                <w:sz w:val="20"/>
                <w:szCs w:val="20"/>
                <w:lang w:val="en-US"/>
              </w:rPr>
            </w:pPr>
            <w:r w:rsidRPr="00D72474">
              <w:rPr>
                <w:color w:val="00B050"/>
                <w:sz w:val="20"/>
                <w:szCs w:val="20"/>
              </w:rPr>
              <w:t>3,5</w:t>
            </w:r>
          </w:p>
        </w:tc>
        <w:tc>
          <w:tcPr>
            <w:tcW w:w="849" w:type="dxa"/>
            <w:shd w:val="clear" w:color="auto" w:fill="FFFFFF"/>
            <w:tcMar>
              <w:top w:w="15" w:type="dxa"/>
              <w:left w:w="47" w:type="dxa"/>
              <w:bottom w:w="0" w:type="dxa"/>
              <w:right w:w="47" w:type="dxa"/>
            </w:tcMar>
            <w:vAlign w:val="center"/>
          </w:tcPr>
          <w:p w14:paraId="02E92F68" w14:textId="68845E18" w:rsidR="00D72474" w:rsidRPr="00D72474" w:rsidRDefault="00D72474" w:rsidP="00D72474">
            <w:pPr>
              <w:jc w:val="center"/>
              <w:rPr>
                <w:iCs/>
                <w:color w:val="00B050"/>
                <w:sz w:val="20"/>
                <w:szCs w:val="20"/>
                <w:lang w:val="en-US"/>
              </w:rPr>
            </w:pPr>
            <w:r w:rsidRPr="00D72474">
              <w:rPr>
                <w:color w:val="00B050"/>
                <w:sz w:val="20"/>
                <w:szCs w:val="20"/>
              </w:rPr>
              <w:t>3,5</w:t>
            </w:r>
          </w:p>
        </w:tc>
      </w:tr>
      <w:tr w:rsidR="00D72474" w:rsidRPr="007E5CF8" w14:paraId="492BEF82" w14:textId="77777777" w:rsidTr="00D07F6F">
        <w:trPr>
          <w:trHeight w:val="397"/>
        </w:trPr>
        <w:tc>
          <w:tcPr>
            <w:tcW w:w="704" w:type="dxa"/>
            <w:shd w:val="clear" w:color="auto" w:fill="FFFFFF"/>
            <w:tcMar>
              <w:top w:w="15" w:type="dxa"/>
              <w:left w:w="47" w:type="dxa"/>
              <w:bottom w:w="0" w:type="dxa"/>
              <w:right w:w="47" w:type="dxa"/>
            </w:tcMar>
            <w:vAlign w:val="center"/>
          </w:tcPr>
          <w:p w14:paraId="6515B7A9" w14:textId="514BE6D6" w:rsidR="00D72474" w:rsidRPr="00742D1E" w:rsidRDefault="00D72474" w:rsidP="00D72474">
            <w:pPr>
              <w:jc w:val="center"/>
              <w:rPr>
                <w:iCs/>
                <w:sz w:val="20"/>
                <w:szCs w:val="20"/>
              </w:rPr>
            </w:pPr>
            <w:r w:rsidRPr="007E5CF8">
              <w:rPr>
                <w:iCs/>
                <w:sz w:val="20"/>
                <w:szCs w:val="20"/>
              </w:rPr>
              <w:t>3.</w:t>
            </w:r>
            <w:r>
              <w:rPr>
                <w:iCs/>
                <w:sz w:val="20"/>
                <w:szCs w:val="20"/>
              </w:rPr>
              <w:t>5</w:t>
            </w:r>
            <w:r w:rsidRPr="007E5CF8">
              <w:rPr>
                <w:iCs/>
                <w:sz w:val="20"/>
                <w:szCs w:val="20"/>
              </w:rPr>
              <w:t>.</w:t>
            </w:r>
          </w:p>
        </w:tc>
        <w:tc>
          <w:tcPr>
            <w:tcW w:w="5107" w:type="dxa"/>
            <w:shd w:val="clear" w:color="auto" w:fill="FFFFFF"/>
            <w:tcMar>
              <w:top w:w="15" w:type="dxa"/>
              <w:left w:w="47" w:type="dxa"/>
              <w:bottom w:w="0" w:type="dxa"/>
              <w:right w:w="47" w:type="dxa"/>
            </w:tcMar>
            <w:vAlign w:val="center"/>
          </w:tcPr>
          <w:p w14:paraId="0D33BB7E" w14:textId="7D373092" w:rsidR="00D72474" w:rsidRPr="00742D1E" w:rsidRDefault="00D72474" w:rsidP="00D72474">
            <w:pPr>
              <w:jc w:val="both"/>
              <w:rPr>
                <w:iCs/>
                <w:sz w:val="20"/>
                <w:szCs w:val="20"/>
              </w:rPr>
            </w:pPr>
            <w:r w:rsidRPr="007E5CF8">
              <w:rPr>
                <w:iCs/>
                <w:sz w:val="20"/>
                <w:szCs w:val="20"/>
              </w:rPr>
              <w:t>AN likm</w:t>
            </w:r>
            <w:r>
              <w:rPr>
                <w:iCs/>
                <w:sz w:val="20"/>
                <w:szCs w:val="20"/>
              </w:rPr>
              <w:t>ju</w:t>
            </w:r>
            <w:r w:rsidRPr="007E5CF8">
              <w:rPr>
                <w:iCs/>
                <w:sz w:val="20"/>
                <w:szCs w:val="20"/>
              </w:rPr>
              <w:t xml:space="preserve"> paaugstināšana no 2027.gada alkoholisk</w:t>
            </w:r>
            <w:r w:rsidR="00474570">
              <w:rPr>
                <w:iCs/>
                <w:sz w:val="20"/>
                <w:szCs w:val="20"/>
              </w:rPr>
              <w:t>aj</w:t>
            </w:r>
            <w:r w:rsidRPr="007E5CF8">
              <w:rPr>
                <w:iCs/>
                <w:sz w:val="20"/>
                <w:szCs w:val="20"/>
              </w:rPr>
              <w:t>iem dzērieniem</w:t>
            </w:r>
            <w:r>
              <w:rPr>
                <w:iCs/>
                <w:sz w:val="20"/>
                <w:szCs w:val="20"/>
              </w:rPr>
              <w:t>, alum</w:t>
            </w:r>
            <w:r w:rsidRPr="00BE7DC4">
              <w:rPr>
                <w:iCs/>
                <w:sz w:val="20"/>
                <w:szCs w:val="20"/>
              </w:rPr>
              <w:t xml:space="preserve"> </w:t>
            </w:r>
          </w:p>
        </w:tc>
        <w:tc>
          <w:tcPr>
            <w:tcW w:w="850" w:type="dxa"/>
            <w:shd w:val="clear" w:color="auto" w:fill="FFFFFF"/>
            <w:tcMar>
              <w:top w:w="15" w:type="dxa"/>
              <w:left w:w="47" w:type="dxa"/>
              <w:bottom w:w="0" w:type="dxa"/>
              <w:right w:w="47" w:type="dxa"/>
            </w:tcMar>
            <w:vAlign w:val="center"/>
          </w:tcPr>
          <w:p w14:paraId="14AC963C" w14:textId="1875B516" w:rsidR="00D72474" w:rsidRPr="008B4BA7" w:rsidRDefault="008B4BA7" w:rsidP="00D72474">
            <w:pPr>
              <w:jc w:val="center"/>
              <w:rPr>
                <w:iCs/>
                <w:sz w:val="20"/>
                <w:szCs w:val="20"/>
              </w:rPr>
            </w:pPr>
            <w:r w:rsidRPr="008B4BA7">
              <w:rPr>
                <w:iCs/>
                <w:sz w:val="20"/>
                <w:szCs w:val="20"/>
              </w:rPr>
              <w:t>-</w:t>
            </w:r>
          </w:p>
        </w:tc>
        <w:tc>
          <w:tcPr>
            <w:tcW w:w="707" w:type="dxa"/>
            <w:shd w:val="clear" w:color="auto" w:fill="FFFFFF"/>
            <w:tcMar>
              <w:top w:w="15" w:type="dxa"/>
              <w:left w:w="47" w:type="dxa"/>
              <w:bottom w:w="0" w:type="dxa"/>
              <w:right w:w="47" w:type="dxa"/>
            </w:tcMar>
            <w:vAlign w:val="center"/>
          </w:tcPr>
          <w:p w14:paraId="3C0C3DE2" w14:textId="76B0D359" w:rsidR="00D72474" w:rsidRPr="008B4BA7" w:rsidRDefault="008B4BA7" w:rsidP="00D72474">
            <w:pPr>
              <w:jc w:val="center"/>
              <w:rPr>
                <w:iCs/>
                <w:sz w:val="20"/>
                <w:szCs w:val="20"/>
              </w:rPr>
            </w:pPr>
            <w:r w:rsidRPr="008B4BA7">
              <w:rPr>
                <w:iCs/>
                <w:sz w:val="20"/>
                <w:szCs w:val="20"/>
              </w:rPr>
              <w:t>-</w:t>
            </w:r>
          </w:p>
        </w:tc>
        <w:tc>
          <w:tcPr>
            <w:tcW w:w="850" w:type="dxa"/>
            <w:shd w:val="clear" w:color="auto" w:fill="FFFFFF"/>
            <w:tcMar>
              <w:top w:w="15" w:type="dxa"/>
              <w:left w:w="47" w:type="dxa"/>
              <w:bottom w:w="0" w:type="dxa"/>
              <w:right w:w="47" w:type="dxa"/>
            </w:tcMar>
            <w:vAlign w:val="center"/>
          </w:tcPr>
          <w:p w14:paraId="3CAEE8E2" w14:textId="11A6BE03" w:rsidR="00D72474" w:rsidRPr="00D72474" w:rsidRDefault="00D72474" w:rsidP="00D72474">
            <w:pPr>
              <w:jc w:val="center"/>
              <w:rPr>
                <w:iCs/>
                <w:color w:val="00B050"/>
                <w:sz w:val="20"/>
                <w:szCs w:val="20"/>
                <w:lang w:val="en-US"/>
              </w:rPr>
            </w:pPr>
            <w:r w:rsidRPr="00D72474">
              <w:rPr>
                <w:color w:val="00B050"/>
                <w:sz w:val="20"/>
                <w:szCs w:val="20"/>
              </w:rPr>
              <w:t>8,5</w:t>
            </w:r>
          </w:p>
        </w:tc>
        <w:tc>
          <w:tcPr>
            <w:tcW w:w="849" w:type="dxa"/>
            <w:shd w:val="clear" w:color="auto" w:fill="FFFFFF"/>
            <w:tcMar>
              <w:top w:w="15" w:type="dxa"/>
              <w:left w:w="47" w:type="dxa"/>
              <w:bottom w:w="0" w:type="dxa"/>
              <w:right w:w="47" w:type="dxa"/>
            </w:tcMar>
            <w:vAlign w:val="center"/>
          </w:tcPr>
          <w:p w14:paraId="1D290184" w14:textId="1C1D3893" w:rsidR="00D72474" w:rsidRPr="00D72474" w:rsidRDefault="00D72474" w:rsidP="00D72474">
            <w:pPr>
              <w:jc w:val="center"/>
              <w:rPr>
                <w:iCs/>
                <w:color w:val="00B050"/>
                <w:sz w:val="20"/>
                <w:szCs w:val="20"/>
                <w:lang w:val="en-US"/>
              </w:rPr>
            </w:pPr>
            <w:r w:rsidRPr="00D72474">
              <w:rPr>
                <w:color w:val="00B050"/>
                <w:sz w:val="20"/>
                <w:szCs w:val="20"/>
              </w:rPr>
              <w:t>7,3</w:t>
            </w:r>
          </w:p>
        </w:tc>
      </w:tr>
      <w:tr w:rsidR="00D72474" w:rsidRPr="007E5CF8" w14:paraId="769ECF18" w14:textId="77777777" w:rsidTr="00D07F6F">
        <w:trPr>
          <w:trHeight w:val="170"/>
        </w:trPr>
        <w:tc>
          <w:tcPr>
            <w:tcW w:w="704" w:type="dxa"/>
            <w:shd w:val="clear" w:color="auto" w:fill="FFFFFF"/>
            <w:tcMar>
              <w:top w:w="15" w:type="dxa"/>
              <w:left w:w="47" w:type="dxa"/>
              <w:bottom w:w="0" w:type="dxa"/>
              <w:right w:w="47" w:type="dxa"/>
            </w:tcMar>
            <w:vAlign w:val="center"/>
          </w:tcPr>
          <w:p w14:paraId="2FE4CE55" w14:textId="2CE5C696" w:rsidR="00D72474" w:rsidRPr="007E5CF8" w:rsidRDefault="00D72474" w:rsidP="00D72474">
            <w:pPr>
              <w:jc w:val="center"/>
              <w:rPr>
                <w:iCs/>
                <w:sz w:val="20"/>
                <w:szCs w:val="20"/>
              </w:rPr>
            </w:pPr>
            <w:r>
              <w:rPr>
                <w:iCs/>
                <w:sz w:val="20"/>
                <w:szCs w:val="20"/>
              </w:rPr>
              <w:t>3.6.</w:t>
            </w:r>
          </w:p>
        </w:tc>
        <w:tc>
          <w:tcPr>
            <w:tcW w:w="5107" w:type="dxa"/>
            <w:shd w:val="clear" w:color="auto" w:fill="FFFFFF"/>
            <w:tcMar>
              <w:top w:w="15" w:type="dxa"/>
              <w:left w:w="47" w:type="dxa"/>
              <w:bottom w:w="0" w:type="dxa"/>
              <w:right w:w="47" w:type="dxa"/>
            </w:tcMar>
            <w:vAlign w:val="center"/>
          </w:tcPr>
          <w:p w14:paraId="77CC4CCC" w14:textId="17AF8E08" w:rsidR="00D72474" w:rsidRPr="007E5CF8" w:rsidRDefault="00D72474" w:rsidP="00D72474">
            <w:pPr>
              <w:jc w:val="both"/>
              <w:rPr>
                <w:iCs/>
                <w:sz w:val="20"/>
                <w:szCs w:val="20"/>
              </w:rPr>
            </w:pPr>
            <w:r w:rsidRPr="007E5CF8">
              <w:rPr>
                <w:iCs/>
                <w:sz w:val="20"/>
                <w:szCs w:val="20"/>
              </w:rPr>
              <w:t>AN likm</w:t>
            </w:r>
            <w:r>
              <w:rPr>
                <w:iCs/>
                <w:sz w:val="20"/>
                <w:szCs w:val="20"/>
              </w:rPr>
              <w:t>ju</w:t>
            </w:r>
            <w:r w:rsidRPr="007E5CF8">
              <w:rPr>
                <w:iCs/>
                <w:sz w:val="20"/>
                <w:szCs w:val="20"/>
              </w:rPr>
              <w:t xml:space="preserve"> paaugstināšana no 2027.gada </w:t>
            </w:r>
            <w:r w:rsidRPr="00D72474">
              <w:rPr>
                <w:iCs/>
                <w:sz w:val="20"/>
                <w:szCs w:val="20"/>
              </w:rPr>
              <w:t>tabakas izstrādājumiem</w:t>
            </w:r>
            <w:r>
              <w:rPr>
                <w:iCs/>
                <w:sz w:val="20"/>
                <w:szCs w:val="20"/>
              </w:rPr>
              <w:t xml:space="preserve"> un līdzīgiem produktiem</w:t>
            </w:r>
          </w:p>
        </w:tc>
        <w:tc>
          <w:tcPr>
            <w:tcW w:w="850" w:type="dxa"/>
            <w:shd w:val="clear" w:color="auto" w:fill="FFFFFF"/>
            <w:tcMar>
              <w:top w:w="15" w:type="dxa"/>
              <w:left w:w="47" w:type="dxa"/>
              <w:bottom w:w="0" w:type="dxa"/>
              <w:right w:w="47" w:type="dxa"/>
            </w:tcMar>
            <w:vAlign w:val="center"/>
          </w:tcPr>
          <w:p w14:paraId="73AB179B" w14:textId="78A8ECAC" w:rsidR="00D72474" w:rsidRPr="008B4BA7" w:rsidRDefault="008B4BA7" w:rsidP="00D72474">
            <w:pPr>
              <w:jc w:val="center"/>
              <w:rPr>
                <w:iCs/>
                <w:sz w:val="20"/>
                <w:szCs w:val="20"/>
              </w:rPr>
            </w:pPr>
            <w:r w:rsidRPr="008B4BA7">
              <w:rPr>
                <w:iCs/>
                <w:sz w:val="20"/>
                <w:szCs w:val="20"/>
              </w:rPr>
              <w:t>-</w:t>
            </w:r>
          </w:p>
        </w:tc>
        <w:tc>
          <w:tcPr>
            <w:tcW w:w="707" w:type="dxa"/>
            <w:shd w:val="clear" w:color="auto" w:fill="FFFFFF"/>
            <w:tcMar>
              <w:top w:w="15" w:type="dxa"/>
              <w:left w:w="47" w:type="dxa"/>
              <w:bottom w:w="0" w:type="dxa"/>
              <w:right w:w="47" w:type="dxa"/>
            </w:tcMar>
            <w:vAlign w:val="center"/>
          </w:tcPr>
          <w:p w14:paraId="05B58BED" w14:textId="038C7FB2" w:rsidR="00D72474" w:rsidRPr="008B4BA7" w:rsidRDefault="008B4BA7" w:rsidP="00D72474">
            <w:pPr>
              <w:jc w:val="center"/>
              <w:rPr>
                <w:iCs/>
                <w:sz w:val="20"/>
                <w:szCs w:val="20"/>
              </w:rPr>
            </w:pPr>
            <w:r w:rsidRPr="008B4BA7">
              <w:rPr>
                <w:iCs/>
                <w:sz w:val="20"/>
                <w:szCs w:val="20"/>
              </w:rPr>
              <w:t>-</w:t>
            </w:r>
          </w:p>
        </w:tc>
        <w:tc>
          <w:tcPr>
            <w:tcW w:w="850" w:type="dxa"/>
            <w:shd w:val="clear" w:color="auto" w:fill="FFFFFF"/>
            <w:tcMar>
              <w:top w:w="15" w:type="dxa"/>
              <w:left w:w="47" w:type="dxa"/>
              <w:bottom w:w="0" w:type="dxa"/>
              <w:right w:w="47" w:type="dxa"/>
            </w:tcMar>
            <w:vAlign w:val="center"/>
          </w:tcPr>
          <w:p w14:paraId="20C5A4E4" w14:textId="0005A36A" w:rsidR="00D72474" w:rsidRPr="00D72474" w:rsidRDefault="00D72474" w:rsidP="00D72474">
            <w:pPr>
              <w:jc w:val="center"/>
              <w:rPr>
                <w:iCs/>
                <w:color w:val="00B050"/>
                <w:sz w:val="20"/>
                <w:szCs w:val="20"/>
                <w:lang w:val="en-US"/>
              </w:rPr>
            </w:pPr>
            <w:r w:rsidRPr="00D72474">
              <w:rPr>
                <w:rFonts w:eastAsia="Times New Roman" w:cs="Times New Roman"/>
                <w:color w:val="00B050"/>
                <w:sz w:val="20"/>
                <w:szCs w:val="20"/>
                <w:lang w:eastAsia="lv-LV"/>
              </w:rPr>
              <w:t>12,8</w:t>
            </w:r>
          </w:p>
        </w:tc>
        <w:tc>
          <w:tcPr>
            <w:tcW w:w="849" w:type="dxa"/>
            <w:shd w:val="clear" w:color="auto" w:fill="FFFFFF"/>
            <w:tcMar>
              <w:top w:w="15" w:type="dxa"/>
              <w:left w:w="47" w:type="dxa"/>
              <w:bottom w:w="0" w:type="dxa"/>
              <w:right w:w="47" w:type="dxa"/>
            </w:tcMar>
            <w:vAlign w:val="center"/>
          </w:tcPr>
          <w:p w14:paraId="59539598" w14:textId="735AC257" w:rsidR="00D72474" w:rsidRPr="00D72474" w:rsidRDefault="00D72474" w:rsidP="00D72474">
            <w:pPr>
              <w:jc w:val="center"/>
              <w:rPr>
                <w:iCs/>
                <w:color w:val="00B050"/>
                <w:sz w:val="20"/>
                <w:szCs w:val="20"/>
                <w:lang w:val="en-US"/>
              </w:rPr>
            </w:pPr>
            <w:r w:rsidRPr="00D72474">
              <w:rPr>
                <w:rFonts w:eastAsia="Times New Roman" w:cs="Times New Roman"/>
                <w:color w:val="00B050"/>
                <w:sz w:val="20"/>
                <w:szCs w:val="20"/>
                <w:lang w:eastAsia="lv-LV"/>
              </w:rPr>
              <w:t>9,8</w:t>
            </w:r>
          </w:p>
        </w:tc>
      </w:tr>
      <w:tr w:rsidR="00D72474" w:rsidRPr="007E5CF8" w14:paraId="6E35331D" w14:textId="77777777" w:rsidTr="00D07F6F">
        <w:trPr>
          <w:trHeight w:val="170"/>
        </w:trPr>
        <w:tc>
          <w:tcPr>
            <w:tcW w:w="704" w:type="dxa"/>
            <w:shd w:val="clear" w:color="auto" w:fill="FFFFFF"/>
            <w:tcMar>
              <w:top w:w="15" w:type="dxa"/>
              <w:left w:w="47" w:type="dxa"/>
              <w:bottom w:w="0" w:type="dxa"/>
              <w:right w:w="47" w:type="dxa"/>
            </w:tcMar>
            <w:vAlign w:val="center"/>
          </w:tcPr>
          <w:p w14:paraId="1C47E2A0" w14:textId="2E324B16" w:rsidR="00D72474" w:rsidRPr="00742D1E" w:rsidRDefault="00D72474" w:rsidP="00D72474">
            <w:pPr>
              <w:jc w:val="center"/>
              <w:rPr>
                <w:iCs/>
                <w:sz w:val="20"/>
                <w:szCs w:val="20"/>
              </w:rPr>
            </w:pPr>
            <w:r w:rsidRPr="007E5CF8">
              <w:rPr>
                <w:iCs/>
                <w:sz w:val="20"/>
                <w:szCs w:val="20"/>
              </w:rPr>
              <w:t>3.7.</w:t>
            </w:r>
          </w:p>
        </w:tc>
        <w:tc>
          <w:tcPr>
            <w:tcW w:w="5107" w:type="dxa"/>
            <w:shd w:val="clear" w:color="auto" w:fill="FFFFFF"/>
            <w:tcMar>
              <w:top w:w="15" w:type="dxa"/>
              <w:left w:w="47" w:type="dxa"/>
              <w:bottom w:w="0" w:type="dxa"/>
              <w:right w:w="47" w:type="dxa"/>
            </w:tcMar>
            <w:vAlign w:val="center"/>
          </w:tcPr>
          <w:p w14:paraId="0CCDD730" w14:textId="61962204" w:rsidR="00D72474" w:rsidRPr="00742D1E" w:rsidRDefault="00D72474" w:rsidP="00D72474">
            <w:pPr>
              <w:jc w:val="both"/>
              <w:rPr>
                <w:iCs/>
                <w:sz w:val="20"/>
                <w:szCs w:val="20"/>
              </w:rPr>
            </w:pPr>
            <w:r w:rsidRPr="007E5CF8">
              <w:rPr>
                <w:iCs/>
                <w:sz w:val="20"/>
                <w:szCs w:val="20"/>
              </w:rPr>
              <w:t>TEN likmju indeksēšana visiem transportlīdzekļiem (+</w:t>
            </w:r>
            <w:r w:rsidRPr="007E5CF8">
              <w:rPr>
                <w:b/>
                <w:bCs/>
                <w:iCs/>
                <w:color w:val="FF0000"/>
                <w:sz w:val="20"/>
                <w:szCs w:val="20"/>
              </w:rPr>
              <w:t>10%</w:t>
            </w:r>
            <w:r w:rsidRPr="007E5CF8">
              <w:rPr>
                <w:iCs/>
                <w:sz w:val="20"/>
                <w:szCs w:val="20"/>
              </w:rPr>
              <w:t>)</w:t>
            </w:r>
            <w:r w:rsidR="001D78E0">
              <w:rPr>
                <w:iCs/>
                <w:sz w:val="20"/>
                <w:szCs w:val="20"/>
              </w:rPr>
              <w:t xml:space="preserve"> </w:t>
            </w:r>
            <w:r w:rsidR="001D78E0" w:rsidRPr="001D78E0">
              <w:rPr>
                <w:iCs/>
                <w:sz w:val="20"/>
                <w:szCs w:val="20"/>
              </w:rPr>
              <w:t>un TEN samaksas termiņa izmaiņas</w:t>
            </w:r>
          </w:p>
        </w:tc>
        <w:tc>
          <w:tcPr>
            <w:tcW w:w="850" w:type="dxa"/>
            <w:shd w:val="clear" w:color="auto" w:fill="FFFFFF"/>
            <w:tcMar>
              <w:top w:w="15" w:type="dxa"/>
              <w:left w:w="47" w:type="dxa"/>
              <w:bottom w:w="0" w:type="dxa"/>
              <w:right w:w="47" w:type="dxa"/>
            </w:tcMar>
            <w:vAlign w:val="center"/>
          </w:tcPr>
          <w:p w14:paraId="4FC515B7" w14:textId="4249A4F2" w:rsidR="00D72474" w:rsidRPr="00742D1E" w:rsidRDefault="00D72474" w:rsidP="00D72474">
            <w:pPr>
              <w:jc w:val="center"/>
              <w:rPr>
                <w:iCs/>
                <w:color w:val="00B050"/>
                <w:sz w:val="20"/>
                <w:szCs w:val="20"/>
              </w:rPr>
            </w:pPr>
            <w:r w:rsidRPr="007E5CF8">
              <w:rPr>
                <w:iCs/>
                <w:color w:val="00B050"/>
                <w:sz w:val="20"/>
                <w:szCs w:val="20"/>
                <w:lang w:val="en-US"/>
              </w:rPr>
              <w:t>11,</w:t>
            </w:r>
            <w:r w:rsidR="001D78E0">
              <w:rPr>
                <w:iCs/>
                <w:color w:val="00B050"/>
                <w:sz w:val="20"/>
                <w:szCs w:val="20"/>
                <w:lang w:val="en-US"/>
              </w:rPr>
              <w:t>4</w:t>
            </w:r>
          </w:p>
        </w:tc>
        <w:tc>
          <w:tcPr>
            <w:tcW w:w="707" w:type="dxa"/>
            <w:shd w:val="clear" w:color="auto" w:fill="FFFFFF"/>
            <w:tcMar>
              <w:top w:w="15" w:type="dxa"/>
              <w:left w:w="47" w:type="dxa"/>
              <w:bottom w:w="0" w:type="dxa"/>
              <w:right w:w="47" w:type="dxa"/>
            </w:tcMar>
            <w:vAlign w:val="center"/>
          </w:tcPr>
          <w:p w14:paraId="56DF000B" w14:textId="7ED9AFD6" w:rsidR="00D72474" w:rsidRPr="00742D1E" w:rsidRDefault="00D72474" w:rsidP="00D72474">
            <w:pPr>
              <w:jc w:val="center"/>
              <w:rPr>
                <w:iCs/>
                <w:color w:val="00B050"/>
                <w:sz w:val="20"/>
                <w:szCs w:val="20"/>
              </w:rPr>
            </w:pPr>
            <w:r w:rsidRPr="007E5CF8">
              <w:rPr>
                <w:iCs/>
                <w:color w:val="00B050"/>
                <w:sz w:val="20"/>
                <w:szCs w:val="20"/>
                <w:lang w:val="en-US"/>
              </w:rPr>
              <w:t>12,0</w:t>
            </w:r>
          </w:p>
        </w:tc>
        <w:tc>
          <w:tcPr>
            <w:tcW w:w="850" w:type="dxa"/>
            <w:shd w:val="clear" w:color="auto" w:fill="FFFFFF"/>
            <w:tcMar>
              <w:top w:w="15" w:type="dxa"/>
              <w:left w:w="47" w:type="dxa"/>
              <w:bottom w:w="0" w:type="dxa"/>
              <w:right w:w="47" w:type="dxa"/>
            </w:tcMar>
            <w:vAlign w:val="center"/>
          </w:tcPr>
          <w:p w14:paraId="44119BC9" w14:textId="003BACBE" w:rsidR="00D72474" w:rsidRPr="00742D1E" w:rsidRDefault="00D72474" w:rsidP="00D72474">
            <w:pPr>
              <w:jc w:val="center"/>
              <w:rPr>
                <w:iCs/>
                <w:color w:val="00B050"/>
                <w:sz w:val="20"/>
                <w:szCs w:val="20"/>
                <w:lang w:val="en-US"/>
              </w:rPr>
            </w:pPr>
            <w:r w:rsidRPr="007E5CF8">
              <w:rPr>
                <w:iCs/>
                <w:color w:val="00B050"/>
                <w:sz w:val="20"/>
                <w:szCs w:val="20"/>
                <w:lang w:val="en-US"/>
              </w:rPr>
              <w:t>12,7</w:t>
            </w:r>
          </w:p>
        </w:tc>
        <w:tc>
          <w:tcPr>
            <w:tcW w:w="849" w:type="dxa"/>
            <w:shd w:val="clear" w:color="auto" w:fill="FFFFFF"/>
            <w:tcMar>
              <w:top w:w="15" w:type="dxa"/>
              <w:left w:w="47" w:type="dxa"/>
              <w:bottom w:w="0" w:type="dxa"/>
              <w:right w:w="47" w:type="dxa"/>
            </w:tcMar>
            <w:vAlign w:val="center"/>
          </w:tcPr>
          <w:p w14:paraId="7292362C" w14:textId="0C5E9C37" w:rsidR="00D72474" w:rsidRPr="00742D1E" w:rsidRDefault="00D72474" w:rsidP="00D72474">
            <w:pPr>
              <w:jc w:val="center"/>
              <w:rPr>
                <w:iCs/>
                <w:color w:val="00B050"/>
                <w:sz w:val="20"/>
                <w:szCs w:val="20"/>
                <w:lang w:val="en-US"/>
              </w:rPr>
            </w:pPr>
            <w:r w:rsidRPr="007E5CF8">
              <w:rPr>
                <w:iCs/>
                <w:color w:val="00B050"/>
                <w:sz w:val="20"/>
                <w:szCs w:val="20"/>
                <w:lang w:val="en-US"/>
              </w:rPr>
              <w:t>13,3</w:t>
            </w:r>
          </w:p>
        </w:tc>
      </w:tr>
      <w:tr w:rsidR="00D72474" w:rsidRPr="00742D1E" w14:paraId="54052683" w14:textId="77777777" w:rsidTr="00D07F6F">
        <w:trPr>
          <w:trHeight w:val="170"/>
        </w:trPr>
        <w:tc>
          <w:tcPr>
            <w:tcW w:w="704" w:type="dxa"/>
            <w:shd w:val="clear" w:color="auto" w:fill="FFFFFF"/>
            <w:tcMar>
              <w:top w:w="15" w:type="dxa"/>
              <w:left w:w="47" w:type="dxa"/>
              <w:bottom w:w="0" w:type="dxa"/>
              <w:right w:w="47" w:type="dxa"/>
            </w:tcMar>
            <w:vAlign w:val="center"/>
          </w:tcPr>
          <w:p w14:paraId="615AB754" w14:textId="7B7F8D7C" w:rsidR="00D72474" w:rsidRPr="00742D1E" w:rsidRDefault="00D72474" w:rsidP="00D72474">
            <w:pPr>
              <w:jc w:val="center"/>
              <w:rPr>
                <w:iCs/>
                <w:sz w:val="20"/>
                <w:szCs w:val="20"/>
              </w:rPr>
            </w:pPr>
            <w:r w:rsidRPr="007E5CF8">
              <w:rPr>
                <w:iCs/>
                <w:sz w:val="20"/>
                <w:szCs w:val="20"/>
              </w:rPr>
              <w:t>3.8.</w:t>
            </w:r>
          </w:p>
        </w:tc>
        <w:tc>
          <w:tcPr>
            <w:tcW w:w="5107" w:type="dxa"/>
            <w:shd w:val="clear" w:color="auto" w:fill="FFFFFF"/>
            <w:tcMar>
              <w:top w:w="15" w:type="dxa"/>
              <w:left w:w="47" w:type="dxa"/>
              <w:bottom w:w="0" w:type="dxa"/>
              <w:right w:w="47" w:type="dxa"/>
            </w:tcMar>
            <w:vAlign w:val="center"/>
          </w:tcPr>
          <w:p w14:paraId="7037EB34" w14:textId="6763B6CB" w:rsidR="00D72474" w:rsidRPr="00742D1E" w:rsidRDefault="00D72474" w:rsidP="00D72474">
            <w:pPr>
              <w:jc w:val="both"/>
              <w:rPr>
                <w:iCs/>
                <w:sz w:val="20"/>
                <w:szCs w:val="20"/>
              </w:rPr>
            </w:pPr>
            <w:r w:rsidRPr="007E5CF8">
              <w:rPr>
                <w:iCs/>
                <w:sz w:val="20"/>
                <w:szCs w:val="20"/>
              </w:rPr>
              <w:t xml:space="preserve">UVTN likmju palielināšana par </w:t>
            </w:r>
            <w:r w:rsidRPr="007E5CF8">
              <w:rPr>
                <w:b/>
                <w:bCs/>
                <w:iCs/>
                <w:color w:val="FF0000"/>
                <w:sz w:val="20"/>
                <w:szCs w:val="20"/>
              </w:rPr>
              <w:t>10%</w:t>
            </w:r>
            <w:r w:rsidRPr="007E5CF8">
              <w:rPr>
                <w:iCs/>
                <w:sz w:val="20"/>
                <w:szCs w:val="20"/>
              </w:rPr>
              <w:t xml:space="preserve"> sākot ar 2027.gadu</w:t>
            </w:r>
          </w:p>
        </w:tc>
        <w:tc>
          <w:tcPr>
            <w:tcW w:w="850" w:type="dxa"/>
            <w:shd w:val="clear" w:color="auto" w:fill="FFFFFF"/>
            <w:tcMar>
              <w:top w:w="15" w:type="dxa"/>
              <w:left w:w="47" w:type="dxa"/>
              <w:bottom w:w="0" w:type="dxa"/>
              <w:right w:w="47" w:type="dxa"/>
            </w:tcMar>
            <w:vAlign w:val="center"/>
          </w:tcPr>
          <w:p w14:paraId="2C4713FE" w14:textId="4C688421" w:rsidR="00D72474" w:rsidRPr="008B4BA7" w:rsidRDefault="008B4BA7" w:rsidP="00D72474">
            <w:pPr>
              <w:jc w:val="center"/>
              <w:rPr>
                <w:iCs/>
                <w:sz w:val="20"/>
                <w:szCs w:val="20"/>
              </w:rPr>
            </w:pPr>
            <w:r w:rsidRPr="008B4BA7">
              <w:rPr>
                <w:iCs/>
                <w:sz w:val="20"/>
                <w:szCs w:val="20"/>
              </w:rPr>
              <w:t>-</w:t>
            </w:r>
          </w:p>
        </w:tc>
        <w:tc>
          <w:tcPr>
            <w:tcW w:w="707" w:type="dxa"/>
            <w:shd w:val="clear" w:color="auto" w:fill="FFFFFF"/>
            <w:tcMar>
              <w:top w:w="15" w:type="dxa"/>
              <w:left w:w="47" w:type="dxa"/>
              <w:bottom w:w="0" w:type="dxa"/>
              <w:right w:w="47" w:type="dxa"/>
            </w:tcMar>
            <w:vAlign w:val="center"/>
          </w:tcPr>
          <w:p w14:paraId="3DD6B28B" w14:textId="60A1C080" w:rsidR="00D72474" w:rsidRPr="008B4BA7" w:rsidRDefault="008B4BA7" w:rsidP="00D72474">
            <w:pPr>
              <w:jc w:val="center"/>
              <w:rPr>
                <w:iCs/>
                <w:sz w:val="20"/>
                <w:szCs w:val="20"/>
              </w:rPr>
            </w:pPr>
            <w:r w:rsidRPr="008B4BA7">
              <w:rPr>
                <w:iCs/>
                <w:sz w:val="20"/>
                <w:szCs w:val="20"/>
              </w:rPr>
              <w:t>-</w:t>
            </w:r>
          </w:p>
        </w:tc>
        <w:tc>
          <w:tcPr>
            <w:tcW w:w="850" w:type="dxa"/>
            <w:shd w:val="clear" w:color="auto" w:fill="FFFFFF"/>
            <w:tcMar>
              <w:top w:w="15" w:type="dxa"/>
              <w:left w:w="47" w:type="dxa"/>
              <w:bottom w:w="0" w:type="dxa"/>
              <w:right w:w="47" w:type="dxa"/>
            </w:tcMar>
            <w:vAlign w:val="center"/>
          </w:tcPr>
          <w:p w14:paraId="708C4BF8" w14:textId="27410751" w:rsidR="00D72474" w:rsidRPr="00742D1E" w:rsidRDefault="00D72474" w:rsidP="00D72474">
            <w:pPr>
              <w:jc w:val="center"/>
              <w:rPr>
                <w:iCs/>
                <w:color w:val="00B050"/>
                <w:sz w:val="20"/>
                <w:szCs w:val="20"/>
                <w:lang w:val="en-US"/>
              </w:rPr>
            </w:pPr>
            <w:r w:rsidRPr="007E5CF8">
              <w:rPr>
                <w:iCs/>
                <w:color w:val="00B050"/>
                <w:sz w:val="20"/>
                <w:szCs w:val="20"/>
                <w:lang w:val="en-US"/>
              </w:rPr>
              <w:t>2,7</w:t>
            </w:r>
          </w:p>
        </w:tc>
        <w:tc>
          <w:tcPr>
            <w:tcW w:w="849" w:type="dxa"/>
            <w:shd w:val="clear" w:color="auto" w:fill="FFFFFF"/>
            <w:tcMar>
              <w:top w:w="15" w:type="dxa"/>
              <w:left w:w="47" w:type="dxa"/>
              <w:bottom w:w="0" w:type="dxa"/>
              <w:right w:w="47" w:type="dxa"/>
            </w:tcMar>
            <w:vAlign w:val="center"/>
          </w:tcPr>
          <w:p w14:paraId="514B6241" w14:textId="096F0ABB" w:rsidR="00D72474" w:rsidRPr="00742D1E" w:rsidRDefault="00D72474" w:rsidP="00D72474">
            <w:pPr>
              <w:jc w:val="center"/>
              <w:rPr>
                <w:iCs/>
                <w:color w:val="00B050"/>
                <w:sz w:val="20"/>
                <w:szCs w:val="20"/>
                <w:lang w:val="en-US"/>
              </w:rPr>
            </w:pPr>
            <w:r w:rsidRPr="007E5CF8">
              <w:rPr>
                <w:iCs/>
                <w:color w:val="00B050"/>
                <w:sz w:val="20"/>
                <w:szCs w:val="20"/>
                <w:lang w:val="en-US"/>
              </w:rPr>
              <w:t>2,</w:t>
            </w:r>
            <w:r w:rsidR="001D78E0">
              <w:rPr>
                <w:iCs/>
                <w:color w:val="00B050"/>
                <w:sz w:val="20"/>
                <w:szCs w:val="20"/>
                <w:lang w:val="en-US"/>
              </w:rPr>
              <w:t>8</w:t>
            </w:r>
          </w:p>
        </w:tc>
      </w:tr>
      <w:tr w:rsidR="00D72474" w:rsidRPr="00742D1E" w14:paraId="04E9B962" w14:textId="77777777" w:rsidTr="00D07F6F">
        <w:trPr>
          <w:trHeight w:val="397"/>
        </w:trPr>
        <w:tc>
          <w:tcPr>
            <w:tcW w:w="704" w:type="dxa"/>
            <w:shd w:val="clear" w:color="auto" w:fill="FFFFFF"/>
            <w:tcMar>
              <w:top w:w="15" w:type="dxa"/>
              <w:left w:w="47" w:type="dxa"/>
              <w:bottom w:w="0" w:type="dxa"/>
              <w:right w:w="47" w:type="dxa"/>
            </w:tcMar>
            <w:vAlign w:val="center"/>
          </w:tcPr>
          <w:p w14:paraId="252C0537" w14:textId="356131F0" w:rsidR="00D72474" w:rsidRPr="00742D1E" w:rsidRDefault="00D72474" w:rsidP="00D72474">
            <w:pPr>
              <w:jc w:val="center"/>
              <w:rPr>
                <w:iCs/>
                <w:sz w:val="20"/>
                <w:szCs w:val="20"/>
              </w:rPr>
            </w:pPr>
            <w:r w:rsidRPr="007E5CF8">
              <w:rPr>
                <w:iCs/>
                <w:sz w:val="20"/>
                <w:szCs w:val="20"/>
              </w:rPr>
              <w:t>3.9.</w:t>
            </w:r>
          </w:p>
        </w:tc>
        <w:tc>
          <w:tcPr>
            <w:tcW w:w="5107" w:type="dxa"/>
            <w:shd w:val="clear" w:color="auto" w:fill="FFFFFF"/>
            <w:tcMar>
              <w:top w:w="15" w:type="dxa"/>
              <w:left w:w="47" w:type="dxa"/>
              <w:bottom w:w="0" w:type="dxa"/>
              <w:right w:w="47" w:type="dxa"/>
            </w:tcMar>
            <w:vAlign w:val="center"/>
          </w:tcPr>
          <w:p w14:paraId="24D0D258" w14:textId="6CC5A3CB" w:rsidR="00D72474" w:rsidRPr="00742D1E" w:rsidRDefault="00D72474" w:rsidP="00D72474">
            <w:pPr>
              <w:rPr>
                <w:iCs/>
                <w:sz w:val="20"/>
                <w:szCs w:val="20"/>
              </w:rPr>
            </w:pPr>
            <w:r w:rsidRPr="007E5CF8">
              <w:rPr>
                <w:iCs/>
                <w:sz w:val="20"/>
                <w:szCs w:val="20"/>
              </w:rPr>
              <w:t xml:space="preserve">Izložu nodokļa likmes palielināšana no </w:t>
            </w:r>
            <w:r w:rsidRPr="007E5CF8">
              <w:rPr>
                <w:b/>
                <w:bCs/>
                <w:iCs/>
                <w:sz w:val="20"/>
                <w:szCs w:val="20"/>
              </w:rPr>
              <w:t>10%</w:t>
            </w:r>
            <w:r w:rsidRPr="007E5CF8">
              <w:rPr>
                <w:iCs/>
                <w:sz w:val="20"/>
                <w:szCs w:val="20"/>
              </w:rPr>
              <w:t xml:space="preserve"> uz </w:t>
            </w:r>
            <w:r w:rsidRPr="007E5CF8">
              <w:rPr>
                <w:b/>
                <w:bCs/>
                <w:iCs/>
                <w:color w:val="FF0000"/>
                <w:sz w:val="20"/>
                <w:szCs w:val="20"/>
              </w:rPr>
              <w:t>15%</w:t>
            </w:r>
            <w:r w:rsidRPr="007E5CF8">
              <w:rPr>
                <w:iCs/>
                <w:sz w:val="20"/>
                <w:szCs w:val="20"/>
              </w:rPr>
              <w:t>, sākot ar 2025.gadu</w:t>
            </w:r>
          </w:p>
        </w:tc>
        <w:tc>
          <w:tcPr>
            <w:tcW w:w="850" w:type="dxa"/>
            <w:shd w:val="clear" w:color="auto" w:fill="FFFFFF"/>
            <w:tcMar>
              <w:top w:w="15" w:type="dxa"/>
              <w:left w:w="47" w:type="dxa"/>
              <w:bottom w:w="0" w:type="dxa"/>
              <w:right w:w="47" w:type="dxa"/>
            </w:tcMar>
            <w:vAlign w:val="center"/>
          </w:tcPr>
          <w:p w14:paraId="7A2238C1" w14:textId="75299A41" w:rsidR="00D72474" w:rsidRPr="00742D1E" w:rsidRDefault="00D72474" w:rsidP="00D72474">
            <w:pPr>
              <w:jc w:val="center"/>
              <w:rPr>
                <w:iCs/>
                <w:color w:val="00B050"/>
                <w:sz w:val="20"/>
                <w:szCs w:val="20"/>
                <w:lang w:val="en-US"/>
              </w:rPr>
            </w:pPr>
            <w:r w:rsidRPr="007E5CF8">
              <w:rPr>
                <w:iCs/>
                <w:color w:val="00B050"/>
                <w:sz w:val="20"/>
                <w:szCs w:val="20"/>
                <w:lang w:val="en-US"/>
              </w:rPr>
              <w:t>2,5</w:t>
            </w:r>
          </w:p>
        </w:tc>
        <w:tc>
          <w:tcPr>
            <w:tcW w:w="707" w:type="dxa"/>
            <w:shd w:val="clear" w:color="auto" w:fill="FFFFFF"/>
            <w:tcMar>
              <w:top w:w="15" w:type="dxa"/>
              <w:left w:w="47" w:type="dxa"/>
              <w:bottom w:w="0" w:type="dxa"/>
              <w:right w:w="47" w:type="dxa"/>
            </w:tcMar>
            <w:vAlign w:val="center"/>
          </w:tcPr>
          <w:p w14:paraId="0DE84C90" w14:textId="5FEE1A49" w:rsidR="00D72474" w:rsidRPr="00742D1E" w:rsidRDefault="00D72474" w:rsidP="00D72474">
            <w:pPr>
              <w:jc w:val="center"/>
              <w:rPr>
                <w:iCs/>
                <w:color w:val="00B050"/>
                <w:sz w:val="20"/>
                <w:szCs w:val="20"/>
                <w:lang w:val="en-US"/>
              </w:rPr>
            </w:pPr>
            <w:r w:rsidRPr="007E5CF8">
              <w:rPr>
                <w:iCs/>
                <w:color w:val="00B050"/>
                <w:sz w:val="20"/>
                <w:szCs w:val="20"/>
                <w:lang w:val="en-US"/>
              </w:rPr>
              <w:t>2,</w:t>
            </w:r>
            <w:r w:rsidR="001D78E0">
              <w:rPr>
                <w:iCs/>
                <w:color w:val="00B050"/>
                <w:sz w:val="20"/>
                <w:szCs w:val="20"/>
                <w:lang w:val="en-US"/>
              </w:rPr>
              <w:t>7</w:t>
            </w:r>
          </w:p>
        </w:tc>
        <w:tc>
          <w:tcPr>
            <w:tcW w:w="850" w:type="dxa"/>
            <w:shd w:val="clear" w:color="auto" w:fill="FFFFFF"/>
            <w:tcMar>
              <w:top w:w="15" w:type="dxa"/>
              <w:left w:w="47" w:type="dxa"/>
              <w:bottom w:w="0" w:type="dxa"/>
              <w:right w:w="47" w:type="dxa"/>
            </w:tcMar>
            <w:vAlign w:val="center"/>
          </w:tcPr>
          <w:p w14:paraId="23CDDAF3" w14:textId="6B3AC94B" w:rsidR="00D72474" w:rsidRPr="00742D1E" w:rsidRDefault="00D72474" w:rsidP="00D72474">
            <w:pPr>
              <w:jc w:val="center"/>
              <w:rPr>
                <w:iCs/>
                <w:color w:val="00B050"/>
                <w:sz w:val="20"/>
                <w:szCs w:val="20"/>
                <w:lang w:val="en-US"/>
              </w:rPr>
            </w:pPr>
            <w:r w:rsidRPr="007E5CF8">
              <w:rPr>
                <w:iCs/>
                <w:color w:val="00B050"/>
                <w:sz w:val="20"/>
                <w:szCs w:val="20"/>
                <w:lang w:val="en-US"/>
              </w:rPr>
              <w:t>2,9</w:t>
            </w:r>
          </w:p>
        </w:tc>
        <w:tc>
          <w:tcPr>
            <w:tcW w:w="849" w:type="dxa"/>
            <w:shd w:val="clear" w:color="auto" w:fill="FFFFFF"/>
            <w:tcMar>
              <w:top w:w="15" w:type="dxa"/>
              <w:left w:w="47" w:type="dxa"/>
              <w:bottom w:w="0" w:type="dxa"/>
              <w:right w:w="47" w:type="dxa"/>
            </w:tcMar>
            <w:vAlign w:val="center"/>
          </w:tcPr>
          <w:p w14:paraId="2B555D51" w14:textId="49493496" w:rsidR="00D72474" w:rsidRPr="00742D1E" w:rsidRDefault="00D72474" w:rsidP="00D72474">
            <w:pPr>
              <w:jc w:val="center"/>
              <w:rPr>
                <w:iCs/>
                <w:color w:val="00B050"/>
                <w:sz w:val="20"/>
                <w:szCs w:val="20"/>
                <w:lang w:val="en-US"/>
              </w:rPr>
            </w:pPr>
            <w:r w:rsidRPr="007E5CF8">
              <w:rPr>
                <w:iCs/>
                <w:color w:val="00B050"/>
                <w:sz w:val="20"/>
                <w:szCs w:val="20"/>
                <w:lang w:val="en-US"/>
              </w:rPr>
              <w:t>2,9</w:t>
            </w:r>
          </w:p>
        </w:tc>
      </w:tr>
      <w:tr w:rsidR="00D72474" w:rsidRPr="00742D1E" w14:paraId="3DD79F0F" w14:textId="77777777" w:rsidTr="00D07F6F">
        <w:trPr>
          <w:trHeight w:val="397"/>
        </w:trPr>
        <w:tc>
          <w:tcPr>
            <w:tcW w:w="704" w:type="dxa"/>
            <w:shd w:val="clear" w:color="auto" w:fill="FFFFFF"/>
            <w:tcMar>
              <w:top w:w="15" w:type="dxa"/>
              <w:left w:w="47" w:type="dxa"/>
              <w:bottom w:w="0" w:type="dxa"/>
              <w:right w:w="47" w:type="dxa"/>
            </w:tcMar>
            <w:vAlign w:val="center"/>
          </w:tcPr>
          <w:p w14:paraId="54CC873E" w14:textId="762A515A" w:rsidR="00D72474" w:rsidRPr="00742D1E" w:rsidRDefault="00D72474" w:rsidP="00D72474">
            <w:pPr>
              <w:jc w:val="center"/>
              <w:rPr>
                <w:iCs/>
                <w:sz w:val="20"/>
                <w:szCs w:val="20"/>
              </w:rPr>
            </w:pPr>
            <w:r w:rsidRPr="007E5CF8">
              <w:rPr>
                <w:iCs/>
                <w:sz w:val="20"/>
                <w:szCs w:val="20"/>
              </w:rPr>
              <w:t>3.10.</w:t>
            </w:r>
          </w:p>
        </w:tc>
        <w:tc>
          <w:tcPr>
            <w:tcW w:w="5107" w:type="dxa"/>
            <w:shd w:val="clear" w:color="auto" w:fill="FFFFFF"/>
            <w:tcMar>
              <w:top w:w="15" w:type="dxa"/>
              <w:left w:w="47" w:type="dxa"/>
              <w:bottom w:w="0" w:type="dxa"/>
              <w:right w:w="47" w:type="dxa"/>
            </w:tcMar>
            <w:vAlign w:val="center"/>
          </w:tcPr>
          <w:p w14:paraId="456D49E3" w14:textId="6BAF4A72" w:rsidR="00D72474" w:rsidRPr="00742D1E" w:rsidRDefault="00D72474" w:rsidP="00D72474">
            <w:pPr>
              <w:rPr>
                <w:iCs/>
                <w:sz w:val="20"/>
                <w:szCs w:val="20"/>
              </w:rPr>
            </w:pPr>
            <w:r w:rsidRPr="007E5CF8">
              <w:rPr>
                <w:iCs/>
                <w:sz w:val="20"/>
                <w:szCs w:val="20"/>
              </w:rPr>
              <w:t>Azartspēļu nodokļa likm</w:t>
            </w:r>
            <w:r w:rsidR="00474570">
              <w:rPr>
                <w:iCs/>
                <w:sz w:val="20"/>
                <w:szCs w:val="20"/>
              </w:rPr>
              <w:t>ju</w:t>
            </w:r>
            <w:r w:rsidRPr="007E5CF8">
              <w:rPr>
                <w:iCs/>
                <w:sz w:val="20"/>
                <w:szCs w:val="20"/>
              </w:rPr>
              <w:t xml:space="preserve"> palielinājums no 2027.gada par </w:t>
            </w:r>
            <w:r w:rsidRPr="007E5CF8">
              <w:rPr>
                <w:b/>
                <w:bCs/>
                <w:iCs/>
                <w:color w:val="FF0000"/>
                <w:sz w:val="20"/>
                <w:szCs w:val="20"/>
              </w:rPr>
              <w:t>20%</w:t>
            </w:r>
          </w:p>
        </w:tc>
        <w:tc>
          <w:tcPr>
            <w:tcW w:w="850" w:type="dxa"/>
            <w:shd w:val="clear" w:color="auto" w:fill="FFFFFF"/>
            <w:tcMar>
              <w:top w:w="15" w:type="dxa"/>
              <w:left w:w="47" w:type="dxa"/>
              <w:bottom w:w="0" w:type="dxa"/>
              <w:right w:w="47" w:type="dxa"/>
            </w:tcMar>
            <w:vAlign w:val="center"/>
          </w:tcPr>
          <w:p w14:paraId="0CB866AE" w14:textId="37406978" w:rsidR="00D72474" w:rsidRPr="008B4BA7" w:rsidRDefault="008B4BA7" w:rsidP="00D72474">
            <w:pPr>
              <w:jc w:val="center"/>
              <w:rPr>
                <w:iCs/>
                <w:sz w:val="20"/>
                <w:szCs w:val="20"/>
              </w:rPr>
            </w:pPr>
            <w:r w:rsidRPr="008B4BA7">
              <w:rPr>
                <w:iCs/>
                <w:sz w:val="20"/>
                <w:szCs w:val="20"/>
              </w:rPr>
              <w:t>-</w:t>
            </w:r>
          </w:p>
        </w:tc>
        <w:tc>
          <w:tcPr>
            <w:tcW w:w="707" w:type="dxa"/>
            <w:shd w:val="clear" w:color="auto" w:fill="FFFFFF"/>
            <w:tcMar>
              <w:top w:w="15" w:type="dxa"/>
              <w:left w:w="47" w:type="dxa"/>
              <w:bottom w:w="0" w:type="dxa"/>
              <w:right w:w="47" w:type="dxa"/>
            </w:tcMar>
            <w:vAlign w:val="center"/>
          </w:tcPr>
          <w:p w14:paraId="1947D331" w14:textId="3D1AE8FA" w:rsidR="00D72474" w:rsidRPr="008B4BA7" w:rsidRDefault="008B4BA7" w:rsidP="00D72474">
            <w:pPr>
              <w:jc w:val="center"/>
              <w:rPr>
                <w:iCs/>
                <w:sz w:val="20"/>
                <w:szCs w:val="20"/>
              </w:rPr>
            </w:pPr>
            <w:r w:rsidRPr="008B4BA7">
              <w:rPr>
                <w:iCs/>
                <w:sz w:val="20"/>
                <w:szCs w:val="20"/>
              </w:rPr>
              <w:t>-</w:t>
            </w:r>
          </w:p>
        </w:tc>
        <w:tc>
          <w:tcPr>
            <w:tcW w:w="850" w:type="dxa"/>
            <w:shd w:val="clear" w:color="auto" w:fill="FFFFFF"/>
            <w:tcMar>
              <w:top w:w="15" w:type="dxa"/>
              <w:left w:w="47" w:type="dxa"/>
              <w:bottom w:w="0" w:type="dxa"/>
              <w:right w:w="47" w:type="dxa"/>
            </w:tcMar>
            <w:vAlign w:val="center"/>
          </w:tcPr>
          <w:p w14:paraId="737DB831" w14:textId="5FB0D858" w:rsidR="00D72474" w:rsidRPr="00742D1E" w:rsidRDefault="00D72474" w:rsidP="00D72474">
            <w:pPr>
              <w:jc w:val="center"/>
              <w:rPr>
                <w:iCs/>
                <w:color w:val="00B050"/>
                <w:sz w:val="20"/>
                <w:szCs w:val="20"/>
                <w:lang w:val="en-US"/>
              </w:rPr>
            </w:pPr>
            <w:r w:rsidRPr="007E5CF8">
              <w:rPr>
                <w:iCs/>
                <w:color w:val="00B050"/>
                <w:sz w:val="20"/>
                <w:szCs w:val="20"/>
                <w:lang w:val="en-US"/>
              </w:rPr>
              <w:t>9,5</w:t>
            </w:r>
          </w:p>
        </w:tc>
        <w:tc>
          <w:tcPr>
            <w:tcW w:w="849" w:type="dxa"/>
            <w:shd w:val="clear" w:color="auto" w:fill="FFFFFF"/>
            <w:tcMar>
              <w:top w:w="15" w:type="dxa"/>
              <w:left w:w="47" w:type="dxa"/>
              <w:bottom w:w="0" w:type="dxa"/>
              <w:right w:w="47" w:type="dxa"/>
            </w:tcMar>
            <w:vAlign w:val="center"/>
          </w:tcPr>
          <w:p w14:paraId="39103540" w14:textId="1E689ECF" w:rsidR="00D72474" w:rsidRPr="00742D1E" w:rsidRDefault="00D72474" w:rsidP="00D72474">
            <w:pPr>
              <w:jc w:val="center"/>
              <w:rPr>
                <w:iCs/>
                <w:color w:val="00B050"/>
                <w:sz w:val="20"/>
                <w:szCs w:val="20"/>
                <w:lang w:val="en-US"/>
              </w:rPr>
            </w:pPr>
            <w:r w:rsidRPr="007E5CF8">
              <w:rPr>
                <w:iCs/>
                <w:color w:val="00B050"/>
                <w:sz w:val="20"/>
                <w:szCs w:val="20"/>
                <w:lang w:val="en-US"/>
              </w:rPr>
              <w:t>9,5</w:t>
            </w:r>
          </w:p>
        </w:tc>
      </w:tr>
      <w:tr w:rsidR="00D72474" w:rsidRPr="00742D1E" w14:paraId="4C7D5E3C" w14:textId="77777777" w:rsidTr="00D07F6F">
        <w:trPr>
          <w:trHeight w:val="397"/>
        </w:trPr>
        <w:tc>
          <w:tcPr>
            <w:tcW w:w="704" w:type="dxa"/>
            <w:shd w:val="clear" w:color="auto" w:fill="FFFFFF"/>
            <w:tcMar>
              <w:top w:w="15" w:type="dxa"/>
              <w:left w:w="47" w:type="dxa"/>
              <w:bottom w:w="0" w:type="dxa"/>
              <w:right w:w="47" w:type="dxa"/>
            </w:tcMar>
            <w:vAlign w:val="center"/>
          </w:tcPr>
          <w:p w14:paraId="23106DE8" w14:textId="018452EB" w:rsidR="00D72474" w:rsidRPr="00742D1E" w:rsidRDefault="00D72474" w:rsidP="00D72474">
            <w:pPr>
              <w:jc w:val="center"/>
              <w:rPr>
                <w:iCs/>
                <w:sz w:val="20"/>
                <w:szCs w:val="20"/>
              </w:rPr>
            </w:pPr>
            <w:r w:rsidRPr="007E5CF8">
              <w:rPr>
                <w:iCs/>
                <w:sz w:val="20"/>
                <w:szCs w:val="20"/>
              </w:rPr>
              <w:t>3.11.</w:t>
            </w:r>
          </w:p>
        </w:tc>
        <w:tc>
          <w:tcPr>
            <w:tcW w:w="5107" w:type="dxa"/>
            <w:shd w:val="clear" w:color="auto" w:fill="FFFFFF"/>
            <w:tcMar>
              <w:top w:w="15" w:type="dxa"/>
              <w:left w:w="47" w:type="dxa"/>
              <w:bottom w:w="0" w:type="dxa"/>
              <w:right w:w="47" w:type="dxa"/>
            </w:tcMar>
            <w:vAlign w:val="center"/>
          </w:tcPr>
          <w:p w14:paraId="48552AAF" w14:textId="186EEA4E" w:rsidR="00D72474" w:rsidRPr="00742D1E" w:rsidRDefault="00D72474" w:rsidP="00D72474">
            <w:pPr>
              <w:jc w:val="both"/>
              <w:rPr>
                <w:iCs/>
                <w:sz w:val="20"/>
                <w:szCs w:val="20"/>
              </w:rPr>
            </w:pPr>
            <w:r w:rsidRPr="007E5CF8">
              <w:rPr>
                <w:iCs/>
                <w:sz w:val="20"/>
                <w:szCs w:val="20"/>
              </w:rPr>
              <w:t>DRN likmes akmeņoglēm un koksam palielināšana (EK priekšlikums</w:t>
            </w:r>
            <w:r w:rsidR="00474570">
              <w:rPr>
                <w:iCs/>
                <w:sz w:val="20"/>
                <w:szCs w:val="20"/>
              </w:rPr>
              <w:t xml:space="preserve"> -</w:t>
            </w:r>
            <w:r w:rsidRPr="007E5CF8">
              <w:rPr>
                <w:iCs/>
                <w:sz w:val="20"/>
                <w:szCs w:val="20"/>
              </w:rPr>
              <w:t xml:space="preserve"> minimālais līmenis visiem fosilajiem kurināmajiem)</w:t>
            </w:r>
          </w:p>
        </w:tc>
        <w:tc>
          <w:tcPr>
            <w:tcW w:w="850" w:type="dxa"/>
            <w:shd w:val="clear" w:color="auto" w:fill="FFFFFF"/>
            <w:tcMar>
              <w:top w:w="15" w:type="dxa"/>
              <w:left w:w="47" w:type="dxa"/>
              <w:bottom w:w="0" w:type="dxa"/>
              <w:right w:w="47" w:type="dxa"/>
            </w:tcMar>
            <w:vAlign w:val="center"/>
          </w:tcPr>
          <w:p w14:paraId="06534768" w14:textId="2997254C" w:rsidR="00D72474" w:rsidRPr="00742D1E" w:rsidRDefault="00D72474" w:rsidP="00D72474">
            <w:pPr>
              <w:jc w:val="center"/>
              <w:rPr>
                <w:iCs/>
                <w:color w:val="00B050"/>
                <w:sz w:val="20"/>
                <w:szCs w:val="20"/>
                <w:lang w:val="en-US"/>
              </w:rPr>
            </w:pPr>
            <w:r w:rsidRPr="007E5CF8">
              <w:rPr>
                <w:iCs/>
                <w:color w:val="00B050"/>
                <w:sz w:val="20"/>
                <w:szCs w:val="20"/>
                <w:lang w:val="en-US"/>
              </w:rPr>
              <w:t>0,3</w:t>
            </w:r>
          </w:p>
        </w:tc>
        <w:tc>
          <w:tcPr>
            <w:tcW w:w="707" w:type="dxa"/>
            <w:shd w:val="clear" w:color="auto" w:fill="FFFFFF"/>
            <w:tcMar>
              <w:top w:w="15" w:type="dxa"/>
              <w:left w:w="47" w:type="dxa"/>
              <w:bottom w:w="0" w:type="dxa"/>
              <w:right w:w="47" w:type="dxa"/>
            </w:tcMar>
            <w:vAlign w:val="center"/>
          </w:tcPr>
          <w:p w14:paraId="43E70D5D" w14:textId="267EA1CA" w:rsidR="00D72474" w:rsidRPr="00742D1E" w:rsidRDefault="00D72474" w:rsidP="00D72474">
            <w:pPr>
              <w:jc w:val="center"/>
              <w:rPr>
                <w:iCs/>
                <w:color w:val="00B050"/>
                <w:sz w:val="20"/>
                <w:szCs w:val="20"/>
                <w:lang w:val="en-US"/>
              </w:rPr>
            </w:pPr>
            <w:r w:rsidRPr="007E5CF8">
              <w:rPr>
                <w:iCs/>
                <w:color w:val="00B050"/>
                <w:sz w:val="20"/>
                <w:szCs w:val="20"/>
                <w:lang w:val="en-US"/>
              </w:rPr>
              <w:t>0,3</w:t>
            </w:r>
          </w:p>
        </w:tc>
        <w:tc>
          <w:tcPr>
            <w:tcW w:w="850" w:type="dxa"/>
            <w:shd w:val="clear" w:color="auto" w:fill="FFFFFF"/>
            <w:tcMar>
              <w:top w:w="15" w:type="dxa"/>
              <w:left w:w="47" w:type="dxa"/>
              <w:bottom w:w="0" w:type="dxa"/>
              <w:right w:w="47" w:type="dxa"/>
            </w:tcMar>
            <w:vAlign w:val="center"/>
          </w:tcPr>
          <w:p w14:paraId="11F8858D" w14:textId="6311794E" w:rsidR="00D72474" w:rsidRPr="00742D1E" w:rsidRDefault="00D72474" w:rsidP="00D72474">
            <w:pPr>
              <w:jc w:val="center"/>
              <w:rPr>
                <w:iCs/>
                <w:color w:val="00B050"/>
                <w:sz w:val="20"/>
                <w:szCs w:val="20"/>
                <w:lang w:val="en-US"/>
              </w:rPr>
            </w:pPr>
            <w:r w:rsidRPr="007E5CF8">
              <w:rPr>
                <w:iCs/>
                <w:color w:val="00B050"/>
                <w:sz w:val="20"/>
                <w:szCs w:val="20"/>
                <w:lang w:val="en-US"/>
              </w:rPr>
              <w:t>0,4</w:t>
            </w:r>
          </w:p>
        </w:tc>
        <w:tc>
          <w:tcPr>
            <w:tcW w:w="849" w:type="dxa"/>
            <w:shd w:val="clear" w:color="auto" w:fill="FFFFFF"/>
            <w:tcMar>
              <w:top w:w="15" w:type="dxa"/>
              <w:left w:w="47" w:type="dxa"/>
              <w:bottom w:w="0" w:type="dxa"/>
              <w:right w:w="47" w:type="dxa"/>
            </w:tcMar>
            <w:vAlign w:val="center"/>
          </w:tcPr>
          <w:p w14:paraId="062820C2" w14:textId="306784A5" w:rsidR="00D72474" w:rsidRPr="00742D1E" w:rsidRDefault="00D72474" w:rsidP="00D72474">
            <w:pPr>
              <w:jc w:val="center"/>
              <w:rPr>
                <w:iCs/>
                <w:color w:val="00B050"/>
                <w:sz w:val="20"/>
                <w:szCs w:val="20"/>
                <w:lang w:val="en-US"/>
              </w:rPr>
            </w:pPr>
            <w:r w:rsidRPr="007E5CF8">
              <w:rPr>
                <w:iCs/>
                <w:color w:val="00B050"/>
                <w:sz w:val="20"/>
                <w:szCs w:val="20"/>
                <w:lang w:val="en-US"/>
              </w:rPr>
              <w:t>0,4</w:t>
            </w:r>
          </w:p>
        </w:tc>
      </w:tr>
      <w:tr w:rsidR="00D72474" w:rsidRPr="00742D1E" w14:paraId="19C70FB2" w14:textId="77777777" w:rsidTr="00D07F6F">
        <w:trPr>
          <w:trHeight w:val="397"/>
        </w:trPr>
        <w:tc>
          <w:tcPr>
            <w:tcW w:w="704" w:type="dxa"/>
            <w:shd w:val="clear" w:color="auto" w:fill="FFFFFF"/>
            <w:tcMar>
              <w:top w:w="15" w:type="dxa"/>
              <w:left w:w="47" w:type="dxa"/>
              <w:bottom w:w="0" w:type="dxa"/>
              <w:right w:w="47" w:type="dxa"/>
            </w:tcMar>
            <w:vAlign w:val="center"/>
          </w:tcPr>
          <w:p w14:paraId="7C6396FB" w14:textId="76A67DAB" w:rsidR="00D72474" w:rsidRPr="00742D1E" w:rsidRDefault="00D72474" w:rsidP="00D72474">
            <w:pPr>
              <w:jc w:val="center"/>
              <w:rPr>
                <w:iCs/>
                <w:sz w:val="20"/>
                <w:szCs w:val="20"/>
              </w:rPr>
            </w:pPr>
            <w:r w:rsidRPr="007E5CF8">
              <w:rPr>
                <w:iCs/>
                <w:sz w:val="20"/>
                <w:szCs w:val="20"/>
              </w:rPr>
              <w:t>3.12.</w:t>
            </w:r>
          </w:p>
        </w:tc>
        <w:tc>
          <w:tcPr>
            <w:tcW w:w="5107" w:type="dxa"/>
            <w:shd w:val="clear" w:color="auto" w:fill="FFFFFF"/>
            <w:tcMar>
              <w:top w:w="15" w:type="dxa"/>
              <w:left w:w="47" w:type="dxa"/>
              <w:bottom w:w="0" w:type="dxa"/>
              <w:right w:w="47" w:type="dxa"/>
            </w:tcMar>
            <w:vAlign w:val="center"/>
          </w:tcPr>
          <w:p w14:paraId="13A412D9" w14:textId="6C3010AA" w:rsidR="00D72474" w:rsidRPr="00742D1E" w:rsidRDefault="00D72474" w:rsidP="00D72474">
            <w:pPr>
              <w:jc w:val="both"/>
              <w:rPr>
                <w:iCs/>
                <w:sz w:val="20"/>
                <w:szCs w:val="20"/>
              </w:rPr>
            </w:pPr>
            <w:r w:rsidRPr="007E5CF8">
              <w:rPr>
                <w:iCs/>
                <w:sz w:val="20"/>
                <w:szCs w:val="20"/>
              </w:rPr>
              <w:t>Ieņēmumu no konfiscēto noziedzīgi iegūto līdzekļu realizācijas precizēšana</w:t>
            </w:r>
          </w:p>
        </w:tc>
        <w:tc>
          <w:tcPr>
            <w:tcW w:w="850" w:type="dxa"/>
            <w:shd w:val="clear" w:color="auto" w:fill="FFFFFF"/>
            <w:tcMar>
              <w:top w:w="15" w:type="dxa"/>
              <w:left w:w="47" w:type="dxa"/>
              <w:bottom w:w="0" w:type="dxa"/>
              <w:right w:w="47" w:type="dxa"/>
            </w:tcMar>
            <w:vAlign w:val="center"/>
          </w:tcPr>
          <w:p w14:paraId="1873C575" w14:textId="0AFC3A3B" w:rsidR="00D72474" w:rsidRPr="00742D1E" w:rsidRDefault="00D72474" w:rsidP="00D72474">
            <w:pPr>
              <w:jc w:val="center"/>
              <w:rPr>
                <w:iCs/>
                <w:color w:val="00B050"/>
                <w:sz w:val="20"/>
                <w:szCs w:val="20"/>
                <w:lang w:val="en-US"/>
              </w:rPr>
            </w:pPr>
            <w:r w:rsidRPr="007E5CF8">
              <w:rPr>
                <w:iCs/>
                <w:color w:val="00B050"/>
                <w:sz w:val="20"/>
                <w:szCs w:val="20"/>
                <w:lang w:val="en-US"/>
              </w:rPr>
              <w:t>30,0</w:t>
            </w:r>
          </w:p>
        </w:tc>
        <w:tc>
          <w:tcPr>
            <w:tcW w:w="707" w:type="dxa"/>
            <w:shd w:val="clear" w:color="auto" w:fill="FFFFFF"/>
            <w:tcMar>
              <w:top w:w="15" w:type="dxa"/>
              <w:left w:w="47" w:type="dxa"/>
              <w:bottom w:w="0" w:type="dxa"/>
              <w:right w:w="47" w:type="dxa"/>
            </w:tcMar>
            <w:vAlign w:val="center"/>
          </w:tcPr>
          <w:p w14:paraId="2C6ADCF1" w14:textId="09528F47" w:rsidR="00D72474" w:rsidRPr="00742D1E" w:rsidRDefault="00D72474" w:rsidP="00D72474">
            <w:pPr>
              <w:jc w:val="center"/>
              <w:rPr>
                <w:iCs/>
                <w:color w:val="00B050"/>
                <w:sz w:val="20"/>
                <w:szCs w:val="20"/>
                <w:lang w:val="en-US"/>
              </w:rPr>
            </w:pPr>
            <w:r w:rsidRPr="007E5CF8">
              <w:rPr>
                <w:iCs/>
                <w:color w:val="00B050"/>
                <w:sz w:val="20"/>
                <w:szCs w:val="20"/>
                <w:lang w:val="en-US"/>
              </w:rPr>
              <w:t>30,0</w:t>
            </w:r>
          </w:p>
        </w:tc>
        <w:tc>
          <w:tcPr>
            <w:tcW w:w="850" w:type="dxa"/>
            <w:shd w:val="clear" w:color="auto" w:fill="FFFFFF"/>
            <w:tcMar>
              <w:top w:w="15" w:type="dxa"/>
              <w:left w:w="47" w:type="dxa"/>
              <w:bottom w:w="0" w:type="dxa"/>
              <w:right w:w="47" w:type="dxa"/>
            </w:tcMar>
            <w:vAlign w:val="center"/>
          </w:tcPr>
          <w:p w14:paraId="1AAACF50" w14:textId="3F4F3FDB" w:rsidR="00D72474" w:rsidRPr="00742D1E" w:rsidRDefault="00D72474" w:rsidP="00D72474">
            <w:pPr>
              <w:jc w:val="center"/>
              <w:rPr>
                <w:iCs/>
                <w:color w:val="00B050"/>
                <w:sz w:val="20"/>
                <w:szCs w:val="20"/>
                <w:lang w:val="en-US"/>
              </w:rPr>
            </w:pPr>
            <w:r w:rsidRPr="007E5CF8">
              <w:rPr>
                <w:iCs/>
                <w:color w:val="00B050"/>
                <w:sz w:val="20"/>
                <w:szCs w:val="20"/>
                <w:lang w:val="en-US"/>
              </w:rPr>
              <w:t>30,0</w:t>
            </w:r>
          </w:p>
        </w:tc>
        <w:tc>
          <w:tcPr>
            <w:tcW w:w="849" w:type="dxa"/>
            <w:shd w:val="clear" w:color="auto" w:fill="FFFFFF"/>
            <w:tcMar>
              <w:top w:w="15" w:type="dxa"/>
              <w:left w:w="47" w:type="dxa"/>
              <w:bottom w:w="0" w:type="dxa"/>
              <w:right w:w="47" w:type="dxa"/>
            </w:tcMar>
            <w:vAlign w:val="center"/>
          </w:tcPr>
          <w:p w14:paraId="25DFE7A9" w14:textId="5E517CB7" w:rsidR="00D72474" w:rsidRPr="00742D1E" w:rsidRDefault="00D72474" w:rsidP="00D72474">
            <w:pPr>
              <w:jc w:val="center"/>
              <w:rPr>
                <w:iCs/>
                <w:color w:val="00B050"/>
                <w:sz w:val="20"/>
                <w:szCs w:val="20"/>
                <w:lang w:val="en-US"/>
              </w:rPr>
            </w:pPr>
            <w:r w:rsidRPr="007E5CF8">
              <w:rPr>
                <w:iCs/>
                <w:color w:val="00B050"/>
                <w:sz w:val="20"/>
                <w:szCs w:val="20"/>
                <w:lang w:val="en-US"/>
              </w:rPr>
              <w:t>30,0</w:t>
            </w:r>
          </w:p>
        </w:tc>
      </w:tr>
      <w:tr w:rsidR="001D78E0" w:rsidRPr="00742D1E" w14:paraId="17829FC5" w14:textId="77777777" w:rsidTr="00D07F6F">
        <w:trPr>
          <w:trHeight w:val="397"/>
        </w:trPr>
        <w:tc>
          <w:tcPr>
            <w:tcW w:w="704" w:type="dxa"/>
            <w:shd w:val="clear" w:color="auto" w:fill="FFFFFF"/>
            <w:tcMar>
              <w:top w:w="15" w:type="dxa"/>
              <w:left w:w="47" w:type="dxa"/>
              <w:bottom w:w="0" w:type="dxa"/>
              <w:right w:w="47" w:type="dxa"/>
            </w:tcMar>
            <w:vAlign w:val="center"/>
          </w:tcPr>
          <w:p w14:paraId="7242E5A0" w14:textId="03EA188D" w:rsidR="001D78E0" w:rsidRPr="007E5CF8" w:rsidRDefault="001D78E0" w:rsidP="001D78E0">
            <w:pPr>
              <w:jc w:val="center"/>
              <w:rPr>
                <w:iCs/>
                <w:sz w:val="20"/>
                <w:szCs w:val="20"/>
              </w:rPr>
            </w:pPr>
            <w:r>
              <w:rPr>
                <w:iCs/>
                <w:sz w:val="20"/>
                <w:szCs w:val="20"/>
              </w:rPr>
              <w:t>3.13.</w:t>
            </w:r>
          </w:p>
        </w:tc>
        <w:tc>
          <w:tcPr>
            <w:tcW w:w="5107" w:type="dxa"/>
            <w:shd w:val="clear" w:color="auto" w:fill="FFFFFF"/>
            <w:tcMar>
              <w:top w:w="15" w:type="dxa"/>
              <w:left w:w="47" w:type="dxa"/>
              <w:bottom w:w="0" w:type="dxa"/>
              <w:right w:w="47" w:type="dxa"/>
            </w:tcMar>
            <w:vAlign w:val="center"/>
          </w:tcPr>
          <w:p w14:paraId="0B701467" w14:textId="2C5DE30B" w:rsidR="001D78E0" w:rsidRPr="007E5CF8" w:rsidRDefault="001D78E0" w:rsidP="001D78E0">
            <w:pPr>
              <w:jc w:val="both"/>
              <w:rPr>
                <w:iCs/>
                <w:sz w:val="20"/>
                <w:szCs w:val="20"/>
              </w:rPr>
            </w:pPr>
            <w:r w:rsidRPr="001D78E0">
              <w:rPr>
                <w:iCs/>
                <w:sz w:val="20"/>
                <w:szCs w:val="20"/>
              </w:rPr>
              <w:t xml:space="preserve">Pārejot uz </w:t>
            </w:r>
            <w:r w:rsidRPr="001D78E0">
              <w:rPr>
                <w:b/>
                <w:bCs/>
                <w:iCs/>
                <w:color w:val="FF0000"/>
                <w:sz w:val="20"/>
                <w:szCs w:val="20"/>
              </w:rPr>
              <w:t>25,5%</w:t>
            </w:r>
            <w:r w:rsidRPr="001D78E0">
              <w:rPr>
                <w:iCs/>
                <w:color w:val="FF0000"/>
                <w:sz w:val="20"/>
                <w:szCs w:val="20"/>
              </w:rPr>
              <w:t xml:space="preserve"> </w:t>
            </w:r>
            <w:r w:rsidRPr="001D78E0">
              <w:rPr>
                <w:iCs/>
                <w:sz w:val="20"/>
                <w:szCs w:val="20"/>
              </w:rPr>
              <w:t xml:space="preserve">pamatlikmi, izlīdzinām IIN likmes pārējiem ienākumiem, kuriem šobrīd ir </w:t>
            </w:r>
            <w:r w:rsidRPr="001D78E0">
              <w:rPr>
                <w:b/>
                <w:bCs/>
                <w:iCs/>
                <w:sz w:val="20"/>
                <w:szCs w:val="20"/>
              </w:rPr>
              <w:t>20%</w:t>
            </w:r>
          </w:p>
        </w:tc>
        <w:tc>
          <w:tcPr>
            <w:tcW w:w="850" w:type="dxa"/>
            <w:shd w:val="clear" w:color="auto" w:fill="FFFFFF"/>
            <w:tcMar>
              <w:top w:w="15" w:type="dxa"/>
              <w:left w:w="47" w:type="dxa"/>
              <w:bottom w:w="0" w:type="dxa"/>
              <w:right w:w="47" w:type="dxa"/>
            </w:tcMar>
            <w:vAlign w:val="center"/>
          </w:tcPr>
          <w:p w14:paraId="65CB6ED6" w14:textId="66FE9B39" w:rsidR="001D78E0" w:rsidRPr="001D78E0" w:rsidRDefault="001D78E0" w:rsidP="001D78E0">
            <w:pPr>
              <w:jc w:val="center"/>
              <w:rPr>
                <w:iCs/>
                <w:color w:val="00B050"/>
                <w:sz w:val="20"/>
                <w:szCs w:val="20"/>
                <w:lang w:val="en-US"/>
              </w:rPr>
            </w:pPr>
            <w:r w:rsidRPr="001D78E0">
              <w:rPr>
                <w:rFonts w:eastAsia="Times New Roman" w:cs="Times New Roman"/>
                <w:color w:val="00B050"/>
                <w:sz w:val="20"/>
                <w:szCs w:val="20"/>
                <w:lang w:eastAsia="lv-LV"/>
              </w:rPr>
              <w:t>17,0</w:t>
            </w:r>
          </w:p>
        </w:tc>
        <w:tc>
          <w:tcPr>
            <w:tcW w:w="707" w:type="dxa"/>
            <w:shd w:val="clear" w:color="auto" w:fill="FFFFFF"/>
            <w:tcMar>
              <w:top w:w="15" w:type="dxa"/>
              <w:left w:w="47" w:type="dxa"/>
              <w:bottom w:w="0" w:type="dxa"/>
              <w:right w:w="47" w:type="dxa"/>
            </w:tcMar>
            <w:vAlign w:val="center"/>
          </w:tcPr>
          <w:p w14:paraId="4867E328" w14:textId="5095CEF8" w:rsidR="001D78E0" w:rsidRPr="001D78E0" w:rsidRDefault="001D78E0" w:rsidP="001D78E0">
            <w:pPr>
              <w:jc w:val="center"/>
              <w:rPr>
                <w:iCs/>
                <w:color w:val="00B050"/>
                <w:sz w:val="20"/>
                <w:szCs w:val="20"/>
                <w:lang w:val="en-US"/>
              </w:rPr>
            </w:pPr>
            <w:r w:rsidRPr="001D78E0">
              <w:rPr>
                <w:rFonts w:eastAsia="Times New Roman" w:cs="Times New Roman"/>
                <w:color w:val="00B050"/>
                <w:sz w:val="20"/>
                <w:szCs w:val="20"/>
                <w:lang w:eastAsia="lv-LV"/>
              </w:rPr>
              <w:t>21,8</w:t>
            </w:r>
          </w:p>
        </w:tc>
        <w:tc>
          <w:tcPr>
            <w:tcW w:w="850" w:type="dxa"/>
            <w:shd w:val="clear" w:color="auto" w:fill="FFFFFF"/>
            <w:tcMar>
              <w:top w:w="15" w:type="dxa"/>
              <w:left w:w="47" w:type="dxa"/>
              <w:bottom w:w="0" w:type="dxa"/>
              <w:right w:w="47" w:type="dxa"/>
            </w:tcMar>
            <w:vAlign w:val="center"/>
          </w:tcPr>
          <w:p w14:paraId="54824015" w14:textId="1E31E433" w:rsidR="001D78E0" w:rsidRPr="001D78E0" w:rsidRDefault="001D78E0" w:rsidP="001D78E0">
            <w:pPr>
              <w:jc w:val="center"/>
              <w:rPr>
                <w:iCs/>
                <w:color w:val="00B050"/>
                <w:sz w:val="20"/>
                <w:szCs w:val="20"/>
                <w:lang w:val="en-US"/>
              </w:rPr>
            </w:pPr>
            <w:r w:rsidRPr="001D78E0">
              <w:rPr>
                <w:rFonts w:eastAsia="Times New Roman" w:cs="Times New Roman"/>
                <w:color w:val="00B050"/>
                <w:sz w:val="20"/>
                <w:szCs w:val="20"/>
                <w:lang w:eastAsia="lv-LV"/>
              </w:rPr>
              <w:t>22,8</w:t>
            </w:r>
          </w:p>
        </w:tc>
        <w:tc>
          <w:tcPr>
            <w:tcW w:w="849" w:type="dxa"/>
            <w:shd w:val="clear" w:color="auto" w:fill="FFFFFF"/>
            <w:tcMar>
              <w:top w:w="15" w:type="dxa"/>
              <w:left w:w="47" w:type="dxa"/>
              <w:bottom w:w="0" w:type="dxa"/>
              <w:right w:w="47" w:type="dxa"/>
            </w:tcMar>
            <w:vAlign w:val="center"/>
          </w:tcPr>
          <w:p w14:paraId="23E15B91" w14:textId="7B0C45C6" w:rsidR="001D78E0" w:rsidRPr="001D78E0" w:rsidRDefault="001D78E0" w:rsidP="001D78E0">
            <w:pPr>
              <w:jc w:val="center"/>
              <w:rPr>
                <w:iCs/>
                <w:color w:val="00B050"/>
                <w:sz w:val="20"/>
                <w:szCs w:val="20"/>
                <w:lang w:val="en-US"/>
              </w:rPr>
            </w:pPr>
            <w:r w:rsidRPr="001D78E0">
              <w:rPr>
                <w:rFonts w:eastAsia="Times New Roman" w:cs="Times New Roman"/>
                <w:color w:val="00B050"/>
                <w:sz w:val="20"/>
                <w:szCs w:val="20"/>
                <w:lang w:eastAsia="lv-LV"/>
              </w:rPr>
              <w:t>24,0</w:t>
            </w:r>
          </w:p>
        </w:tc>
      </w:tr>
      <w:tr w:rsidR="001D78E0" w:rsidRPr="007E5CF8" w14:paraId="013827BF" w14:textId="77777777" w:rsidTr="00D07F6F">
        <w:trPr>
          <w:trHeight w:val="397"/>
        </w:trPr>
        <w:tc>
          <w:tcPr>
            <w:tcW w:w="704" w:type="dxa"/>
            <w:shd w:val="clear" w:color="auto" w:fill="FFF2CC" w:themeFill="accent4" w:themeFillTint="33"/>
            <w:tcMar>
              <w:top w:w="15" w:type="dxa"/>
              <w:left w:w="47" w:type="dxa"/>
              <w:bottom w:w="0" w:type="dxa"/>
              <w:right w:w="47" w:type="dxa"/>
            </w:tcMar>
            <w:vAlign w:val="center"/>
          </w:tcPr>
          <w:p w14:paraId="20778F94" w14:textId="3E20336F" w:rsidR="001D78E0" w:rsidRPr="001D78E0" w:rsidRDefault="001D78E0" w:rsidP="001D78E0">
            <w:pPr>
              <w:jc w:val="center"/>
              <w:rPr>
                <w:b/>
                <w:bCs/>
                <w:iCs/>
                <w:sz w:val="22"/>
              </w:rPr>
            </w:pPr>
            <w:r w:rsidRPr="001D78E0">
              <w:rPr>
                <w:b/>
                <w:bCs/>
                <w:iCs/>
                <w:sz w:val="22"/>
              </w:rPr>
              <w:t>4.</w:t>
            </w:r>
          </w:p>
        </w:tc>
        <w:tc>
          <w:tcPr>
            <w:tcW w:w="5107" w:type="dxa"/>
            <w:shd w:val="clear" w:color="auto" w:fill="FFF2CC" w:themeFill="accent4" w:themeFillTint="33"/>
            <w:tcMar>
              <w:top w:w="15" w:type="dxa"/>
              <w:left w:w="47" w:type="dxa"/>
              <w:bottom w:w="0" w:type="dxa"/>
              <w:right w:w="47" w:type="dxa"/>
            </w:tcMar>
            <w:vAlign w:val="center"/>
          </w:tcPr>
          <w:p w14:paraId="7461F693" w14:textId="77777777" w:rsidR="001D78E0" w:rsidRPr="001D78E0" w:rsidRDefault="001D78E0" w:rsidP="001D78E0">
            <w:pPr>
              <w:rPr>
                <w:b/>
                <w:bCs/>
                <w:iCs/>
                <w:sz w:val="22"/>
              </w:rPr>
            </w:pPr>
            <w:r w:rsidRPr="001D78E0">
              <w:rPr>
                <w:b/>
                <w:bCs/>
                <w:iCs/>
                <w:sz w:val="22"/>
              </w:rPr>
              <w:t>Minimālās darba algas paaugstināšana:</w:t>
            </w:r>
          </w:p>
          <w:p w14:paraId="6D3D49A7" w14:textId="677F6E37" w:rsidR="001D78E0" w:rsidRPr="00742D1E" w:rsidRDefault="001D78E0" w:rsidP="001D78E0">
            <w:pPr>
              <w:pStyle w:val="ListParagraph"/>
              <w:numPr>
                <w:ilvl w:val="0"/>
                <w:numId w:val="9"/>
              </w:numPr>
              <w:tabs>
                <w:tab w:val="clear" w:pos="720"/>
                <w:tab w:val="num" w:pos="385"/>
              </w:tabs>
              <w:ind w:left="385" w:hanging="283"/>
              <w:rPr>
                <w:b/>
                <w:bCs/>
                <w:iCs/>
                <w:sz w:val="18"/>
                <w:szCs w:val="18"/>
              </w:rPr>
            </w:pPr>
            <w:r w:rsidRPr="00742D1E">
              <w:rPr>
                <w:b/>
                <w:bCs/>
                <w:iCs/>
                <w:sz w:val="18"/>
                <w:szCs w:val="18"/>
              </w:rPr>
              <w:t>2025.</w:t>
            </w:r>
            <w:r w:rsidR="00D162C6">
              <w:rPr>
                <w:b/>
                <w:bCs/>
                <w:iCs/>
                <w:sz w:val="18"/>
                <w:szCs w:val="18"/>
              </w:rPr>
              <w:t> </w:t>
            </w:r>
            <w:r w:rsidRPr="00742D1E">
              <w:rPr>
                <w:b/>
                <w:bCs/>
                <w:iCs/>
                <w:sz w:val="18"/>
                <w:szCs w:val="18"/>
              </w:rPr>
              <w:t xml:space="preserve">gadā </w:t>
            </w:r>
            <w:r w:rsidRPr="00742D1E">
              <w:rPr>
                <w:iCs/>
                <w:sz w:val="18"/>
                <w:szCs w:val="18"/>
              </w:rPr>
              <w:t>uz</w:t>
            </w:r>
            <w:r w:rsidRPr="00742D1E">
              <w:rPr>
                <w:b/>
                <w:bCs/>
                <w:iCs/>
                <w:sz w:val="18"/>
                <w:szCs w:val="18"/>
              </w:rPr>
              <w:t xml:space="preserve"> </w:t>
            </w:r>
            <w:r w:rsidRPr="00742D1E">
              <w:rPr>
                <w:b/>
                <w:bCs/>
                <w:iCs/>
                <w:color w:val="FF0000"/>
                <w:sz w:val="18"/>
                <w:szCs w:val="18"/>
              </w:rPr>
              <w:t>7</w:t>
            </w:r>
            <w:r>
              <w:rPr>
                <w:b/>
                <w:bCs/>
                <w:iCs/>
                <w:color w:val="FF0000"/>
                <w:sz w:val="18"/>
                <w:szCs w:val="18"/>
              </w:rPr>
              <w:t>4</w:t>
            </w:r>
            <w:r w:rsidRPr="00742D1E">
              <w:rPr>
                <w:b/>
                <w:bCs/>
                <w:iCs/>
                <w:color w:val="FF0000"/>
                <w:sz w:val="18"/>
                <w:szCs w:val="18"/>
              </w:rPr>
              <w:t xml:space="preserve">0 </w:t>
            </w:r>
            <w:r w:rsidRPr="00742D1E">
              <w:rPr>
                <w:i/>
                <w:sz w:val="18"/>
                <w:szCs w:val="18"/>
              </w:rPr>
              <w:t xml:space="preserve">euro </w:t>
            </w:r>
            <w:r w:rsidRPr="00742D1E">
              <w:rPr>
                <w:iCs/>
                <w:sz w:val="18"/>
                <w:szCs w:val="18"/>
              </w:rPr>
              <w:t>mēnesī</w:t>
            </w:r>
            <w:r w:rsidRPr="00742D1E">
              <w:rPr>
                <w:i/>
                <w:sz w:val="18"/>
                <w:szCs w:val="18"/>
              </w:rPr>
              <w:t>;</w:t>
            </w:r>
          </w:p>
          <w:p w14:paraId="1230DBFF" w14:textId="5B6FA115" w:rsidR="001D78E0" w:rsidRPr="00742D1E" w:rsidRDefault="001D78E0" w:rsidP="001D78E0">
            <w:pPr>
              <w:pStyle w:val="ListParagraph"/>
              <w:numPr>
                <w:ilvl w:val="0"/>
                <w:numId w:val="9"/>
              </w:numPr>
              <w:tabs>
                <w:tab w:val="clear" w:pos="720"/>
                <w:tab w:val="num" w:pos="385"/>
              </w:tabs>
              <w:ind w:left="385" w:hanging="283"/>
              <w:rPr>
                <w:b/>
                <w:bCs/>
                <w:iCs/>
                <w:sz w:val="18"/>
                <w:szCs w:val="18"/>
              </w:rPr>
            </w:pPr>
            <w:r w:rsidRPr="00742D1E">
              <w:rPr>
                <w:b/>
                <w:bCs/>
                <w:iCs/>
                <w:sz w:val="18"/>
                <w:szCs w:val="18"/>
              </w:rPr>
              <w:t>2026.</w:t>
            </w:r>
            <w:r w:rsidR="00D162C6">
              <w:rPr>
                <w:b/>
                <w:bCs/>
                <w:iCs/>
                <w:sz w:val="18"/>
                <w:szCs w:val="18"/>
              </w:rPr>
              <w:t> </w:t>
            </w:r>
            <w:r w:rsidRPr="00742D1E">
              <w:rPr>
                <w:b/>
                <w:bCs/>
                <w:iCs/>
                <w:sz w:val="18"/>
                <w:szCs w:val="18"/>
              </w:rPr>
              <w:t xml:space="preserve">gadā </w:t>
            </w:r>
            <w:r w:rsidRPr="00742D1E">
              <w:rPr>
                <w:iCs/>
                <w:sz w:val="18"/>
                <w:szCs w:val="18"/>
              </w:rPr>
              <w:t>uz</w:t>
            </w:r>
            <w:r w:rsidRPr="00742D1E">
              <w:rPr>
                <w:b/>
                <w:bCs/>
                <w:iCs/>
                <w:sz w:val="18"/>
                <w:szCs w:val="18"/>
              </w:rPr>
              <w:t xml:space="preserve"> </w:t>
            </w:r>
            <w:r w:rsidRPr="00742D1E">
              <w:rPr>
                <w:b/>
                <w:bCs/>
                <w:iCs/>
                <w:color w:val="FF0000"/>
                <w:sz w:val="18"/>
                <w:szCs w:val="18"/>
              </w:rPr>
              <w:t>7</w:t>
            </w:r>
            <w:r>
              <w:rPr>
                <w:b/>
                <w:bCs/>
                <w:iCs/>
                <w:color w:val="FF0000"/>
                <w:sz w:val="18"/>
                <w:szCs w:val="18"/>
              </w:rPr>
              <w:t>8</w:t>
            </w:r>
            <w:r w:rsidRPr="00742D1E">
              <w:rPr>
                <w:b/>
                <w:bCs/>
                <w:iCs/>
                <w:color w:val="FF0000"/>
                <w:sz w:val="18"/>
                <w:szCs w:val="18"/>
              </w:rPr>
              <w:t xml:space="preserve">0 </w:t>
            </w:r>
            <w:r w:rsidRPr="00742D1E">
              <w:rPr>
                <w:i/>
                <w:sz w:val="18"/>
                <w:szCs w:val="18"/>
              </w:rPr>
              <w:t>euro</w:t>
            </w:r>
            <w:r w:rsidRPr="00742D1E">
              <w:rPr>
                <w:iCs/>
                <w:sz w:val="18"/>
                <w:szCs w:val="18"/>
              </w:rPr>
              <w:t xml:space="preserve"> mēnesī;</w:t>
            </w:r>
          </w:p>
          <w:p w14:paraId="33816DA3" w14:textId="71109D00" w:rsidR="001D78E0" w:rsidRPr="001D78E0" w:rsidRDefault="001D78E0" w:rsidP="001D78E0">
            <w:pPr>
              <w:pStyle w:val="ListParagraph"/>
              <w:numPr>
                <w:ilvl w:val="0"/>
                <w:numId w:val="9"/>
              </w:numPr>
              <w:tabs>
                <w:tab w:val="clear" w:pos="720"/>
                <w:tab w:val="num" w:pos="385"/>
              </w:tabs>
              <w:ind w:left="385" w:hanging="283"/>
              <w:rPr>
                <w:b/>
                <w:bCs/>
                <w:iCs/>
                <w:sz w:val="20"/>
                <w:szCs w:val="20"/>
              </w:rPr>
            </w:pPr>
            <w:r w:rsidRPr="00742D1E">
              <w:rPr>
                <w:b/>
                <w:bCs/>
                <w:iCs/>
                <w:sz w:val="18"/>
                <w:szCs w:val="18"/>
              </w:rPr>
              <w:t>2027.</w:t>
            </w:r>
            <w:r w:rsidR="00D162C6">
              <w:rPr>
                <w:b/>
                <w:bCs/>
                <w:iCs/>
                <w:sz w:val="18"/>
                <w:szCs w:val="18"/>
              </w:rPr>
              <w:t> </w:t>
            </w:r>
            <w:r w:rsidRPr="00742D1E">
              <w:rPr>
                <w:b/>
                <w:bCs/>
                <w:iCs/>
                <w:sz w:val="18"/>
                <w:szCs w:val="18"/>
              </w:rPr>
              <w:t xml:space="preserve">gadā </w:t>
            </w:r>
            <w:r w:rsidRPr="00742D1E">
              <w:rPr>
                <w:iCs/>
                <w:sz w:val="18"/>
                <w:szCs w:val="18"/>
              </w:rPr>
              <w:t>uz</w:t>
            </w:r>
            <w:r w:rsidRPr="00742D1E">
              <w:rPr>
                <w:b/>
                <w:bCs/>
                <w:iCs/>
                <w:sz w:val="18"/>
                <w:szCs w:val="18"/>
              </w:rPr>
              <w:t xml:space="preserve"> </w:t>
            </w:r>
            <w:r w:rsidRPr="00742D1E">
              <w:rPr>
                <w:b/>
                <w:bCs/>
                <w:iCs/>
                <w:color w:val="FF0000"/>
                <w:sz w:val="18"/>
                <w:szCs w:val="18"/>
              </w:rPr>
              <w:t>8</w:t>
            </w:r>
            <w:r>
              <w:rPr>
                <w:b/>
                <w:bCs/>
                <w:iCs/>
                <w:color w:val="FF0000"/>
                <w:sz w:val="18"/>
                <w:szCs w:val="18"/>
              </w:rPr>
              <w:t>2</w:t>
            </w:r>
            <w:r w:rsidRPr="00742D1E">
              <w:rPr>
                <w:b/>
                <w:bCs/>
                <w:iCs/>
                <w:color w:val="FF0000"/>
                <w:sz w:val="18"/>
                <w:szCs w:val="18"/>
              </w:rPr>
              <w:t xml:space="preserve">0 </w:t>
            </w:r>
            <w:r w:rsidRPr="00742D1E">
              <w:rPr>
                <w:i/>
                <w:sz w:val="18"/>
                <w:szCs w:val="18"/>
              </w:rPr>
              <w:t>euro</w:t>
            </w:r>
            <w:r w:rsidRPr="00742D1E">
              <w:rPr>
                <w:iCs/>
                <w:sz w:val="18"/>
                <w:szCs w:val="18"/>
              </w:rPr>
              <w:t xml:space="preserve"> mēnesī;</w:t>
            </w:r>
          </w:p>
          <w:p w14:paraId="25CBF669" w14:textId="7872A4E6" w:rsidR="001D78E0" w:rsidRPr="001D78E0" w:rsidRDefault="001D78E0" w:rsidP="001D78E0">
            <w:pPr>
              <w:pStyle w:val="ListParagraph"/>
              <w:numPr>
                <w:ilvl w:val="0"/>
                <w:numId w:val="9"/>
              </w:numPr>
              <w:tabs>
                <w:tab w:val="clear" w:pos="720"/>
                <w:tab w:val="num" w:pos="385"/>
              </w:tabs>
              <w:ind w:left="385" w:hanging="283"/>
              <w:rPr>
                <w:b/>
                <w:bCs/>
                <w:iCs/>
                <w:sz w:val="18"/>
                <w:szCs w:val="18"/>
              </w:rPr>
            </w:pPr>
            <w:r w:rsidRPr="001D78E0">
              <w:rPr>
                <w:b/>
                <w:bCs/>
                <w:iCs/>
                <w:sz w:val="18"/>
                <w:szCs w:val="18"/>
              </w:rPr>
              <w:t>2028.</w:t>
            </w:r>
            <w:r w:rsidR="00D162C6">
              <w:rPr>
                <w:b/>
                <w:bCs/>
                <w:iCs/>
                <w:sz w:val="18"/>
                <w:szCs w:val="18"/>
              </w:rPr>
              <w:t> </w:t>
            </w:r>
            <w:r w:rsidRPr="001D78E0">
              <w:rPr>
                <w:b/>
                <w:bCs/>
                <w:iCs/>
                <w:sz w:val="18"/>
                <w:szCs w:val="18"/>
              </w:rPr>
              <w:t xml:space="preserve">gadā </w:t>
            </w:r>
            <w:r w:rsidRPr="001D78E0">
              <w:rPr>
                <w:iCs/>
                <w:sz w:val="18"/>
                <w:szCs w:val="18"/>
              </w:rPr>
              <w:t>uz</w:t>
            </w:r>
            <w:r>
              <w:rPr>
                <w:iCs/>
                <w:sz w:val="18"/>
                <w:szCs w:val="18"/>
              </w:rPr>
              <w:t xml:space="preserve"> </w:t>
            </w:r>
            <w:r w:rsidRPr="00742D1E">
              <w:rPr>
                <w:b/>
                <w:bCs/>
                <w:iCs/>
                <w:color w:val="FF0000"/>
                <w:sz w:val="18"/>
                <w:szCs w:val="18"/>
              </w:rPr>
              <w:t>8</w:t>
            </w:r>
            <w:r>
              <w:rPr>
                <w:b/>
                <w:bCs/>
                <w:iCs/>
                <w:color w:val="FF0000"/>
                <w:sz w:val="18"/>
                <w:szCs w:val="18"/>
              </w:rPr>
              <w:t>6</w:t>
            </w:r>
            <w:r w:rsidRPr="00742D1E">
              <w:rPr>
                <w:b/>
                <w:bCs/>
                <w:iCs/>
                <w:color w:val="FF0000"/>
                <w:sz w:val="18"/>
                <w:szCs w:val="18"/>
              </w:rPr>
              <w:t xml:space="preserve">0 </w:t>
            </w:r>
            <w:r w:rsidRPr="00742D1E">
              <w:rPr>
                <w:i/>
                <w:sz w:val="18"/>
                <w:szCs w:val="18"/>
              </w:rPr>
              <w:t>euro</w:t>
            </w:r>
            <w:r w:rsidRPr="00742D1E">
              <w:rPr>
                <w:iCs/>
                <w:sz w:val="18"/>
                <w:szCs w:val="18"/>
              </w:rPr>
              <w:t xml:space="preserve"> mēnesī</w:t>
            </w:r>
            <w:r w:rsidR="00F93D68">
              <w:rPr>
                <w:iCs/>
                <w:sz w:val="18"/>
                <w:szCs w:val="18"/>
              </w:rPr>
              <w:t>.</w:t>
            </w:r>
          </w:p>
        </w:tc>
        <w:tc>
          <w:tcPr>
            <w:tcW w:w="850" w:type="dxa"/>
            <w:shd w:val="clear" w:color="auto" w:fill="FFF2CC" w:themeFill="accent4" w:themeFillTint="33"/>
            <w:tcMar>
              <w:top w:w="15" w:type="dxa"/>
              <w:left w:w="47" w:type="dxa"/>
              <w:bottom w:w="0" w:type="dxa"/>
              <w:right w:w="47" w:type="dxa"/>
            </w:tcMar>
            <w:vAlign w:val="center"/>
          </w:tcPr>
          <w:p w14:paraId="1CB8E53A" w14:textId="3245AFF2" w:rsidR="001D78E0" w:rsidRPr="001D78E0" w:rsidRDefault="001D78E0" w:rsidP="001D78E0">
            <w:pPr>
              <w:jc w:val="center"/>
              <w:rPr>
                <w:b/>
                <w:bCs/>
                <w:iCs/>
                <w:color w:val="00B050"/>
                <w:sz w:val="22"/>
                <w:lang w:val="en-US"/>
              </w:rPr>
            </w:pPr>
            <w:r w:rsidRPr="001D78E0">
              <w:rPr>
                <w:b/>
                <w:bCs/>
                <w:color w:val="00B050"/>
                <w:sz w:val="22"/>
              </w:rPr>
              <w:t>17,1</w:t>
            </w:r>
          </w:p>
        </w:tc>
        <w:tc>
          <w:tcPr>
            <w:tcW w:w="707" w:type="dxa"/>
            <w:shd w:val="clear" w:color="auto" w:fill="FFF2CC" w:themeFill="accent4" w:themeFillTint="33"/>
            <w:tcMar>
              <w:top w:w="15" w:type="dxa"/>
              <w:left w:w="47" w:type="dxa"/>
              <w:bottom w:w="0" w:type="dxa"/>
              <w:right w:w="47" w:type="dxa"/>
            </w:tcMar>
            <w:vAlign w:val="center"/>
          </w:tcPr>
          <w:p w14:paraId="7C3E95B1" w14:textId="40EB3CCA" w:rsidR="001D78E0" w:rsidRPr="001D78E0" w:rsidRDefault="001D78E0" w:rsidP="001D78E0">
            <w:pPr>
              <w:jc w:val="center"/>
              <w:rPr>
                <w:b/>
                <w:bCs/>
                <w:iCs/>
                <w:color w:val="00B050"/>
                <w:sz w:val="22"/>
                <w:lang w:val="en-US"/>
              </w:rPr>
            </w:pPr>
            <w:r w:rsidRPr="001D78E0">
              <w:rPr>
                <w:b/>
                <w:bCs/>
                <w:color w:val="00B050"/>
                <w:sz w:val="22"/>
              </w:rPr>
              <w:t>26,3</w:t>
            </w:r>
          </w:p>
        </w:tc>
        <w:tc>
          <w:tcPr>
            <w:tcW w:w="850" w:type="dxa"/>
            <w:shd w:val="clear" w:color="auto" w:fill="FFF2CC" w:themeFill="accent4" w:themeFillTint="33"/>
            <w:tcMar>
              <w:top w:w="15" w:type="dxa"/>
              <w:left w:w="47" w:type="dxa"/>
              <w:bottom w:w="0" w:type="dxa"/>
              <w:right w:w="47" w:type="dxa"/>
            </w:tcMar>
            <w:vAlign w:val="center"/>
          </w:tcPr>
          <w:p w14:paraId="0801AD47" w14:textId="452D1FD9" w:rsidR="001D78E0" w:rsidRPr="001D78E0" w:rsidRDefault="001D78E0" w:rsidP="001D78E0">
            <w:pPr>
              <w:jc w:val="center"/>
              <w:rPr>
                <w:b/>
                <w:bCs/>
                <w:iCs/>
                <w:color w:val="00B050"/>
                <w:sz w:val="22"/>
                <w:lang w:val="en-US"/>
              </w:rPr>
            </w:pPr>
            <w:r w:rsidRPr="001D78E0">
              <w:rPr>
                <w:b/>
                <w:bCs/>
                <w:color w:val="00B050"/>
                <w:sz w:val="22"/>
              </w:rPr>
              <w:t>33,7</w:t>
            </w:r>
          </w:p>
        </w:tc>
        <w:tc>
          <w:tcPr>
            <w:tcW w:w="849" w:type="dxa"/>
            <w:shd w:val="clear" w:color="auto" w:fill="FFF2CC" w:themeFill="accent4" w:themeFillTint="33"/>
            <w:tcMar>
              <w:top w:w="15" w:type="dxa"/>
              <w:left w:w="47" w:type="dxa"/>
              <w:bottom w:w="0" w:type="dxa"/>
              <w:right w:w="47" w:type="dxa"/>
            </w:tcMar>
            <w:vAlign w:val="center"/>
          </w:tcPr>
          <w:p w14:paraId="43612794" w14:textId="79840288" w:rsidR="001D78E0" w:rsidRPr="001D78E0" w:rsidRDefault="001D78E0" w:rsidP="001D78E0">
            <w:pPr>
              <w:jc w:val="center"/>
              <w:rPr>
                <w:b/>
                <w:bCs/>
                <w:iCs/>
                <w:color w:val="00B050"/>
                <w:sz w:val="22"/>
                <w:lang w:val="en-US"/>
              </w:rPr>
            </w:pPr>
            <w:r w:rsidRPr="001D78E0">
              <w:rPr>
                <w:b/>
                <w:bCs/>
                <w:color w:val="00B050"/>
                <w:sz w:val="22"/>
              </w:rPr>
              <w:t>39,9</w:t>
            </w:r>
          </w:p>
        </w:tc>
      </w:tr>
      <w:tr w:rsidR="001D78E0" w:rsidRPr="007E5CF8" w14:paraId="6536DCB8" w14:textId="77777777" w:rsidTr="00D07F6F">
        <w:trPr>
          <w:trHeight w:val="397"/>
        </w:trPr>
        <w:tc>
          <w:tcPr>
            <w:tcW w:w="704" w:type="dxa"/>
            <w:shd w:val="clear" w:color="auto" w:fill="FFFFFF"/>
            <w:tcMar>
              <w:top w:w="15" w:type="dxa"/>
              <w:left w:w="47" w:type="dxa"/>
              <w:bottom w:w="0" w:type="dxa"/>
              <w:right w:w="47" w:type="dxa"/>
            </w:tcMar>
            <w:vAlign w:val="center"/>
          </w:tcPr>
          <w:p w14:paraId="22082A43" w14:textId="4AB6363F" w:rsidR="001D78E0" w:rsidRPr="00742D1E" w:rsidRDefault="001D78E0" w:rsidP="001D78E0">
            <w:pPr>
              <w:jc w:val="center"/>
              <w:rPr>
                <w:iCs/>
                <w:sz w:val="20"/>
                <w:szCs w:val="20"/>
              </w:rPr>
            </w:pPr>
            <w:r w:rsidRPr="007E5CF8">
              <w:rPr>
                <w:iCs/>
                <w:sz w:val="20"/>
                <w:szCs w:val="20"/>
              </w:rPr>
              <w:t>4.1.</w:t>
            </w:r>
          </w:p>
        </w:tc>
        <w:tc>
          <w:tcPr>
            <w:tcW w:w="5107" w:type="dxa"/>
            <w:shd w:val="clear" w:color="auto" w:fill="FFFFFF"/>
            <w:tcMar>
              <w:top w:w="15" w:type="dxa"/>
              <w:left w:w="47" w:type="dxa"/>
              <w:bottom w:w="0" w:type="dxa"/>
              <w:right w:w="47" w:type="dxa"/>
            </w:tcMar>
            <w:vAlign w:val="center"/>
          </w:tcPr>
          <w:p w14:paraId="2E4A21FC" w14:textId="4B4BFDC8" w:rsidR="001D78E0" w:rsidRPr="00742D1E" w:rsidRDefault="001D78E0" w:rsidP="001D78E0">
            <w:pPr>
              <w:rPr>
                <w:iCs/>
                <w:sz w:val="20"/>
                <w:szCs w:val="20"/>
              </w:rPr>
            </w:pPr>
            <w:r w:rsidRPr="007E5CF8">
              <w:rPr>
                <w:iCs/>
                <w:sz w:val="20"/>
                <w:szCs w:val="20"/>
              </w:rPr>
              <w:t>Nodokļu ieņēmumu pieaugums (IIN, VSAOI un PVN) saistībā ar minimālās darba algas paaugstināšanu</w:t>
            </w:r>
          </w:p>
        </w:tc>
        <w:tc>
          <w:tcPr>
            <w:tcW w:w="850" w:type="dxa"/>
            <w:shd w:val="clear" w:color="auto" w:fill="FFFFFF"/>
            <w:tcMar>
              <w:top w:w="15" w:type="dxa"/>
              <w:left w:w="47" w:type="dxa"/>
              <w:bottom w:w="0" w:type="dxa"/>
              <w:right w:w="47" w:type="dxa"/>
            </w:tcMar>
            <w:vAlign w:val="center"/>
          </w:tcPr>
          <w:p w14:paraId="6D068B9F" w14:textId="616C2AE4" w:rsidR="001D78E0" w:rsidRPr="001D78E0" w:rsidRDefault="001D78E0" w:rsidP="001D78E0">
            <w:pPr>
              <w:jc w:val="center"/>
              <w:rPr>
                <w:iCs/>
                <w:color w:val="00B050"/>
                <w:sz w:val="20"/>
                <w:szCs w:val="20"/>
                <w:lang w:val="en-US"/>
              </w:rPr>
            </w:pPr>
            <w:r w:rsidRPr="001D78E0">
              <w:rPr>
                <w:color w:val="00B050"/>
                <w:sz w:val="20"/>
                <w:szCs w:val="20"/>
              </w:rPr>
              <w:t>18,4</w:t>
            </w:r>
          </w:p>
        </w:tc>
        <w:tc>
          <w:tcPr>
            <w:tcW w:w="707" w:type="dxa"/>
            <w:shd w:val="clear" w:color="auto" w:fill="FFFFFF"/>
            <w:tcMar>
              <w:top w:w="15" w:type="dxa"/>
              <w:left w:w="47" w:type="dxa"/>
              <w:bottom w:w="0" w:type="dxa"/>
              <w:right w:w="47" w:type="dxa"/>
            </w:tcMar>
            <w:vAlign w:val="center"/>
          </w:tcPr>
          <w:p w14:paraId="2F27531E" w14:textId="28D830B8" w:rsidR="001D78E0" w:rsidRPr="001D78E0" w:rsidRDefault="001D78E0" w:rsidP="001D78E0">
            <w:pPr>
              <w:jc w:val="center"/>
              <w:rPr>
                <w:iCs/>
                <w:color w:val="00B050"/>
                <w:sz w:val="20"/>
                <w:szCs w:val="20"/>
                <w:lang w:val="en-US"/>
              </w:rPr>
            </w:pPr>
            <w:r w:rsidRPr="001D78E0">
              <w:rPr>
                <w:color w:val="00B050"/>
                <w:sz w:val="20"/>
                <w:szCs w:val="20"/>
              </w:rPr>
              <w:t>29,8</w:t>
            </w:r>
          </w:p>
        </w:tc>
        <w:tc>
          <w:tcPr>
            <w:tcW w:w="850" w:type="dxa"/>
            <w:shd w:val="clear" w:color="auto" w:fill="FFFFFF"/>
            <w:tcMar>
              <w:top w:w="15" w:type="dxa"/>
              <w:left w:w="47" w:type="dxa"/>
              <w:bottom w:w="0" w:type="dxa"/>
              <w:right w:w="47" w:type="dxa"/>
            </w:tcMar>
            <w:vAlign w:val="center"/>
          </w:tcPr>
          <w:p w14:paraId="12AC5F39" w14:textId="75653EBE" w:rsidR="001D78E0" w:rsidRPr="001D78E0" w:rsidRDefault="001D78E0" w:rsidP="001D78E0">
            <w:pPr>
              <w:jc w:val="center"/>
              <w:rPr>
                <w:iCs/>
                <w:color w:val="00B050"/>
                <w:sz w:val="20"/>
                <w:szCs w:val="20"/>
                <w:lang w:val="en-US"/>
              </w:rPr>
            </w:pPr>
            <w:r w:rsidRPr="001D78E0">
              <w:rPr>
                <w:color w:val="00B050"/>
                <w:sz w:val="20"/>
                <w:szCs w:val="20"/>
              </w:rPr>
              <w:t>39,7</w:t>
            </w:r>
          </w:p>
        </w:tc>
        <w:tc>
          <w:tcPr>
            <w:tcW w:w="849" w:type="dxa"/>
            <w:shd w:val="clear" w:color="auto" w:fill="FFFFFF"/>
            <w:tcMar>
              <w:top w:w="15" w:type="dxa"/>
              <w:left w:w="47" w:type="dxa"/>
              <w:bottom w:w="0" w:type="dxa"/>
              <w:right w:w="47" w:type="dxa"/>
            </w:tcMar>
            <w:vAlign w:val="center"/>
          </w:tcPr>
          <w:p w14:paraId="79CDBF75" w14:textId="4FA21755" w:rsidR="001D78E0" w:rsidRPr="001D78E0" w:rsidRDefault="001D78E0" w:rsidP="001D78E0">
            <w:pPr>
              <w:jc w:val="center"/>
              <w:rPr>
                <w:iCs/>
                <w:color w:val="00B050"/>
                <w:sz w:val="20"/>
                <w:szCs w:val="20"/>
                <w:lang w:val="en-US"/>
              </w:rPr>
            </w:pPr>
            <w:r w:rsidRPr="001D78E0">
              <w:rPr>
                <w:color w:val="00B050"/>
                <w:sz w:val="20"/>
                <w:szCs w:val="20"/>
              </w:rPr>
              <w:t>48,4</w:t>
            </w:r>
          </w:p>
        </w:tc>
      </w:tr>
      <w:tr w:rsidR="001D78E0" w:rsidRPr="007E5CF8" w14:paraId="3223DF7E" w14:textId="77777777" w:rsidTr="00D07F6F">
        <w:trPr>
          <w:trHeight w:val="397"/>
        </w:trPr>
        <w:tc>
          <w:tcPr>
            <w:tcW w:w="704" w:type="dxa"/>
            <w:shd w:val="clear" w:color="auto" w:fill="FFFFFF"/>
            <w:tcMar>
              <w:top w:w="15" w:type="dxa"/>
              <w:left w:w="47" w:type="dxa"/>
              <w:bottom w:w="0" w:type="dxa"/>
              <w:right w:w="47" w:type="dxa"/>
            </w:tcMar>
            <w:vAlign w:val="center"/>
          </w:tcPr>
          <w:p w14:paraId="1348F77C" w14:textId="300AD919" w:rsidR="001D78E0" w:rsidRPr="00742D1E" w:rsidRDefault="001D78E0" w:rsidP="001D78E0">
            <w:pPr>
              <w:jc w:val="center"/>
              <w:rPr>
                <w:iCs/>
                <w:sz w:val="20"/>
                <w:szCs w:val="20"/>
              </w:rPr>
            </w:pPr>
            <w:r w:rsidRPr="007E5CF8">
              <w:rPr>
                <w:iCs/>
                <w:sz w:val="20"/>
                <w:szCs w:val="20"/>
              </w:rPr>
              <w:t>4.2.</w:t>
            </w:r>
          </w:p>
        </w:tc>
        <w:tc>
          <w:tcPr>
            <w:tcW w:w="5107" w:type="dxa"/>
            <w:shd w:val="clear" w:color="auto" w:fill="FFFFFF"/>
            <w:tcMar>
              <w:top w:w="15" w:type="dxa"/>
              <w:left w:w="47" w:type="dxa"/>
              <w:bottom w:w="0" w:type="dxa"/>
              <w:right w:w="47" w:type="dxa"/>
            </w:tcMar>
            <w:vAlign w:val="center"/>
          </w:tcPr>
          <w:p w14:paraId="714B15A7" w14:textId="2B375A11" w:rsidR="001D78E0" w:rsidRPr="00742D1E" w:rsidRDefault="001D78E0" w:rsidP="001D78E0">
            <w:pPr>
              <w:rPr>
                <w:iCs/>
                <w:sz w:val="20"/>
                <w:szCs w:val="20"/>
              </w:rPr>
            </w:pPr>
            <w:r w:rsidRPr="007E5CF8">
              <w:rPr>
                <w:iCs/>
                <w:sz w:val="20"/>
                <w:szCs w:val="20"/>
              </w:rPr>
              <w:t>Ietekme uz valsts budžetu, izpildot likumos noteikto (ar nosacījumu, ka citu izdevumu pieaugums netiek kompensēts)</w:t>
            </w:r>
          </w:p>
        </w:tc>
        <w:tc>
          <w:tcPr>
            <w:tcW w:w="850" w:type="dxa"/>
            <w:shd w:val="clear" w:color="auto" w:fill="FFFFFF"/>
            <w:tcMar>
              <w:top w:w="15" w:type="dxa"/>
              <w:left w:w="47" w:type="dxa"/>
              <w:bottom w:w="0" w:type="dxa"/>
              <w:right w:w="47" w:type="dxa"/>
            </w:tcMar>
            <w:vAlign w:val="center"/>
          </w:tcPr>
          <w:p w14:paraId="688A9E0D" w14:textId="15668247" w:rsidR="001D78E0" w:rsidRPr="00742D1E" w:rsidRDefault="001D78E0" w:rsidP="001D78E0">
            <w:pPr>
              <w:jc w:val="center"/>
              <w:rPr>
                <w:iCs/>
                <w:color w:val="C00000"/>
                <w:sz w:val="20"/>
                <w:szCs w:val="20"/>
                <w:lang w:val="en-US"/>
              </w:rPr>
            </w:pPr>
            <w:r w:rsidRPr="007E5CF8">
              <w:rPr>
                <w:iCs/>
                <w:color w:val="C00000"/>
                <w:sz w:val="20"/>
                <w:szCs w:val="20"/>
                <w:lang w:val="en-US"/>
              </w:rPr>
              <w:t>-1,</w:t>
            </w:r>
            <w:r>
              <w:rPr>
                <w:iCs/>
                <w:color w:val="C00000"/>
                <w:sz w:val="20"/>
                <w:szCs w:val="20"/>
                <w:lang w:val="en-US"/>
              </w:rPr>
              <w:t>3</w:t>
            </w:r>
          </w:p>
        </w:tc>
        <w:tc>
          <w:tcPr>
            <w:tcW w:w="707" w:type="dxa"/>
            <w:shd w:val="clear" w:color="auto" w:fill="FFFFFF"/>
            <w:tcMar>
              <w:top w:w="15" w:type="dxa"/>
              <w:left w:w="47" w:type="dxa"/>
              <w:bottom w:w="0" w:type="dxa"/>
              <w:right w:w="47" w:type="dxa"/>
            </w:tcMar>
            <w:vAlign w:val="center"/>
          </w:tcPr>
          <w:p w14:paraId="28DE58A1" w14:textId="5C1D1B38" w:rsidR="001D78E0" w:rsidRPr="00742D1E" w:rsidRDefault="001D78E0" w:rsidP="001D78E0">
            <w:pPr>
              <w:jc w:val="center"/>
              <w:rPr>
                <w:iCs/>
                <w:color w:val="C00000"/>
                <w:sz w:val="20"/>
                <w:szCs w:val="20"/>
                <w:lang w:val="en-US"/>
              </w:rPr>
            </w:pPr>
            <w:r w:rsidRPr="007E5CF8">
              <w:rPr>
                <w:iCs/>
                <w:color w:val="C00000"/>
                <w:sz w:val="20"/>
                <w:szCs w:val="20"/>
                <w:lang w:val="en-US"/>
              </w:rPr>
              <w:t>-</w:t>
            </w:r>
            <w:r>
              <w:rPr>
                <w:iCs/>
                <w:color w:val="C00000"/>
                <w:sz w:val="20"/>
                <w:szCs w:val="20"/>
                <w:lang w:val="en-US"/>
              </w:rPr>
              <w:t>3,5</w:t>
            </w:r>
          </w:p>
        </w:tc>
        <w:tc>
          <w:tcPr>
            <w:tcW w:w="850" w:type="dxa"/>
            <w:shd w:val="clear" w:color="auto" w:fill="FFFFFF"/>
            <w:tcMar>
              <w:top w:w="15" w:type="dxa"/>
              <w:left w:w="47" w:type="dxa"/>
              <w:bottom w:w="0" w:type="dxa"/>
              <w:right w:w="47" w:type="dxa"/>
            </w:tcMar>
            <w:vAlign w:val="center"/>
          </w:tcPr>
          <w:p w14:paraId="74FACE49" w14:textId="5B518761" w:rsidR="001D78E0" w:rsidRPr="00742D1E" w:rsidRDefault="001D78E0" w:rsidP="001D78E0">
            <w:pPr>
              <w:jc w:val="center"/>
              <w:rPr>
                <w:iCs/>
                <w:color w:val="C00000"/>
                <w:sz w:val="20"/>
                <w:szCs w:val="20"/>
                <w:lang w:val="en-US"/>
              </w:rPr>
            </w:pPr>
            <w:r w:rsidRPr="007E5CF8">
              <w:rPr>
                <w:iCs/>
                <w:color w:val="C00000"/>
                <w:sz w:val="20"/>
                <w:szCs w:val="20"/>
                <w:lang w:val="en-US"/>
              </w:rPr>
              <w:t>-</w:t>
            </w:r>
            <w:r>
              <w:rPr>
                <w:iCs/>
                <w:color w:val="C00000"/>
                <w:sz w:val="20"/>
                <w:szCs w:val="20"/>
                <w:lang w:val="en-US"/>
              </w:rPr>
              <w:t>5</w:t>
            </w:r>
            <w:r w:rsidRPr="007E5CF8">
              <w:rPr>
                <w:iCs/>
                <w:color w:val="C00000"/>
                <w:sz w:val="20"/>
                <w:szCs w:val="20"/>
                <w:lang w:val="en-US"/>
              </w:rPr>
              <w:t>,</w:t>
            </w:r>
            <w:r>
              <w:rPr>
                <w:iCs/>
                <w:color w:val="C00000"/>
                <w:sz w:val="20"/>
                <w:szCs w:val="20"/>
                <w:lang w:val="en-US"/>
              </w:rPr>
              <w:t>9</w:t>
            </w:r>
          </w:p>
        </w:tc>
        <w:tc>
          <w:tcPr>
            <w:tcW w:w="849" w:type="dxa"/>
            <w:shd w:val="clear" w:color="auto" w:fill="FFFFFF"/>
            <w:tcMar>
              <w:top w:w="15" w:type="dxa"/>
              <w:left w:w="47" w:type="dxa"/>
              <w:bottom w:w="0" w:type="dxa"/>
              <w:right w:w="47" w:type="dxa"/>
            </w:tcMar>
            <w:vAlign w:val="center"/>
          </w:tcPr>
          <w:p w14:paraId="54C8B064" w14:textId="16AE916C" w:rsidR="001D78E0" w:rsidRPr="00742D1E" w:rsidRDefault="001D78E0" w:rsidP="001D78E0">
            <w:pPr>
              <w:jc w:val="center"/>
              <w:rPr>
                <w:iCs/>
                <w:color w:val="C00000"/>
                <w:sz w:val="20"/>
                <w:szCs w:val="20"/>
                <w:lang w:val="en-US"/>
              </w:rPr>
            </w:pPr>
            <w:r w:rsidRPr="007E5CF8">
              <w:rPr>
                <w:iCs/>
                <w:color w:val="C00000"/>
                <w:sz w:val="20"/>
                <w:szCs w:val="20"/>
                <w:lang w:val="en-US"/>
              </w:rPr>
              <w:t>-</w:t>
            </w:r>
            <w:r>
              <w:rPr>
                <w:iCs/>
                <w:color w:val="C00000"/>
                <w:sz w:val="20"/>
                <w:szCs w:val="20"/>
                <w:lang w:val="en-US"/>
              </w:rPr>
              <w:t>8</w:t>
            </w:r>
            <w:r w:rsidRPr="007E5CF8">
              <w:rPr>
                <w:iCs/>
                <w:color w:val="C00000"/>
                <w:sz w:val="20"/>
                <w:szCs w:val="20"/>
                <w:lang w:val="en-US"/>
              </w:rPr>
              <w:t>,</w:t>
            </w:r>
            <w:r>
              <w:rPr>
                <w:iCs/>
                <w:color w:val="C00000"/>
                <w:sz w:val="20"/>
                <w:szCs w:val="20"/>
                <w:lang w:val="en-US"/>
              </w:rPr>
              <w:t>5</w:t>
            </w:r>
          </w:p>
        </w:tc>
      </w:tr>
      <w:tr w:rsidR="001D78E0" w:rsidRPr="007E5CF8" w14:paraId="51D48BC9" w14:textId="77777777" w:rsidTr="00D07F6F">
        <w:trPr>
          <w:trHeight w:val="397"/>
        </w:trPr>
        <w:tc>
          <w:tcPr>
            <w:tcW w:w="704" w:type="dxa"/>
            <w:shd w:val="clear" w:color="auto" w:fill="FFFFFF"/>
            <w:tcMar>
              <w:top w:w="15" w:type="dxa"/>
              <w:left w:w="47" w:type="dxa"/>
              <w:bottom w:w="0" w:type="dxa"/>
              <w:right w:w="47" w:type="dxa"/>
            </w:tcMar>
            <w:vAlign w:val="center"/>
          </w:tcPr>
          <w:p w14:paraId="3986ED41" w14:textId="70F30574" w:rsidR="001D78E0" w:rsidRPr="00742D1E" w:rsidRDefault="001D78E0" w:rsidP="001D78E0">
            <w:pPr>
              <w:jc w:val="center"/>
              <w:rPr>
                <w:iCs/>
                <w:sz w:val="20"/>
                <w:szCs w:val="20"/>
              </w:rPr>
            </w:pPr>
            <w:r w:rsidRPr="007E5CF8">
              <w:rPr>
                <w:iCs/>
                <w:sz w:val="20"/>
                <w:szCs w:val="20"/>
              </w:rPr>
              <w:t>4.3.</w:t>
            </w:r>
          </w:p>
        </w:tc>
        <w:tc>
          <w:tcPr>
            <w:tcW w:w="5107" w:type="dxa"/>
            <w:shd w:val="clear" w:color="auto" w:fill="FFFFFF"/>
            <w:tcMar>
              <w:top w:w="15" w:type="dxa"/>
              <w:left w:w="47" w:type="dxa"/>
              <w:bottom w:w="0" w:type="dxa"/>
              <w:right w:w="47" w:type="dxa"/>
            </w:tcMar>
            <w:vAlign w:val="center"/>
          </w:tcPr>
          <w:p w14:paraId="0848B759" w14:textId="3625384B" w:rsidR="001D78E0" w:rsidRPr="00742D1E" w:rsidRDefault="001D78E0" w:rsidP="001D78E0">
            <w:pPr>
              <w:rPr>
                <w:iCs/>
                <w:sz w:val="20"/>
                <w:szCs w:val="20"/>
              </w:rPr>
            </w:pPr>
            <w:r w:rsidRPr="007E5CF8">
              <w:rPr>
                <w:iCs/>
                <w:sz w:val="20"/>
                <w:szCs w:val="20"/>
              </w:rPr>
              <w:t>Pašvaldību budžetiem neitrāla ietekme, ņemot vērā minimālās algas pieauguma ietekmi gan uz ieņēmumiem gan uz izdevumiem</w:t>
            </w:r>
          </w:p>
        </w:tc>
        <w:tc>
          <w:tcPr>
            <w:tcW w:w="850" w:type="dxa"/>
            <w:shd w:val="clear" w:color="auto" w:fill="FFFFFF"/>
            <w:tcMar>
              <w:top w:w="15" w:type="dxa"/>
              <w:left w:w="47" w:type="dxa"/>
              <w:bottom w:w="0" w:type="dxa"/>
              <w:right w:w="47" w:type="dxa"/>
            </w:tcMar>
            <w:vAlign w:val="center"/>
          </w:tcPr>
          <w:p w14:paraId="68AE97EA" w14:textId="4CED571C" w:rsidR="001D78E0" w:rsidRPr="00BE7DC4" w:rsidRDefault="001D78E0" w:rsidP="001D78E0">
            <w:pPr>
              <w:rPr>
                <w:iCs/>
                <w:sz w:val="20"/>
                <w:szCs w:val="20"/>
              </w:rPr>
            </w:pPr>
            <w:r w:rsidRPr="00BE7DC4">
              <w:rPr>
                <w:iCs/>
                <w:sz w:val="20"/>
                <w:szCs w:val="20"/>
              </w:rPr>
              <w:t> </w:t>
            </w:r>
          </w:p>
        </w:tc>
        <w:tc>
          <w:tcPr>
            <w:tcW w:w="707" w:type="dxa"/>
            <w:shd w:val="clear" w:color="auto" w:fill="FFFFFF"/>
            <w:tcMar>
              <w:top w:w="15" w:type="dxa"/>
              <w:left w:w="47" w:type="dxa"/>
              <w:bottom w:w="0" w:type="dxa"/>
              <w:right w:w="47" w:type="dxa"/>
            </w:tcMar>
            <w:vAlign w:val="center"/>
          </w:tcPr>
          <w:p w14:paraId="0D06C9E5" w14:textId="48339A0C" w:rsidR="001D78E0" w:rsidRPr="00BE7DC4" w:rsidRDefault="001D78E0" w:rsidP="001D78E0">
            <w:pPr>
              <w:rPr>
                <w:iCs/>
                <w:sz w:val="20"/>
                <w:szCs w:val="20"/>
              </w:rPr>
            </w:pPr>
            <w:r w:rsidRPr="00BE7DC4">
              <w:rPr>
                <w:iCs/>
                <w:sz w:val="20"/>
                <w:szCs w:val="20"/>
              </w:rPr>
              <w:t> </w:t>
            </w:r>
          </w:p>
        </w:tc>
        <w:tc>
          <w:tcPr>
            <w:tcW w:w="850" w:type="dxa"/>
            <w:shd w:val="clear" w:color="auto" w:fill="FFFFFF"/>
            <w:tcMar>
              <w:top w:w="15" w:type="dxa"/>
              <w:left w:w="47" w:type="dxa"/>
              <w:bottom w:w="0" w:type="dxa"/>
              <w:right w:w="47" w:type="dxa"/>
            </w:tcMar>
            <w:vAlign w:val="center"/>
          </w:tcPr>
          <w:p w14:paraId="587C2085" w14:textId="7EA9A622" w:rsidR="001D78E0" w:rsidRPr="00BE7DC4" w:rsidRDefault="001D78E0" w:rsidP="001D78E0">
            <w:pPr>
              <w:rPr>
                <w:iCs/>
                <w:sz w:val="20"/>
                <w:szCs w:val="20"/>
              </w:rPr>
            </w:pPr>
            <w:r w:rsidRPr="00BE7DC4">
              <w:rPr>
                <w:iCs/>
                <w:sz w:val="20"/>
                <w:szCs w:val="20"/>
              </w:rPr>
              <w:t> </w:t>
            </w:r>
          </w:p>
        </w:tc>
        <w:tc>
          <w:tcPr>
            <w:tcW w:w="849" w:type="dxa"/>
            <w:shd w:val="clear" w:color="auto" w:fill="FFFFFF"/>
            <w:tcMar>
              <w:top w:w="15" w:type="dxa"/>
              <w:left w:w="47" w:type="dxa"/>
              <w:bottom w:w="0" w:type="dxa"/>
              <w:right w:w="47" w:type="dxa"/>
            </w:tcMar>
            <w:vAlign w:val="center"/>
          </w:tcPr>
          <w:p w14:paraId="2CF86F5A" w14:textId="4D575625" w:rsidR="001D78E0" w:rsidRPr="00BE7DC4" w:rsidRDefault="001D78E0" w:rsidP="001D78E0">
            <w:pPr>
              <w:rPr>
                <w:iCs/>
                <w:sz w:val="20"/>
                <w:szCs w:val="20"/>
              </w:rPr>
            </w:pPr>
            <w:r w:rsidRPr="00BE7DC4">
              <w:rPr>
                <w:iCs/>
                <w:sz w:val="20"/>
                <w:szCs w:val="20"/>
              </w:rPr>
              <w:t> </w:t>
            </w:r>
          </w:p>
        </w:tc>
      </w:tr>
      <w:tr w:rsidR="002C32FD" w:rsidRPr="001D78E0" w14:paraId="1F00DDE5" w14:textId="77777777" w:rsidTr="00D07F6F">
        <w:trPr>
          <w:trHeight w:val="170"/>
        </w:trPr>
        <w:tc>
          <w:tcPr>
            <w:tcW w:w="704" w:type="dxa"/>
            <w:shd w:val="clear" w:color="auto" w:fill="FDCBEF"/>
            <w:tcMar>
              <w:top w:w="15" w:type="dxa"/>
              <w:left w:w="47" w:type="dxa"/>
              <w:bottom w:w="0" w:type="dxa"/>
              <w:right w:w="47" w:type="dxa"/>
            </w:tcMar>
            <w:vAlign w:val="center"/>
          </w:tcPr>
          <w:p w14:paraId="79587B0B" w14:textId="77777777" w:rsidR="002C32FD" w:rsidRPr="001D78E0" w:rsidRDefault="002C32FD" w:rsidP="002C32FD">
            <w:pPr>
              <w:rPr>
                <w:b/>
                <w:bCs/>
                <w:iCs/>
                <w:szCs w:val="24"/>
              </w:rPr>
            </w:pPr>
          </w:p>
        </w:tc>
        <w:tc>
          <w:tcPr>
            <w:tcW w:w="5107" w:type="dxa"/>
            <w:shd w:val="clear" w:color="auto" w:fill="FDCBEF"/>
            <w:tcMar>
              <w:top w:w="15" w:type="dxa"/>
              <w:left w:w="47" w:type="dxa"/>
              <w:bottom w:w="0" w:type="dxa"/>
              <w:right w:w="47" w:type="dxa"/>
            </w:tcMar>
            <w:vAlign w:val="center"/>
          </w:tcPr>
          <w:p w14:paraId="52753DBF" w14:textId="368C93E2" w:rsidR="002C32FD" w:rsidRPr="001D78E0" w:rsidRDefault="002C32FD" w:rsidP="002C32FD">
            <w:pPr>
              <w:rPr>
                <w:b/>
                <w:bCs/>
                <w:iCs/>
                <w:szCs w:val="24"/>
              </w:rPr>
            </w:pPr>
            <w:r w:rsidRPr="001D78E0">
              <w:rPr>
                <w:b/>
                <w:bCs/>
                <w:iCs/>
                <w:szCs w:val="24"/>
              </w:rPr>
              <w:t>KOPĀ</w:t>
            </w:r>
          </w:p>
        </w:tc>
        <w:tc>
          <w:tcPr>
            <w:tcW w:w="850" w:type="dxa"/>
            <w:shd w:val="clear" w:color="auto" w:fill="FDCBEF"/>
            <w:tcMar>
              <w:top w:w="15" w:type="dxa"/>
              <w:left w:w="47" w:type="dxa"/>
              <w:bottom w:w="0" w:type="dxa"/>
              <w:right w:w="47" w:type="dxa"/>
            </w:tcMar>
            <w:vAlign w:val="center"/>
          </w:tcPr>
          <w:p w14:paraId="76CE9FD3" w14:textId="4D5D4DEB" w:rsidR="002C32FD" w:rsidRPr="002C32FD" w:rsidRDefault="002C32FD" w:rsidP="002C32FD">
            <w:pPr>
              <w:jc w:val="center"/>
              <w:rPr>
                <w:b/>
                <w:bCs/>
                <w:iCs/>
                <w:color w:val="C00000"/>
                <w:szCs w:val="24"/>
                <w:lang w:val="en-US"/>
              </w:rPr>
            </w:pPr>
            <w:r w:rsidRPr="00735600">
              <w:rPr>
                <w:b/>
                <w:bCs/>
                <w:color w:val="C00000"/>
                <w:szCs w:val="24"/>
              </w:rPr>
              <w:t>-7,7</w:t>
            </w:r>
          </w:p>
        </w:tc>
        <w:tc>
          <w:tcPr>
            <w:tcW w:w="707" w:type="dxa"/>
            <w:shd w:val="clear" w:color="auto" w:fill="FDCBEF"/>
            <w:tcMar>
              <w:top w:w="15" w:type="dxa"/>
              <w:left w:w="47" w:type="dxa"/>
              <w:bottom w:w="0" w:type="dxa"/>
              <w:right w:w="47" w:type="dxa"/>
            </w:tcMar>
            <w:vAlign w:val="center"/>
          </w:tcPr>
          <w:p w14:paraId="6FD660E1" w14:textId="0F8311DB" w:rsidR="002C32FD" w:rsidRPr="002C32FD" w:rsidRDefault="002C32FD" w:rsidP="002C32FD">
            <w:pPr>
              <w:jc w:val="center"/>
              <w:rPr>
                <w:b/>
                <w:bCs/>
                <w:iCs/>
                <w:color w:val="C00000"/>
                <w:szCs w:val="24"/>
                <w:lang w:val="en-US"/>
              </w:rPr>
            </w:pPr>
            <w:r w:rsidRPr="002C32FD">
              <w:rPr>
                <w:b/>
                <w:bCs/>
                <w:color w:val="00B050"/>
                <w:szCs w:val="24"/>
              </w:rPr>
              <w:t>23,6</w:t>
            </w:r>
          </w:p>
        </w:tc>
        <w:tc>
          <w:tcPr>
            <w:tcW w:w="850" w:type="dxa"/>
            <w:shd w:val="clear" w:color="auto" w:fill="FDCBEF"/>
            <w:tcMar>
              <w:top w:w="15" w:type="dxa"/>
              <w:left w:w="47" w:type="dxa"/>
              <w:bottom w:w="0" w:type="dxa"/>
              <w:right w:w="47" w:type="dxa"/>
            </w:tcMar>
            <w:vAlign w:val="center"/>
          </w:tcPr>
          <w:p w14:paraId="0E4F8211" w14:textId="3250BE19" w:rsidR="002C32FD" w:rsidRPr="00735600" w:rsidRDefault="002C32FD" w:rsidP="002C32FD">
            <w:pPr>
              <w:jc w:val="center"/>
              <w:rPr>
                <w:b/>
                <w:bCs/>
                <w:iCs/>
                <w:color w:val="C00000"/>
                <w:szCs w:val="24"/>
                <w:lang w:val="en-US"/>
              </w:rPr>
            </w:pPr>
            <w:r w:rsidRPr="00735600">
              <w:rPr>
                <w:b/>
                <w:bCs/>
                <w:color w:val="C00000"/>
                <w:szCs w:val="24"/>
              </w:rPr>
              <w:t>-13,0</w:t>
            </w:r>
          </w:p>
        </w:tc>
        <w:tc>
          <w:tcPr>
            <w:tcW w:w="849" w:type="dxa"/>
            <w:shd w:val="clear" w:color="auto" w:fill="FDCBEF"/>
            <w:tcMar>
              <w:top w:w="15" w:type="dxa"/>
              <w:left w:w="47" w:type="dxa"/>
              <w:bottom w:w="0" w:type="dxa"/>
              <w:right w:w="47" w:type="dxa"/>
            </w:tcMar>
            <w:vAlign w:val="center"/>
          </w:tcPr>
          <w:p w14:paraId="1B3D7010" w14:textId="5E99A01E" w:rsidR="002C32FD" w:rsidRPr="00735600" w:rsidRDefault="002C32FD" w:rsidP="002C32FD">
            <w:pPr>
              <w:jc w:val="center"/>
              <w:rPr>
                <w:b/>
                <w:bCs/>
                <w:iCs/>
                <w:color w:val="C00000"/>
                <w:szCs w:val="24"/>
                <w:lang w:val="en-US"/>
              </w:rPr>
            </w:pPr>
            <w:r w:rsidRPr="00735600">
              <w:rPr>
                <w:b/>
                <w:bCs/>
                <w:color w:val="C00000"/>
                <w:szCs w:val="24"/>
              </w:rPr>
              <w:t>-14,2</w:t>
            </w:r>
          </w:p>
        </w:tc>
      </w:tr>
      <w:tr w:rsidR="002C32FD" w:rsidRPr="00742D1E" w14:paraId="01D4B4DC" w14:textId="77777777" w:rsidTr="00D07F6F">
        <w:trPr>
          <w:trHeight w:val="170"/>
        </w:trPr>
        <w:tc>
          <w:tcPr>
            <w:tcW w:w="704" w:type="dxa"/>
            <w:shd w:val="clear" w:color="auto" w:fill="FFFFFF"/>
            <w:tcMar>
              <w:top w:w="15" w:type="dxa"/>
              <w:left w:w="47" w:type="dxa"/>
              <w:bottom w:w="0" w:type="dxa"/>
              <w:right w:w="47" w:type="dxa"/>
            </w:tcMar>
            <w:vAlign w:val="center"/>
          </w:tcPr>
          <w:p w14:paraId="39DB80DE" w14:textId="77777777" w:rsidR="002C32FD" w:rsidRPr="00742D1E" w:rsidRDefault="002C32FD" w:rsidP="002C32FD">
            <w:pPr>
              <w:rPr>
                <w:b/>
                <w:bCs/>
                <w:i/>
                <w:sz w:val="18"/>
                <w:szCs w:val="18"/>
              </w:rPr>
            </w:pPr>
          </w:p>
        </w:tc>
        <w:tc>
          <w:tcPr>
            <w:tcW w:w="5107" w:type="dxa"/>
            <w:shd w:val="clear" w:color="auto" w:fill="FFFFFF"/>
            <w:tcMar>
              <w:top w:w="15" w:type="dxa"/>
              <w:left w:w="47" w:type="dxa"/>
              <w:bottom w:w="0" w:type="dxa"/>
              <w:right w:w="47" w:type="dxa"/>
            </w:tcMar>
            <w:vAlign w:val="center"/>
          </w:tcPr>
          <w:p w14:paraId="34EB9FFD" w14:textId="7C77B16F" w:rsidR="002C32FD" w:rsidRPr="00742D1E" w:rsidRDefault="002C32FD" w:rsidP="002C32FD">
            <w:pPr>
              <w:rPr>
                <w:i/>
                <w:sz w:val="18"/>
                <w:szCs w:val="18"/>
              </w:rPr>
            </w:pPr>
            <w:r w:rsidRPr="007E5CF8">
              <w:rPr>
                <w:i/>
                <w:sz w:val="18"/>
                <w:szCs w:val="18"/>
              </w:rPr>
              <w:t>Valsts pamatbudžetā</w:t>
            </w:r>
          </w:p>
        </w:tc>
        <w:tc>
          <w:tcPr>
            <w:tcW w:w="850" w:type="dxa"/>
            <w:shd w:val="clear" w:color="auto" w:fill="FFFFFF"/>
            <w:tcMar>
              <w:top w:w="15" w:type="dxa"/>
              <w:left w:w="47" w:type="dxa"/>
              <w:bottom w:w="0" w:type="dxa"/>
              <w:right w:w="47" w:type="dxa"/>
            </w:tcMar>
            <w:vAlign w:val="center"/>
          </w:tcPr>
          <w:p w14:paraId="4E65707F" w14:textId="2CC68E78" w:rsidR="002C32FD" w:rsidRPr="002C32FD" w:rsidRDefault="002C32FD" w:rsidP="002C32FD">
            <w:pPr>
              <w:jc w:val="center"/>
              <w:rPr>
                <w:i/>
                <w:iCs/>
                <w:color w:val="00B050"/>
                <w:sz w:val="18"/>
                <w:szCs w:val="16"/>
              </w:rPr>
            </w:pPr>
            <w:r w:rsidRPr="002C32FD">
              <w:rPr>
                <w:i/>
                <w:iCs/>
                <w:color w:val="00B050"/>
                <w:sz w:val="18"/>
                <w:szCs w:val="16"/>
              </w:rPr>
              <w:t>47,0</w:t>
            </w:r>
          </w:p>
        </w:tc>
        <w:tc>
          <w:tcPr>
            <w:tcW w:w="707" w:type="dxa"/>
            <w:shd w:val="clear" w:color="auto" w:fill="FFFFFF"/>
            <w:tcMar>
              <w:top w:w="15" w:type="dxa"/>
              <w:left w:w="47" w:type="dxa"/>
              <w:bottom w:w="0" w:type="dxa"/>
              <w:right w:w="47" w:type="dxa"/>
            </w:tcMar>
            <w:vAlign w:val="center"/>
          </w:tcPr>
          <w:p w14:paraId="24998BD5" w14:textId="58545195" w:rsidR="002C32FD" w:rsidRPr="002C32FD" w:rsidRDefault="002C32FD" w:rsidP="002C32FD">
            <w:pPr>
              <w:jc w:val="center"/>
              <w:rPr>
                <w:i/>
                <w:iCs/>
                <w:color w:val="00B050"/>
                <w:sz w:val="18"/>
                <w:szCs w:val="16"/>
              </w:rPr>
            </w:pPr>
            <w:r w:rsidRPr="002C32FD">
              <w:rPr>
                <w:i/>
                <w:iCs/>
                <w:color w:val="00B050"/>
                <w:sz w:val="18"/>
                <w:szCs w:val="16"/>
              </w:rPr>
              <w:t>69,9</w:t>
            </w:r>
          </w:p>
        </w:tc>
        <w:tc>
          <w:tcPr>
            <w:tcW w:w="850" w:type="dxa"/>
            <w:shd w:val="clear" w:color="auto" w:fill="FFFFFF"/>
            <w:tcMar>
              <w:top w:w="15" w:type="dxa"/>
              <w:left w:w="47" w:type="dxa"/>
              <w:bottom w:w="0" w:type="dxa"/>
              <w:right w:w="47" w:type="dxa"/>
            </w:tcMar>
            <w:vAlign w:val="center"/>
          </w:tcPr>
          <w:p w14:paraId="31964019" w14:textId="35CA9F9D" w:rsidR="002C32FD" w:rsidRPr="002C32FD" w:rsidRDefault="002C32FD" w:rsidP="002C32FD">
            <w:pPr>
              <w:jc w:val="center"/>
              <w:rPr>
                <w:i/>
                <w:iCs/>
                <w:color w:val="00B050"/>
                <w:sz w:val="18"/>
                <w:szCs w:val="16"/>
              </w:rPr>
            </w:pPr>
            <w:r w:rsidRPr="002C32FD">
              <w:rPr>
                <w:i/>
                <w:iCs/>
                <w:color w:val="00B050"/>
                <w:sz w:val="18"/>
                <w:szCs w:val="16"/>
              </w:rPr>
              <w:t>46,9</w:t>
            </w:r>
          </w:p>
        </w:tc>
        <w:tc>
          <w:tcPr>
            <w:tcW w:w="849" w:type="dxa"/>
            <w:shd w:val="clear" w:color="auto" w:fill="FFFFFF"/>
            <w:tcMar>
              <w:top w:w="15" w:type="dxa"/>
              <w:left w:w="47" w:type="dxa"/>
              <w:bottom w:w="0" w:type="dxa"/>
              <w:right w:w="47" w:type="dxa"/>
            </w:tcMar>
            <w:vAlign w:val="center"/>
          </w:tcPr>
          <w:p w14:paraId="6C25D120" w14:textId="395A25C0" w:rsidR="002C32FD" w:rsidRPr="002C32FD" w:rsidRDefault="002C32FD" w:rsidP="002C32FD">
            <w:pPr>
              <w:jc w:val="center"/>
              <w:rPr>
                <w:i/>
                <w:iCs/>
                <w:color w:val="00B050"/>
                <w:sz w:val="18"/>
                <w:szCs w:val="16"/>
              </w:rPr>
            </w:pPr>
            <w:r w:rsidRPr="002C32FD">
              <w:rPr>
                <w:i/>
                <w:iCs/>
                <w:color w:val="00B050"/>
                <w:sz w:val="18"/>
                <w:szCs w:val="16"/>
              </w:rPr>
              <w:t>37,9</w:t>
            </w:r>
          </w:p>
        </w:tc>
      </w:tr>
      <w:tr w:rsidR="002C32FD" w:rsidRPr="00742D1E" w14:paraId="08B137D3" w14:textId="77777777" w:rsidTr="00D07F6F">
        <w:trPr>
          <w:trHeight w:val="170"/>
        </w:trPr>
        <w:tc>
          <w:tcPr>
            <w:tcW w:w="704" w:type="dxa"/>
            <w:shd w:val="clear" w:color="auto" w:fill="FFFFFF"/>
            <w:tcMar>
              <w:top w:w="15" w:type="dxa"/>
              <w:left w:w="47" w:type="dxa"/>
              <w:bottom w:w="0" w:type="dxa"/>
              <w:right w:w="47" w:type="dxa"/>
            </w:tcMar>
            <w:vAlign w:val="center"/>
          </w:tcPr>
          <w:p w14:paraId="763C1C14" w14:textId="77777777" w:rsidR="002C32FD" w:rsidRPr="00742D1E" w:rsidRDefault="002C32FD" w:rsidP="002C32FD">
            <w:pPr>
              <w:rPr>
                <w:b/>
                <w:bCs/>
                <w:i/>
                <w:sz w:val="18"/>
                <w:szCs w:val="18"/>
              </w:rPr>
            </w:pPr>
          </w:p>
        </w:tc>
        <w:tc>
          <w:tcPr>
            <w:tcW w:w="5107" w:type="dxa"/>
            <w:shd w:val="clear" w:color="auto" w:fill="FFFFFF"/>
            <w:tcMar>
              <w:top w:w="15" w:type="dxa"/>
              <w:left w:w="47" w:type="dxa"/>
              <w:bottom w:w="0" w:type="dxa"/>
              <w:right w:w="47" w:type="dxa"/>
            </w:tcMar>
            <w:vAlign w:val="center"/>
          </w:tcPr>
          <w:p w14:paraId="7B0E270B" w14:textId="6A5B0010" w:rsidR="002C32FD" w:rsidRPr="00742D1E" w:rsidRDefault="002C32FD" w:rsidP="002C32FD">
            <w:pPr>
              <w:rPr>
                <w:i/>
                <w:sz w:val="18"/>
                <w:szCs w:val="18"/>
              </w:rPr>
            </w:pPr>
            <w:r w:rsidRPr="007E5CF8">
              <w:rPr>
                <w:i/>
                <w:sz w:val="18"/>
                <w:szCs w:val="18"/>
              </w:rPr>
              <w:t>Pašvaldību budžetos</w:t>
            </w:r>
          </w:p>
        </w:tc>
        <w:tc>
          <w:tcPr>
            <w:tcW w:w="850" w:type="dxa"/>
            <w:shd w:val="clear" w:color="auto" w:fill="FFFFFF"/>
            <w:tcMar>
              <w:top w:w="15" w:type="dxa"/>
              <w:left w:w="47" w:type="dxa"/>
              <w:bottom w:w="0" w:type="dxa"/>
              <w:right w:w="47" w:type="dxa"/>
            </w:tcMar>
            <w:vAlign w:val="center"/>
          </w:tcPr>
          <w:p w14:paraId="68FCD3E5" w14:textId="5266F6D0" w:rsidR="002C32FD" w:rsidRPr="002C32FD" w:rsidRDefault="002C32FD" w:rsidP="002C32FD">
            <w:pPr>
              <w:jc w:val="center"/>
              <w:rPr>
                <w:i/>
                <w:iCs/>
                <w:color w:val="C00000"/>
                <w:sz w:val="18"/>
                <w:szCs w:val="16"/>
              </w:rPr>
            </w:pPr>
            <w:r w:rsidRPr="002C32FD">
              <w:rPr>
                <w:i/>
                <w:iCs/>
                <w:color w:val="C00000"/>
                <w:sz w:val="18"/>
                <w:szCs w:val="16"/>
              </w:rPr>
              <w:t>-149,6</w:t>
            </w:r>
          </w:p>
        </w:tc>
        <w:tc>
          <w:tcPr>
            <w:tcW w:w="707" w:type="dxa"/>
            <w:shd w:val="clear" w:color="auto" w:fill="FFFFFF"/>
            <w:tcMar>
              <w:top w:w="15" w:type="dxa"/>
              <w:left w:w="47" w:type="dxa"/>
              <w:bottom w:w="0" w:type="dxa"/>
              <w:right w:w="47" w:type="dxa"/>
            </w:tcMar>
            <w:vAlign w:val="center"/>
          </w:tcPr>
          <w:p w14:paraId="4659DE9E" w14:textId="53176F04" w:rsidR="002C32FD" w:rsidRPr="002C32FD" w:rsidRDefault="002C32FD" w:rsidP="002C32FD">
            <w:pPr>
              <w:jc w:val="center"/>
              <w:rPr>
                <w:i/>
                <w:iCs/>
                <w:color w:val="C00000"/>
                <w:sz w:val="18"/>
                <w:szCs w:val="16"/>
              </w:rPr>
            </w:pPr>
            <w:r w:rsidRPr="002C32FD">
              <w:rPr>
                <w:i/>
                <w:iCs/>
                <w:color w:val="C00000"/>
                <w:sz w:val="18"/>
                <w:szCs w:val="16"/>
              </w:rPr>
              <w:t>-210,8</w:t>
            </w:r>
          </w:p>
        </w:tc>
        <w:tc>
          <w:tcPr>
            <w:tcW w:w="850" w:type="dxa"/>
            <w:shd w:val="clear" w:color="auto" w:fill="FFFFFF"/>
            <w:tcMar>
              <w:top w:w="15" w:type="dxa"/>
              <w:left w:w="47" w:type="dxa"/>
              <w:bottom w:w="0" w:type="dxa"/>
              <w:right w:w="47" w:type="dxa"/>
            </w:tcMar>
            <w:vAlign w:val="center"/>
          </w:tcPr>
          <w:p w14:paraId="00BE38DB" w14:textId="450AC40B" w:rsidR="002C32FD" w:rsidRPr="002C32FD" w:rsidRDefault="002C32FD" w:rsidP="002C32FD">
            <w:pPr>
              <w:jc w:val="center"/>
              <w:rPr>
                <w:i/>
                <w:iCs/>
                <w:color w:val="C00000"/>
                <w:sz w:val="18"/>
                <w:szCs w:val="16"/>
              </w:rPr>
            </w:pPr>
            <w:r w:rsidRPr="002C32FD">
              <w:rPr>
                <w:i/>
                <w:iCs/>
                <w:color w:val="C00000"/>
                <w:sz w:val="18"/>
                <w:szCs w:val="16"/>
              </w:rPr>
              <w:t>-236,2</w:t>
            </w:r>
          </w:p>
        </w:tc>
        <w:tc>
          <w:tcPr>
            <w:tcW w:w="849" w:type="dxa"/>
            <w:shd w:val="clear" w:color="auto" w:fill="FFFFFF"/>
            <w:tcMar>
              <w:top w:w="15" w:type="dxa"/>
              <w:left w:w="47" w:type="dxa"/>
              <w:bottom w:w="0" w:type="dxa"/>
              <w:right w:w="47" w:type="dxa"/>
            </w:tcMar>
            <w:vAlign w:val="center"/>
          </w:tcPr>
          <w:p w14:paraId="1C97DACA" w14:textId="490FC0CC" w:rsidR="002C32FD" w:rsidRPr="002C32FD" w:rsidRDefault="002C32FD" w:rsidP="002C32FD">
            <w:pPr>
              <w:jc w:val="center"/>
              <w:rPr>
                <w:i/>
                <w:iCs/>
                <w:color w:val="C00000"/>
                <w:sz w:val="18"/>
                <w:szCs w:val="16"/>
              </w:rPr>
            </w:pPr>
            <w:r w:rsidRPr="002C32FD">
              <w:rPr>
                <w:i/>
                <w:iCs/>
                <w:color w:val="C00000"/>
                <w:sz w:val="18"/>
                <w:szCs w:val="16"/>
              </w:rPr>
              <w:t>-238,5</w:t>
            </w:r>
          </w:p>
        </w:tc>
      </w:tr>
      <w:tr w:rsidR="002C32FD" w:rsidRPr="00742D1E" w14:paraId="60FB1287" w14:textId="77777777" w:rsidTr="00D07F6F">
        <w:trPr>
          <w:trHeight w:val="170"/>
        </w:trPr>
        <w:tc>
          <w:tcPr>
            <w:tcW w:w="704" w:type="dxa"/>
            <w:shd w:val="clear" w:color="auto" w:fill="FFFFFF"/>
            <w:tcMar>
              <w:top w:w="15" w:type="dxa"/>
              <w:left w:w="47" w:type="dxa"/>
              <w:bottom w:w="0" w:type="dxa"/>
              <w:right w:w="47" w:type="dxa"/>
            </w:tcMar>
            <w:vAlign w:val="center"/>
          </w:tcPr>
          <w:p w14:paraId="314F1144" w14:textId="77777777" w:rsidR="002C32FD" w:rsidRPr="00742D1E" w:rsidRDefault="002C32FD" w:rsidP="002C32FD">
            <w:pPr>
              <w:rPr>
                <w:b/>
                <w:bCs/>
                <w:i/>
                <w:sz w:val="18"/>
                <w:szCs w:val="18"/>
              </w:rPr>
            </w:pPr>
          </w:p>
        </w:tc>
        <w:tc>
          <w:tcPr>
            <w:tcW w:w="5107" w:type="dxa"/>
            <w:shd w:val="clear" w:color="auto" w:fill="FFFFFF"/>
            <w:tcMar>
              <w:top w:w="15" w:type="dxa"/>
              <w:left w:w="47" w:type="dxa"/>
              <w:bottom w:w="0" w:type="dxa"/>
              <w:right w:w="47" w:type="dxa"/>
            </w:tcMar>
            <w:vAlign w:val="center"/>
          </w:tcPr>
          <w:p w14:paraId="41562483" w14:textId="3F1A1FBF" w:rsidR="002C32FD" w:rsidRPr="00742D1E" w:rsidRDefault="002C32FD" w:rsidP="002C32FD">
            <w:pPr>
              <w:rPr>
                <w:i/>
                <w:sz w:val="18"/>
                <w:szCs w:val="18"/>
              </w:rPr>
            </w:pPr>
            <w:r w:rsidRPr="007E5CF8">
              <w:rPr>
                <w:i/>
                <w:sz w:val="18"/>
                <w:szCs w:val="18"/>
              </w:rPr>
              <w:t>Speciālajā budžetā</w:t>
            </w:r>
          </w:p>
        </w:tc>
        <w:tc>
          <w:tcPr>
            <w:tcW w:w="850" w:type="dxa"/>
            <w:shd w:val="clear" w:color="auto" w:fill="FFFFFF"/>
            <w:tcMar>
              <w:top w:w="15" w:type="dxa"/>
              <w:left w:w="47" w:type="dxa"/>
              <w:bottom w:w="0" w:type="dxa"/>
              <w:right w:w="47" w:type="dxa"/>
            </w:tcMar>
            <w:vAlign w:val="center"/>
          </w:tcPr>
          <w:p w14:paraId="20C38205" w14:textId="7C64340A" w:rsidR="002C32FD" w:rsidRPr="002C32FD" w:rsidRDefault="002C32FD" w:rsidP="002C32FD">
            <w:pPr>
              <w:jc w:val="center"/>
              <w:rPr>
                <w:i/>
                <w:color w:val="00B050"/>
                <w:sz w:val="18"/>
                <w:szCs w:val="16"/>
                <w:lang w:val="en-US"/>
              </w:rPr>
            </w:pPr>
            <w:r w:rsidRPr="002C32FD">
              <w:rPr>
                <w:i/>
                <w:iCs/>
                <w:color w:val="00B050"/>
                <w:sz w:val="18"/>
                <w:szCs w:val="16"/>
              </w:rPr>
              <w:t>96,3</w:t>
            </w:r>
          </w:p>
        </w:tc>
        <w:tc>
          <w:tcPr>
            <w:tcW w:w="707" w:type="dxa"/>
            <w:shd w:val="clear" w:color="auto" w:fill="FFFFFF"/>
            <w:tcMar>
              <w:top w:w="15" w:type="dxa"/>
              <w:left w:w="47" w:type="dxa"/>
              <w:bottom w:w="0" w:type="dxa"/>
              <w:right w:w="47" w:type="dxa"/>
            </w:tcMar>
            <w:vAlign w:val="center"/>
          </w:tcPr>
          <w:p w14:paraId="075FB7C9" w14:textId="2B2D4CFC" w:rsidR="002C32FD" w:rsidRPr="002C32FD" w:rsidRDefault="002C32FD" w:rsidP="002C32FD">
            <w:pPr>
              <w:jc w:val="center"/>
              <w:rPr>
                <w:i/>
                <w:color w:val="00B050"/>
                <w:sz w:val="18"/>
                <w:szCs w:val="16"/>
                <w:lang w:val="en-US"/>
              </w:rPr>
            </w:pPr>
            <w:r w:rsidRPr="002C32FD">
              <w:rPr>
                <w:i/>
                <w:iCs/>
                <w:color w:val="00B050"/>
                <w:sz w:val="18"/>
                <w:szCs w:val="16"/>
              </w:rPr>
              <w:t>168,0</w:t>
            </w:r>
          </w:p>
        </w:tc>
        <w:tc>
          <w:tcPr>
            <w:tcW w:w="850" w:type="dxa"/>
            <w:shd w:val="clear" w:color="auto" w:fill="FFFFFF"/>
            <w:tcMar>
              <w:top w:w="15" w:type="dxa"/>
              <w:left w:w="47" w:type="dxa"/>
              <w:bottom w:w="0" w:type="dxa"/>
              <w:right w:w="47" w:type="dxa"/>
            </w:tcMar>
            <w:vAlign w:val="center"/>
          </w:tcPr>
          <w:p w14:paraId="7E1A55CF" w14:textId="03EF2203" w:rsidR="002C32FD" w:rsidRPr="002C32FD" w:rsidRDefault="002C32FD" w:rsidP="002C32FD">
            <w:pPr>
              <w:jc w:val="center"/>
              <w:rPr>
                <w:i/>
                <w:color w:val="00B050"/>
                <w:sz w:val="18"/>
                <w:szCs w:val="16"/>
                <w:lang w:val="en-US"/>
              </w:rPr>
            </w:pPr>
            <w:r w:rsidRPr="002C32FD">
              <w:rPr>
                <w:i/>
                <w:iCs/>
                <w:color w:val="00B050"/>
                <w:sz w:val="18"/>
                <w:szCs w:val="16"/>
              </w:rPr>
              <w:t>182,2</w:t>
            </w:r>
          </w:p>
        </w:tc>
        <w:tc>
          <w:tcPr>
            <w:tcW w:w="849" w:type="dxa"/>
            <w:shd w:val="clear" w:color="auto" w:fill="FFFFFF"/>
            <w:tcMar>
              <w:top w:w="15" w:type="dxa"/>
              <w:left w:w="47" w:type="dxa"/>
              <w:bottom w:w="0" w:type="dxa"/>
              <w:right w:w="47" w:type="dxa"/>
            </w:tcMar>
            <w:vAlign w:val="center"/>
          </w:tcPr>
          <w:p w14:paraId="535AE474" w14:textId="07F884FD" w:rsidR="002C32FD" w:rsidRPr="002C32FD" w:rsidRDefault="002C32FD" w:rsidP="002C32FD">
            <w:pPr>
              <w:jc w:val="center"/>
              <w:rPr>
                <w:i/>
                <w:color w:val="00B050"/>
                <w:sz w:val="18"/>
                <w:szCs w:val="16"/>
                <w:lang w:val="en-US"/>
              </w:rPr>
            </w:pPr>
            <w:r w:rsidRPr="002C32FD">
              <w:rPr>
                <w:i/>
                <w:iCs/>
                <w:color w:val="00B050"/>
                <w:sz w:val="18"/>
                <w:szCs w:val="16"/>
              </w:rPr>
              <w:t>195,0</w:t>
            </w:r>
          </w:p>
        </w:tc>
      </w:tr>
      <w:tr w:rsidR="00465953" w:rsidRPr="00742D1E" w14:paraId="4B7D0530" w14:textId="77777777" w:rsidTr="00D07F6F">
        <w:trPr>
          <w:trHeight w:val="113"/>
        </w:trPr>
        <w:tc>
          <w:tcPr>
            <w:tcW w:w="704" w:type="dxa"/>
            <w:shd w:val="clear" w:color="auto" w:fill="FFFFFF"/>
            <w:tcMar>
              <w:top w:w="15" w:type="dxa"/>
              <w:left w:w="47" w:type="dxa"/>
              <w:bottom w:w="0" w:type="dxa"/>
              <w:right w:w="47" w:type="dxa"/>
            </w:tcMar>
            <w:vAlign w:val="center"/>
          </w:tcPr>
          <w:p w14:paraId="4A84616A" w14:textId="77777777" w:rsidR="00465953" w:rsidRPr="00742D1E" w:rsidRDefault="00465953" w:rsidP="00465953">
            <w:pPr>
              <w:rPr>
                <w:b/>
                <w:bCs/>
                <w:i/>
                <w:sz w:val="18"/>
                <w:szCs w:val="18"/>
              </w:rPr>
            </w:pPr>
          </w:p>
        </w:tc>
        <w:tc>
          <w:tcPr>
            <w:tcW w:w="5107" w:type="dxa"/>
            <w:shd w:val="clear" w:color="auto" w:fill="FFFFFF"/>
            <w:tcMar>
              <w:top w:w="15" w:type="dxa"/>
              <w:left w:w="47" w:type="dxa"/>
              <w:bottom w:w="0" w:type="dxa"/>
              <w:right w:w="47" w:type="dxa"/>
            </w:tcMar>
            <w:vAlign w:val="center"/>
          </w:tcPr>
          <w:p w14:paraId="5399FE37" w14:textId="7BA90522" w:rsidR="00465953" w:rsidRPr="00742D1E" w:rsidRDefault="00465953" w:rsidP="00465953">
            <w:pPr>
              <w:rPr>
                <w:i/>
                <w:sz w:val="18"/>
                <w:szCs w:val="18"/>
              </w:rPr>
            </w:pPr>
            <w:r w:rsidRPr="007E5CF8">
              <w:rPr>
                <w:i/>
                <w:sz w:val="18"/>
                <w:szCs w:val="18"/>
              </w:rPr>
              <w:t>Ietekme uz valsts budžetu, izpildot likumos noteikto</w:t>
            </w:r>
          </w:p>
        </w:tc>
        <w:tc>
          <w:tcPr>
            <w:tcW w:w="850" w:type="dxa"/>
            <w:shd w:val="clear" w:color="auto" w:fill="FFFFFF"/>
            <w:tcMar>
              <w:top w:w="15" w:type="dxa"/>
              <w:left w:w="47" w:type="dxa"/>
              <w:bottom w:w="0" w:type="dxa"/>
              <w:right w:w="47" w:type="dxa"/>
            </w:tcMar>
            <w:vAlign w:val="center"/>
          </w:tcPr>
          <w:p w14:paraId="55BA7499" w14:textId="0092BB40" w:rsidR="00465953" w:rsidRPr="00465953" w:rsidRDefault="00465953" w:rsidP="00465953">
            <w:pPr>
              <w:jc w:val="center"/>
              <w:rPr>
                <w:i/>
                <w:color w:val="C00000"/>
                <w:sz w:val="18"/>
                <w:szCs w:val="18"/>
                <w:lang w:val="en-US"/>
              </w:rPr>
            </w:pPr>
            <w:r w:rsidRPr="00465953">
              <w:rPr>
                <w:i/>
                <w:iCs/>
                <w:color w:val="C00000"/>
                <w:sz w:val="18"/>
                <w:szCs w:val="18"/>
              </w:rPr>
              <w:t>-1,3</w:t>
            </w:r>
          </w:p>
        </w:tc>
        <w:tc>
          <w:tcPr>
            <w:tcW w:w="707" w:type="dxa"/>
            <w:shd w:val="clear" w:color="auto" w:fill="FFFFFF"/>
            <w:tcMar>
              <w:top w:w="15" w:type="dxa"/>
              <w:left w:w="47" w:type="dxa"/>
              <w:bottom w:w="0" w:type="dxa"/>
              <w:right w:w="47" w:type="dxa"/>
            </w:tcMar>
            <w:vAlign w:val="center"/>
          </w:tcPr>
          <w:p w14:paraId="6D17EBA5" w14:textId="0F365297" w:rsidR="00465953" w:rsidRPr="00465953" w:rsidRDefault="00465953" w:rsidP="00465953">
            <w:pPr>
              <w:jc w:val="center"/>
              <w:rPr>
                <w:i/>
                <w:color w:val="C00000"/>
                <w:sz w:val="18"/>
                <w:szCs w:val="18"/>
                <w:lang w:val="en-US"/>
              </w:rPr>
            </w:pPr>
            <w:r w:rsidRPr="00465953">
              <w:rPr>
                <w:i/>
                <w:iCs/>
                <w:color w:val="C00000"/>
                <w:sz w:val="18"/>
                <w:szCs w:val="18"/>
              </w:rPr>
              <w:t>-3,5</w:t>
            </w:r>
          </w:p>
        </w:tc>
        <w:tc>
          <w:tcPr>
            <w:tcW w:w="850" w:type="dxa"/>
            <w:shd w:val="clear" w:color="auto" w:fill="FFFFFF"/>
            <w:tcMar>
              <w:top w:w="15" w:type="dxa"/>
              <w:left w:w="47" w:type="dxa"/>
              <w:bottom w:w="0" w:type="dxa"/>
              <w:right w:w="47" w:type="dxa"/>
            </w:tcMar>
            <w:vAlign w:val="center"/>
          </w:tcPr>
          <w:p w14:paraId="49B7FF85" w14:textId="6F5C8733" w:rsidR="00465953" w:rsidRPr="00465953" w:rsidRDefault="00465953" w:rsidP="00465953">
            <w:pPr>
              <w:jc w:val="center"/>
              <w:rPr>
                <w:i/>
                <w:color w:val="C00000"/>
                <w:sz w:val="18"/>
                <w:szCs w:val="18"/>
                <w:lang w:val="en-US"/>
              </w:rPr>
            </w:pPr>
            <w:r w:rsidRPr="00465953">
              <w:rPr>
                <w:i/>
                <w:iCs/>
                <w:color w:val="C00000"/>
                <w:sz w:val="18"/>
                <w:szCs w:val="18"/>
              </w:rPr>
              <w:t>-5,9</w:t>
            </w:r>
          </w:p>
        </w:tc>
        <w:tc>
          <w:tcPr>
            <w:tcW w:w="849" w:type="dxa"/>
            <w:shd w:val="clear" w:color="auto" w:fill="FFFFFF"/>
            <w:tcMar>
              <w:top w:w="15" w:type="dxa"/>
              <w:left w:w="47" w:type="dxa"/>
              <w:bottom w:w="0" w:type="dxa"/>
              <w:right w:w="47" w:type="dxa"/>
            </w:tcMar>
            <w:vAlign w:val="center"/>
          </w:tcPr>
          <w:p w14:paraId="32D25E6B" w14:textId="7889CF36" w:rsidR="00465953" w:rsidRPr="00465953" w:rsidRDefault="00465953" w:rsidP="00465953">
            <w:pPr>
              <w:jc w:val="center"/>
              <w:rPr>
                <w:i/>
                <w:color w:val="C00000"/>
                <w:sz w:val="18"/>
                <w:szCs w:val="18"/>
                <w:lang w:val="en-US"/>
              </w:rPr>
            </w:pPr>
            <w:r w:rsidRPr="00465953">
              <w:rPr>
                <w:i/>
                <w:iCs/>
                <w:color w:val="C00000"/>
                <w:sz w:val="18"/>
                <w:szCs w:val="18"/>
              </w:rPr>
              <w:t>-8,5</w:t>
            </w:r>
          </w:p>
        </w:tc>
      </w:tr>
      <w:tr w:rsidR="001D78E0" w:rsidRPr="00742D1E" w14:paraId="69B2C2CE" w14:textId="77777777" w:rsidTr="00D07F6F">
        <w:trPr>
          <w:trHeight w:val="283"/>
        </w:trPr>
        <w:tc>
          <w:tcPr>
            <w:tcW w:w="704" w:type="dxa"/>
            <w:shd w:val="clear" w:color="auto" w:fill="FFFFFF"/>
            <w:tcMar>
              <w:top w:w="15" w:type="dxa"/>
              <w:left w:w="47" w:type="dxa"/>
              <w:bottom w:w="0" w:type="dxa"/>
              <w:right w:w="47" w:type="dxa"/>
            </w:tcMar>
            <w:vAlign w:val="center"/>
          </w:tcPr>
          <w:p w14:paraId="32E7A43F" w14:textId="77777777" w:rsidR="001D78E0" w:rsidRPr="00742D1E" w:rsidRDefault="001D78E0" w:rsidP="001D78E0">
            <w:pPr>
              <w:rPr>
                <w:b/>
                <w:bCs/>
                <w:i/>
                <w:sz w:val="18"/>
                <w:szCs w:val="18"/>
              </w:rPr>
            </w:pPr>
          </w:p>
        </w:tc>
        <w:tc>
          <w:tcPr>
            <w:tcW w:w="5107" w:type="dxa"/>
            <w:shd w:val="clear" w:color="auto" w:fill="FFFFFF"/>
            <w:tcMar>
              <w:top w:w="15" w:type="dxa"/>
              <w:left w:w="47" w:type="dxa"/>
              <w:bottom w:w="0" w:type="dxa"/>
              <w:right w:w="47" w:type="dxa"/>
            </w:tcMar>
            <w:vAlign w:val="center"/>
          </w:tcPr>
          <w:p w14:paraId="7B94CF23" w14:textId="37A4D03C" w:rsidR="001D78E0" w:rsidRPr="00742D1E" w:rsidRDefault="001D78E0" w:rsidP="001D78E0">
            <w:pPr>
              <w:rPr>
                <w:i/>
                <w:sz w:val="18"/>
                <w:szCs w:val="18"/>
              </w:rPr>
            </w:pPr>
            <w:r w:rsidRPr="007E5CF8">
              <w:rPr>
                <w:i/>
                <w:sz w:val="18"/>
                <w:szCs w:val="18"/>
              </w:rPr>
              <w:t xml:space="preserve">Informatīvi: valsts fondēto pensiju shēmā (no </w:t>
            </w:r>
            <w:r w:rsidR="002D73B1">
              <w:rPr>
                <w:i/>
                <w:sz w:val="18"/>
                <w:szCs w:val="18"/>
              </w:rPr>
              <w:t>1</w:t>
            </w:r>
            <w:r w:rsidR="002D73B1" w:rsidRPr="007E5CF8">
              <w:rPr>
                <w:i/>
                <w:sz w:val="18"/>
                <w:szCs w:val="18"/>
              </w:rPr>
              <w:t xml:space="preserve">pp </w:t>
            </w:r>
            <w:r w:rsidRPr="007E5CF8">
              <w:rPr>
                <w:i/>
                <w:sz w:val="18"/>
                <w:szCs w:val="18"/>
              </w:rPr>
              <w:t>pārvirzīšanas)</w:t>
            </w:r>
          </w:p>
        </w:tc>
        <w:tc>
          <w:tcPr>
            <w:tcW w:w="850" w:type="dxa"/>
            <w:shd w:val="clear" w:color="auto" w:fill="FFFFFF"/>
            <w:tcMar>
              <w:top w:w="15" w:type="dxa"/>
              <w:left w:w="47" w:type="dxa"/>
              <w:bottom w:w="0" w:type="dxa"/>
              <w:right w:w="47" w:type="dxa"/>
            </w:tcMar>
            <w:vAlign w:val="center"/>
          </w:tcPr>
          <w:p w14:paraId="16DB7225" w14:textId="0F06F663" w:rsidR="001D78E0" w:rsidRPr="00041FEC" w:rsidRDefault="001D78E0" w:rsidP="001D78E0">
            <w:pPr>
              <w:jc w:val="center"/>
              <w:rPr>
                <w:i/>
                <w:color w:val="C00000"/>
                <w:sz w:val="18"/>
                <w:szCs w:val="18"/>
                <w:lang w:val="en-US"/>
              </w:rPr>
            </w:pPr>
            <w:r w:rsidRPr="00041FEC">
              <w:rPr>
                <w:i/>
                <w:iCs/>
                <w:color w:val="C00000"/>
                <w:sz w:val="18"/>
                <w:szCs w:val="18"/>
              </w:rPr>
              <w:t>-104,0</w:t>
            </w:r>
          </w:p>
        </w:tc>
        <w:tc>
          <w:tcPr>
            <w:tcW w:w="707" w:type="dxa"/>
            <w:shd w:val="clear" w:color="auto" w:fill="FFFFFF"/>
            <w:tcMar>
              <w:top w:w="15" w:type="dxa"/>
              <w:left w:w="47" w:type="dxa"/>
              <w:bottom w:w="0" w:type="dxa"/>
              <w:right w:w="47" w:type="dxa"/>
            </w:tcMar>
            <w:vAlign w:val="center"/>
          </w:tcPr>
          <w:p w14:paraId="7BB6B5CD" w14:textId="07722A3B" w:rsidR="001D78E0" w:rsidRPr="00041FEC" w:rsidRDefault="001D78E0" w:rsidP="001D78E0">
            <w:pPr>
              <w:jc w:val="center"/>
              <w:rPr>
                <w:i/>
                <w:color w:val="C00000"/>
                <w:sz w:val="18"/>
                <w:szCs w:val="18"/>
                <w:lang w:val="en-US"/>
              </w:rPr>
            </w:pPr>
            <w:r w:rsidRPr="00041FEC">
              <w:rPr>
                <w:i/>
                <w:iCs/>
                <w:color w:val="C00000"/>
                <w:sz w:val="18"/>
                <w:szCs w:val="18"/>
              </w:rPr>
              <w:t>-160,8</w:t>
            </w:r>
          </w:p>
        </w:tc>
        <w:tc>
          <w:tcPr>
            <w:tcW w:w="850" w:type="dxa"/>
            <w:shd w:val="clear" w:color="auto" w:fill="FFFFFF"/>
            <w:tcMar>
              <w:top w:w="15" w:type="dxa"/>
              <w:left w:w="47" w:type="dxa"/>
              <w:bottom w:w="0" w:type="dxa"/>
              <w:right w:w="47" w:type="dxa"/>
            </w:tcMar>
            <w:vAlign w:val="center"/>
          </w:tcPr>
          <w:p w14:paraId="2B697ACD" w14:textId="1D182D53" w:rsidR="001D78E0" w:rsidRPr="00041FEC" w:rsidRDefault="001D78E0" w:rsidP="001D78E0">
            <w:pPr>
              <w:jc w:val="center"/>
              <w:rPr>
                <w:i/>
                <w:color w:val="C00000"/>
                <w:sz w:val="18"/>
                <w:szCs w:val="18"/>
                <w:lang w:val="en-US"/>
              </w:rPr>
            </w:pPr>
            <w:r w:rsidRPr="00041FEC">
              <w:rPr>
                <w:i/>
                <w:iCs/>
                <w:color w:val="C00000"/>
                <w:sz w:val="18"/>
                <w:szCs w:val="18"/>
              </w:rPr>
              <w:t>-168,7</w:t>
            </w:r>
          </w:p>
        </w:tc>
        <w:tc>
          <w:tcPr>
            <w:tcW w:w="849" w:type="dxa"/>
            <w:shd w:val="clear" w:color="auto" w:fill="FFFFFF"/>
            <w:tcMar>
              <w:top w:w="15" w:type="dxa"/>
              <w:left w:w="47" w:type="dxa"/>
              <w:bottom w:w="0" w:type="dxa"/>
              <w:right w:w="47" w:type="dxa"/>
            </w:tcMar>
            <w:vAlign w:val="center"/>
          </w:tcPr>
          <w:p w14:paraId="0898D1BC" w14:textId="779AE562" w:rsidR="001D78E0" w:rsidRPr="00041FEC" w:rsidRDefault="001D78E0" w:rsidP="001D78E0">
            <w:pPr>
              <w:jc w:val="center"/>
              <w:rPr>
                <w:i/>
                <w:color w:val="C00000"/>
                <w:sz w:val="18"/>
                <w:szCs w:val="18"/>
                <w:lang w:val="en-US"/>
              </w:rPr>
            </w:pPr>
            <w:r w:rsidRPr="00041FEC">
              <w:rPr>
                <w:i/>
                <w:iCs/>
                <w:color w:val="C00000"/>
                <w:sz w:val="18"/>
                <w:szCs w:val="18"/>
              </w:rPr>
              <w:t>-175,8</w:t>
            </w:r>
          </w:p>
        </w:tc>
      </w:tr>
    </w:tbl>
    <w:p w14:paraId="6664C17D" w14:textId="77777777" w:rsidR="00C549C6" w:rsidRPr="009054FD" w:rsidRDefault="00C549C6" w:rsidP="00A87A45">
      <w:pPr>
        <w:tabs>
          <w:tab w:val="left" w:pos="284"/>
          <w:tab w:val="left" w:pos="6946"/>
        </w:tabs>
        <w:spacing w:after="80"/>
        <w:ind w:left="284" w:hanging="284"/>
        <w:jc w:val="both"/>
        <w:rPr>
          <w:rFonts w:cs="Times New Roman"/>
          <w:i/>
          <w:sz w:val="16"/>
          <w:szCs w:val="16"/>
        </w:rPr>
      </w:pPr>
      <w:r w:rsidRPr="009054FD">
        <w:rPr>
          <w:rFonts w:cs="Times New Roman"/>
          <w:i/>
          <w:sz w:val="16"/>
          <w:szCs w:val="16"/>
          <w:vertAlign w:val="superscript"/>
        </w:rPr>
        <w:t>*</w:t>
      </w:r>
      <w:r w:rsidRPr="009054FD">
        <w:rPr>
          <w:rFonts w:cs="Times New Roman"/>
          <w:i/>
          <w:sz w:val="16"/>
          <w:szCs w:val="16"/>
        </w:rPr>
        <w:tab/>
        <w:t>Pasākumiem fiskālām ietekmēm ir norādīts indikatīvs vērtējums, līdz ar to precizējoties priekšlikuma nosacījumiem, fiskālā ietekme var mainīties</w:t>
      </w:r>
    </w:p>
    <w:p w14:paraId="3D2941A0" w14:textId="77777777" w:rsidR="005B0C47" w:rsidRPr="00D41527" w:rsidRDefault="005B0C47" w:rsidP="00D421B2">
      <w:pPr>
        <w:tabs>
          <w:tab w:val="left" w:pos="6946"/>
        </w:tabs>
        <w:rPr>
          <w:color w:val="000000"/>
          <w:sz w:val="8"/>
          <w:szCs w:val="8"/>
        </w:rPr>
      </w:pPr>
    </w:p>
    <w:p w14:paraId="01ED2776" w14:textId="7B8AB28D" w:rsidR="00D41527" w:rsidRPr="009E2256" w:rsidRDefault="00725CD9" w:rsidP="00D41527">
      <w:pPr>
        <w:tabs>
          <w:tab w:val="left" w:pos="426"/>
        </w:tabs>
        <w:ind w:firstLine="567"/>
        <w:jc w:val="both"/>
        <w:rPr>
          <w:bCs/>
          <w:szCs w:val="24"/>
        </w:rPr>
      </w:pPr>
      <w:r w:rsidRPr="002A406F">
        <w:rPr>
          <w:bCs/>
          <w:szCs w:val="24"/>
        </w:rPr>
        <w:t>Papildus</w:t>
      </w:r>
      <w:r>
        <w:rPr>
          <w:bCs/>
          <w:szCs w:val="24"/>
          <w:vertAlign w:val="superscript"/>
        </w:rPr>
        <w:t xml:space="preserve"> </w:t>
      </w:r>
      <w:r w:rsidRPr="00725CD9">
        <w:rPr>
          <w:bCs/>
          <w:szCs w:val="24"/>
        </w:rPr>
        <w:t>visu</w:t>
      </w:r>
      <w:r>
        <w:rPr>
          <w:bCs/>
          <w:szCs w:val="24"/>
          <w:vertAlign w:val="superscript"/>
        </w:rPr>
        <w:t xml:space="preserve"> </w:t>
      </w:r>
      <w:r w:rsidRPr="002A406F">
        <w:rPr>
          <w:bCs/>
          <w:szCs w:val="24"/>
        </w:rPr>
        <w:t>izmaiņu realizācijai VID nepieciešami</w:t>
      </w:r>
      <w:r>
        <w:rPr>
          <w:bCs/>
          <w:szCs w:val="24"/>
        </w:rPr>
        <w:t xml:space="preserve"> </w:t>
      </w:r>
      <w:r>
        <w:rPr>
          <w:b/>
          <w:color w:val="C00000"/>
          <w:szCs w:val="24"/>
        </w:rPr>
        <w:t>543 417,05</w:t>
      </w:r>
      <w:r w:rsidRPr="002A406F">
        <w:rPr>
          <w:bCs/>
          <w:color w:val="C00000"/>
          <w:szCs w:val="24"/>
        </w:rPr>
        <w:t xml:space="preserve"> </w:t>
      </w:r>
      <w:r w:rsidRPr="002A406F">
        <w:rPr>
          <w:rFonts w:eastAsia="Times New Roman"/>
          <w:bCs/>
          <w:i/>
          <w:iCs/>
          <w:szCs w:val="24"/>
        </w:rPr>
        <w:t>euro</w:t>
      </w:r>
      <w:r>
        <w:rPr>
          <w:rFonts w:eastAsia="Times New Roman"/>
          <w:bCs/>
          <w:i/>
          <w:iCs/>
          <w:szCs w:val="24"/>
        </w:rPr>
        <w:t xml:space="preserve"> </w:t>
      </w:r>
      <w:r w:rsidRPr="00725CD9">
        <w:rPr>
          <w:rFonts w:eastAsia="Times New Roman"/>
          <w:bCs/>
          <w:szCs w:val="24"/>
        </w:rPr>
        <w:t>(ikgadējā uzturēšana</w:t>
      </w:r>
      <w:r>
        <w:rPr>
          <w:rFonts w:eastAsia="Times New Roman"/>
          <w:bCs/>
          <w:i/>
          <w:iCs/>
          <w:szCs w:val="24"/>
        </w:rPr>
        <w:t xml:space="preserve"> </w:t>
      </w:r>
      <w:r w:rsidRPr="00725CD9">
        <w:rPr>
          <w:rFonts w:eastAsia="Times New Roman"/>
          <w:bCs/>
          <w:color w:val="C00000"/>
          <w:szCs w:val="24"/>
        </w:rPr>
        <w:t>38 039,19</w:t>
      </w:r>
      <w:r w:rsidRPr="00725CD9">
        <w:rPr>
          <w:rFonts w:eastAsia="Times New Roman"/>
          <w:bCs/>
          <w:i/>
          <w:iCs/>
          <w:color w:val="C00000"/>
          <w:szCs w:val="24"/>
        </w:rPr>
        <w:t xml:space="preserve"> </w:t>
      </w:r>
      <w:r>
        <w:rPr>
          <w:rFonts w:eastAsia="Times New Roman"/>
          <w:bCs/>
          <w:i/>
          <w:iCs/>
          <w:szCs w:val="24"/>
        </w:rPr>
        <w:t>euro</w:t>
      </w:r>
      <w:r w:rsidRPr="00725CD9">
        <w:rPr>
          <w:rFonts w:eastAsia="Times New Roman"/>
          <w:bCs/>
          <w:szCs w:val="24"/>
        </w:rPr>
        <w:t>)</w:t>
      </w:r>
      <w:r>
        <w:rPr>
          <w:bCs/>
          <w:szCs w:val="24"/>
        </w:rPr>
        <w:t xml:space="preserve">, bet </w:t>
      </w:r>
      <w:r w:rsidRPr="002A406F">
        <w:rPr>
          <w:bCs/>
          <w:szCs w:val="24"/>
        </w:rPr>
        <w:t xml:space="preserve">VSAA </w:t>
      </w:r>
      <w:r>
        <w:rPr>
          <w:bCs/>
          <w:szCs w:val="24"/>
        </w:rPr>
        <w:t>–</w:t>
      </w:r>
      <w:r w:rsidRPr="002A406F">
        <w:rPr>
          <w:bCs/>
          <w:szCs w:val="24"/>
        </w:rPr>
        <w:t xml:space="preserve"> </w:t>
      </w:r>
      <w:r w:rsidR="00D41527">
        <w:rPr>
          <w:b/>
          <w:color w:val="C00000"/>
          <w:szCs w:val="24"/>
        </w:rPr>
        <w:t>79</w:t>
      </w:r>
      <w:r w:rsidRPr="002A406F">
        <w:rPr>
          <w:b/>
          <w:color w:val="C00000"/>
          <w:szCs w:val="24"/>
        </w:rPr>
        <w:t> </w:t>
      </w:r>
      <w:r w:rsidR="00D41527">
        <w:rPr>
          <w:b/>
          <w:color w:val="C00000"/>
          <w:szCs w:val="24"/>
        </w:rPr>
        <w:t>037</w:t>
      </w:r>
      <w:r w:rsidRPr="002A406F">
        <w:rPr>
          <w:bCs/>
          <w:color w:val="C00000"/>
          <w:szCs w:val="24"/>
        </w:rPr>
        <w:t xml:space="preserve"> </w:t>
      </w:r>
      <w:r w:rsidRPr="002A406F">
        <w:rPr>
          <w:rFonts w:eastAsia="Times New Roman"/>
          <w:bCs/>
          <w:i/>
          <w:iCs/>
          <w:szCs w:val="24"/>
        </w:rPr>
        <w:t>euro</w:t>
      </w:r>
      <w:r w:rsidRPr="002A406F">
        <w:rPr>
          <w:bCs/>
          <w:szCs w:val="24"/>
        </w:rPr>
        <w:t>.</w:t>
      </w:r>
      <w:r w:rsidR="00D41527" w:rsidRPr="00D41527">
        <w:rPr>
          <w:bCs/>
          <w:szCs w:val="24"/>
        </w:rPr>
        <w:t xml:space="preserve"> </w:t>
      </w:r>
    </w:p>
    <w:p w14:paraId="25DF0672" w14:textId="020F9AD6" w:rsidR="00725CD9" w:rsidRPr="002A406F" w:rsidRDefault="00725CD9" w:rsidP="00725CD9">
      <w:pPr>
        <w:ind w:firstLine="567"/>
        <w:jc w:val="both"/>
        <w:rPr>
          <w:bCs/>
          <w:szCs w:val="24"/>
        </w:rPr>
      </w:pPr>
    </w:p>
    <w:p w14:paraId="3C653300" w14:textId="77777777" w:rsidR="00D41527" w:rsidRDefault="00D41527" w:rsidP="00D421B2">
      <w:pPr>
        <w:tabs>
          <w:tab w:val="left" w:pos="6946"/>
        </w:tabs>
        <w:rPr>
          <w:color w:val="000000"/>
          <w:sz w:val="26"/>
          <w:szCs w:val="26"/>
        </w:rPr>
      </w:pPr>
    </w:p>
    <w:p w14:paraId="6884C28E" w14:textId="12F0D698" w:rsidR="00D421B2" w:rsidRPr="005F724F" w:rsidRDefault="00D421B2" w:rsidP="00D421B2">
      <w:pPr>
        <w:tabs>
          <w:tab w:val="left" w:pos="6946"/>
        </w:tabs>
        <w:rPr>
          <w:color w:val="000000"/>
          <w:sz w:val="26"/>
          <w:szCs w:val="26"/>
        </w:rPr>
      </w:pPr>
      <w:r w:rsidRPr="005F724F">
        <w:rPr>
          <w:color w:val="000000"/>
          <w:sz w:val="26"/>
          <w:szCs w:val="26"/>
        </w:rPr>
        <w:t>Finanšu ministrs</w:t>
      </w:r>
      <w:r w:rsidRPr="005F724F">
        <w:rPr>
          <w:color w:val="000000"/>
          <w:sz w:val="26"/>
          <w:szCs w:val="26"/>
        </w:rPr>
        <w:tab/>
      </w:r>
      <w:r w:rsidR="009054FD">
        <w:rPr>
          <w:color w:val="000000"/>
          <w:sz w:val="26"/>
          <w:szCs w:val="26"/>
        </w:rPr>
        <w:t>Arvils</w:t>
      </w:r>
      <w:r w:rsidRPr="005F724F">
        <w:rPr>
          <w:color w:val="000000"/>
          <w:sz w:val="26"/>
          <w:szCs w:val="26"/>
        </w:rPr>
        <w:t xml:space="preserve"> </w:t>
      </w:r>
      <w:r w:rsidR="009054FD">
        <w:rPr>
          <w:color w:val="000000"/>
          <w:sz w:val="26"/>
          <w:szCs w:val="26"/>
        </w:rPr>
        <w:t>Ašeradens</w:t>
      </w:r>
    </w:p>
    <w:p w14:paraId="5C774CE2" w14:textId="77777777" w:rsidR="00D421B2" w:rsidRDefault="00D421B2" w:rsidP="00D421B2">
      <w:pPr>
        <w:rPr>
          <w:rFonts w:eastAsia="Calibri" w:cs="Times New Roman"/>
          <w:b/>
          <w:szCs w:val="24"/>
        </w:rPr>
      </w:pPr>
    </w:p>
    <w:p w14:paraId="4D3B6729" w14:textId="77777777" w:rsidR="00181FE2" w:rsidRDefault="00181FE2" w:rsidP="00D421B2">
      <w:pPr>
        <w:rPr>
          <w:rFonts w:eastAsia="Calibri" w:cs="Times New Roman"/>
          <w:b/>
          <w:szCs w:val="24"/>
        </w:rPr>
      </w:pPr>
    </w:p>
    <w:p w14:paraId="1FBDF441" w14:textId="77777777" w:rsidR="00181FE2" w:rsidRDefault="00181FE2" w:rsidP="00181FE2">
      <w:pPr>
        <w:contextualSpacing/>
        <w:rPr>
          <w:bCs/>
          <w:sz w:val="20"/>
          <w:szCs w:val="20"/>
        </w:rPr>
      </w:pPr>
    </w:p>
    <w:p w14:paraId="2EB130DE" w14:textId="33069CE6" w:rsidR="00181FE2" w:rsidRDefault="00181FE2" w:rsidP="00181FE2">
      <w:pPr>
        <w:contextualSpacing/>
        <w:rPr>
          <w:sz w:val="20"/>
        </w:rPr>
      </w:pPr>
      <w:r w:rsidRPr="00181FE2">
        <w:rPr>
          <w:bCs/>
          <w:sz w:val="20"/>
          <w:szCs w:val="20"/>
        </w:rPr>
        <w:lastRenderedPageBreak/>
        <w:t xml:space="preserve">M. Jaunzeme </w:t>
      </w:r>
      <w:r w:rsidRPr="0026555A">
        <w:rPr>
          <w:sz w:val="20"/>
        </w:rPr>
        <w:t>27 333</w:t>
      </w:r>
      <w:r>
        <w:rPr>
          <w:sz w:val="20"/>
        </w:rPr>
        <w:t> </w:t>
      </w:r>
      <w:r w:rsidRPr="0026555A">
        <w:rPr>
          <w:sz w:val="20"/>
        </w:rPr>
        <w:t>865</w:t>
      </w:r>
    </w:p>
    <w:p w14:paraId="139AFDEF" w14:textId="214E7E3C" w:rsidR="00181FE2" w:rsidRPr="0026555A" w:rsidRDefault="00CD3C07" w:rsidP="00181FE2">
      <w:pPr>
        <w:contextualSpacing/>
        <w:rPr>
          <w:rStyle w:val="Hyperlink"/>
          <w:sz w:val="20"/>
        </w:rPr>
      </w:pPr>
      <w:r>
        <w:rPr>
          <w:rStyle w:val="Hyperlink"/>
          <w:sz w:val="20"/>
        </w:rPr>
        <w:t>m</w:t>
      </w:r>
      <w:hyperlink r:id="rId19" w:history="1">
        <w:r w:rsidRPr="00613026">
          <w:rPr>
            <w:rStyle w:val="Hyperlink"/>
            <w:sz w:val="20"/>
          </w:rPr>
          <w:t>adara.jaunzeme@fm.gov.lv</w:t>
        </w:r>
      </w:hyperlink>
    </w:p>
    <w:p w14:paraId="1764FAE6" w14:textId="77777777" w:rsidR="00181FE2" w:rsidRPr="00181FE2" w:rsidRDefault="00181FE2" w:rsidP="00181FE2">
      <w:pPr>
        <w:contextualSpacing/>
        <w:rPr>
          <w:bCs/>
          <w:sz w:val="20"/>
          <w:szCs w:val="20"/>
        </w:rPr>
      </w:pPr>
      <w:r w:rsidRPr="00181FE2">
        <w:rPr>
          <w:bCs/>
          <w:sz w:val="20"/>
          <w:szCs w:val="20"/>
        </w:rPr>
        <w:t>L. Gudēvica-Liepiņa 28 346 190</w:t>
      </w:r>
    </w:p>
    <w:p w14:paraId="17FA01E7" w14:textId="77777777" w:rsidR="00181FE2" w:rsidRDefault="00181FE2" w:rsidP="00181FE2">
      <w:pPr>
        <w:contextualSpacing/>
        <w:rPr>
          <w:rStyle w:val="Hyperlink"/>
          <w:sz w:val="20"/>
        </w:rPr>
      </w:pPr>
      <w:r w:rsidRPr="0026555A">
        <w:rPr>
          <w:rStyle w:val="Hyperlink"/>
          <w:sz w:val="20"/>
        </w:rPr>
        <w:t>Liga</w:t>
      </w:r>
      <w:hyperlink r:id="rId20" w:history="1">
        <w:r w:rsidRPr="0026555A">
          <w:rPr>
            <w:rStyle w:val="Hyperlink"/>
            <w:sz w:val="20"/>
          </w:rPr>
          <w:t>.Gudevica-Liepina@fm.gov.lv</w:t>
        </w:r>
      </w:hyperlink>
    </w:p>
    <w:p w14:paraId="21AB93C8" w14:textId="2D6E1A87" w:rsidR="00181FE2" w:rsidRDefault="00181FE2" w:rsidP="00181FE2">
      <w:pPr>
        <w:contextualSpacing/>
        <w:rPr>
          <w:bCs/>
          <w:sz w:val="20"/>
          <w:szCs w:val="16"/>
        </w:rPr>
      </w:pPr>
      <w:r w:rsidRPr="00181FE2">
        <w:rPr>
          <w:bCs/>
          <w:sz w:val="20"/>
          <w:szCs w:val="16"/>
        </w:rPr>
        <w:t>A.</w:t>
      </w:r>
      <w:r>
        <w:rPr>
          <w:bCs/>
          <w:sz w:val="20"/>
          <w:szCs w:val="16"/>
        </w:rPr>
        <w:t xml:space="preserve"> </w:t>
      </w:r>
      <w:r w:rsidRPr="00181FE2">
        <w:rPr>
          <w:bCs/>
          <w:sz w:val="20"/>
          <w:szCs w:val="16"/>
        </w:rPr>
        <w:t>Orehova 25715041</w:t>
      </w:r>
    </w:p>
    <w:p w14:paraId="36E11F87" w14:textId="13270678" w:rsidR="00181FE2" w:rsidRDefault="006F630B" w:rsidP="00181FE2">
      <w:pPr>
        <w:contextualSpacing/>
        <w:rPr>
          <w:bCs/>
          <w:sz w:val="20"/>
          <w:szCs w:val="16"/>
        </w:rPr>
      </w:pPr>
      <w:hyperlink r:id="rId21" w:history="1">
        <w:r w:rsidR="00181FE2" w:rsidRPr="00613026">
          <w:rPr>
            <w:rStyle w:val="Hyperlink"/>
            <w:bCs/>
            <w:sz w:val="20"/>
            <w:szCs w:val="16"/>
          </w:rPr>
          <w:t>anda.orehova@fm.gov.lv</w:t>
        </w:r>
      </w:hyperlink>
      <w:r w:rsidR="00181FE2">
        <w:rPr>
          <w:bCs/>
          <w:sz w:val="20"/>
          <w:szCs w:val="16"/>
        </w:rPr>
        <w:t xml:space="preserve"> </w:t>
      </w:r>
    </w:p>
    <w:p w14:paraId="3527A59D" w14:textId="201579AF" w:rsidR="00181FE2" w:rsidRDefault="00181FE2" w:rsidP="00181FE2">
      <w:pPr>
        <w:contextualSpacing/>
        <w:rPr>
          <w:bCs/>
          <w:sz w:val="20"/>
          <w:szCs w:val="16"/>
        </w:rPr>
      </w:pPr>
      <w:r>
        <w:rPr>
          <w:bCs/>
          <w:sz w:val="20"/>
          <w:szCs w:val="16"/>
        </w:rPr>
        <w:t xml:space="preserve">J. Krastiņa </w:t>
      </w:r>
      <w:r w:rsidRPr="00181FE2">
        <w:rPr>
          <w:bCs/>
          <w:sz w:val="20"/>
          <w:szCs w:val="16"/>
        </w:rPr>
        <w:t>28713748</w:t>
      </w:r>
    </w:p>
    <w:p w14:paraId="1599CFF8" w14:textId="47BCF496" w:rsidR="00181FE2" w:rsidRDefault="006F630B" w:rsidP="00181FE2">
      <w:pPr>
        <w:contextualSpacing/>
        <w:rPr>
          <w:bCs/>
          <w:sz w:val="20"/>
          <w:szCs w:val="16"/>
        </w:rPr>
      </w:pPr>
      <w:hyperlink r:id="rId22" w:history="1">
        <w:r w:rsidR="00181FE2" w:rsidRPr="00613026">
          <w:rPr>
            <w:rStyle w:val="Hyperlink"/>
            <w:bCs/>
            <w:sz w:val="20"/>
            <w:szCs w:val="16"/>
          </w:rPr>
          <w:t>jolanta.krastina@fm.gov.lv</w:t>
        </w:r>
      </w:hyperlink>
      <w:r w:rsidR="00181FE2">
        <w:rPr>
          <w:bCs/>
          <w:sz w:val="20"/>
          <w:szCs w:val="16"/>
        </w:rPr>
        <w:t xml:space="preserve"> </w:t>
      </w:r>
    </w:p>
    <w:p w14:paraId="2C82F734" w14:textId="3BC15691" w:rsidR="00181FE2" w:rsidRDefault="00181FE2" w:rsidP="00181FE2">
      <w:pPr>
        <w:contextualSpacing/>
        <w:rPr>
          <w:bCs/>
          <w:sz w:val="20"/>
          <w:szCs w:val="16"/>
        </w:rPr>
      </w:pPr>
      <w:r>
        <w:rPr>
          <w:bCs/>
          <w:sz w:val="20"/>
          <w:szCs w:val="16"/>
        </w:rPr>
        <w:t>J. Lukss</w:t>
      </w:r>
      <w:r w:rsidR="00CD3C07">
        <w:rPr>
          <w:bCs/>
          <w:sz w:val="20"/>
          <w:szCs w:val="16"/>
        </w:rPr>
        <w:t xml:space="preserve"> </w:t>
      </w:r>
      <w:r w:rsidR="00CD3C07" w:rsidRPr="00CD3C07">
        <w:rPr>
          <w:bCs/>
          <w:sz w:val="20"/>
          <w:szCs w:val="16"/>
        </w:rPr>
        <w:t>28715871</w:t>
      </w:r>
    </w:p>
    <w:p w14:paraId="68E1CFE9" w14:textId="290F70E7" w:rsidR="00CD3C07" w:rsidRDefault="006F630B" w:rsidP="00181FE2">
      <w:pPr>
        <w:contextualSpacing/>
        <w:rPr>
          <w:bCs/>
          <w:sz w:val="20"/>
          <w:szCs w:val="16"/>
        </w:rPr>
      </w:pPr>
      <w:hyperlink r:id="rId23" w:history="1">
        <w:r w:rsidR="00CD3C07" w:rsidRPr="00613026">
          <w:rPr>
            <w:rStyle w:val="Hyperlink"/>
            <w:bCs/>
            <w:sz w:val="20"/>
            <w:szCs w:val="16"/>
          </w:rPr>
          <w:t>juris.lukss@fm.gov.lv</w:t>
        </w:r>
      </w:hyperlink>
      <w:r w:rsidR="00CD3C07">
        <w:rPr>
          <w:bCs/>
          <w:sz w:val="20"/>
          <w:szCs w:val="16"/>
        </w:rPr>
        <w:t xml:space="preserve"> </w:t>
      </w:r>
    </w:p>
    <w:p w14:paraId="68A7A35B" w14:textId="2467C3FF" w:rsidR="00CD3C07" w:rsidRDefault="00CD3C07" w:rsidP="00181FE2">
      <w:pPr>
        <w:contextualSpacing/>
        <w:rPr>
          <w:bCs/>
          <w:sz w:val="20"/>
          <w:szCs w:val="16"/>
        </w:rPr>
      </w:pPr>
      <w:r w:rsidRPr="00CD3C07">
        <w:rPr>
          <w:bCs/>
          <w:sz w:val="20"/>
          <w:szCs w:val="16"/>
        </w:rPr>
        <w:t>E</w:t>
      </w:r>
      <w:r>
        <w:rPr>
          <w:bCs/>
          <w:sz w:val="20"/>
          <w:szCs w:val="16"/>
        </w:rPr>
        <w:t xml:space="preserve">. </w:t>
      </w:r>
      <w:r w:rsidRPr="00CD3C07">
        <w:rPr>
          <w:bCs/>
          <w:sz w:val="20"/>
          <w:szCs w:val="16"/>
        </w:rPr>
        <w:t>Zarakovskis</w:t>
      </w:r>
      <w:r>
        <w:rPr>
          <w:bCs/>
          <w:sz w:val="20"/>
          <w:szCs w:val="16"/>
        </w:rPr>
        <w:t xml:space="preserve"> </w:t>
      </w:r>
      <w:r w:rsidRPr="00CD3C07">
        <w:rPr>
          <w:bCs/>
          <w:sz w:val="20"/>
          <w:szCs w:val="16"/>
        </w:rPr>
        <w:t>27852392</w:t>
      </w:r>
    </w:p>
    <w:p w14:paraId="3AB25093" w14:textId="4D67026A" w:rsidR="00CD3C07" w:rsidRDefault="006F630B" w:rsidP="00181FE2">
      <w:pPr>
        <w:contextualSpacing/>
        <w:rPr>
          <w:bCs/>
          <w:sz w:val="20"/>
          <w:szCs w:val="16"/>
        </w:rPr>
      </w:pPr>
      <w:hyperlink r:id="rId24" w:history="1">
        <w:r w:rsidR="00CD3C07" w:rsidRPr="00613026">
          <w:rPr>
            <w:rStyle w:val="Hyperlink"/>
            <w:bCs/>
            <w:sz w:val="20"/>
            <w:szCs w:val="16"/>
          </w:rPr>
          <w:t>egils.zarakovskis@fm.gov.lv</w:t>
        </w:r>
      </w:hyperlink>
    </w:p>
    <w:p w14:paraId="13F3CF1C" w14:textId="44CA9C66" w:rsidR="00CD3C07" w:rsidRDefault="00CD3C07" w:rsidP="00181FE2">
      <w:pPr>
        <w:contextualSpacing/>
        <w:rPr>
          <w:bCs/>
          <w:sz w:val="20"/>
          <w:szCs w:val="16"/>
        </w:rPr>
      </w:pPr>
      <w:r w:rsidRPr="00CD3C07">
        <w:rPr>
          <w:bCs/>
          <w:sz w:val="20"/>
          <w:szCs w:val="16"/>
        </w:rPr>
        <w:t>O</w:t>
      </w:r>
      <w:r>
        <w:rPr>
          <w:bCs/>
          <w:sz w:val="20"/>
          <w:szCs w:val="16"/>
        </w:rPr>
        <w:t>.</w:t>
      </w:r>
      <w:r w:rsidRPr="00CD3C07">
        <w:rPr>
          <w:bCs/>
          <w:sz w:val="20"/>
          <w:szCs w:val="16"/>
        </w:rPr>
        <w:t xml:space="preserve"> S</w:t>
      </w:r>
      <w:r>
        <w:rPr>
          <w:bCs/>
          <w:sz w:val="20"/>
          <w:szCs w:val="16"/>
        </w:rPr>
        <w:t xml:space="preserve">. </w:t>
      </w:r>
      <w:r w:rsidRPr="00CD3C07">
        <w:rPr>
          <w:bCs/>
          <w:sz w:val="20"/>
          <w:szCs w:val="16"/>
        </w:rPr>
        <w:t>Jurča 22460126</w:t>
      </w:r>
    </w:p>
    <w:p w14:paraId="20463B40" w14:textId="0102F479" w:rsidR="00CD3C07" w:rsidRPr="00181FE2" w:rsidRDefault="006F630B" w:rsidP="00181FE2">
      <w:pPr>
        <w:contextualSpacing/>
        <w:rPr>
          <w:bCs/>
          <w:sz w:val="20"/>
          <w:szCs w:val="16"/>
        </w:rPr>
      </w:pPr>
      <w:hyperlink r:id="rId25" w:history="1">
        <w:r w:rsidR="00CD3C07" w:rsidRPr="00613026">
          <w:rPr>
            <w:rStyle w:val="Hyperlink"/>
            <w:bCs/>
            <w:sz w:val="20"/>
            <w:szCs w:val="16"/>
          </w:rPr>
          <w:t>olga.sanda.jurca@fm.gov.lv</w:t>
        </w:r>
      </w:hyperlink>
      <w:r w:rsidR="00CD3C07">
        <w:rPr>
          <w:bCs/>
          <w:sz w:val="20"/>
          <w:szCs w:val="16"/>
        </w:rPr>
        <w:t xml:space="preserve"> </w:t>
      </w:r>
    </w:p>
    <w:p w14:paraId="77766203" w14:textId="77777777" w:rsidR="00181FE2" w:rsidRPr="0026555A" w:rsidRDefault="00181FE2" w:rsidP="00181FE2">
      <w:pPr>
        <w:contextualSpacing/>
        <w:rPr>
          <w:rStyle w:val="Hyperlink"/>
          <w:sz w:val="20"/>
        </w:rPr>
      </w:pPr>
    </w:p>
    <w:p w14:paraId="34BAC383" w14:textId="0B64A240" w:rsidR="00937F25" w:rsidRPr="00181FE2" w:rsidRDefault="00937F25" w:rsidP="00181FE2">
      <w:pPr>
        <w:tabs>
          <w:tab w:val="left" w:pos="426"/>
        </w:tabs>
        <w:jc w:val="both"/>
        <w:rPr>
          <w:bCs/>
          <w:szCs w:val="24"/>
        </w:rPr>
      </w:pPr>
    </w:p>
    <w:sectPr w:rsidR="00937F25" w:rsidRPr="00181FE2" w:rsidSect="00F6684C">
      <w:headerReference w:type="first" r:id="rId26"/>
      <w:pgSz w:w="11906" w:h="16838"/>
      <w:pgMar w:top="1134" w:right="141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0434C" w14:textId="77777777" w:rsidR="00CA7C4C" w:rsidRDefault="00CA7C4C" w:rsidP="00A24B7F">
      <w:r>
        <w:separator/>
      </w:r>
    </w:p>
  </w:endnote>
  <w:endnote w:type="continuationSeparator" w:id="0">
    <w:p w14:paraId="4014B195" w14:textId="77777777" w:rsidR="00CA7C4C" w:rsidRDefault="00CA7C4C" w:rsidP="00A24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Symbol">
    <w:altName w:val="Yu Gothic"/>
    <w:charset w:val="80"/>
    <w:family w:val="auto"/>
    <w:pitch w:val="default"/>
  </w:font>
  <w:font w:name="Liberation Sans">
    <w:altName w:val="Yu Gothic"/>
    <w:charset w:val="80"/>
    <w:family w:val="swiss"/>
    <w:pitch w:val="variable"/>
  </w:font>
  <w:font w:name="WenQuanYi Micro Hei">
    <w:altName w:val="MS Mincho"/>
    <w:charset w:val="80"/>
    <w:family w:val="auto"/>
    <w:pitch w:val="variable"/>
  </w:font>
  <w:font w:name="Lohit Hindi">
    <w:altName w:val="MS Mincho"/>
    <w:charset w:val="80"/>
    <w:family w:val="auto"/>
    <w:pitch w:val="variable"/>
  </w:font>
  <w:font w:name="Liberation Serif">
    <w:altName w:val="HGPMinchoE"/>
    <w:charset w:val="80"/>
    <w:family w:val="roman"/>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1193748"/>
      <w:docPartObj>
        <w:docPartGallery w:val="Page Numbers (Bottom of Page)"/>
        <w:docPartUnique/>
      </w:docPartObj>
    </w:sdtPr>
    <w:sdtEndPr>
      <w:rPr>
        <w:noProof/>
        <w:sz w:val="20"/>
        <w:szCs w:val="20"/>
      </w:rPr>
    </w:sdtEndPr>
    <w:sdtContent>
      <w:p w14:paraId="4D6DC4C4" w14:textId="4BF65A32" w:rsidR="00CA7C4C" w:rsidRPr="001D7C88" w:rsidRDefault="00CA7C4C">
        <w:pPr>
          <w:pStyle w:val="Footer"/>
          <w:jc w:val="center"/>
          <w:rPr>
            <w:sz w:val="20"/>
            <w:szCs w:val="20"/>
          </w:rPr>
        </w:pPr>
        <w:r w:rsidRPr="001D7C88">
          <w:rPr>
            <w:sz w:val="20"/>
            <w:szCs w:val="20"/>
          </w:rPr>
          <w:fldChar w:fldCharType="begin"/>
        </w:r>
        <w:r w:rsidRPr="001D7C88">
          <w:rPr>
            <w:sz w:val="20"/>
            <w:szCs w:val="20"/>
          </w:rPr>
          <w:instrText xml:space="preserve"> PAGE   \* MERGEFORMAT </w:instrText>
        </w:r>
        <w:r w:rsidRPr="001D7C88">
          <w:rPr>
            <w:sz w:val="20"/>
            <w:szCs w:val="20"/>
          </w:rPr>
          <w:fldChar w:fldCharType="separate"/>
        </w:r>
        <w:r w:rsidR="00B91D34">
          <w:rPr>
            <w:noProof/>
            <w:sz w:val="20"/>
            <w:szCs w:val="20"/>
          </w:rPr>
          <w:t>3</w:t>
        </w:r>
        <w:r w:rsidRPr="001D7C88">
          <w:rPr>
            <w:noProof/>
            <w:sz w:val="20"/>
            <w:szCs w:val="20"/>
          </w:rPr>
          <w:fldChar w:fldCharType="end"/>
        </w:r>
      </w:p>
    </w:sdtContent>
  </w:sdt>
  <w:p w14:paraId="072273A4" w14:textId="245FCCAA" w:rsidR="00CA7C4C" w:rsidRPr="00354D24" w:rsidRDefault="00CA7C4C" w:rsidP="00967161">
    <w:pPr>
      <w:pStyle w:val="Footer"/>
      <w:rPr>
        <w:sz w:val="18"/>
        <w:szCs w:val="18"/>
      </w:rPr>
    </w:pPr>
    <w:r>
      <w:rPr>
        <w:sz w:val="18"/>
        <w:szCs w:val="18"/>
      </w:rPr>
      <w:t>FMzin_N</w:t>
    </w:r>
    <w:r w:rsidR="00E02C9A">
      <w:rPr>
        <w:sz w:val="18"/>
        <w:szCs w:val="18"/>
      </w:rPr>
      <w:t>P</w:t>
    </w:r>
    <w:r>
      <w:rPr>
        <w:sz w:val="18"/>
        <w:szCs w:val="18"/>
      </w:rPr>
      <w:t>P_</w:t>
    </w:r>
    <w:r w:rsidR="0066519E">
      <w:rPr>
        <w:sz w:val="18"/>
        <w:szCs w:val="18"/>
      </w:rPr>
      <w:t>1</w:t>
    </w:r>
    <w:r w:rsidR="004E408B">
      <w:rPr>
        <w:sz w:val="18"/>
        <w:szCs w:val="18"/>
      </w:rPr>
      <w:t>9</w:t>
    </w:r>
    <w:r>
      <w:rPr>
        <w:sz w:val="18"/>
        <w:szCs w:val="18"/>
      </w:rPr>
      <w:t>0</w:t>
    </w:r>
    <w:r w:rsidR="00A470D1">
      <w:rPr>
        <w:sz w:val="18"/>
        <w:szCs w:val="18"/>
      </w:rPr>
      <w:t>9</w:t>
    </w:r>
    <w:r w:rsidRPr="00C96E5C">
      <w:rPr>
        <w:sz w:val="18"/>
        <w:szCs w:val="18"/>
      </w:rPr>
      <w:t>2</w:t>
    </w:r>
    <w:r w:rsidR="008C7A64">
      <w:rPr>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FDB64" w14:textId="77777777" w:rsidR="00CA7C4C" w:rsidRDefault="00CA7C4C" w:rsidP="00A24B7F">
      <w:r>
        <w:separator/>
      </w:r>
    </w:p>
  </w:footnote>
  <w:footnote w:type="continuationSeparator" w:id="0">
    <w:p w14:paraId="7C71F741" w14:textId="77777777" w:rsidR="00CA7C4C" w:rsidRDefault="00CA7C4C" w:rsidP="00A24B7F">
      <w:r>
        <w:continuationSeparator/>
      </w:r>
    </w:p>
  </w:footnote>
  <w:footnote w:id="1">
    <w:p w14:paraId="2FA943B2" w14:textId="77777777" w:rsidR="004A6D92" w:rsidRPr="00F51111" w:rsidRDefault="004A6D92" w:rsidP="004A6D92">
      <w:pPr>
        <w:pStyle w:val="FootnoteText"/>
        <w:tabs>
          <w:tab w:val="left" w:pos="284"/>
        </w:tabs>
        <w:ind w:left="284" w:hanging="284"/>
        <w:rPr>
          <w:i/>
          <w:iCs/>
          <w:sz w:val="16"/>
          <w:szCs w:val="16"/>
          <w:shd w:val="clear" w:color="auto" w:fill="FFFFFF"/>
        </w:rPr>
      </w:pPr>
      <w:r w:rsidRPr="00F51111">
        <w:rPr>
          <w:rStyle w:val="FootnoteReference"/>
          <w:sz w:val="16"/>
          <w:szCs w:val="16"/>
        </w:rPr>
        <w:footnoteRef/>
      </w:r>
      <w:r w:rsidRPr="00F51111">
        <w:rPr>
          <w:sz w:val="16"/>
          <w:szCs w:val="16"/>
        </w:rPr>
        <w:t xml:space="preserve"> </w:t>
      </w:r>
      <w:r w:rsidRPr="00F51111">
        <w:rPr>
          <w:sz w:val="16"/>
          <w:szCs w:val="16"/>
        </w:rPr>
        <w:tab/>
        <w:t xml:space="preserve">MK 2024. gada 20. janvārī rīkojums Nr. 55 </w:t>
      </w:r>
      <w:r w:rsidRPr="00F51111">
        <w:rPr>
          <w:i/>
          <w:iCs/>
          <w:sz w:val="16"/>
          <w:szCs w:val="16"/>
        </w:rPr>
        <w:t>“P</w:t>
      </w:r>
      <w:r w:rsidRPr="00F51111">
        <w:rPr>
          <w:i/>
          <w:iCs/>
          <w:sz w:val="16"/>
          <w:szCs w:val="16"/>
          <w:shd w:val="clear" w:color="auto" w:fill="FFFFFF"/>
        </w:rPr>
        <w:t xml:space="preserve">ar Valdības rīcības plānu Deklarācijas par Evikas Siliņas vadītā Ministru kabineta iecerēto darbību īstenošanai”. </w:t>
      </w:r>
      <w:r w:rsidRPr="00F51111">
        <w:rPr>
          <w:b/>
          <w:bCs/>
          <w:i/>
          <w:iCs/>
          <w:sz w:val="16"/>
          <w:szCs w:val="16"/>
        </w:rPr>
        <w:t>Pieejams:</w:t>
      </w:r>
      <w:r w:rsidRPr="00F51111">
        <w:rPr>
          <w:i/>
          <w:iCs/>
          <w:sz w:val="16"/>
          <w:szCs w:val="16"/>
        </w:rPr>
        <w:t xml:space="preserve"> </w:t>
      </w:r>
      <w:hyperlink r:id="rId1" w:history="1">
        <w:r w:rsidRPr="00F51111">
          <w:rPr>
            <w:rStyle w:val="Hyperlink"/>
            <w:i/>
            <w:iCs/>
            <w:sz w:val="16"/>
            <w:szCs w:val="16"/>
          </w:rPr>
          <w:t>Par Valdības rīcības plānu Deklarācijas par Evikas Siliņas vadītā Ministru kabineta iecerēto darbību īstenošanai (likumi.lv)</w:t>
        </w:r>
      </w:hyperlink>
    </w:p>
  </w:footnote>
  <w:footnote w:id="2">
    <w:p w14:paraId="380EA868" w14:textId="77777777" w:rsidR="008C7A64" w:rsidRPr="004D458C" w:rsidRDefault="008C7A64" w:rsidP="00F51111">
      <w:pPr>
        <w:pStyle w:val="Heading1"/>
        <w:tabs>
          <w:tab w:val="left" w:pos="284"/>
        </w:tabs>
        <w:spacing w:before="0" w:after="40" w:line="240" w:lineRule="auto"/>
        <w:ind w:left="284" w:hanging="284"/>
        <w:jc w:val="both"/>
        <w:rPr>
          <w:rStyle w:val="Hyperlink"/>
          <w:i/>
          <w:iCs/>
        </w:rPr>
      </w:pPr>
      <w:r w:rsidRPr="00F51111">
        <w:rPr>
          <w:rStyle w:val="FootnoteReference"/>
          <w:sz w:val="16"/>
          <w:szCs w:val="16"/>
        </w:rPr>
        <w:footnoteRef/>
      </w:r>
      <w:r w:rsidRPr="00F51111">
        <w:rPr>
          <w:sz w:val="16"/>
          <w:szCs w:val="16"/>
        </w:rPr>
        <w:t xml:space="preserve"> </w:t>
      </w:r>
      <w:r w:rsidRPr="00F51111">
        <w:rPr>
          <w:sz w:val="16"/>
          <w:szCs w:val="16"/>
        </w:rPr>
        <w:tab/>
      </w:r>
      <w:r w:rsidRPr="00F51111">
        <w:rPr>
          <w:rFonts w:eastAsia="Calibri"/>
          <w:b w:val="0"/>
          <w:sz w:val="16"/>
          <w:szCs w:val="16"/>
        </w:rPr>
        <w:t xml:space="preserve">Valsts nodokļu politikas pamatnostādņu izstrādes materiāli. </w:t>
      </w:r>
      <w:r w:rsidRPr="00F51111">
        <w:rPr>
          <w:bCs/>
          <w:i/>
          <w:iCs/>
          <w:sz w:val="16"/>
          <w:szCs w:val="16"/>
        </w:rPr>
        <w:t xml:space="preserve">Pieejams: </w:t>
      </w:r>
      <w:r w:rsidRPr="00F51111">
        <w:rPr>
          <w:b w:val="0"/>
          <w:i/>
          <w:iCs/>
          <w:sz w:val="16"/>
          <w:szCs w:val="16"/>
        </w:rPr>
        <w:t>FM mājas lapā</w:t>
      </w:r>
      <w:r w:rsidRPr="00F51111">
        <w:rPr>
          <w:i/>
          <w:iCs/>
          <w:sz w:val="16"/>
          <w:szCs w:val="16"/>
        </w:rPr>
        <w:t xml:space="preserve">  -  </w:t>
      </w:r>
      <w:hyperlink r:id="rId2" w:history="1">
        <w:r w:rsidRPr="00F51111">
          <w:rPr>
            <w:rStyle w:val="Hyperlink"/>
            <w:rFonts w:eastAsia="Calibri"/>
            <w:b w:val="0"/>
            <w:i/>
            <w:iCs/>
            <w:sz w:val="16"/>
            <w:szCs w:val="16"/>
          </w:rPr>
          <w:t>Valsts nodokļu politikas pamatnostādņu izstrādes materiāli | Finanšu ministrija (fm.gov.lv)</w:t>
        </w:r>
      </w:hyperlink>
    </w:p>
  </w:footnote>
  <w:footnote w:id="3">
    <w:p w14:paraId="09EFA159" w14:textId="3AC1DDE8" w:rsidR="007E6E08" w:rsidRDefault="007E6E08">
      <w:pPr>
        <w:pStyle w:val="FootnoteText"/>
      </w:pPr>
      <w:r w:rsidRPr="00176A65">
        <w:rPr>
          <w:rStyle w:val="FootnoteReference"/>
        </w:rPr>
        <w:footnoteRef/>
      </w:r>
      <w:r w:rsidRPr="00176A65">
        <w:t xml:space="preserve"> </w:t>
      </w:r>
      <w:r w:rsidRPr="00176A65">
        <w:rPr>
          <w:bCs/>
          <w:color w:val="000000" w:themeColor="text1"/>
          <w:sz w:val="16"/>
          <w:szCs w:val="22"/>
          <w:shd w:val="clear" w:color="auto" w:fill="FFFFFF"/>
        </w:rPr>
        <w:t>Likumā “</w:t>
      </w:r>
      <w:r w:rsidRPr="00176A65">
        <w:rPr>
          <w:bCs/>
          <w:i/>
          <w:iCs/>
          <w:color w:val="000000" w:themeColor="text1"/>
          <w:sz w:val="16"/>
          <w:szCs w:val="22"/>
          <w:shd w:val="clear" w:color="auto" w:fill="FFFFFF"/>
        </w:rPr>
        <w:t>Par valsts sociālo apdrošināšanu</w:t>
      </w:r>
      <w:r w:rsidRPr="00176A65">
        <w:rPr>
          <w:bCs/>
          <w:color w:val="000000" w:themeColor="text1"/>
          <w:sz w:val="16"/>
          <w:szCs w:val="22"/>
          <w:shd w:val="clear" w:color="auto" w:fill="FFFFFF"/>
        </w:rPr>
        <w:t>” 14. panta 5. daļa</w:t>
      </w:r>
    </w:p>
  </w:footnote>
  <w:footnote w:id="4">
    <w:p w14:paraId="1799E25E" w14:textId="4CA2753E" w:rsidR="00CE5FAD" w:rsidRDefault="00CE5FAD" w:rsidP="00CE5FAD">
      <w:pPr>
        <w:pStyle w:val="FootnoteText"/>
        <w:tabs>
          <w:tab w:val="left" w:pos="284"/>
        </w:tabs>
      </w:pPr>
      <w:r>
        <w:rPr>
          <w:rStyle w:val="FootnoteReference"/>
        </w:rPr>
        <w:footnoteRef/>
      </w:r>
      <w:r>
        <w:t xml:space="preserve"> </w:t>
      </w:r>
      <w:r>
        <w:tab/>
      </w:r>
      <w:r w:rsidRPr="00CE5FAD">
        <w:rPr>
          <w:b/>
          <w:bCs/>
        </w:rPr>
        <w:t>Pieejams</w:t>
      </w:r>
      <w:r>
        <w:t xml:space="preserve">: </w:t>
      </w:r>
      <w:hyperlink r:id="rId3" w:history="1">
        <w:r w:rsidRPr="00CE5FAD">
          <w:rPr>
            <w:rStyle w:val="Hyperlink"/>
          </w:rPr>
          <w:t>Grozījumi likumā "Par iedzīvotāju ienākuma nodokli" (likumi.lv)</w:t>
        </w:r>
      </w:hyperlink>
    </w:p>
  </w:footnote>
  <w:footnote w:id="5">
    <w:p w14:paraId="1FE03DA8" w14:textId="0B763E07" w:rsidR="00CE5FAD" w:rsidRDefault="00CE5FAD" w:rsidP="00CE5FAD">
      <w:pPr>
        <w:pStyle w:val="FootnoteText"/>
        <w:tabs>
          <w:tab w:val="left" w:pos="284"/>
        </w:tabs>
      </w:pPr>
      <w:r>
        <w:rPr>
          <w:rStyle w:val="FootnoteReference"/>
        </w:rPr>
        <w:footnoteRef/>
      </w:r>
      <w:r>
        <w:t xml:space="preserve"> </w:t>
      </w:r>
      <w:r>
        <w:tab/>
      </w:r>
      <w:r w:rsidRPr="00CE5FAD">
        <w:rPr>
          <w:b/>
          <w:bCs/>
        </w:rPr>
        <w:t>Pieejams</w:t>
      </w:r>
      <w:r>
        <w:t xml:space="preserve">: </w:t>
      </w:r>
      <w:hyperlink r:id="rId4" w:history="1">
        <w:r w:rsidRPr="002708EA">
          <w:rPr>
            <w:rStyle w:val="Hyperlink"/>
          </w:rPr>
          <w:t>https://likumi.lv/ta/id/342977-grozijumi-likuma-par-iedzivotaju-ienakuma-nodokli-</w:t>
        </w:r>
      </w:hyperlink>
      <w:r>
        <w:t xml:space="preserve"> </w:t>
      </w:r>
    </w:p>
  </w:footnote>
  <w:footnote w:id="6">
    <w:p w14:paraId="7F852213" w14:textId="3981F4D8" w:rsidR="007966A8" w:rsidRDefault="007966A8" w:rsidP="007966A8">
      <w:pPr>
        <w:pStyle w:val="FootnoteText"/>
      </w:pPr>
      <w:r w:rsidRPr="007966A8">
        <w:rPr>
          <w:rStyle w:val="FootnoteReference"/>
        </w:rPr>
        <w:footnoteRef/>
      </w:r>
      <w:r w:rsidRPr="007966A8">
        <w:t xml:space="preserve"> </w:t>
      </w:r>
      <w:r w:rsidRPr="007966A8">
        <w:rPr>
          <w:rFonts w:cs="Times New Roman"/>
        </w:rPr>
        <w:t>Darbaspēka izmaksu esošās situācijas novērtējums un priekšlikumi tālākai rīcībai</w:t>
      </w:r>
      <w:r>
        <w:rPr>
          <w:rFonts w:cs="Times New Roman"/>
        </w:rPr>
        <w:t xml:space="preserve"> </w:t>
      </w:r>
      <w:hyperlink r:id="rId5" w:history="1">
        <w:r w:rsidRPr="007966A8">
          <w:rPr>
            <w:rStyle w:val="Hyperlink"/>
          </w:rPr>
          <w:t>https://www.fm.gov.lv/lv/media/18183/download?attachment</w:t>
        </w:r>
      </w:hyperlink>
      <w:r>
        <w:t xml:space="preserve"> </w:t>
      </w:r>
    </w:p>
  </w:footnote>
  <w:footnote w:id="7">
    <w:p w14:paraId="00778E59" w14:textId="77777777" w:rsidR="001649ED" w:rsidRPr="00AB5793" w:rsidRDefault="001649ED" w:rsidP="001649ED">
      <w:pPr>
        <w:tabs>
          <w:tab w:val="left" w:pos="284"/>
        </w:tabs>
        <w:spacing w:after="40"/>
        <w:ind w:left="284" w:hanging="284"/>
        <w:jc w:val="both"/>
        <w:rPr>
          <w:rFonts w:cs="Times New Roman"/>
          <w:sz w:val="16"/>
          <w:szCs w:val="16"/>
        </w:rPr>
      </w:pPr>
      <w:r w:rsidRPr="00F51111">
        <w:rPr>
          <w:rStyle w:val="FootnoteReference"/>
          <w:rFonts w:cs="Times New Roman"/>
          <w:sz w:val="16"/>
          <w:szCs w:val="16"/>
        </w:rPr>
        <w:footnoteRef/>
      </w:r>
      <w:r w:rsidRPr="00F51111">
        <w:rPr>
          <w:rFonts w:cs="Times New Roman"/>
          <w:sz w:val="16"/>
          <w:szCs w:val="16"/>
        </w:rPr>
        <w:t xml:space="preserve"> </w:t>
      </w:r>
      <w:r w:rsidRPr="00F51111">
        <w:rPr>
          <w:rFonts w:cs="Times New Roman"/>
          <w:sz w:val="16"/>
          <w:szCs w:val="16"/>
        </w:rPr>
        <w:tab/>
        <w:t xml:space="preserve">Ministru </w:t>
      </w:r>
      <w:r w:rsidRPr="00AB5793">
        <w:rPr>
          <w:rFonts w:cs="Times New Roman"/>
          <w:sz w:val="16"/>
          <w:szCs w:val="16"/>
        </w:rPr>
        <w:t xml:space="preserve">kabineta 2012. gada 13. novembra noteikumiem Nr. 769 “Noteikumi par stacionāro tehnoloģisko iekārtu dalību Eiropas Savienības emisijas kvotu tirdzniecības sistēmā” </w:t>
      </w:r>
    </w:p>
  </w:footnote>
  <w:footnote w:id="8">
    <w:p w14:paraId="059C9D30" w14:textId="77777777" w:rsidR="001649ED" w:rsidRPr="00AB5793" w:rsidRDefault="001649ED" w:rsidP="001649ED">
      <w:pPr>
        <w:tabs>
          <w:tab w:val="left" w:pos="284"/>
        </w:tabs>
        <w:spacing w:after="40"/>
        <w:ind w:left="284" w:hanging="284"/>
        <w:jc w:val="both"/>
        <w:rPr>
          <w:rFonts w:cs="Times New Roman"/>
          <w:sz w:val="16"/>
          <w:szCs w:val="16"/>
        </w:rPr>
      </w:pPr>
      <w:r w:rsidRPr="00AB5793">
        <w:rPr>
          <w:rStyle w:val="FootnoteReference"/>
          <w:rFonts w:cs="Times New Roman"/>
          <w:sz w:val="16"/>
          <w:szCs w:val="16"/>
        </w:rPr>
        <w:footnoteRef/>
      </w:r>
      <w:r w:rsidRPr="00AB5793">
        <w:rPr>
          <w:rFonts w:cs="Times New Roman"/>
          <w:sz w:val="16"/>
          <w:szCs w:val="16"/>
        </w:rPr>
        <w:t xml:space="preserve"> </w:t>
      </w:r>
      <w:r w:rsidRPr="00AB5793">
        <w:rPr>
          <w:rFonts w:cs="Times New Roman"/>
          <w:sz w:val="16"/>
          <w:szCs w:val="16"/>
        </w:rPr>
        <w:tab/>
        <w:t>Siltumnīcefekta gāzes — oglekļa dioksīds (CO</w:t>
      </w:r>
      <w:r w:rsidRPr="00AB5793">
        <w:rPr>
          <w:rFonts w:cs="Times New Roman"/>
          <w:sz w:val="16"/>
          <w:szCs w:val="16"/>
          <w:vertAlign w:val="subscript"/>
        </w:rPr>
        <w:t>2</w:t>
      </w:r>
      <w:r w:rsidRPr="00AB5793">
        <w:rPr>
          <w:rFonts w:cs="Times New Roman"/>
          <w:sz w:val="16"/>
          <w:szCs w:val="16"/>
        </w:rPr>
        <w:t>), metāns (CH</w:t>
      </w:r>
      <w:r w:rsidRPr="00AB5793">
        <w:rPr>
          <w:rFonts w:cs="Times New Roman"/>
          <w:sz w:val="16"/>
          <w:szCs w:val="16"/>
          <w:vertAlign w:val="subscript"/>
        </w:rPr>
        <w:t>4</w:t>
      </w:r>
      <w:r w:rsidRPr="00AB5793">
        <w:rPr>
          <w:rFonts w:cs="Times New Roman"/>
          <w:sz w:val="16"/>
          <w:szCs w:val="16"/>
        </w:rPr>
        <w:t>), vienvērtīgā slāpekļa oksīds (N</w:t>
      </w:r>
      <w:r w:rsidRPr="00AB5793">
        <w:rPr>
          <w:rFonts w:cs="Times New Roman"/>
          <w:sz w:val="16"/>
          <w:szCs w:val="16"/>
          <w:vertAlign w:val="subscript"/>
        </w:rPr>
        <w:t>2</w:t>
      </w:r>
      <w:r w:rsidRPr="00AB5793">
        <w:rPr>
          <w:rFonts w:cs="Times New Roman"/>
          <w:sz w:val="16"/>
          <w:szCs w:val="16"/>
        </w:rPr>
        <w:t>O), fluorogļūdeņraži (HFC), perfluorogļūdeņraži (PFC), sēra heksafluorīds (SF</w:t>
      </w:r>
      <w:r w:rsidRPr="00AB5793">
        <w:rPr>
          <w:rFonts w:cs="Times New Roman"/>
          <w:sz w:val="16"/>
          <w:szCs w:val="16"/>
          <w:vertAlign w:val="subscript"/>
        </w:rPr>
        <w:t>6</w:t>
      </w:r>
      <w:r w:rsidRPr="00AB5793">
        <w:rPr>
          <w:rFonts w:cs="Times New Roman"/>
          <w:sz w:val="16"/>
          <w:szCs w:val="16"/>
        </w:rPr>
        <w:t>), slāpekļa trifluorīds (NF</w:t>
      </w:r>
      <w:r w:rsidRPr="00AB5793">
        <w:rPr>
          <w:rFonts w:cs="Times New Roman"/>
          <w:sz w:val="16"/>
          <w:szCs w:val="16"/>
          <w:vertAlign w:val="subscript"/>
        </w:rPr>
        <w:t>3</w:t>
      </w:r>
      <w:r w:rsidRPr="00AB5793">
        <w:rPr>
          <w:rFonts w:cs="Times New Roman"/>
          <w:sz w:val="16"/>
          <w:szCs w:val="16"/>
        </w:rPr>
        <w:t>) un citas atmosfēras gāzveida sastāvdaļas (gan dabiskas, gan antropogēnas), kas absorbē un reemitē infrasarkano starojumu;</w:t>
      </w:r>
    </w:p>
  </w:footnote>
  <w:footnote w:id="9">
    <w:p w14:paraId="6446FE66" w14:textId="77777777" w:rsidR="001649ED" w:rsidRPr="00AB5793" w:rsidRDefault="001649ED" w:rsidP="001649ED">
      <w:pPr>
        <w:tabs>
          <w:tab w:val="left" w:pos="284"/>
        </w:tabs>
        <w:spacing w:after="40"/>
        <w:ind w:left="284" w:hanging="284"/>
        <w:jc w:val="both"/>
        <w:rPr>
          <w:rFonts w:eastAsia="Aptos" w:cs="Times New Roman"/>
          <w:sz w:val="16"/>
          <w:szCs w:val="16"/>
        </w:rPr>
      </w:pPr>
      <w:r w:rsidRPr="00AB5793">
        <w:rPr>
          <w:rStyle w:val="FootnoteReference"/>
          <w:rFonts w:cs="Times New Roman"/>
          <w:sz w:val="16"/>
          <w:szCs w:val="16"/>
        </w:rPr>
        <w:footnoteRef/>
      </w:r>
      <w:r w:rsidRPr="00AB5793">
        <w:rPr>
          <w:rFonts w:cs="Times New Roman"/>
          <w:sz w:val="16"/>
          <w:szCs w:val="16"/>
        </w:rPr>
        <w:t xml:space="preserve"> </w:t>
      </w:r>
      <w:r w:rsidRPr="00AB5793">
        <w:rPr>
          <w:rFonts w:cs="Times New Roman"/>
          <w:sz w:val="16"/>
          <w:szCs w:val="16"/>
        </w:rPr>
        <w:tab/>
      </w:r>
      <w:r w:rsidRPr="00AB5793">
        <w:rPr>
          <w:rFonts w:eastAsia="Aptos" w:cs="Times New Roman"/>
          <w:sz w:val="16"/>
          <w:szCs w:val="16"/>
        </w:rPr>
        <w:t>Valsts vides dienesta reģionālās vides pārvaldes pēc iekārtas darbības vietas izsniedz SEG atļaujas, kuras publiski ir pieejamas </w:t>
      </w:r>
      <w:hyperlink r:id="rId6" w:history="1">
        <w:r w:rsidRPr="00AB5793">
          <w:rPr>
            <w:rFonts w:eastAsia="Aptos" w:cs="Times New Roman"/>
            <w:color w:val="467886"/>
            <w:sz w:val="16"/>
            <w:szCs w:val="16"/>
            <w:u w:val="single"/>
          </w:rPr>
          <w:t>Valsts vides dienesta tīmekļa vietnē</w:t>
        </w:r>
      </w:hyperlink>
      <w:r w:rsidRPr="00AB5793">
        <w:rPr>
          <w:rFonts w:eastAsia="Aptos" w:cs="Times New Roman"/>
          <w:sz w:val="16"/>
          <w:szCs w:val="16"/>
        </w:rPr>
        <w:t>.</w:t>
      </w:r>
    </w:p>
  </w:footnote>
  <w:footnote w:id="10">
    <w:p w14:paraId="129A6ABA" w14:textId="77777777" w:rsidR="001649ED" w:rsidRPr="00F51111" w:rsidRDefault="001649ED" w:rsidP="001649ED">
      <w:pPr>
        <w:tabs>
          <w:tab w:val="left" w:pos="284"/>
        </w:tabs>
        <w:spacing w:after="40"/>
        <w:ind w:left="284" w:hanging="284"/>
        <w:jc w:val="both"/>
        <w:rPr>
          <w:rFonts w:cs="Times New Roman"/>
          <w:sz w:val="16"/>
          <w:szCs w:val="16"/>
        </w:rPr>
      </w:pPr>
      <w:r w:rsidRPr="00AB5793">
        <w:rPr>
          <w:rStyle w:val="FootnoteReference"/>
          <w:rFonts w:cs="Times New Roman"/>
          <w:sz w:val="16"/>
          <w:szCs w:val="16"/>
        </w:rPr>
        <w:footnoteRef/>
      </w:r>
      <w:r w:rsidRPr="00AB5793">
        <w:rPr>
          <w:rFonts w:cs="Times New Roman"/>
          <w:sz w:val="16"/>
          <w:szCs w:val="16"/>
        </w:rPr>
        <w:t xml:space="preserve"> </w:t>
      </w:r>
      <w:r w:rsidRPr="00AB5793">
        <w:rPr>
          <w:rFonts w:cs="Times New Roman"/>
          <w:sz w:val="16"/>
          <w:szCs w:val="16"/>
        </w:rPr>
        <w:tab/>
        <w:t>Eiropas Parlamenta un Padomes 2023. gada 10. maija Direktīva 2023/959/ES, ar ko groza Direktīvu 2003/87/EK, ar kuru nosaka sistēmu siltumnīcas efektu izraisošo gāzu emisijas kvotu tirdzniecībai Savienībā, un Lēmumu (ES) 2015/1814 par Savienības siltumnīcefekta gāzu emisijas kvotu tirdzniecības</w:t>
      </w:r>
      <w:r w:rsidRPr="00F51111">
        <w:rPr>
          <w:rFonts w:cs="Times New Roman"/>
          <w:sz w:val="16"/>
          <w:szCs w:val="16"/>
        </w:rPr>
        <w:t xml:space="preserve"> sistēmas tirgus stabilitātes rezerves izveidi un darbību</w:t>
      </w:r>
    </w:p>
  </w:footnote>
  <w:footnote w:id="11">
    <w:p w14:paraId="1908FAE5" w14:textId="5D4E698F" w:rsidR="00BD0555" w:rsidRPr="002C3160" w:rsidRDefault="00BD0555" w:rsidP="002C3160">
      <w:pPr>
        <w:pStyle w:val="FootnoteText"/>
        <w:tabs>
          <w:tab w:val="left" w:pos="284"/>
        </w:tabs>
        <w:ind w:left="284" w:hanging="284"/>
        <w:jc w:val="both"/>
        <w:rPr>
          <w:sz w:val="16"/>
          <w:szCs w:val="16"/>
        </w:rPr>
      </w:pPr>
      <w:r w:rsidRPr="002C3160">
        <w:rPr>
          <w:rStyle w:val="FootnoteReference"/>
          <w:sz w:val="16"/>
          <w:szCs w:val="16"/>
        </w:rPr>
        <w:footnoteRef/>
      </w:r>
      <w:r w:rsidRPr="002C3160">
        <w:rPr>
          <w:sz w:val="16"/>
          <w:szCs w:val="16"/>
        </w:rPr>
        <w:t xml:space="preserve"> </w:t>
      </w:r>
      <w:r w:rsidR="002C3160">
        <w:rPr>
          <w:sz w:val="16"/>
          <w:szCs w:val="16"/>
        </w:rPr>
        <w:tab/>
      </w:r>
      <w:r w:rsidR="009629BD" w:rsidRPr="002C3160">
        <w:rPr>
          <w:sz w:val="16"/>
          <w:szCs w:val="16"/>
        </w:rPr>
        <w:t>Padomes Direktīva 2003/96/EK (2003. gada 27. oktobris), kas pārkārto Kopienas noteikumus par nodokļu uzlikšanu energoproduktiem un elektroenerģijai</w:t>
      </w:r>
      <w:r w:rsidR="000C678C">
        <w:rPr>
          <w:sz w:val="16"/>
          <w:szCs w:val="16"/>
        </w:rPr>
        <w:t>.</w:t>
      </w:r>
    </w:p>
  </w:footnote>
  <w:footnote w:id="12">
    <w:p w14:paraId="7987F411" w14:textId="6D18C27F" w:rsidR="00DE7BE8" w:rsidRPr="0018535B" w:rsidRDefault="00DE7BE8" w:rsidP="0018535B">
      <w:pPr>
        <w:pStyle w:val="FootnoteText"/>
        <w:ind w:left="284" w:hanging="284"/>
        <w:jc w:val="both"/>
        <w:rPr>
          <w:sz w:val="16"/>
          <w:szCs w:val="16"/>
        </w:rPr>
      </w:pPr>
      <w:r w:rsidRPr="0018535B">
        <w:rPr>
          <w:rStyle w:val="FootnoteReference"/>
          <w:sz w:val="16"/>
          <w:szCs w:val="16"/>
        </w:rPr>
        <w:footnoteRef/>
      </w:r>
      <w:r w:rsidRPr="0018535B">
        <w:rPr>
          <w:sz w:val="16"/>
          <w:szCs w:val="16"/>
        </w:rPr>
        <w:t xml:space="preserve"> </w:t>
      </w:r>
      <w:r w:rsidR="0018535B">
        <w:rPr>
          <w:sz w:val="16"/>
          <w:szCs w:val="16"/>
        </w:rPr>
        <w:tab/>
      </w:r>
      <w:r w:rsidRPr="0018535B">
        <w:rPr>
          <w:b/>
          <w:bCs/>
          <w:color w:val="FF0000"/>
          <w:sz w:val="16"/>
          <w:szCs w:val="16"/>
        </w:rPr>
        <w:t>25,5%</w:t>
      </w:r>
      <w:r w:rsidRPr="0018535B">
        <w:rPr>
          <w:color w:val="FF0000"/>
          <w:sz w:val="16"/>
          <w:szCs w:val="16"/>
        </w:rPr>
        <w:t xml:space="preserve"> </w:t>
      </w:r>
      <w:r w:rsidRPr="0018535B">
        <w:rPr>
          <w:sz w:val="16"/>
          <w:szCs w:val="16"/>
        </w:rPr>
        <w:t xml:space="preserve">IIN likme tiks piemērota dividendēm, kuras jau līdz šim bija apliekamas ar IIN: dividendes, par kurām nav samaksāts UIN saskaņā ar </w:t>
      </w:r>
      <w:r w:rsidRPr="0018535B">
        <w:rPr>
          <w:i/>
          <w:iCs/>
          <w:sz w:val="16"/>
          <w:szCs w:val="16"/>
        </w:rPr>
        <w:t>Uzņēmumu ienākuma nodokļa likumu</w:t>
      </w:r>
      <w:r w:rsidRPr="0018535B">
        <w:rPr>
          <w:sz w:val="16"/>
          <w:szCs w:val="16"/>
        </w:rPr>
        <w:t xml:space="preserve"> (</w:t>
      </w:r>
      <w:r w:rsidR="000C1BDD" w:rsidRPr="0018535B">
        <w:rPr>
          <w:sz w:val="16"/>
          <w:szCs w:val="16"/>
        </w:rPr>
        <w:t>t.sk.</w:t>
      </w:r>
      <w:r w:rsidRPr="0018535B">
        <w:rPr>
          <w:sz w:val="16"/>
          <w:szCs w:val="16"/>
        </w:rPr>
        <w:t xml:space="preserve"> “vecās” dividendes no peļņas, kura radusies līdz 2017. gada 31. decembrim), kā arī dividendes, par kurām ārvalstī nav samaksāts UIN (vai tam pielīdzināms nodoklis) vai no kurām nav ieturēts IIN (vai tam pielīdzināms nodoklis).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8E1FF" w14:textId="77777777" w:rsidR="00CA7C4C" w:rsidRPr="008B6757" w:rsidRDefault="00CA7C4C">
    <w:pPr>
      <w:pStyle w:val="Header"/>
      <w:rPr>
        <w:b/>
      </w:rPr>
    </w:pPr>
    <w:r w:rsidRPr="008B6757">
      <w:rPr>
        <w:b/>
      </w:rPr>
      <w:ptab w:relativeTo="margin" w:alignment="center" w:leader="none"/>
    </w:r>
    <w:r w:rsidRPr="008B6757">
      <w:rPr>
        <w:b/>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8CA26" w14:textId="77777777" w:rsidR="00CA7C4C" w:rsidRDefault="00CA7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69BB"/>
    <w:multiLevelType w:val="hybridMultilevel"/>
    <w:tmpl w:val="10EED5BA"/>
    <w:lvl w:ilvl="0" w:tplc="DECA918E">
      <w:start w:val="1"/>
      <w:numFmt w:val="bullet"/>
      <w:lvlText w:val="-"/>
      <w:lvlJc w:val="left"/>
      <w:pPr>
        <w:tabs>
          <w:tab w:val="num" w:pos="720"/>
        </w:tabs>
        <w:ind w:left="720" w:hanging="360"/>
      </w:pPr>
      <w:rPr>
        <w:rFonts w:ascii="Arial" w:hAnsi="Arial" w:hint="default"/>
      </w:rPr>
    </w:lvl>
    <w:lvl w:ilvl="1" w:tplc="81284C54" w:tentative="1">
      <w:start w:val="1"/>
      <w:numFmt w:val="bullet"/>
      <w:lvlText w:val="-"/>
      <w:lvlJc w:val="left"/>
      <w:pPr>
        <w:tabs>
          <w:tab w:val="num" w:pos="1440"/>
        </w:tabs>
        <w:ind w:left="1440" w:hanging="360"/>
      </w:pPr>
      <w:rPr>
        <w:rFonts w:ascii="Arial" w:hAnsi="Arial" w:hint="default"/>
      </w:rPr>
    </w:lvl>
    <w:lvl w:ilvl="2" w:tplc="B3821092" w:tentative="1">
      <w:start w:val="1"/>
      <w:numFmt w:val="bullet"/>
      <w:lvlText w:val="-"/>
      <w:lvlJc w:val="left"/>
      <w:pPr>
        <w:tabs>
          <w:tab w:val="num" w:pos="2160"/>
        </w:tabs>
        <w:ind w:left="2160" w:hanging="360"/>
      </w:pPr>
      <w:rPr>
        <w:rFonts w:ascii="Arial" w:hAnsi="Arial" w:hint="default"/>
      </w:rPr>
    </w:lvl>
    <w:lvl w:ilvl="3" w:tplc="32D47EBA" w:tentative="1">
      <w:start w:val="1"/>
      <w:numFmt w:val="bullet"/>
      <w:lvlText w:val="-"/>
      <w:lvlJc w:val="left"/>
      <w:pPr>
        <w:tabs>
          <w:tab w:val="num" w:pos="2880"/>
        </w:tabs>
        <w:ind w:left="2880" w:hanging="360"/>
      </w:pPr>
      <w:rPr>
        <w:rFonts w:ascii="Arial" w:hAnsi="Arial" w:hint="default"/>
      </w:rPr>
    </w:lvl>
    <w:lvl w:ilvl="4" w:tplc="0DE0A266" w:tentative="1">
      <w:start w:val="1"/>
      <w:numFmt w:val="bullet"/>
      <w:lvlText w:val="-"/>
      <w:lvlJc w:val="left"/>
      <w:pPr>
        <w:tabs>
          <w:tab w:val="num" w:pos="3600"/>
        </w:tabs>
        <w:ind w:left="3600" w:hanging="360"/>
      </w:pPr>
      <w:rPr>
        <w:rFonts w:ascii="Arial" w:hAnsi="Arial" w:hint="default"/>
      </w:rPr>
    </w:lvl>
    <w:lvl w:ilvl="5" w:tplc="9AA88E1C" w:tentative="1">
      <w:start w:val="1"/>
      <w:numFmt w:val="bullet"/>
      <w:lvlText w:val="-"/>
      <w:lvlJc w:val="left"/>
      <w:pPr>
        <w:tabs>
          <w:tab w:val="num" w:pos="4320"/>
        </w:tabs>
        <w:ind w:left="4320" w:hanging="360"/>
      </w:pPr>
      <w:rPr>
        <w:rFonts w:ascii="Arial" w:hAnsi="Arial" w:hint="default"/>
      </w:rPr>
    </w:lvl>
    <w:lvl w:ilvl="6" w:tplc="2B42E2A8" w:tentative="1">
      <w:start w:val="1"/>
      <w:numFmt w:val="bullet"/>
      <w:lvlText w:val="-"/>
      <w:lvlJc w:val="left"/>
      <w:pPr>
        <w:tabs>
          <w:tab w:val="num" w:pos="5040"/>
        </w:tabs>
        <w:ind w:left="5040" w:hanging="360"/>
      </w:pPr>
      <w:rPr>
        <w:rFonts w:ascii="Arial" w:hAnsi="Arial" w:hint="default"/>
      </w:rPr>
    </w:lvl>
    <w:lvl w:ilvl="7" w:tplc="D514F734" w:tentative="1">
      <w:start w:val="1"/>
      <w:numFmt w:val="bullet"/>
      <w:lvlText w:val="-"/>
      <w:lvlJc w:val="left"/>
      <w:pPr>
        <w:tabs>
          <w:tab w:val="num" w:pos="5760"/>
        </w:tabs>
        <w:ind w:left="5760" w:hanging="360"/>
      </w:pPr>
      <w:rPr>
        <w:rFonts w:ascii="Arial" w:hAnsi="Arial" w:hint="default"/>
      </w:rPr>
    </w:lvl>
    <w:lvl w:ilvl="8" w:tplc="27D0B1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961885"/>
    <w:multiLevelType w:val="hybridMultilevel"/>
    <w:tmpl w:val="AF144778"/>
    <w:lvl w:ilvl="0" w:tplc="9BB017B0">
      <w:start w:val="1"/>
      <w:numFmt w:val="bullet"/>
      <w:lvlText w:val="-"/>
      <w:lvlJc w:val="left"/>
      <w:pPr>
        <w:ind w:left="1287" w:hanging="360"/>
      </w:pPr>
      <w:rPr>
        <w:rFonts w:ascii="Times New Roman" w:hAnsi="Times New Roman" w:cs="Times New Roman" w:hint="default"/>
        <w:color w:val="auto"/>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05B80B9A"/>
    <w:multiLevelType w:val="hybridMultilevel"/>
    <w:tmpl w:val="A8B6EBB8"/>
    <w:lvl w:ilvl="0" w:tplc="9BB017B0">
      <w:start w:val="1"/>
      <w:numFmt w:val="bullet"/>
      <w:lvlText w:val="-"/>
      <w:lvlJc w:val="left"/>
      <w:pPr>
        <w:ind w:left="720" w:hanging="360"/>
      </w:pPr>
      <w:rPr>
        <w:rFonts w:ascii="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491B0A"/>
    <w:multiLevelType w:val="hybridMultilevel"/>
    <w:tmpl w:val="9208DBD6"/>
    <w:lvl w:ilvl="0" w:tplc="262A663E">
      <w:start w:val="1"/>
      <w:numFmt w:val="decimal"/>
      <w:lvlText w:val="%1"/>
      <w:lvlJc w:val="left"/>
      <w:pPr>
        <w:ind w:left="720" w:hanging="360"/>
      </w:pPr>
      <w:rPr>
        <w:rFonts w:hint="default"/>
        <w:vertAlign w:val="superscrip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510702"/>
    <w:multiLevelType w:val="hybridMultilevel"/>
    <w:tmpl w:val="CC2C39FA"/>
    <w:lvl w:ilvl="0" w:tplc="9BB017B0">
      <w:start w:val="1"/>
      <w:numFmt w:val="bullet"/>
      <w:lvlText w:val="-"/>
      <w:lvlJc w:val="left"/>
      <w:pPr>
        <w:ind w:left="3479" w:hanging="360"/>
      </w:pPr>
      <w:rPr>
        <w:rFonts w:ascii="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F51C8A"/>
    <w:multiLevelType w:val="hybridMultilevel"/>
    <w:tmpl w:val="05C0EEBC"/>
    <w:lvl w:ilvl="0" w:tplc="9BB017B0">
      <w:start w:val="1"/>
      <w:numFmt w:val="bullet"/>
      <w:lvlText w:val="-"/>
      <w:lvlJc w:val="left"/>
      <w:pPr>
        <w:ind w:left="720" w:hanging="360"/>
      </w:pPr>
      <w:rPr>
        <w:rFonts w:ascii="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20D3CEE"/>
    <w:multiLevelType w:val="hybridMultilevel"/>
    <w:tmpl w:val="DC206ECE"/>
    <w:lvl w:ilvl="0" w:tplc="7C06700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BD0BE4"/>
    <w:multiLevelType w:val="hybridMultilevel"/>
    <w:tmpl w:val="61600FE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6EE4DC0"/>
    <w:multiLevelType w:val="hybridMultilevel"/>
    <w:tmpl w:val="0AC20302"/>
    <w:lvl w:ilvl="0" w:tplc="9BB017B0">
      <w:start w:val="1"/>
      <w:numFmt w:val="bullet"/>
      <w:lvlText w:val="-"/>
      <w:lvlJc w:val="left"/>
      <w:pPr>
        <w:ind w:left="720" w:hanging="360"/>
      </w:pPr>
      <w:rPr>
        <w:rFonts w:ascii="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0A3171D"/>
    <w:multiLevelType w:val="hybridMultilevel"/>
    <w:tmpl w:val="5378A654"/>
    <w:lvl w:ilvl="0" w:tplc="0426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4AA1B88"/>
    <w:multiLevelType w:val="hybridMultilevel"/>
    <w:tmpl w:val="3894D870"/>
    <w:lvl w:ilvl="0" w:tplc="CDD4C5D0">
      <w:start w:val="3"/>
      <w:numFmt w:val="decimal"/>
      <w:lvlText w:val="%1"/>
      <w:lvlJc w:val="left"/>
      <w:pPr>
        <w:ind w:left="720" w:hanging="360"/>
      </w:pPr>
      <w:rPr>
        <w:rFonts w:hint="default"/>
        <w:b w:val="0"/>
        <w:b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8C80E16"/>
    <w:multiLevelType w:val="hybridMultilevel"/>
    <w:tmpl w:val="9A089394"/>
    <w:lvl w:ilvl="0" w:tplc="7FB48848">
      <w:start w:val="1"/>
      <w:numFmt w:val="decimal"/>
      <w:lvlText w:val="%1)"/>
      <w:lvlJc w:val="left"/>
      <w:pPr>
        <w:ind w:left="1173" w:hanging="570"/>
      </w:pPr>
      <w:rPr>
        <w:rFonts w:hint="default"/>
        <w:color w:val="000000" w:themeColor="text1"/>
      </w:rPr>
    </w:lvl>
    <w:lvl w:ilvl="1" w:tplc="252C8412">
      <w:numFmt w:val="bullet"/>
      <w:lvlText w:val="–"/>
      <w:lvlJc w:val="left"/>
      <w:pPr>
        <w:ind w:left="1683" w:hanging="360"/>
      </w:pPr>
      <w:rPr>
        <w:rFonts w:ascii="Times New Roman" w:eastAsia="Calibri" w:hAnsi="Times New Roman" w:cs="Times New Roman" w:hint="default"/>
        <w:b w:val="0"/>
      </w:rPr>
    </w:lvl>
    <w:lvl w:ilvl="2" w:tplc="0426001B" w:tentative="1">
      <w:start w:val="1"/>
      <w:numFmt w:val="lowerRoman"/>
      <w:lvlText w:val="%3."/>
      <w:lvlJc w:val="right"/>
      <w:pPr>
        <w:ind w:left="2403" w:hanging="180"/>
      </w:pPr>
    </w:lvl>
    <w:lvl w:ilvl="3" w:tplc="0426000F" w:tentative="1">
      <w:start w:val="1"/>
      <w:numFmt w:val="decimal"/>
      <w:lvlText w:val="%4."/>
      <w:lvlJc w:val="left"/>
      <w:pPr>
        <w:ind w:left="3123" w:hanging="360"/>
      </w:pPr>
    </w:lvl>
    <w:lvl w:ilvl="4" w:tplc="04260019" w:tentative="1">
      <w:start w:val="1"/>
      <w:numFmt w:val="lowerLetter"/>
      <w:lvlText w:val="%5."/>
      <w:lvlJc w:val="left"/>
      <w:pPr>
        <w:ind w:left="3843" w:hanging="360"/>
      </w:pPr>
    </w:lvl>
    <w:lvl w:ilvl="5" w:tplc="0426001B" w:tentative="1">
      <w:start w:val="1"/>
      <w:numFmt w:val="lowerRoman"/>
      <w:lvlText w:val="%6."/>
      <w:lvlJc w:val="right"/>
      <w:pPr>
        <w:ind w:left="4563" w:hanging="180"/>
      </w:pPr>
    </w:lvl>
    <w:lvl w:ilvl="6" w:tplc="0426000F" w:tentative="1">
      <w:start w:val="1"/>
      <w:numFmt w:val="decimal"/>
      <w:lvlText w:val="%7."/>
      <w:lvlJc w:val="left"/>
      <w:pPr>
        <w:ind w:left="5283" w:hanging="360"/>
      </w:pPr>
    </w:lvl>
    <w:lvl w:ilvl="7" w:tplc="04260019" w:tentative="1">
      <w:start w:val="1"/>
      <w:numFmt w:val="lowerLetter"/>
      <w:lvlText w:val="%8."/>
      <w:lvlJc w:val="left"/>
      <w:pPr>
        <w:ind w:left="6003" w:hanging="360"/>
      </w:pPr>
    </w:lvl>
    <w:lvl w:ilvl="8" w:tplc="0426001B" w:tentative="1">
      <w:start w:val="1"/>
      <w:numFmt w:val="lowerRoman"/>
      <w:lvlText w:val="%9."/>
      <w:lvlJc w:val="right"/>
      <w:pPr>
        <w:ind w:left="6723" w:hanging="180"/>
      </w:pPr>
    </w:lvl>
  </w:abstractNum>
  <w:abstractNum w:abstractNumId="12" w15:restartNumberingAfterBreak="0">
    <w:nsid w:val="39367FF1"/>
    <w:multiLevelType w:val="hybridMultilevel"/>
    <w:tmpl w:val="9A089394"/>
    <w:lvl w:ilvl="0" w:tplc="FFFFFFFF">
      <w:start w:val="1"/>
      <w:numFmt w:val="decimal"/>
      <w:lvlText w:val="%1)"/>
      <w:lvlJc w:val="left"/>
      <w:pPr>
        <w:ind w:left="1173" w:hanging="570"/>
      </w:pPr>
      <w:rPr>
        <w:rFonts w:hint="default"/>
        <w:color w:val="000000" w:themeColor="text1"/>
      </w:rPr>
    </w:lvl>
    <w:lvl w:ilvl="1" w:tplc="FFFFFFFF">
      <w:numFmt w:val="bullet"/>
      <w:lvlText w:val="–"/>
      <w:lvlJc w:val="left"/>
      <w:pPr>
        <w:ind w:left="1683" w:hanging="360"/>
      </w:pPr>
      <w:rPr>
        <w:rFonts w:ascii="Times New Roman" w:eastAsia="Calibri" w:hAnsi="Times New Roman" w:cs="Times New Roman" w:hint="default"/>
        <w:b w:val="0"/>
      </w:rPr>
    </w:lvl>
    <w:lvl w:ilvl="2" w:tplc="FFFFFFFF" w:tentative="1">
      <w:start w:val="1"/>
      <w:numFmt w:val="lowerRoman"/>
      <w:lvlText w:val="%3."/>
      <w:lvlJc w:val="right"/>
      <w:pPr>
        <w:ind w:left="2403" w:hanging="180"/>
      </w:pPr>
    </w:lvl>
    <w:lvl w:ilvl="3" w:tplc="FFFFFFFF" w:tentative="1">
      <w:start w:val="1"/>
      <w:numFmt w:val="decimal"/>
      <w:lvlText w:val="%4."/>
      <w:lvlJc w:val="left"/>
      <w:pPr>
        <w:ind w:left="3123" w:hanging="360"/>
      </w:pPr>
    </w:lvl>
    <w:lvl w:ilvl="4" w:tplc="FFFFFFFF" w:tentative="1">
      <w:start w:val="1"/>
      <w:numFmt w:val="lowerLetter"/>
      <w:lvlText w:val="%5."/>
      <w:lvlJc w:val="left"/>
      <w:pPr>
        <w:ind w:left="3843" w:hanging="360"/>
      </w:pPr>
    </w:lvl>
    <w:lvl w:ilvl="5" w:tplc="FFFFFFFF" w:tentative="1">
      <w:start w:val="1"/>
      <w:numFmt w:val="lowerRoman"/>
      <w:lvlText w:val="%6."/>
      <w:lvlJc w:val="right"/>
      <w:pPr>
        <w:ind w:left="4563" w:hanging="180"/>
      </w:pPr>
    </w:lvl>
    <w:lvl w:ilvl="6" w:tplc="FFFFFFFF" w:tentative="1">
      <w:start w:val="1"/>
      <w:numFmt w:val="decimal"/>
      <w:lvlText w:val="%7."/>
      <w:lvlJc w:val="left"/>
      <w:pPr>
        <w:ind w:left="5283" w:hanging="360"/>
      </w:pPr>
    </w:lvl>
    <w:lvl w:ilvl="7" w:tplc="FFFFFFFF" w:tentative="1">
      <w:start w:val="1"/>
      <w:numFmt w:val="lowerLetter"/>
      <w:lvlText w:val="%8."/>
      <w:lvlJc w:val="left"/>
      <w:pPr>
        <w:ind w:left="6003" w:hanging="360"/>
      </w:pPr>
    </w:lvl>
    <w:lvl w:ilvl="8" w:tplc="FFFFFFFF" w:tentative="1">
      <w:start w:val="1"/>
      <w:numFmt w:val="lowerRoman"/>
      <w:lvlText w:val="%9."/>
      <w:lvlJc w:val="right"/>
      <w:pPr>
        <w:ind w:left="6723" w:hanging="180"/>
      </w:pPr>
    </w:lvl>
  </w:abstractNum>
  <w:abstractNum w:abstractNumId="13" w15:restartNumberingAfterBreak="0">
    <w:nsid w:val="3BCB2D6E"/>
    <w:multiLevelType w:val="hybridMultilevel"/>
    <w:tmpl w:val="02CC91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C1537B1"/>
    <w:multiLevelType w:val="hybridMultilevel"/>
    <w:tmpl w:val="A656CA9E"/>
    <w:lvl w:ilvl="0" w:tplc="90DE1F7E">
      <w:start w:val="1"/>
      <w:numFmt w:val="decimal"/>
      <w:lvlText w:val="%1)"/>
      <w:lvlJc w:val="left"/>
      <w:pPr>
        <w:ind w:left="720" w:hanging="360"/>
      </w:pPr>
      <w:rPr>
        <w:rFonts w:eastAsiaTheme="minorHAnsi" w:cstheme="minorBid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E93485A"/>
    <w:multiLevelType w:val="multilevel"/>
    <w:tmpl w:val="F140E66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3EE35D6F"/>
    <w:multiLevelType w:val="hybridMultilevel"/>
    <w:tmpl w:val="79CAA344"/>
    <w:lvl w:ilvl="0" w:tplc="EACE9FF4">
      <w:start w:val="1"/>
      <w:numFmt w:val="bullet"/>
      <w:lvlText w:val="-"/>
      <w:lvlJc w:val="left"/>
      <w:pPr>
        <w:tabs>
          <w:tab w:val="num" w:pos="720"/>
        </w:tabs>
        <w:ind w:left="720" w:hanging="360"/>
      </w:pPr>
      <w:rPr>
        <w:rFonts w:ascii="Arial" w:hAnsi="Arial" w:hint="default"/>
      </w:rPr>
    </w:lvl>
    <w:lvl w:ilvl="1" w:tplc="DFB60934" w:tentative="1">
      <w:start w:val="1"/>
      <w:numFmt w:val="bullet"/>
      <w:lvlText w:val="-"/>
      <w:lvlJc w:val="left"/>
      <w:pPr>
        <w:tabs>
          <w:tab w:val="num" w:pos="1440"/>
        </w:tabs>
        <w:ind w:left="1440" w:hanging="360"/>
      </w:pPr>
      <w:rPr>
        <w:rFonts w:ascii="Arial" w:hAnsi="Arial" w:hint="default"/>
      </w:rPr>
    </w:lvl>
    <w:lvl w:ilvl="2" w:tplc="51FCAEB4" w:tentative="1">
      <w:start w:val="1"/>
      <w:numFmt w:val="bullet"/>
      <w:lvlText w:val="-"/>
      <w:lvlJc w:val="left"/>
      <w:pPr>
        <w:tabs>
          <w:tab w:val="num" w:pos="2160"/>
        </w:tabs>
        <w:ind w:left="2160" w:hanging="360"/>
      </w:pPr>
      <w:rPr>
        <w:rFonts w:ascii="Arial" w:hAnsi="Arial" w:hint="default"/>
      </w:rPr>
    </w:lvl>
    <w:lvl w:ilvl="3" w:tplc="DF64B34E" w:tentative="1">
      <w:start w:val="1"/>
      <w:numFmt w:val="bullet"/>
      <w:lvlText w:val="-"/>
      <w:lvlJc w:val="left"/>
      <w:pPr>
        <w:tabs>
          <w:tab w:val="num" w:pos="2880"/>
        </w:tabs>
        <w:ind w:left="2880" w:hanging="360"/>
      </w:pPr>
      <w:rPr>
        <w:rFonts w:ascii="Arial" w:hAnsi="Arial" w:hint="default"/>
      </w:rPr>
    </w:lvl>
    <w:lvl w:ilvl="4" w:tplc="2CD41012" w:tentative="1">
      <w:start w:val="1"/>
      <w:numFmt w:val="bullet"/>
      <w:lvlText w:val="-"/>
      <w:lvlJc w:val="left"/>
      <w:pPr>
        <w:tabs>
          <w:tab w:val="num" w:pos="3600"/>
        </w:tabs>
        <w:ind w:left="3600" w:hanging="360"/>
      </w:pPr>
      <w:rPr>
        <w:rFonts w:ascii="Arial" w:hAnsi="Arial" w:hint="default"/>
      </w:rPr>
    </w:lvl>
    <w:lvl w:ilvl="5" w:tplc="F7F64056" w:tentative="1">
      <w:start w:val="1"/>
      <w:numFmt w:val="bullet"/>
      <w:lvlText w:val="-"/>
      <w:lvlJc w:val="left"/>
      <w:pPr>
        <w:tabs>
          <w:tab w:val="num" w:pos="4320"/>
        </w:tabs>
        <w:ind w:left="4320" w:hanging="360"/>
      </w:pPr>
      <w:rPr>
        <w:rFonts w:ascii="Arial" w:hAnsi="Arial" w:hint="default"/>
      </w:rPr>
    </w:lvl>
    <w:lvl w:ilvl="6" w:tplc="AE709038" w:tentative="1">
      <w:start w:val="1"/>
      <w:numFmt w:val="bullet"/>
      <w:lvlText w:val="-"/>
      <w:lvlJc w:val="left"/>
      <w:pPr>
        <w:tabs>
          <w:tab w:val="num" w:pos="5040"/>
        </w:tabs>
        <w:ind w:left="5040" w:hanging="360"/>
      </w:pPr>
      <w:rPr>
        <w:rFonts w:ascii="Arial" w:hAnsi="Arial" w:hint="default"/>
      </w:rPr>
    </w:lvl>
    <w:lvl w:ilvl="7" w:tplc="3850E460" w:tentative="1">
      <w:start w:val="1"/>
      <w:numFmt w:val="bullet"/>
      <w:lvlText w:val="-"/>
      <w:lvlJc w:val="left"/>
      <w:pPr>
        <w:tabs>
          <w:tab w:val="num" w:pos="5760"/>
        </w:tabs>
        <w:ind w:left="5760" w:hanging="360"/>
      </w:pPr>
      <w:rPr>
        <w:rFonts w:ascii="Arial" w:hAnsi="Arial" w:hint="default"/>
      </w:rPr>
    </w:lvl>
    <w:lvl w:ilvl="8" w:tplc="D55A86D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8B744F"/>
    <w:multiLevelType w:val="multilevel"/>
    <w:tmpl w:val="60B2241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514C0813"/>
    <w:multiLevelType w:val="hybridMultilevel"/>
    <w:tmpl w:val="6EE6D23C"/>
    <w:lvl w:ilvl="0" w:tplc="7AB4C2FA">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55EB5F75"/>
    <w:multiLevelType w:val="hybridMultilevel"/>
    <w:tmpl w:val="8AAEA1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78D7D54"/>
    <w:multiLevelType w:val="hybridMultilevel"/>
    <w:tmpl w:val="231E9F24"/>
    <w:lvl w:ilvl="0" w:tplc="C520EDE0">
      <w:start w:val="2"/>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25B01B8"/>
    <w:multiLevelType w:val="multilevel"/>
    <w:tmpl w:val="5280771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3D6AFE"/>
    <w:multiLevelType w:val="hybridMultilevel"/>
    <w:tmpl w:val="BF60617C"/>
    <w:lvl w:ilvl="0" w:tplc="9BB017B0">
      <w:start w:val="1"/>
      <w:numFmt w:val="bullet"/>
      <w:lvlText w:val="-"/>
      <w:lvlJc w:val="left"/>
      <w:pPr>
        <w:ind w:left="1500" w:hanging="360"/>
      </w:pPr>
      <w:rPr>
        <w:rFonts w:ascii="Times New Roman" w:hAnsi="Times New Roman" w:cs="Times New Roman" w:hint="default"/>
        <w:color w:val="auto"/>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3" w15:restartNumberingAfterBreak="0">
    <w:nsid w:val="6795086F"/>
    <w:multiLevelType w:val="hybridMultilevel"/>
    <w:tmpl w:val="90BCF56C"/>
    <w:lvl w:ilvl="0" w:tplc="C20CDB44">
      <w:start w:val="1"/>
      <w:numFmt w:val="decimal"/>
      <w:lvlText w:val="%1)"/>
      <w:lvlJc w:val="left"/>
      <w:pPr>
        <w:ind w:left="1069" w:hanging="360"/>
      </w:pPr>
      <w:rPr>
        <w:rFonts w:hint="default"/>
        <w:i w:val="0"/>
        <w:iCs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69A406AB"/>
    <w:multiLevelType w:val="hybridMultilevel"/>
    <w:tmpl w:val="08062E82"/>
    <w:lvl w:ilvl="0" w:tplc="12A6C4F4">
      <w:start w:val="3"/>
      <w:numFmt w:val="bullet"/>
      <w:lvlText w:val="-"/>
      <w:lvlJc w:val="left"/>
      <w:pPr>
        <w:ind w:left="1893" w:hanging="360"/>
      </w:pPr>
      <w:rPr>
        <w:rFonts w:ascii="Times New Roman" w:eastAsiaTheme="minorHAnsi" w:hAnsi="Times New Roman" w:cs="Times New Roman" w:hint="default"/>
        <w:i/>
        <w:sz w:val="19"/>
      </w:rPr>
    </w:lvl>
    <w:lvl w:ilvl="1" w:tplc="04260003" w:tentative="1">
      <w:start w:val="1"/>
      <w:numFmt w:val="bullet"/>
      <w:lvlText w:val="o"/>
      <w:lvlJc w:val="left"/>
      <w:pPr>
        <w:ind w:left="2613" w:hanging="360"/>
      </w:pPr>
      <w:rPr>
        <w:rFonts w:ascii="Courier New" w:hAnsi="Courier New" w:cs="Courier New" w:hint="default"/>
      </w:rPr>
    </w:lvl>
    <w:lvl w:ilvl="2" w:tplc="04260005" w:tentative="1">
      <w:start w:val="1"/>
      <w:numFmt w:val="bullet"/>
      <w:lvlText w:val=""/>
      <w:lvlJc w:val="left"/>
      <w:pPr>
        <w:ind w:left="3333" w:hanging="360"/>
      </w:pPr>
      <w:rPr>
        <w:rFonts w:ascii="Wingdings" w:hAnsi="Wingdings" w:hint="default"/>
      </w:rPr>
    </w:lvl>
    <w:lvl w:ilvl="3" w:tplc="04260001" w:tentative="1">
      <w:start w:val="1"/>
      <w:numFmt w:val="bullet"/>
      <w:lvlText w:val=""/>
      <w:lvlJc w:val="left"/>
      <w:pPr>
        <w:ind w:left="4053" w:hanging="360"/>
      </w:pPr>
      <w:rPr>
        <w:rFonts w:ascii="Symbol" w:hAnsi="Symbol" w:hint="default"/>
      </w:rPr>
    </w:lvl>
    <w:lvl w:ilvl="4" w:tplc="04260003" w:tentative="1">
      <w:start w:val="1"/>
      <w:numFmt w:val="bullet"/>
      <w:lvlText w:val="o"/>
      <w:lvlJc w:val="left"/>
      <w:pPr>
        <w:ind w:left="4773" w:hanging="360"/>
      </w:pPr>
      <w:rPr>
        <w:rFonts w:ascii="Courier New" w:hAnsi="Courier New" w:cs="Courier New" w:hint="default"/>
      </w:rPr>
    </w:lvl>
    <w:lvl w:ilvl="5" w:tplc="04260005" w:tentative="1">
      <w:start w:val="1"/>
      <w:numFmt w:val="bullet"/>
      <w:lvlText w:val=""/>
      <w:lvlJc w:val="left"/>
      <w:pPr>
        <w:ind w:left="5493" w:hanging="360"/>
      </w:pPr>
      <w:rPr>
        <w:rFonts w:ascii="Wingdings" w:hAnsi="Wingdings" w:hint="default"/>
      </w:rPr>
    </w:lvl>
    <w:lvl w:ilvl="6" w:tplc="04260001" w:tentative="1">
      <w:start w:val="1"/>
      <w:numFmt w:val="bullet"/>
      <w:lvlText w:val=""/>
      <w:lvlJc w:val="left"/>
      <w:pPr>
        <w:ind w:left="6213" w:hanging="360"/>
      </w:pPr>
      <w:rPr>
        <w:rFonts w:ascii="Symbol" w:hAnsi="Symbol" w:hint="default"/>
      </w:rPr>
    </w:lvl>
    <w:lvl w:ilvl="7" w:tplc="04260003" w:tentative="1">
      <w:start w:val="1"/>
      <w:numFmt w:val="bullet"/>
      <w:lvlText w:val="o"/>
      <w:lvlJc w:val="left"/>
      <w:pPr>
        <w:ind w:left="6933" w:hanging="360"/>
      </w:pPr>
      <w:rPr>
        <w:rFonts w:ascii="Courier New" w:hAnsi="Courier New" w:cs="Courier New" w:hint="default"/>
      </w:rPr>
    </w:lvl>
    <w:lvl w:ilvl="8" w:tplc="04260005" w:tentative="1">
      <w:start w:val="1"/>
      <w:numFmt w:val="bullet"/>
      <w:lvlText w:val=""/>
      <w:lvlJc w:val="left"/>
      <w:pPr>
        <w:ind w:left="7653" w:hanging="360"/>
      </w:pPr>
      <w:rPr>
        <w:rFonts w:ascii="Wingdings" w:hAnsi="Wingdings" w:hint="default"/>
      </w:rPr>
    </w:lvl>
  </w:abstractNum>
  <w:abstractNum w:abstractNumId="25" w15:restartNumberingAfterBreak="0">
    <w:nsid w:val="69B63399"/>
    <w:multiLevelType w:val="multilevel"/>
    <w:tmpl w:val="6C86D746"/>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36E1865"/>
    <w:multiLevelType w:val="hybridMultilevel"/>
    <w:tmpl w:val="71A67E1A"/>
    <w:lvl w:ilvl="0" w:tplc="12A6C4F4">
      <w:start w:val="3"/>
      <w:numFmt w:val="bullet"/>
      <w:lvlText w:val="-"/>
      <w:lvlJc w:val="left"/>
      <w:pPr>
        <w:ind w:left="720" w:hanging="360"/>
      </w:pPr>
      <w:rPr>
        <w:rFonts w:ascii="Times New Roman" w:eastAsiaTheme="minorHAnsi" w:hAnsi="Times New Roman" w:cs="Times New Roman" w:hint="default"/>
        <w:i/>
        <w:sz w:val="19"/>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60A3CD0"/>
    <w:multiLevelType w:val="hybridMultilevel"/>
    <w:tmpl w:val="9586D570"/>
    <w:lvl w:ilvl="0" w:tplc="9BB017B0">
      <w:start w:val="1"/>
      <w:numFmt w:val="bullet"/>
      <w:lvlText w:val="-"/>
      <w:lvlJc w:val="left"/>
      <w:pPr>
        <w:ind w:left="720" w:hanging="360"/>
      </w:pPr>
      <w:rPr>
        <w:rFonts w:ascii="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A6D7DD8"/>
    <w:multiLevelType w:val="hybridMultilevel"/>
    <w:tmpl w:val="0C9E80D8"/>
    <w:lvl w:ilvl="0" w:tplc="86841D28">
      <w:start w:val="3"/>
      <w:numFmt w:val="bullet"/>
      <w:lvlText w:val="-"/>
      <w:lvlJc w:val="left"/>
      <w:pPr>
        <w:ind w:left="1080" w:hanging="360"/>
      </w:pPr>
      <w:rPr>
        <w:rFonts w:ascii="Calibri" w:eastAsia="Times New Roman" w:hAnsi="Calibri"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7B08342A"/>
    <w:multiLevelType w:val="hybridMultilevel"/>
    <w:tmpl w:val="D4460928"/>
    <w:lvl w:ilvl="0" w:tplc="BC209DBC">
      <w:start w:val="1"/>
      <w:numFmt w:val="bullet"/>
      <w:lvlText w:val="-"/>
      <w:lvlJc w:val="left"/>
      <w:pPr>
        <w:tabs>
          <w:tab w:val="num" w:pos="720"/>
        </w:tabs>
        <w:ind w:left="720" w:hanging="360"/>
      </w:pPr>
      <w:rPr>
        <w:rFonts w:ascii="Arial" w:hAnsi="Arial" w:hint="default"/>
      </w:rPr>
    </w:lvl>
    <w:lvl w:ilvl="1" w:tplc="C11283A4" w:tentative="1">
      <w:start w:val="1"/>
      <w:numFmt w:val="bullet"/>
      <w:lvlText w:val="-"/>
      <w:lvlJc w:val="left"/>
      <w:pPr>
        <w:tabs>
          <w:tab w:val="num" w:pos="1440"/>
        </w:tabs>
        <w:ind w:left="1440" w:hanging="360"/>
      </w:pPr>
      <w:rPr>
        <w:rFonts w:ascii="Arial" w:hAnsi="Arial" w:hint="default"/>
      </w:rPr>
    </w:lvl>
    <w:lvl w:ilvl="2" w:tplc="D4CC543E" w:tentative="1">
      <w:start w:val="1"/>
      <w:numFmt w:val="bullet"/>
      <w:lvlText w:val="-"/>
      <w:lvlJc w:val="left"/>
      <w:pPr>
        <w:tabs>
          <w:tab w:val="num" w:pos="2160"/>
        </w:tabs>
        <w:ind w:left="2160" w:hanging="360"/>
      </w:pPr>
      <w:rPr>
        <w:rFonts w:ascii="Arial" w:hAnsi="Arial" w:hint="default"/>
      </w:rPr>
    </w:lvl>
    <w:lvl w:ilvl="3" w:tplc="44A258A6" w:tentative="1">
      <w:start w:val="1"/>
      <w:numFmt w:val="bullet"/>
      <w:lvlText w:val="-"/>
      <w:lvlJc w:val="left"/>
      <w:pPr>
        <w:tabs>
          <w:tab w:val="num" w:pos="2880"/>
        </w:tabs>
        <w:ind w:left="2880" w:hanging="360"/>
      </w:pPr>
      <w:rPr>
        <w:rFonts w:ascii="Arial" w:hAnsi="Arial" w:hint="default"/>
      </w:rPr>
    </w:lvl>
    <w:lvl w:ilvl="4" w:tplc="65E0C444" w:tentative="1">
      <w:start w:val="1"/>
      <w:numFmt w:val="bullet"/>
      <w:lvlText w:val="-"/>
      <w:lvlJc w:val="left"/>
      <w:pPr>
        <w:tabs>
          <w:tab w:val="num" w:pos="3600"/>
        </w:tabs>
        <w:ind w:left="3600" w:hanging="360"/>
      </w:pPr>
      <w:rPr>
        <w:rFonts w:ascii="Arial" w:hAnsi="Arial" w:hint="default"/>
      </w:rPr>
    </w:lvl>
    <w:lvl w:ilvl="5" w:tplc="E0F228FC" w:tentative="1">
      <w:start w:val="1"/>
      <w:numFmt w:val="bullet"/>
      <w:lvlText w:val="-"/>
      <w:lvlJc w:val="left"/>
      <w:pPr>
        <w:tabs>
          <w:tab w:val="num" w:pos="4320"/>
        </w:tabs>
        <w:ind w:left="4320" w:hanging="360"/>
      </w:pPr>
      <w:rPr>
        <w:rFonts w:ascii="Arial" w:hAnsi="Arial" w:hint="default"/>
      </w:rPr>
    </w:lvl>
    <w:lvl w:ilvl="6" w:tplc="C2E2FA62" w:tentative="1">
      <w:start w:val="1"/>
      <w:numFmt w:val="bullet"/>
      <w:lvlText w:val="-"/>
      <w:lvlJc w:val="left"/>
      <w:pPr>
        <w:tabs>
          <w:tab w:val="num" w:pos="5040"/>
        </w:tabs>
        <w:ind w:left="5040" w:hanging="360"/>
      </w:pPr>
      <w:rPr>
        <w:rFonts w:ascii="Arial" w:hAnsi="Arial" w:hint="default"/>
      </w:rPr>
    </w:lvl>
    <w:lvl w:ilvl="7" w:tplc="33DABBC0" w:tentative="1">
      <w:start w:val="1"/>
      <w:numFmt w:val="bullet"/>
      <w:lvlText w:val="-"/>
      <w:lvlJc w:val="left"/>
      <w:pPr>
        <w:tabs>
          <w:tab w:val="num" w:pos="5760"/>
        </w:tabs>
        <w:ind w:left="5760" w:hanging="360"/>
      </w:pPr>
      <w:rPr>
        <w:rFonts w:ascii="Arial" w:hAnsi="Arial" w:hint="default"/>
      </w:rPr>
    </w:lvl>
    <w:lvl w:ilvl="8" w:tplc="4676B090" w:tentative="1">
      <w:start w:val="1"/>
      <w:numFmt w:val="bullet"/>
      <w:lvlText w:val="-"/>
      <w:lvlJc w:val="left"/>
      <w:pPr>
        <w:tabs>
          <w:tab w:val="num" w:pos="6480"/>
        </w:tabs>
        <w:ind w:left="6480" w:hanging="360"/>
      </w:pPr>
      <w:rPr>
        <w:rFonts w:ascii="Arial" w:hAnsi="Arial" w:hint="default"/>
      </w:rPr>
    </w:lvl>
  </w:abstractNum>
  <w:num w:numId="1" w16cid:durableId="1926955693">
    <w:abstractNumId w:val="7"/>
  </w:num>
  <w:num w:numId="2" w16cid:durableId="1970357543">
    <w:abstractNumId w:val="23"/>
  </w:num>
  <w:num w:numId="3" w16cid:durableId="1154763040">
    <w:abstractNumId w:val="4"/>
  </w:num>
  <w:num w:numId="4" w16cid:durableId="1759205525">
    <w:abstractNumId w:val="17"/>
  </w:num>
  <w:num w:numId="5" w16cid:durableId="932664571">
    <w:abstractNumId w:val="10"/>
  </w:num>
  <w:num w:numId="6" w16cid:durableId="2110849373">
    <w:abstractNumId w:val="26"/>
  </w:num>
  <w:num w:numId="7" w16cid:durableId="2118015412">
    <w:abstractNumId w:val="29"/>
  </w:num>
  <w:num w:numId="8" w16cid:durableId="1919633425">
    <w:abstractNumId w:val="0"/>
  </w:num>
  <w:num w:numId="9" w16cid:durableId="921842249">
    <w:abstractNumId w:val="16"/>
  </w:num>
  <w:num w:numId="10" w16cid:durableId="1619339147">
    <w:abstractNumId w:val="9"/>
  </w:num>
  <w:num w:numId="11" w16cid:durableId="1967538382">
    <w:abstractNumId w:val="20"/>
  </w:num>
  <w:num w:numId="12" w16cid:durableId="1257471439">
    <w:abstractNumId w:val="15"/>
  </w:num>
  <w:num w:numId="13" w16cid:durableId="1759322873">
    <w:abstractNumId w:val="19"/>
  </w:num>
  <w:num w:numId="14" w16cid:durableId="1001159426">
    <w:abstractNumId w:val="13"/>
  </w:num>
  <w:num w:numId="15" w16cid:durableId="1342319583">
    <w:abstractNumId w:val="3"/>
  </w:num>
  <w:num w:numId="16" w16cid:durableId="667635151">
    <w:abstractNumId w:val="11"/>
  </w:num>
  <w:num w:numId="17" w16cid:durableId="1531605422">
    <w:abstractNumId w:val="24"/>
  </w:num>
  <w:num w:numId="18" w16cid:durableId="527303745">
    <w:abstractNumId w:val="12"/>
  </w:num>
  <w:num w:numId="19" w16cid:durableId="588513525">
    <w:abstractNumId w:val="25"/>
  </w:num>
  <w:num w:numId="20" w16cid:durableId="447283440">
    <w:abstractNumId w:val="18"/>
  </w:num>
  <w:num w:numId="21" w16cid:durableId="1680699756">
    <w:abstractNumId w:val="8"/>
  </w:num>
  <w:num w:numId="22" w16cid:durableId="659961953">
    <w:abstractNumId w:val="21"/>
  </w:num>
  <w:num w:numId="23" w16cid:durableId="1345670559">
    <w:abstractNumId w:val="5"/>
  </w:num>
  <w:num w:numId="24" w16cid:durableId="288970834">
    <w:abstractNumId w:val="2"/>
  </w:num>
  <w:num w:numId="25" w16cid:durableId="1474368225">
    <w:abstractNumId w:val="27"/>
  </w:num>
  <w:num w:numId="26" w16cid:durableId="911432816">
    <w:abstractNumId w:val="18"/>
  </w:num>
  <w:num w:numId="27" w16cid:durableId="1814787868">
    <w:abstractNumId w:val="6"/>
  </w:num>
  <w:num w:numId="28" w16cid:durableId="81343857">
    <w:abstractNumId w:val="22"/>
  </w:num>
  <w:num w:numId="29" w16cid:durableId="1034035978">
    <w:abstractNumId w:val="1"/>
  </w:num>
  <w:num w:numId="30" w16cid:durableId="257059220">
    <w:abstractNumId w:val="28"/>
  </w:num>
  <w:num w:numId="31" w16cid:durableId="855077208">
    <w:abstractNumId w:val="14"/>
  </w:num>
  <w:num w:numId="32" w16cid:durableId="639307663">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oNotShadeFormData/>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D9"/>
    <w:rsid w:val="000000D1"/>
    <w:rsid w:val="000011F4"/>
    <w:rsid w:val="00001678"/>
    <w:rsid w:val="000032F1"/>
    <w:rsid w:val="000034CA"/>
    <w:rsid w:val="00003B33"/>
    <w:rsid w:val="00004E2E"/>
    <w:rsid w:val="0001174C"/>
    <w:rsid w:val="0001795D"/>
    <w:rsid w:val="000203BA"/>
    <w:rsid w:val="00020780"/>
    <w:rsid w:val="00022CCE"/>
    <w:rsid w:val="0002495E"/>
    <w:rsid w:val="00032A4A"/>
    <w:rsid w:val="000340FD"/>
    <w:rsid w:val="0003647B"/>
    <w:rsid w:val="00037942"/>
    <w:rsid w:val="00037D2E"/>
    <w:rsid w:val="000409A0"/>
    <w:rsid w:val="00041C06"/>
    <w:rsid w:val="00041FEC"/>
    <w:rsid w:val="00042CC9"/>
    <w:rsid w:val="00042D6B"/>
    <w:rsid w:val="00044B54"/>
    <w:rsid w:val="00045932"/>
    <w:rsid w:val="000471BA"/>
    <w:rsid w:val="00050846"/>
    <w:rsid w:val="0005162B"/>
    <w:rsid w:val="000565A1"/>
    <w:rsid w:val="00056C01"/>
    <w:rsid w:val="000605CD"/>
    <w:rsid w:val="00061557"/>
    <w:rsid w:val="00061CB5"/>
    <w:rsid w:val="0006281D"/>
    <w:rsid w:val="00066B54"/>
    <w:rsid w:val="0006735F"/>
    <w:rsid w:val="00074243"/>
    <w:rsid w:val="000746D0"/>
    <w:rsid w:val="00075E5A"/>
    <w:rsid w:val="00077C59"/>
    <w:rsid w:val="00077F01"/>
    <w:rsid w:val="00084A32"/>
    <w:rsid w:val="00084CC5"/>
    <w:rsid w:val="00085B89"/>
    <w:rsid w:val="00086A91"/>
    <w:rsid w:val="00086E3D"/>
    <w:rsid w:val="0008713B"/>
    <w:rsid w:val="00087F17"/>
    <w:rsid w:val="00092A59"/>
    <w:rsid w:val="00092B35"/>
    <w:rsid w:val="00092F87"/>
    <w:rsid w:val="000935FC"/>
    <w:rsid w:val="00093CC7"/>
    <w:rsid w:val="0009561A"/>
    <w:rsid w:val="00096CB7"/>
    <w:rsid w:val="00096EF5"/>
    <w:rsid w:val="000A1589"/>
    <w:rsid w:val="000A357A"/>
    <w:rsid w:val="000A3813"/>
    <w:rsid w:val="000A3FED"/>
    <w:rsid w:val="000A44AD"/>
    <w:rsid w:val="000A47B2"/>
    <w:rsid w:val="000A4EEE"/>
    <w:rsid w:val="000A59B5"/>
    <w:rsid w:val="000A5DC9"/>
    <w:rsid w:val="000A7815"/>
    <w:rsid w:val="000B07FC"/>
    <w:rsid w:val="000B54D2"/>
    <w:rsid w:val="000B6BD9"/>
    <w:rsid w:val="000C0BF2"/>
    <w:rsid w:val="000C146B"/>
    <w:rsid w:val="000C19D2"/>
    <w:rsid w:val="000C1A40"/>
    <w:rsid w:val="000C1BDD"/>
    <w:rsid w:val="000C3A5D"/>
    <w:rsid w:val="000C472D"/>
    <w:rsid w:val="000C678C"/>
    <w:rsid w:val="000C6BDB"/>
    <w:rsid w:val="000C6E7C"/>
    <w:rsid w:val="000C6F7A"/>
    <w:rsid w:val="000D0923"/>
    <w:rsid w:val="000D35FC"/>
    <w:rsid w:val="000D3DD6"/>
    <w:rsid w:val="000D40D6"/>
    <w:rsid w:val="000D5DAE"/>
    <w:rsid w:val="000D626A"/>
    <w:rsid w:val="000D7DB8"/>
    <w:rsid w:val="000E0CB8"/>
    <w:rsid w:val="000E1FF7"/>
    <w:rsid w:val="000E22C8"/>
    <w:rsid w:val="000E3528"/>
    <w:rsid w:val="000E3AB3"/>
    <w:rsid w:val="000E469E"/>
    <w:rsid w:val="000E5139"/>
    <w:rsid w:val="000F0EE8"/>
    <w:rsid w:val="000F1C68"/>
    <w:rsid w:val="000F5A85"/>
    <w:rsid w:val="000F671B"/>
    <w:rsid w:val="001016DA"/>
    <w:rsid w:val="0010198A"/>
    <w:rsid w:val="00103907"/>
    <w:rsid w:val="00106036"/>
    <w:rsid w:val="00107E5B"/>
    <w:rsid w:val="00107EF3"/>
    <w:rsid w:val="0011062E"/>
    <w:rsid w:val="0011383B"/>
    <w:rsid w:val="00113E8D"/>
    <w:rsid w:val="00114B6A"/>
    <w:rsid w:val="00115959"/>
    <w:rsid w:val="00115F03"/>
    <w:rsid w:val="001161B1"/>
    <w:rsid w:val="00117365"/>
    <w:rsid w:val="00120A3E"/>
    <w:rsid w:val="00121C15"/>
    <w:rsid w:val="00124718"/>
    <w:rsid w:val="00125897"/>
    <w:rsid w:val="00125E82"/>
    <w:rsid w:val="00126B00"/>
    <w:rsid w:val="0013034E"/>
    <w:rsid w:val="00131020"/>
    <w:rsid w:val="00131AC8"/>
    <w:rsid w:val="00132D6E"/>
    <w:rsid w:val="001342FB"/>
    <w:rsid w:val="0013473D"/>
    <w:rsid w:val="00134A9A"/>
    <w:rsid w:val="001370DC"/>
    <w:rsid w:val="001407AE"/>
    <w:rsid w:val="00141C2C"/>
    <w:rsid w:val="001427FB"/>
    <w:rsid w:val="00142BE5"/>
    <w:rsid w:val="00143B49"/>
    <w:rsid w:val="00144EC1"/>
    <w:rsid w:val="00146FA4"/>
    <w:rsid w:val="00147741"/>
    <w:rsid w:val="001508F0"/>
    <w:rsid w:val="00151142"/>
    <w:rsid w:val="0015148D"/>
    <w:rsid w:val="001515EC"/>
    <w:rsid w:val="00151C13"/>
    <w:rsid w:val="00152CA2"/>
    <w:rsid w:val="001548E7"/>
    <w:rsid w:val="00156818"/>
    <w:rsid w:val="0015733B"/>
    <w:rsid w:val="0015789B"/>
    <w:rsid w:val="00162CEC"/>
    <w:rsid w:val="00162D7F"/>
    <w:rsid w:val="00162E6D"/>
    <w:rsid w:val="00164495"/>
    <w:rsid w:val="001649ED"/>
    <w:rsid w:val="00164BC3"/>
    <w:rsid w:val="001663FE"/>
    <w:rsid w:val="00166BAA"/>
    <w:rsid w:val="00167FEE"/>
    <w:rsid w:val="0017088F"/>
    <w:rsid w:val="00170C3B"/>
    <w:rsid w:val="0017221C"/>
    <w:rsid w:val="00174F86"/>
    <w:rsid w:val="00176A65"/>
    <w:rsid w:val="00180AD0"/>
    <w:rsid w:val="00181FE2"/>
    <w:rsid w:val="001820BA"/>
    <w:rsid w:val="00182210"/>
    <w:rsid w:val="00182B00"/>
    <w:rsid w:val="00183B22"/>
    <w:rsid w:val="00183C9D"/>
    <w:rsid w:val="0018535B"/>
    <w:rsid w:val="00185586"/>
    <w:rsid w:val="00187F18"/>
    <w:rsid w:val="001923DA"/>
    <w:rsid w:val="00192576"/>
    <w:rsid w:val="00192DF5"/>
    <w:rsid w:val="001933E7"/>
    <w:rsid w:val="001939D3"/>
    <w:rsid w:val="00193AB6"/>
    <w:rsid w:val="00194F94"/>
    <w:rsid w:val="00195346"/>
    <w:rsid w:val="001A02BE"/>
    <w:rsid w:val="001A1E6B"/>
    <w:rsid w:val="001A3841"/>
    <w:rsid w:val="001A3BF2"/>
    <w:rsid w:val="001A42A4"/>
    <w:rsid w:val="001A5E8F"/>
    <w:rsid w:val="001A7790"/>
    <w:rsid w:val="001B02B5"/>
    <w:rsid w:val="001B1642"/>
    <w:rsid w:val="001B17F9"/>
    <w:rsid w:val="001B4414"/>
    <w:rsid w:val="001B4C39"/>
    <w:rsid w:val="001B77C7"/>
    <w:rsid w:val="001B7AA7"/>
    <w:rsid w:val="001C2716"/>
    <w:rsid w:val="001C4255"/>
    <w:rsid w:val="001C54F6"/>
    <w:rsid w:val="001C5811"/>
    <w:rsid w:val="001C5943"/>
    <w:rsid w:val="001C5DB0"/>
    <w:rsid w:val="001C61E9"/>
    <w:rsid w:val="001D03A9"/>
    <w:rsid w:val="001D1C4A"/>
    <w:rsid w:val="001D2593"/>
    <w:rsid w:val="001D3FD5"/>
    <w:rsid w:val="001D4695"/>
    <w:rsid w:val="001D4704"/>
    <w:rsid w:val="001D7054"/>
    <w:rsid w:val="001D78E0"/>
    <w:rsid w:val="001D7C88"/>
    <w:rsid w:val="001E01EB"/>
    <w:rsid w:val="001E3250"/>
    <w:rsid w:val="001E513D"/>
    <w:rsid w:val="001E5922"/>
    <w:rsid w:val="001E5ADD"/>
    <w:rsid w:val="001E60A1"/>
    <w:rsid w:val="001F064E"/>
    <w:rsid w:val="001F07D1"/>
    <w:rsid w:val="001F30D9"/>
    <w:rsid w:val="001F3F20"/>
    <w:rsid w:val="001F3FD9"/>
    <w:rsid w:val="001F5C6D"/>
    <w:rsid w:val="001F5F91"/>
    <w:rsid w:val="001F60AA"/>
    <w:rsid w:val="001F7F7B"/>
    <w:rsid w:val="00200635"/>
    <w:rsid w:val="00202115"/>
    <w:rsid w:val="002033E1"/>
    <w:rsid w:val="0020489E"/>
    <w:rsid w:val="00207784"/>
    <w:rsid w:val="002111E5"/>
    <w:rsid w:val="00211240"/>
    <w:rsid w:val="00211359"/>
    <w:rsid w:val="00212459"/>
    <w:rsid w:val="002128F3"/>
    <w:rsid w:val="00212BD8"/>
    <w:rsid w:val="00215B60"/>
    <w:rsid w:val="002213CD"/>
    <w:rsid w:val="002215D9"/>
    <w:rsid w:val="00221DAF"/>
    <w:rsid w:val="00223130"/>
    <w:rsid w:val="00223F49"/>
    <w:rsid w:val="0022407C"/>
    <w:rsid w:val="00225070"/>
    <w:rsid w:val="00226D95"/>
    <w:rsid w:val="00227DF9"/>
    <w:rsid w:val="002302E9"/>
    <w:rsid w:val="0023080B"/>
    <w:rsid w:val="002308D9"/>
    <w:rsid w:val="00230910"/>
    <w:rsid w:val="00231AF4"/>
    <w:rsid w:val="00233826"/>
    <w:rsid w:val="0023417D"/>
    <w:rsid w:val="00240F27"/>
    <w:rsid w:val="002452F9"/>
    <w:rsid w:val="0024757B"/>
    <w:rsid w:val="00250F7D"/>
    <w:rsid w:val="0025143E"/>
    <w:rsid w:val="00251AEC"/>
    <w:rsid w:val="00252BE5"/>
    <w:rsid w:val="00254F40"/>
    <w:rsid w:val="00261B09"/>
    <w:rsid w:val="00262531"/>
    <w:rsid w:val="002630E4"/>
    <w:rsid w:val="00263AB4"/>
    <w:rsid w:val="00263DFD"/>
    <w:rsid w:val="00265777"/>
    <w:rsid w:val="002672BB"/>
    <w:rsid w:val="00270D7B"/>
    <w:rsid w:val="00270EAB"/>
    <w:rsid w:val="00272B41"/>
    <w:rsid w:val="00272F70"/>
    <w:rsid w:val="002731D7"/>
    <w:rsid w:val="00275792"/>
    <w:rsid w:val="002759FA"/>
    <w:rsid w:val="00275CF6"/>
    <w:rsid w:val="00275F0C"/>
    <w:rsid w:val="002767D8"/>
    <w:rsid w:val="0027695D"/>
    <w:rsid w:val="00277E63"/>
    <w:rsid w:val="00283BEF"/>
    <w:rsid w:val="00283FAD"/>
    <w:rsid w:val="002850BC"/>
    <w:rsid w:val="0028539E"/>
    <w:rsid w:val="00285BBC"/>
    <w:rsid w:val="002868AB"/>
    <w:rsid w:val="0028720E"/>
    <w:rsid w:val="0028744C"/>
    <w:rsid w:val="00290921"/>
    <w:rsid w:val="00291F1C"/>
    <w:rsid w:val="002941DB"/>
    <w:rsid w:val="002950BF"/>
    <w:rsid w:val="00296F29"/>
    <w:rsid w:val="00297592"/>
    <w:rsid w:val="002A2246"/>
    <w:rsid w:val="002A3C9B"/>
    <w:rsid w:val="002A406F"/>
    <w:rsid w:val="002A4CD4"/>
    <w:rsid w:val="002A6798"/>
    <w:rsid w:val="002A77C0"/>
    <w:rsid w:val="002B00FC"/>
    <w:rsid w:val="002B02CF"/>
    <w:rsid w:val="002B0618"/>
    <w:rsid w:val="002B0E9E"/>
    <w:rsid w:val="002B3772"/>
    <w:rsid w:val="002B3A46"/>
    <w:rsid w:val="002B6702"/>
    <w:rsid w:val="002C0DCC"/>
    <w:rsid w:val="002C0FA8"/>
    <w:rsid w:val="002C1823"/>
    <w:rsid w:val="002C23D0"/>
    <w:rsid w:val="002C3160"/>
    <w:rsid w:val="002C32FD"/>
    <w:rsid w:val="002C349F"/>
    <w:rsid w:val="002C39CF"/>
    <w:rsid w:val="002C47B1"/>
    <w:rsid w:val="002C5A0A"/>
    <w:rsid w:val="002C639D"/>
    <w:rsid w:val="002C6B7C"/>
    <w:rsid w:val="002C6F00"/>
    <w:rsid w:val="002C6FAB"/>
    <w:rsid w:val="002C72A9"/>
    <w:rsid w:val="002C79D2"/>
    <w:rsid w:val="002D01D2"/>
    <w:rsid w:val="002D1024"/>
    <w:rsid w:val="002D261B"/>
    <w:rsid w:val="002D2EEB"/>
    <w:rsid w:val="002D3218"/>
    <w:rsid w:val="002D5232"/>
    <w:rsid w:val="002D73B1"/>
    <w:rsid w:val="002E0146"/>
    <w:rsid w:val="002E0A09"/>
    <w:rsid w:val="002E1247"/>
    <w:rsid w:val="002E243E"/>
    <w:rsid w:val="002E3ADC"/>
    <w:rsid w:val="002E50C9"/>
    <w:rsid w:val="002F0419"/>
    <w:rsid w:val="002F0D3E"/>
    <w:rsid w:val="002F257F"/>
    <w:rsid w:val="002F372D"/>
    <w:rsid w:val="002F52B4"/>
    <w:rsid w:val="002F583C"/>
    <w:rsid w:val="002F7CE5"/>
    <w:rsid w:val="00303714"/>
    <w:rsid w:val="0030514A"/>
    <w:rsid w:val="00307ACB"/>
    <w:rsid w:val="00307CAC"/>
    <w:rsid w:val="00311F1A"/>
    <w:rsid w:val="003126F7"/>
    <w:rsid w:val="00312A65"/>
    <w:rsid w:val="003146D0"/>
    <w:rsid w:val="003149B6"/>
    <w:rsid w:val="00315FAB"/>
    <w:rsid w:val="00317125"/>
    <w:rsid w:val="0031732B"/>
    <w:rsid w:val="0031737A"/>
    <w:rsid w:val="00317EFA"/>
    <w:rsid w:val="003214A7"/>
    <w:rsid w:val="003217C0"/>
    <w:rsid w:val="003223D3"/>
    <w:rsid w:val="003237E7"/>
    <w:rsid w:val="00324DE9"/>
    <w:rsid w:val="00326782"/>
    <w:rsid w:val="003302D3"/>
    <w:rsid w:val="003312F6"/>
    <w:rsid w:val="0033431D"/>
    <w:rsid w:val="0033499C"/>
    <w:rsid w:val="00335306"/>
    <w:rsid w:val="00340028"/>
    <w:rsid w:val="0034004E"/>
    <w:rsid w:val="00341BB1"/>
    <w:rsid w:val="00341FB9"/>
    <w:rsid w:val="00342879"/>
    <w:rsid w:val="00342A1D"/>
    <w:rsid w:val="003436E1"/>
    <w:rsid w:val="0034402D"/>
    <w:rsid w:val="00345F1E"/>
    <w:rsid w:val="003460AA"/>
    <w:rsid w:val="00346D9F"/>
    <w:rsid w:val="00350556"/>
    <w:rsid w:val="0035068B"/>
    <w:rsid w:val="00350769"/>
    <w:rsid w:val="00350963"/>
    <w:rsid w:val="003510B5"/>
    <w:rsid w:val="003517AC"/>
    <w:rsid w:val="00352DE0"/>
    <w:rsid w:val="0035351D"/>
    <w:rsid w:val="00354740"/>
    <w:rsid w:val="00354A4A"/>
    <w:rsid w:val="00354D24"/>
    <w:rsid w:val="003553DD"/>
    <w:rsid w:val="003558FA"/>
    <w:rsid w:val="00356224"/>
    <w:rsid w:val="00356A34"/>
    <w:rsid w:val="00360787"/>
    <w:rsid w:val="003610C3"/>
    <w:rsid w:val="00362088"/>
    <w:rsid w:val="00363E39"/>
    <w:rsid w:val="00364DCD"/>
    <w:rsid w:val="003658D1"/>
    <w:rsid w:val="00365985"/>
    <w:rsid w:val="00365C12"/>
    <w:rsid w:val="00366146"/>
    <w:rsid w:val="00366212"/>
    <w:rsid w:val="00367496"/>
    <w:rsid w:val="00367B26"/>
    <w:rsid w:val="00370A37"/>
    <w:rsid w:val="00373F25"/>
    <w:rsid w:val="00374FE8"/>
    <w:rsid w:val="003759AF"/>
    <w:rsid w:val="00375B7D"/>
    <w:rsid w:val="00376FB8"/>
    <w:rsid w:val="003778D3"/>
    <w:rsid w:val="00381012"/>
    <w:rsid w:val="00383BE0"/>
    <w:rsid w:val="003851B7"/>
    <w:rsid w:val="003868CB"/>
    <w:rsid w:val="003869EA"/>
    <w:rsid w:val="00390E99"/>
    <w:rsid w:val="00391F44"/>
    <w:rsid w:val="003921BD"/>
    <w:rsid w:val="003942E8"/>
    <w:rsid w:val="0039531E"/>
    <w:rsid w:val="003958B6"/>
    <w:rsid w:val="003A0613"/>
    <w:rsid w:val="003A0674"/>
    <w:rsid w:val="003A2BA9"/>
    <w:rsid w:val="003A2D54"/>
    <w:rsid w:val="003A41D6"/>
    <w:rsid w:val="003A6BBC"/>
    <w:rsid w:val="003B0DD7"/>
    <w:rsid w:val="003B15C4"/>
    <w:rsid w:val="003B192F"/>
    <w:rsid w:val="003B3E01"/>
    <w:rsid w:val="003B3F55"/>
    <w:rsid w:val="003B65A5"/>
    <w:rsid w:val="003C0B1E"/>
    <w:rsid w:val="003C1A65"/>
    <w:rsid w:val="003C2DB5"/>
    <w:rsid w:val="003C49A8"/>
    <w:rsid w:val="003C58E8"/>
    <w:rsid w:val="003D117E"/>
    <w:rsid w:val="003D156B"/>
    <w:rsid w:val="003D1877"/>
    <w:rsid w:val="003D4CA5"/>
    <w:rsid w:val="003D5883"/>
    <w:rsid w:val="003E0701"/>
    <w:rsid w:val="003E132F"/>
    <w:rsid w:val="003E267C"/>
    <w:rsid w:val="003E2781"/>
    <w:rsid w:val="003E3A75"/>
    <w:rsid w:val="003E457F"/>
    <w:rsid w:val="003E7EC2"/>
    <w:rsid w:val="003F0315"/>
    <w:rsid w:val="003F034F"/>
    <w:rsid w:val="003F190B"/>
    <w:rsid w:val="003F23B4"/>
    <w:rsid w:val="003F3CA3"/>
    <w:rsid w:val="003F4680"/>
    <w:rsid w:val="004017D9"/>
    <w:rsid w:val="00403693"/>
    <w:rsid w:val="004054B0"/>
    <w:rsid w:val="00405C39"/>
    <w:rsid w:val="00406070"/>
    <w:rsid w:val="004060CE"/>
    <w:rsid w:val="00406D31"/>
    <w:rsid w:val="004077CE"/>
    <w:rsid w:val="00410068"/>
    <w:rsid w:val="00410F54"/>
    <w:rsid w:val="0041392C"/>
    <w:rsid w:val="00414F36"/>
    <w:rsid w:val="004163DA"/>
    <w:rsid w:val="00416D55"/>
    <w:rsid w:val="004178E1"/>
    <w:rsid w:val="00417A57"/>
    <w:rsid w:val="004210E6"/>
    <w:rsid w:val="004219C1"/>
    <w:rsid w:val="00421C96"/>
    <w:rsid w:val="00421EF8"/>
    <w:rsid w:val="00422B4D"/>
    <w:rsid w:val="00424328"/>
    <w:rsid w:val="00426363"/>
    <w:rsid w:val="00427A6E"/>
    <w:rsid w:val="0043146F"/>
    <w:rsid w:val="00432057"/>
    <w:rsid w:val="004342CB"/>
    <w:rsid w:val="00434BEC"/>
    <w:rsid w:val="00436401"/>
    <w:rsid w:val="00437362"/>
    <w:rsid w:val="00442E52"/>
    <w:rsid w:val="00445D21"/>
    <w:rsid w:val="00446040"/>
    <w:rsid w:val="00450524"/>
    <w:rsid w:val="00451D66"/>
    <w:rsid w:val="00454754"/>
    <w:rsid w:val="00455DD7"/>
    <w:rsid w:val="00456496"/>
    <w:rsid w:val="0045650A"/>
    <w:rsid w:val="004578B0"/>
    <w:rsid w:val="00457A80"/>
    <w:rsid w:val="00460BF4"/>
    <w:rsid w:val="00463ACF"/>
    <w:rsid w:val="00463E8C"/>
    <w:rsid w:val="0046420E"/>
    <w:rsid w:val="00465953"/>
    <w:rsid w:val="0046739F"/>
    <w:rsid w:val="0046741E"/>
    <w:rsid w:val="0047048C"/>
    <w:rsid w:val="00473162"/>
    <w:rsid w:val="00473757"/>
    <w:rsid w:val="004743C6"/>
    <w:rsid w:val="00474570"/>
    <w:rsid w:val="00477BAE"/>
    <w:rsid w:val="0048356F"/>
    <w:rsid w:val="00484FE4"/>
    <w:rsid w:val="00485C37"/>
    <w:rsid w:val="004922C4"/>
    <w:rsid w:val="004927D6"/>
    <w:rsid w:val="00494859"/>
    <w:rsid w:val="004959E3"/>
    <w:rsid w:val="00496350"/>
    <w:rsid w:val="00497C03"/>
    <w:rsid w:val="004A3749"/>
    <w:rsid w:val="004A4D1F"/>
    <w:rsid w:val="004A5665"/>
    <w:rsid w:val="004A5EF3"/>
    <w:rsid w:val="004A62A1"/>
    <w:rsid w:val="004A6D92"/>
    <w:rsid w:val="004B1BA2"/>
    <w:rsid w:val="004B40C9"/>
    <w:rsid w:val="004B66BC"/>
    <w:rsid w:val="004B682A"/>
    <w:rsid w:val="004C106E"/>
    <w:rsid w:val="004C127B"/>
    <w:rsid w:val="004C1CC2"/>
    <w:rsid w:val="004C564A"/>
    <w:rsid w:val="004D327D"/>
    <w:rsid w:val="004D4BDB"/>
    <w:rsid w:val="004D4CE6"/>
    <w:rsid w:val="004D6318"/>
    <w:rsid w:val="004D6B66"/>
    <w:rsid w:val="004E1877"/>
    <w:rsid w:val="004E408B"/>
    <w:rsid w:val="004E4AEA"/>
    <w:rsid w:val="004E5A4F"/>
    <w:rsid w:val="004E69C4"/>
    <w:rsid w:val="004E6DA3"/>
    <w:rsid w:val="004F13BF"/>
    <w:rsid w:val="004F1482"/>
    <w:rsid w:val="004F15C5"/>
    <w:rsid w:val="004F36B6"/>
    <w:rsid w:val="004F37DD"/>
    <w:rsid w:val="004F5EE4"/>
    <w:rsid w:val="00501035"/>
    <w:rsid w:val="005030A0"/>
    <w:rsid w:val="00503F97"/>
    <w:rsid w:val="00504A02"/>
    <w:rsid w:val="00505248"/>
    <w:rsid w:val="0050585A"/>
    <w:rsid w:val="00507927"/>
    <w:rsid w:val="00511942"/>
    <w:rsid w:val="00511C1C"/>
    <w:rsid w:val="00511FA2"/>
    <w:rsid w:val="00513AC2"/>
    <w:rsid w:val="005142D0"/>
    <w:rsid w:val="00514D1A"/>
    <w:rsid w:val="005161D9"/>
    <w:rsid w:val="0051741C"/>
    <w:rsid w:val="00517534"/>
    <w:rsid w:val="005177DC"/>
    <w:rsid w:val="005179E0"/>
    <w:rsid w:val="00520F93"/>
    <w:rsid w:val="00523AD2"/>
    <w:rsid w:val="00525DF1"/>
    <w:rsid w:val="0052647A"/>
    <w:rsid w:val="005269B1"/>
    <w:rsid w:val="00527B85"/>
    <w:rsid w:val="00527E54"/>
    <w:rsid w:val="00527F1D"/>
    <w:rsid w:val="0053044E"/>
    <w:rsid w:val="00530A50"/>
    <w:rsid w:val="00532050"/>
    <w:rsid w:val="005322D8"/>
    <w:rsid w:val="005322E6"/>
    <w:rsid w:val="00534B75"/>
    <w:rsid w:val="00534BDF"/>
    <w:rsid w:val="00535443"/>
    <w:rsid w:val="00536DF0"/>
    <w:rsid w:val="00537BBD"/>
    <w:rsid w:val="0054058E"/>
    <w:rsid w:val="00540767"/>
    <w:rsid w:val="00542971"/>
    <w:rsid w:val="00546202"/>
    <w:rsid w:val="005462F0"/>
    <w:rsid w:val="00546505"/>
    <w:rsid w:val="00546E41"/>
    <w:rsid w:val="00547891"/>
    <w:rsid w:val="005478A2"/>
    <w:rsid w:val="0055048E"/>
    <w:rsid w:val="00552161"/>
    <w:rsid w:val="00553A16"/>
    <w:rsid w:val="005541BC"/>
    <w:rsid w:val="00554C02"/>
    <w:rsid w:val="00555A87"/>
    <w:rsid w:val="00556722"/>
    <w:rsid w:val="00557119"/>
    <w:rsid w:val="005602B8"/>
    <w:rsid w:val="00560662"/>
    <w:rsid w:val="00562FF7"/>
    <w:rsid w:val="0056303E"/>
    <w:rsid w:val="00565444"/>
    <w:rsid w:val="00566200"/>
    <w:rsid w:val="0057227B"/>
    <w:rsid w:val="00572472"/>
    <w:rsid w:val="00572E8A"/>
    <w:rsid w:val="0057324E"/>
    <w:rsid w:val="00580047"/>
    <w:rsid w:val="00580454"/>
    <w:rsid w:val="00580FD8"/>
    <w:rsid w:val="005810E9"/>
    <w:rsid w:val="0058272D"/>
    <w:rsid w:val="005845C0"/>
    <w:rsid w:val="00585F32"/>
    <w:rsid w:val="00587F63"/>
    <w:rsid w:val="00592B8C"/>
    <w:rsid w:val="005938E5"/>
    <w:rsid w:val="0059457A"/>
    <w:rsid w:val="00594671"/>
    <w:rsid w:val="00596B28"/>
    <w:rsid w:val="00596EEB"/>
    <w:rsid w:val="005973A7"/>
    <w:rsid w:val="005A02D5"/>
    <w:rsid w:val="005A05EA"/>
    <w:rsid w:val="005A139B"/>
    <w:rsid w:val="005A602D"/>
    <w:rsid w:val="005A62F8"/>
    <w:rsid w:val="005B0C47"/>
    <w:rsid w:val="005B155D"/>
    <w:rsid w:val="005B1DC5"/>
    <w:rsid w:val="005B5238"/>
    <w:rsid w:val="005B5338"/>
    <w:rsid w:val="005C172D"/>
    <w:rsid w:val="005C1F58"/>
    <w:rsid w:val="005C1FD5"/>
    <w:rsid w:val="005C223C"/>
    <w:rsid w:val="005C298F"/>
    <w:rsid w:val="005C2F6E"/>
    <w:rsid w:val="005C339D"/>
    <w:rsid w:val="005C65D1"/>
    <w:rsid w:val="005C727E"/>
    <w:rsid w:val="005D1B70"/>
    <w:rsid w:val="005D21E2"/>
    <w:rsid w:val="005D45B7"/>
    <w:rsid w:val="005D5D4A"/>
    <w:rsid w:val="005D65AE"/>
    <w:rsid w:val="005D7A30"/>
    <w:rsid w:val="005E0426"/>
    <w:rsid w:val="005E2D9E"/>
    <w:rsid w:val="005E5273"/>
    <w:rsid w:val="005F1442"/>
    <w:rsid w:val="005F416E"/>
    <w:rsid w:val="005F5466"/>
    <w:rsid w:val="005F5714"/>
    <w:rsid w:val="00601376"/>
    <w:rsid w:val="0060189A"/>
    <w:rsid w:val="006019B8"/>
    <w:rsid w:val="0060287C"/>
    <w:rsid w:val="00602E84"/>
    <w:rsid w:val="00603A48"/>
    <w:rsid w:val="00604341"/>
    <w:rsid w:val="00604583"/>
    <w:rsid w:val="00606E00"/>
    <w:rsid w:val="00612ECE"/>
    <w:rsid w:val="006143AE"/>
    <w:rsid w:val="00615DEB"/>
    <w:rsid w:val="00615E53"/>
    <w:rsid w:val="00617585"/>
    <w:rsid w:val="0062089F"/>
    <w:rsid w:val="0062485E"/>
    <w:rsid w:val="0062502E"/>
    <w:rsid w:val="006250E2"/>
    <w:rsid w:val="0062765D"/>
    <w:rsid w:val="00630587"/>
    <w:rsid w:val="00632CE3"/>
    <w:rsid w:val="00633C50"/>
    <w:rsid w:val="00633E63"/>
    <w:rsid w:val="00634641"/>
    <w:rsid w:val="0063486D"/>
    <w:rsid w:val="00634D95"/>
    <w:rsid w:val="0063785E"/>
    <w:rsid w:val="00637939"/>
    <w:rsid w:val="00640D34"/>
    <w:rsid w:val="00646016"/>
    <w:rsid w:val="006462C6"/>
    <w:rsid w:val="00646EC5"/>
    <w:rsid w:val="006477FD"/>
    <w:rsid w:val="00650F35"/>
    <w:rsid w:val="006515D4"/>
    <w:rsid w:val="0065190E"/>
    <w:rsid w:val="00651F72"/>
    <w:rsid w:val="006520D4"/>
    <w:rsid w:val="006532B1"/>
    <w:rsid w:val="006548BB"/>
    <w:rsid w:val="00654F31"/>
    <w:rsid w:val="006563B2"/>
    <w:rsid w:val="00656FED"/>
    <w:rsid w:val="0065758E"/>
    <w:rsid w:val="00660F49"/>
    <w:rsid w:val="00663C20"/>
    <w:rsid w:val="0066447E"/>
    <w:rsid w:val="0066519E"/>
    <w:rsid w:val="006651C2"/>
    <w:rsid w:val="00667711"/>
    <w:rsid w:val="006679E4"/>
    <w:rsid w:val="00670982"/>
    <w:rsid w:val="0067363E"/>
    <w:rsid w:val="00675917"/>
    <w:rsid w:val="00675EA6"/>
    <w:rsid w:val="0067613D"/>
    <w:rsid w:val="00676C02"/>
    <w:rsid w:val="0067733A"/>
    <w:rsid w:val="006778C9"/>
    <w:rsid w:val="00677FFE"/>
    <w:rsid w:val="00682828"/>
    <w:rsid w:val="00683760"/>
    <w:rsid w:val="00683BB0"/>
    <w:rsid w:val="006845F5"/>
    <w:rsid w:val="00685A93"/>
    <w:rsid w:val="00686130"/>
    <w:rsid w:val="006871FC"/>
    <w:rsid w:val="00691E6C"/>
    <w:rsid w:val="00693329"/>
    <w:rsid w:val="00694891"/>
    <w:rsid w:val="00695C5E"/>
    <w:rsid w:val="006972BE"/>
    <w:rsid w:val="006A04EF"/>
    <w:rsid w:val="006A1310"/>
    <w:rsid w:val="006A4DC1"/>
    <w:rsid w:val="006A5334"/>
    <w:rsid w:val="006A6343"/>
    <w:rsid w:val="006A65F9"/>
    <w:rsid w:val="006A6F4C"/>
    <w:rsid w:val="006A76FF"/>
    <w:rsid w:val="006A799A"/>
    <w:rsid w:val="006B0A8A"/>
    <w:rsid w:val="006B1C5E"/>
    <w:rsid w:val="006B2FF8"/>
    <w:rsid w:val="006B5D9D"/>
    <w:rsid w:val="006B6CCC"/>
    <w:rsid w:val="006C0DA8"/>
    <w:rsid w:val="006C1B19"/>
    <w:rsid w:val="006C3686"/>
    <w:rsid w:val="006C3734"/>
    <w:rsid w:val="006C3D00"/>
    <w:rsid w:val="006C4038"/>
    <w:rsid w:val="006C49AC"/>
    <w:rsid w:val="006C4C32"/>
    <w:rsid w:val="006D0C00"/>
    <w:rsid w:val="006D1FAB"/>
    <w:rsid w:val="006D2DE5"/>
    <w:rsid w:val="006D5014"/>
    <w:rsid w:val="006D5107"/>
    <w:rsid w:val="006D56D8"/>
    <w:rsid w:val="006D6093"/>
    <w:rsid w:val="006D69C0"/>
    <w:rsid w:val="006E0633"/>
    <w:rsid w:val="006E0CCE"/>
    <w:rsid w:val="006E1DD5"/>
    <w:rsid w:val="006E36E5"/>
    <w:rsid w:val="006F1C82"/>
    <w:rsid w:val="006F547B"/>
    <w:rsid w:val="006F5E64"/>
    <w:rsid w:val="006F630B"/>
    <w:rsid w:val="006F6E6B"/>
    <w:rsid w:val="00700C1D"/>
    <w:rsid w:val="007010E0"/>
    <w:rsid w:val="007014B7"/>
    <w:rsid w:val="007015BA"/>
    <w:rsid w:val="007015C7"/>
    <w:rsid w:val="00701B23"/>
    <w:rsid w:val="007030C8"/>
    <w:rsid w:val="00705B60"/>
    <w:rsid w:val="00707964"/>
    <w:rsid w:val="00707D8E"/>
    <w:rsid w:val="00711ACF"/>
    <w:rsid w:val="007120D1"/>
    <w:rsid w:val="00712E36"/>
    <w:rsid w:val="00713ED7"/>
    <w:rsid w:val="007166E0"/>
    <w:rsid w:val="00717A77"/>
    <w:rsid w:val="0072024F"/>
    <w:rsid w:val="007206DE"/>
    <w:rsid w:val="007206E4"/>
    <w:rsid w:val="007211D5"/>
    <w:rsid w:val="00721E1C"/>
    <w:rsid w:val="007237FD"/>
    <w:rsid w:val="00723D32"/>
    <w:rsid w:val="00725CD9"/>
    <w:rsid w:val="00731314"/>
    <w:rsid w:val="007315C0"/>
    <w:rsid w:val="0073196F"/>
    <w:rsid w:val="00732BE7"/>
    <w:rsid w:val="00733961"/>
    <w:rsid w:val="00733D48"/>
    <w:rsid w:val="00735600"/>
    <w:rsid w:val="00737089"/>
    <w:rsid w:val="00741D85"/>
    <w:rsid w:val="00742D1E"/>
    <w:rsid w:val="0074348C"/>
    <w:rsid w:val="007444BD"/>
    <w:rsid w:val="00746448"/>
    <w:rsid w:val="00746880"/>
    <w:rsid w:val="007515A7"/>
    <w:rsid w:val="00752655"/>
    <w:rsid w:val="00755D50"/>
    <w:rsid w:val="00756AF0"/>
    <w:rsid w:val="00757E9F"/>
    <w:rsid w:val="007616C7"/>
    <w:rsid w:val="0076264D"/>
    <w:rsid w:val="00762CCC"/>
    <w:rsid w:val="007634C2"/>
    <w:rsid w:val="007656D5"/>
    <w:rsid w:val="0077419A"/>
    <w:rsid w:val="00775DC4"/>
    <w:rsid w:val="00777F80"/>
    <w:rsid w:val="00784EDD"/>
    <w:rsid w:val="007854E5"/>
    <w:rsid w:val="00791BCF"/>
    <w:rsid w:val="00793CC7"/>
    <w:rsid w:val="00794C43"/>
    <w:rsid w:val="007966A8"/>
    <w:rsid w:val="00796E50"/>
    <w:rsid w:val="00797504"/>
    <w:rsid w:val="007A0299"/>
    <w:rsid w:val="007A08F5"/>
    <w:rsid w:val="007A1E82"/>
    <w:rsid w:val="007A5FEE"/>
    <w:rsid w:val="007B0BCE"/>
    <w:rsid w:val="007B228B"/>
    <w:rsid w:val="007B2702"/>
    <w:rsid w:val="007B4B5C"/>
    <w:rsid w:val="007B73B9"/>
    <w:rsid w:val="007B782F"/>
    <w:rsid w:val="007C3CBB"/>
    <w:rsid w:val="007C4E11"/>
    <w:rsid w:val="007C5E87"/>
    <w:rsid w:val="007D122D"/>
    <w:rsid w:val="007D12EF"/>
    <w:rsid w:val="007D21CA"/>
    <w:rsid w:val="007D3150"/>
    <w:rsid w:val="007D336A"/>
    <w:rsid w:val="007D3397"/>
    <w:rsid w:val="007D54CB"/>
    <w:rsid w:val="007D6ADD"/>
    <w:rsid w:val="007D70C3"/>
    <w:rsid w:val="007E17CF"/>
    <w:rsid w:val="007E1A9C"/>
    <w:rsid w:val="007E1F2E"/>
    <w:rsid w:val="007E2389"/>
    <w:rsid w:val="007E4744"/>
    <w:rsid w:val="007E523A"/>
    <w:rsid w:val="007E5CF8"/>
    <w:rsid w:val="007E6E08"/>
    <w:rsid w:val="007F2939"/>
    <w:rsid w:val="007F2A6D"/>
    <w:rsid w:val="007F30C0"/>
    <w:rsid w:val="007F368F"/>
    <w:rsid w:val="008001CD"/>
    <w:rsid w:val="0080245F"/>
    <w:rsid w:val="00804CC1"/>
    <w:rsid w:val="00805F8E"/>
    <w:rsid w:val="0080632C"/>
    <w:rsid w:val="0080720E"/>
    <w:rsid w:val="0081460B"/>
    <w:rsid w:val="00814F4A"/>
    <w:rsid w:val="0081523B"/>
    <w:rsid w:val="0081545A"/>
    <w:rsid w:val="00815F07"/>
    <w:rsid w:val="00816905"/>
    <w:rsid w:val="00817E2D"/>
    <w:rsid w:val="00817E7F"/>
    <w:rsid w:val="00820210"/>
    <w:rsid w:val="008208C6"/>
    <w:rsid w:val="00822F57"/>
    <w:rsid w:val="0082308F"/>
    <w:rsid w:val="00823104"/>
    <w:rsid w:val="008258DC"/>
    <w:rsid w:val="00825A28"/>
    <w:rsid w:val="00827227"/>
    <w:rsid w:val="008272F1"/>
    <w:rsid w:val="00827CFC"/>
    <w:rsid w:val="00827D29"/>
    <w:rsid w:val="0083075B"/>
    <w:rsid w:val="00835584"/>
    <w:rsid w:val="00841DF5"/>
    <w:rsid w:val="00842DAA"/>
    <w:rsid w:val="0084418B"/>
    <w:rsid w:val="00845117"/>
    <w:rsid w:val="00850135"/>
    <w:rsid w:val="00850F47"/>
    <w:rsid w:val="0085236A"/>
    <w:rsid w:val="00853CBA"/>
    <w:rsid w:val="008548C2"/>
    <w:rsid w:val="00854C14"/>
    <w:rsid w:val="00855092"/>
    <w:rsid w:val="00856457"/>
    <w:rsid w:val="0085783E"/>
    <w:rsid w:val="008606B6"/>
    <w:rsid w:val="008643DF"/>
    <w:rsid w:val="00864E0D"/>
    <w:rsid w:val="008655D0"/>
    <w:rsid w:val="008733FD"/>
    <w:rsid w:val="008735E5"/>
    <w:rsid w:val="00873EC3"/>
    <w:rsid w:val="008755D9"/>
    <w:rsid w:val="00876DFC"/>
    <w:rsid w:val="00877E33"/>
    <w:rsid w:val="00877E47"/>
    <w:rsid w:val="00880159"/>
    <w:rsid w:val="00880271"/>
    <w:rsid w:val="00881362"/>
    <w:rsid w:val="00883566"/>
    <w:rsid w:val="008927E3"/>
    <w:rsid w:val="008928BC"/>
    <w:rsid w:val="00892B10"/>
    <w:rsid w:val="00892DB9"/>
    <w:rsid w:val="008933BC"/>
    <w:rsid w:val="00894F18"/>
    <w:rsid w:val="008953E8"/>
    <w:rsid w:val="00895713"/>
    <w:rsid w:val="0089701E"/>
    <w:rsid w:val="0089729D"/>
    <w:rsid w:val="008A0905"/>
    <w:rsid w:val="008A248A"/>
    <w:rsid w:val="008A4A52"/>
    <w:rsid w:val="008A5086"/>
    <w:rsid w:val="008B0552"/>
    <w:rsid w:val="008B11BA"/>
    <w:rsid w:val="008B150C"/>
    <w:rsid w:val="008B20CC"/>
    <w:rsid w:val="008B2BDB"/>
    <w:rsid w:val="008B390B"/>
    <w:rsid w:val="008B4BA7"/>
    <w:rsid w:val="008B501E"/>
    <w:rsid w:val="008B6757"/>
    <w:rsid w:val="008B6BDA"/>
    <w:rsid w:val="008C0905"/>
    <w:rsid w:val="008C17E0"/>
    <w:rsid w:val="008C1870"/>
    <w:rsid w:val="008C1A22"/>
    <w:rsid w:val="008C6A8A"/>
    <w:rsid w:val="008C7A64"/>
    <w:rsid w:val="008D24C1"/>
    <w:rsid w:val="008D4D62"/>
    <w:rsid w:val="008D6A91"/>
    <w:rsid w:val="008E364E"/>
    <w:rsid w:val="008E505A"/>
    <w:rsid w:val="008E6535"/>
    <w:rsid w:val="008E6A88"/>
    <w:rsid w:val="008F00A8"/>
    <w:rsid w:val="008F3071"/>
    <w:rsid w:val="008F3CBD"/>
    <w:rsid w:val="008F43B5"/>
    <w:rsid w:val="008F5B07"/>
    <w:rsid w:val="008F6582"/>
    <w:rsid w:val="008F744E"/>
    <w:rsid w:val="008F7F45"/>
    <w:rsid w:val="00900720"/>
    <w:rsid w:val="009045F8"/>
    <w:rsid w:val="0090539C"/>
    <w:rsid w:val="009054FD"/>
    <w:rsid w:val="00906B53"/>
    <w:rsid w:val="00907ABF"/>
    <w:rsid w:val="00910450"/>
    <w:rsid w:val="009114FA"/>
    <w:rsid w:val="00912ADA"/>
    <w:rsid w:val="00913475"/>
    <w:rsid w:val="00914988"/>
    <w:rsid w:val="009166D3"/>
    <w:rsid w:val="009179A4"/>
    <w:rsid w:val="009210B9"/>
    <w:rsid w:val="00922423"/>
    <w:rsid w:val="00923317"/>
    <w:rsid w:val="0092390B"/>
    <w:rsid w:val="00923D1A"/>
    <w:rsid w:val="00925608"/>
    <w:rsid w:val="00925F58"/>
    <w:rsid w:val="0092610C"/>
    <w:rsid w:val="00927A85"/>
    <w:rsid w:val="00936008"/>
    <w:rsid w:val="00937F25"/>
    <w:rsid w:val="00940B19"/>
    <w:rsid w:val="00941A17"/>
    <w:rsid w:val="0094487F"/>
    <w:rsid w:val="00944B25"/>
    <w:rsid w:val="009475A8"/>
    <w:rsid w:val="00947772"/>
    <w:rsid w:val="00951466"/>
    <w:rsid w:val="009518F0"/>
    <w:rsid w:val="009526FC"/>
    <w:rsid w:val="0095385C"/>
    <w:rsid w:val="009548EC"/>
    <w:rsid w:val="0095554D"/>
    <w:rsid w:val="009567B9"/>
    <w:rsid w:val="00956C47"/>
    <w:rsid w:val="00960D7A"/>
    <w:rsid w:val="00961085"/>
    <w:rsid w:val="00961FFD"/>
    <w:rsid w:val="009629BD"/>
    <w:rsid w:val="00962A7A"/>
    <w:rsid w:val="00962F7B"/>
    <w:rsid w:val="00963EF5"/>
    <w:rsid w:val="00965109"/>
    <w:rsid w:val="00967161"/>
    <w:rsid w:val="00970BC4"/>
    <w:rsid w:val="00971339"/>
    <w:rsid w:val="00972173"/>
    <w:rsid w:val="00972DCE"/>
    <w:rsid w:val="009737A0"/>
    <w:rsid w:val="00976756"/>
    <w:rsid w:val="00976D16"/>
    <w:rsid w:val="00980ACB"/>
    <w:rsid w:val="00981881"/>
    <w:rsid w:val="0098343F"/>
    <w:rsid w:val="009834F8"/>
    <w:rsid w:val="009838C4"/>
    <w:rsid w:val="00985541"/>
    <w:rsid w:val="00986929"/>
    <w:rsid w:val="0099156B"/>
    <w:rsid w:val="009938A5"/>
    <w:rsid w:val="00993CBE"/>
    <w:rsid w:val="00995609"/>
    <w:rsid w:val="00995CD0"/>
    <w:rsid w:val="0099600F"/>
    <w:rsid w:val="00997A7B"/>
    <w:rsid w:val="009A09D8"/>
    <w:rsid w:val="009A4430"/>
    <w:rsid w:val="009A517C"/>
    <w:rsid w:val="009A72EF"/>
    <w:rsid w:val="009A77B1"/>
    <w:rsid w:val="009B26DE"/>
    <w:rsid w:val="009B398F"/>
    <w:rsid w:val="009B5CD1"/>
    <w:rsid w:val="009B6640"/>
    <w:rsid w:val="009B700C"/>
    <w:rsid w:val="009B779D"/>
    <w:rsid w:val="009B7FD0"/>
    <w:rsid w:val="009C17D4"/>
    <w:rsid w:val="009C3C4C"/>
    <w:rsid w:val="009C54B8"/>
    <w:rsid w:val="009D1001"/>
    <w:rsid w:val="009D5AD1"/>
    <w:rsid w:val="009D6055"/>
    <w:rsid w:val="009D6753"/>
    <w:rsid w:val="009D7448"/>
    <w:rsid w:val="009E0481"/>
    <w:rsid w:val="009E2256"/>
    <w:rsid w:val="009E2E8E"/>
    <w:rsid w:val="009E487D"/>
    <w:rsid w:val="009E64CF"/>
    <w:rsid w:val="009E7CFD"/>
    <w:rsid w:val="009F1B31"/>
    <w:rsid w:val="009F2376"/>
    <w:rsid w:val="009F4159"/>
    <w:rsid w:val="009F4457"/>
    <w:rsid w:val="009F4F70"/>
    <w:rsid w:val="009F60D4"/>
    <w:rsid w:val="00A00D5C"/>
    <w:rsid w:val="00A01EF3"/>
    <w:rsid w:val="00A04ACB"/>
    <w:rsid w:val="00A052AC"/>
    <w:rsid w:val="00A05FEF"/>
    <w:rsid w:val="00A063DB"/>
    <w:rsid w:val="00A10129"/>
    <w:rsid w:val="00A114AB"/>
    <w:rsid w:val="00A11A37"/>
    <w:rsid w:val="00A12970"/>
    <w:rsid w:val="00A13316"/>
    <w:rsid w:val="00A14D43"/>
    <w:rsid w:val="00A15F13"/>
    <w:rsid w:val="00A161FB"/>
    <w:rsid w:val="00A162F9"/>
    <w:rsid w:val="00A1761E"/>
    <w:rsid w:val="00A2216B"/>
    <w:rsid w:val="00A22BC8"/>
    <w:rsid w:val="00A23590"/>
    <w:rsid w:val="00A24B7F"/>
    <w:rsid w:val="00A30E76"/>
    <w:rsid w:val="00A33167"/>
    <w:rsid w:val="00A377C1"/>
    <w:rsid w:val="00A3787D"/>
    <w:rsid w:val="00A42FB7"/>
    <w:rsid w:val="00A449B8"/>
    <w:rsid w:val="00A468EA"/>
    <w:rsid w:val="00A470D1"/>
    <w:rsid w:val="00A51519"/>
    <w:rsid w:val="00A528D3"/>
    <w:rsid w:val="00A547EA"/>
    <w:rsid w:val="00A54D9D"/>
    <w:rsid w:val="00A56BD4"/>
    <w:rsid w:val="00A56E04"/>
    <w:rsid w:val="00A57B89"/>
    <w:rsid w:val="00A57E28"/>
    <w:rsid w:val="00A63E53"/>
    <w:rsid w:val="00A65C13"/>
    <w:rsid w:val="00A6605F"/>
    <w:rsid w:val="00A66DCA"/>
    <w:rsid w:val="00A6700C"/>
    <w:rsid w:val="00A6752A"/>
    <w:rsid w:val="00A71D7C"/>
    <w:rsid w:val="00A72B9B"/>
    <w:rsid w:val="00A7341E"/>
    <w:rsid w:val="00A73668"/>
    <w:rsid w:val="00A7457F"/>
    <w:rsid w:val="00A751A9"/>
    <w:rsid w:val="00A804A7"/>
    <w:rsid w:val="00A81357"/>
    <w:rsid w:val="00A8261B"/>
    <w:rsid w:val="00A836EA"/>
    <w:rsid w:val="00A8548C"/>
    <w:rsid w:val="00A86D1B"/>
    <w:rsid w:val="00A86D94"/>
    <w:rsid w:val="00A86E6A"/>
    <w:rsid w:val="00A87A45"/>
    <w:rsid w:val="00A91046"/>
    <w:rsid w:val="00A923EF"/>
    <w:rsid w:val="00A973F9"/>
    <w:rsid w:val="00A975E9"/>
    <w:rsid w:val="00AA10E9"/>
    <w:rsid w:val="00AA1FE8"/>
    <w:rsid w:val="00AA3378"/>
    <w:rsid w:val="00AA3ABD"/>
    <w:rsid w:val="00AA5277"/>
    <w:rsid w:val="00AA55A3"/>
    <w:rsid w:val="00AA5B3D"/>
    <w:rsid w:val="00AA6F60"/>
    <w:rsid w:val="00AB0F31"/>
    <w:rsid w:val="00AB11F1"/>
    <w:rsid w:val="00AB2541"/>
    <w:rsid w:val="00AB2936"/>
    <w:rsid w:val="00AB3B93"/>
    <w:rsid w:val="00AB408D"/>
    <w:rsid w:val="00AB5793"/>
    <w:rsid w:val="00AB58DE"/>
    <w:rsid w:val="00AC16AB"/>
    <w:rsid w:val="00AC1782"/>
    <w:rsid w:val="00AC402B"/>
    <w:rsid w:val="00AC600F"/>
    <w:rsid w:val="00AC6034"/>
    <w:rsid w:val="00AC6346"/>
    <w:rsid w:val="00AD0B9C"/>
    <w:rsid w:val="00AD512C"/>
    <w:rsid w:val="00AD5BC1"/>
    <w:rsid w:val="00AD6485"/>
    <w:rsid w:val="00AE0B8C"/>
    <w:rsid w:val="00AE4D88"/>
    <w:rsid w:val="00AE70C8"/>
    <w:rsid w:val="00AE75DC"/>
    <w:rsid w:val="00AF044B"/>
    <w:rsid w:val="00AF05DF"/>
    <w:rsid w:val="00AF11D4"/>
    <w:rsid w:val="00AF172F"/>
    <w:rsid w:val="00AF2AEF"/>
    <w:rsid w:val="00AF33D7"/>
    <w:rsid w:val="00AF3A5E"/>
    <w:rsid w:val="00AF6CEB"/>
    <w:rsid w:val="00AF797A"/>
    <w:rsid w:val="00AF7C7A"/>
    <w:rsid w:val="00B01360"/>
    <w:rsid w:val="00B014E6"/>
    <w:rsid w:val="00B02B27"/>
    <w:rsid w:val="00B05E20"/>
    <w:rsid w:val="00B05F4D"/>
    <w:rsid w:val="00B064EB"/>
    <w:rsid w:val="00B065CC"/>
    <w:rsid w:val="00B067D0"/>
    <w:rsid w:val="00B07D6A"/>
    <w:rsid w:val="00B10643"/>
    <w:rsid w:val="00B11023"/>
    <w:rsid w:val="00B11402"/>
    <w:rsid w:val="00B11805"/>
    <w:rsid w:val="00B12083"/>
    <w:rsid w:val="00B125F2"/>
    <w:rsid w:val="00B150B7"/>
    <w:rsid w:val="00B16182"/>
    <w:rsid w:val="00B178D6"/>
    <w:rsid w:val="00B220B4"/>
    <w:rsid w:val="00B22A7F"/>
    <w:rsid w:val="00B2442B"/>
    <w:rsid w:val="00B26E7B"/>
    <w:rsid w:val="00B2723E"/>
    <w:rsid w:val="00B32181"/>
    <w:rsid w:val="00B327BA"/>
    <w:rsid w:val="00B34AAD"/>
    <w:rsid w:val="00B35653"/>
    <w:rsid w:val="00B35C07"/>
    <w:rsid w:val="00B35F0A"/>
    <w:rsid w:val="00B35FCF"/>
    <w:rsid w:val="00B370AD"/>
    <w:rsid w:val="00B3715A"/>
    <w:rsid w:val="00B40EEA"/>
    <w:rsid w:val="00B4173B"/>
    <w:rsid w:val="00B502C8"/>
    <w:rsid w:val="00B5072E"/>
    <w:rsid w:val="00B508AE"/>
    <w:rsid w:val="00B50AC3"/>
    <w:rsid w:val="00B54615"/>
    <w:rsid w:val="00B60543"/>
    <w:rsid w:val="00B60602"/>
    <w:rsid w:val="00B62686"/>
    <w:rsid w:val="00B66843"/>
    <w:rsid w:val="00B67BFC"/>
    <w:rsid w:val="00B70485"/>
    <w:rsid w:val="00B733EA"/>
    <w:rsid w:val="00B7373A"/>
    <w:rsid w:val="00B7459C"/>
    <w:rsid w:val="00B7591D"/>
    <w:rsid w:val="00B75C29"/>
    <w:rsid w:val="00B7670C"/>
    <w:rsid w:val="00B77D29"/>
    <w:rsid w:val="00B80556"/>
    <w:rsid w:val="00B81AB4"/>
    <w:rsid w:val="00B82400"/>
    <w:rsid w:val="00B82D5B"/>
    <w:rsid w:val="00B870BE"/>
    <w:rsid w:val="00B87450"/>
    <w:rsid w:val="00B87ABE"/>
    <w:rsid w:val="00B87C33"/>
    <w:rsid w:val="00B91D34"/>
    <w:rsid w:val="00B947E4"/>
    <w:rsid w:val="00B9644D"/>
    <w:rsid w:val="00B97F93"/>
    <w:rsid w:val="00BA1848"/>
    <w:rsid w:val="00BA270E"/>
    <w:rsid w:val="00BA2F7C"/>
    <w:rsid w:val="00BA37D8"/>
    <w:rsid w:val="00BA5FEB"/>
    <w:rsid w:val="00BA6CB0"/>
    <w:rsid w:val="00BA7531"/>
    <w:rsid w:val="00BA7547"/>
    <w:rsid w:val="00BA77FB"/>
    <w:rsid w:val="00BB137E"/>
    <w:rsid w:val="00BB37F3"/>
    <w:rsid w:val="00BB4625"/>
    <w:rsid w:val="00BB513F"/>
    <w:rsid w:val="00BB5C10"/>
    <w:rsid w:val="00BC1DCC"/>
    <w:rsid w:val="00BC5E75"/>
    <w:rsid w:val="00BD01BF"/>
    <w:rsid w:val="00BD0555"/>
    <w:rsid w:val="00BD1544"/>
    <w:rsid w:val="00BD1C1A"/>
    <w:rsid w:val="00BD4113"/>
    <w:rsid w:val="00BD5560"/>
    <w:rsid w:val="00BD5D28"/>
    <w:rsid w:val="00BD6257"/>
    <w:rsid w:val="00BD6707"/>
    <w:rsid w:val="00BD6BC5"/>
    <w:rsid w:val="00BD76B4"/>
    <w:rsid w:val="00BE141B"/>
    <w:rsid w:val="00BE2638"/>
    <w:rsid w:val="00BE652E"/>
    <w:rsid w:val="00BE6BF2"/>
    <w:rsid w:val="00BE7DC4"/>
    <w:rsid w:val="00BF29C1"/>
    <w:rsid w:val="00BF2DC1"/>
    <w:rsid w:val="00BF30C5"/>
    <w:rsid w:val="00BF428E"/>
    <w:rsid w:val="00BF4A53"/>
    <w:rsid w:val="00BF7AFF"/>
    <w:rsid w:val="00C0030E"/>
    <w:rsid w:val="00C00485"/>
    <w:rsid w:val="00C01FE9"/>
    <w:rsid w:val="00C03D6C"/>
    <w:rsid w:val="00C04D69"/>
    <w:rsid w:val="00C06A30"/>
    <w:rsid w:val="00C06F97"/>
    <w:rsid w:val="00C078BF"/>
    <w:rsid w:val="00C10B5D"/>
    <w:rsid w:val="00C10D46"/>
    <w:rsid w:val="00C11875"/>
    <w:rsid w:val="00C140A0"/>
    <w:rsid w:val="00C17246"/>
    <w:rsid w:val="00C17829"/>
    <w:rsid w:val="00C217F4"/>
    <w:rsid w:val="00C24C04"/>
    <w:rsid w:val="00C252C1"/>
    <w:rsid w:val="00C26F78"/>
    <w:rsid w:val="00C30405"/>
    <w:rsid w:val="00C305B3"/>
    <w:rsid w:val="00C322BD"/>
    <w:rsid w:val="00C33CC1"/>
    <w:rsid w:val="00C33FC1"/>
    <w:rsid w:val="00C3423D"/>
    <w:rsid w:val="00C34739"/>
    <w:rsid w:val="00C350E1"/>
    <w:rsid w:val="00C368E8"/>
    <w:rsid w:val="00C36EAA"/>
    <w:rsid w:val="00C3794C"/>
    <w:rsid w:val="00C41777"/>
    <w:rsid w:val="00C4291D"/>
    <w:rsid w:val="00C433C6"/>
    <w:rsid w:val="00C46165"/>
    <w:rsid w:val="00C47B54"/>
    <w:rsid w:val="00C47EDC"/>
    <w:rsid w:val="00C51137"/>
    <w:rsid w:val="00C52DAF"/>
    <w:rsid w:val="00C53C85"/>
    <w:rsid w:val="00C54778"/>
    <w:rsid w:val="00C549C6"/>
    <w:rsid w:val="00C55E2E"/>
    <w:rsid w:val="00C55E69"/>
    <w:rsid w:val="00C56B26"/>
    <w:rsid w:val="00C575FB"/>
    <w:rsid w:val="00C634A4"/>
    <w:rsid w:val="00C638E1"/>
    <w:rsid w:val="00C63FC3"/>
    <w:rsid w:val="00C64203"/>
    <w:rsid w:val="00C64409"/>
    <w:rsid w:val="00C65C24"/>
    <w:rsid w:val="00C674F8"/>
    <w:rsid w:val="00C67601"/>
    <w:rsid w:val="00C70DC9"/>
    <w:rsid w:val="00C71404"/>
    <w:rsid w:val="00C719C9"/>
    <w:rsid w:val="00C7283D"/>
    <w:rsid w:val="00C73416"/>
    <w:rsid w:val="00C73B1D"/>
    <w:rsid w:val="00C73C1A"/>
    <w:rsid w:val="00C742F3"/>
    <w:rsid w:val="00C752CE"/>
    <w:rsid w:val="00C75DA0"/>
    <w:rsid w:val="00C76028"/>
    <w:rsid w:val="00C775DE"/>
    <w:rsid w:val="00C86A8D"/>
    <w:rsid w:val="00C86C96"/>
    <w:rsid w:val="00C876A2"/>
    <w:rsid w:val="00C919AC"/>
    <w:rsid w:val="00C92612"/>
    <w:rsid w:val="00CA09A5"/>
    <w:rsid w:val="00CA1E72"/>
    <w:rsid w:val="00CA3721"/>
    <w:rsid w:val="00CA4FC9"/>
    <w:rsid w:val="00CA631E"/>
    <w:rsid w:val="00CA7C4C"/>
    <w:rsid w:val="00CB060B"/>
    <w:rsid w:val="00CB1CDF"/>
    <w:rsid w:val="00CB5A0D"/>
    <w:rsid w:val="00CB5D81"/>
    <w:rsid w:val="00CB61DD"/>
    <w:rsid w:val="00CC0499"/>
    <w:rsid w:val="00CC188A"/>
    <w:rsid w:val="00CC20CB"/>
    <w:rsid w:val="00CC2B8A"/>
    <w:rsid w:val="00CC324A"/>
    <w:rsid w:val="00CC3871"/>
    <w:rsid w:val="00CC4CDC"/>
    <w:rsid w:val="00CC75A8"/>
    <w:rsid w:val="00CC7F03"/>
    <w:rsid w:val="00CD1EC4"/>
    <w:rsid w:val="00CD2C23"/>
    <w:rsid w:val="00CD3458"/>
    <w:rsid w:val="00CD3C07"/>
    <w:rsid w:val="00CD427F"/>
    <w:rsid w:val="00CD51BF"/>
    <w:rsid w:val="00CD6E24"/>
    <w:rsid w:val="00CD79F6"/>
    <w:rsid w:val="00CE35FC"/>
    <w:rsid w:val="00CE3BA6"/>
    <w:rsid w:val="00CE5FAD"/>
    <w:rsid w:val="00CE6055"/>
    <w:rsid w:val="00CF0D5B"/>
    <w:rsid w:val="00CF20B6"/>
    <w:rsid w:val="00CF534D"/>
    <w:rsid w:val="00CF5CBA"/>
    <w:rsid w:val="00CF5E9C"/>
    <w:rsid w:val="00CF7EEB"/>
    <w:rsid w:val="00D00BDF"/>
    <w:rsid w:val="00D01CDC"/>
    <w:rsid w:val="00D03788"/>
    <w:rsid w:val="00D03DE3"/>
    <w:rsid w:val="00D063CB"/>
    <w:rsid w:val="00D065C7"/>
    <w:rsid w:val="00D06934"/>
    <w:rsid w:val="00D0790D"/>
    <w:rsid w:val="00D07A58"/>
    <w:rsid w:val="00D07F6F"/>
    <w:rsid w:val="00D10801"/>
    <w:rsid w:val="00D108C0"/>
    <w:rsid w:val="00D1119D"/>
    <w:rsid w:val="00D112F6"/>
    <w:rsid w:val="00D12B60"/>
    <w:rsid w:val="00D12F51"/>
    <w:rsid w:val="00D13072"/>
    <w:rsid w:val="00D162C6"/>
    <w:rsid w:val="00D16ED7"/>
    <w:rsid w:val="00D17A12"/>
    <w:rsid w:val="00D17BC3"/>
    <w:rsid w:val="00D208F7"/>
    <w:rsid w:val="00D25D58"/>
    <w:rsid w:val="00D26869"/>
    <w:rsid w:val="00D30428"/>
    <w:rsid w:val="00D30815"/>
    <w:rsid w:val="00D32518"/>
    <w:rsid w:val="00D32950"/>
    <w:rsid w:val="00D3363F"/>
    <w:rsid w:val="00D343FA"/>
    <w:rsid w:val="00D346AF"/>
    <w:rsid w:val="00D373B8"/>
    <w:rsid w:val="00D37F25"/>
    <w:rsid w:val="00D40491"/>
    <w:rsid w:val="00D4122E"/>
    <w:rsid w:val="00D41527"/>
    <w:rsid w:val="00D421B2"/>
    <w:rsid w:val="00D42AAA"/>
    <w:rsid w:val="00D445C7"/>
    <w:rsid w:val="00D450B5"/>
    <w:rsid w:val="00D50169"/>
    <w:rsid w:val="00D50E6C"/>
    <w:rsid w:val="00D51AD4"/>
    <w:rsid w:val="00D52505"/>
    <w:rsid w:val="00D57555"/>
    <w:rsid w:val="00D60B7E"/>
    <w:rsid w:val="00D60EDC"/>
    <w:rsid w:val="00D63EED"/>
    <w:rsid w:val="00D64AE6"/>
    <w:rsid w:val="00D670A7"/>
    <w:rsid w:val="00D72474"/>
    <w:rsid w:val="00D72852"/>
    <w:rsid w:val="00D738ED"/>
    <w:rsid w:val="00D73C8D"/>
    <w:rsid w:val="00D74013"/>
    <w:rsid w:val="00D74ED9"/>
    <w:rsid w:val="00D772E1"/>
    <w:rsid w:val="00D77686"/>
    <w:rsid w:val="00D77DE7"/>
    <w:rsid w:val="00D8029D"/>
    <w:rsid w:val="00D808BC"/>
    <w:rsid w:val="00D827E4"/>
    <w:rsid w:val="00D83D08"/>
    <w:rsid w:val="00D84517"/>
    <w:rsid w:val="00D848C4"/>
    <w:rsid w:val="00D87B3D"/>
    <w:rsid w:val="00D9180C"/>
    <w:rsid w:val="00D93EB0"/>
    <w:rsid w:val="00DA2A6D"/>
    <w:rsid w:val="00DA3336"/>
    <w:rsid w:val="00DA46A5"/>
    <w:rsid w:val="00DA7318"/>
    <w:rsid w:val="00DB0D4C"/>
    <w:rsid w:val="00DB108F"/>
    <w:rsid w:val="00DB373F"/>
    <w:rsid w:val="00DB3EFB"/>
    <w:rsid w:val="00DB5246"/>
    <w:rsid w:val="00DB55D1"/>
    <w:rsid w:val="00DB674C"/>
    <w:rsid w:val="00DB71B4"/>
    <w:rsid w:val="00DC15CA"/>
    <w:rsid w:val="00DC1D04"/>
    <w:rsid w:val="00DC2EE9"/>
    <w:rsid w:val="00DC3385"/>
    <w:rsid w:val="00DC4421"/>
    <w:rsid w:val="00DC6482"/>
    <w:rsid w:val="00DC7152"/>
    <w:rsid w:val="00DD03D2"/>
    <w:rsid w:val="00DD2C96"/>
    <w:rsid w:val="00DD2D73"/>
    <w:rsid w:val="00DD32E4"/>
    <w:rsid w:val="00DD3639"/>
    <w:rsid w:val="00DD3946"/>
    <w:rsid w:val="00DD3B78"/>
    <w:rsid w:val="00DD3D2E"/>
    <w:rsid w:val="00DE347B"/>
    <w:rsid w:val="00DE6AA9"/>
    <w:rsid w:val="00DE7B79"/>
    <w:rsid w:val="00DE7BE8"/>
    <w:rsid w:val="00DF35F7"/>
    <w:rsid w:val="00DF5E10"/>
    <w:rsid w:val="00DF6150"/>
    <w:rsid w:val="00DF7248"/>
    <w:rsid w:val="00E00540"/>
    <w:rsid w:val="00E0116D"/>
    <w:rsid w:val="00E0236D"/>
    <w:rsid w:val="00E0240E"/>
    <w:rsid w:val="00E02858"/>
    <w:rsid w:val="00E02C9A"/>
    <w:rsid w:val="00E04982"/>
    <w:rsid w:val="00E06DB8"/>
    <w:rsid w:val="00E10823"/>
    <w:rsid w:val="00E10B17"/>
    <w:rsid w:val="00E10E37"/>
    <w:rsid w:val="00E12291"/>
    <w:rsid w:val="00E12A7F"/>
    <w:rsid w:val="00E135EF"/>
    <w:rsid w:val="00E1429C"/>
    <w:rsid w:val="00E167A3"/>
    <w:rsid w:val="00E16916"/>
    <w:rsid w:val="00E171C4"/>
    <w:rsid w:val="00E1797D"/>
    <w:rsid w:val="00E2066F"/>
    <w:rsid w:val="00E2115D"/>
    <w:rsid w:val="00E23DF4"/>
    <w:rsid w:val="00E250C4"/>
    <w:rsid w:val="00E25D5B"/>
    <w:rsid w:val="00E31FD5"/>
    <w:rsid w:val="00E32520"/>
    <w:rsid w:val="00E32F2C"/>
    <w:rsid w:val="00E33C83"/>
    <w:rsid w:val="00E35F17"/>
    <w:rsid w:val="00E363A9"/>
    <w:rsid w:val="00E3711A"/>
    <w:rsid w:val="00E37C33"/>
    <w:rsid w:val="00E40C58"/>
    <w:rsid w:val="00E43090"/>
    <w:rsid w:val="00E43591"/>
    <w:rsid w:val="00E455CC"/>
    <w:rsid w:val="00E523B8"/>
    <w:rsid w:val="00E52DDD"/>
    <w:rsid w:val="00E5382C"/>
    <w:rsid w:val="00E61F3A"/>
    <w:rsid w:val="00E624B8"/>
    <w:rsid w:val="00E62795"/>
    <w:rsid w:val="00E64B87"/>
    <w:rsid w:val="00E65D2B"/>
    <w:rsid w:val="00E71F3E"/>
    <w:rsid w:val="00E73357"/>
    <w:rsid w:val="00E7473E"/>
    <w:rsid w:val="00E770B5"/>
    <w:rsid w:val="00E82ACD"/>
    <w:rsid w:val="00E85A34"/>
    <w:rsid w:val="00E86A99"/>
    <w:rsid w:val="00E9017D"/>
    <w:rsid w:val="00E90BFC"/>
    <w:rsid w:val="00E9252D"/>
    <w:rsid w:val="00E92B6C"/>
    <w:rsid w:val="00E93150"/>
    <w:rsid w:val="00E9333E"/>
    <w:rsid w:val="00E9658C"/>
    <w:rsid w:val="00E9697D"/>
    <w:rsid w:val="00EA1993"/>
    <w:rsid w:val="00EA22DB"/>
    <w:rsid w:val="00EA33AE"/>
    <w:rsid w:val="00EA3C8B"/>
    <w:rsid w:val="00EA3D44"/>
    <w:rsid w:val="00EA4327"/>
    <w:rsid w:val="00EA48D7"/>
    <w:rsid w:val="00EA671F"/>
    <w:rsid w:val="00EA69F8"/>
    <w:rsid w:val="00EA7362"/>
    <w:rsid w:val="00EB0ADF"/>
    <w:rsid w:val="00EB1406"/>
    <w:rsid w:val="00EB180A"/>
    <w:rsid w:val="00EB1D1A"/>
    <w:rsid w:val="00EB205C"/>
    <w:rsid w:val="00EB24D7"/>
    <w:rsid w:val="00EB3E95"/>
    <w:rsid w:val="00EB43FF"/>
    <w:rsid w:val="00EB7257"/>
    <w:rsid w:val="00EB7337"/>
    <w:rsid w:val="00EB7515"/>
    <w:rsid w:val="00EC02DB"/>
    <w:rsid w:val="00EC218F"/>
    <w:rsid w:val="00EC2B80"/>
    <w:rsid w:val="00EC4536"/>
    <w:rsid w:val="00EC52CA"/>
    <w:rsid w:val="00EC5586"/>
    <w:rsid w:val="00EC5B95"/>
    <w:rsid w:val="00EC636C"/>
    <w:rsid w:val="00ED2DDB"/>
    <w:rsid w:val="00ED43A2"/>
    <w:rsid w:val="00ED43E6"/>
    <w:rsid w:val="00ED4706"/>
    <w:rsid w:val="00ED51DB"/>
    <w:rsid w:val="00ED5366"/>
    <w:rsid w:val="00ED6048"/>
    <w:rsid w:val="00ED7B44"/>
    <w:rsid w:val="00EE50E5"/>
    <w:rsid w:val="00EE5B5E"/>
    <w:rsid w:val="00EE658A"/>
    <w:rsid w:val="00EE70D7"/>
    <w:rsid w:val="00EE7685"/>
    <w:rsid w:val="00EF2F29"/>
    <w:rsid w:val="00EF3CDF"/>
    <w:rsid w:val="00EF3F07"/>
    <w:rsid w:val="00EF4B7C"/>
    <w:rsid w:val="00EF59DB"/>
    <w:rsid w:val="00EF654E"/>
    <w:rsid w:val="00F0012D"/>
    <w:rsid w:val="00F01365"/>
    <w:rsid w:val="00F03135"/>
    <w:rsid w:val="00F034EA"/>
    <w:rsid w:val="00F03532"/>
    <w:rsid w:val="00F0460C"/>
    <w:rsid w:val="00F07F16"/>
    <w:rsid w:val="00F13BDC"/>
    <w:rsid w:val="00F16D0D"/>
    <w:rsid w:val="00F16FF1"/>
    <w:rsid w:val="00F21F04"/>
    <w:rsid w:val="00F22696"/>
    <w:rsid w:val="00F26AA9"/>
    <w:rsid w:val="00F276C2"/>
    <w:rsid w:val="00F33C02"/>
    <w:rsid w:val="00F35DCA"/>
    <w:rsid w:val="00F37829"/>
    <w:rsid w:val="00F401D2"/>
    <w:rsid w:val="00F41D46"/>
    <w:rsid w:val="00F44061"/>
    <w:rsid w:val="00F4469E"/>
    <w:rsid w:val="00F4552E"/>
    <w:rsid w:val="00F461CB"/>
    <w:rsid w:val="00F46B2D"/>
    <w:rsid w:val="00F472CE"/>
    <w:rsid w:val="00F51111"/>
    <w:rsid w:val="00F5219B"/>
    <w:rsid w:val="00F52367"/>
    <w:rsid w:val="00F548C1"/>
    <w:rsid w:val="00F56751"/>
    <w:rsid w:val="00F56AE0"/>
    <w:rsid w:val="00F61380"/>
    <w:rsid w:val="00F61B10"/>
    <w:rsid w:val="00F62646"/>
    <w:rsid w:val="00F653AD"/>
    <w:rsid w:val="00F65E0B"/>
    <w:rsid w:val="00F6684C"/>
    <w:rsid w:val="00F70023"/>
    <w:rsid w:val="00F704C1"/>
    <w:rsid w:val="00F70A72"/>
    <w:rsid w:val="00F71C21"/>
    <w:rsid w:val="00F71ED1"/>
    <w:rsid w:val="00F72139"/>
    <w:rsid w:val="00F73EAE"/>
    <w:rsid w:val="00F7626A"/>
    <w:rsid w:val="00F776A1"/>
    <w:rsid w:val="00F776B4"/>
    <w:rsid w:val="00F829FC"/>
    <w:rsid w:val="00F83908"/>
    <w:rsid w:val="00F84ED1"/>
    <w:rsid w:val="00F8570B"/>
    <w:rsid w:val="00F861B9"/>
    <w:rsid w:val="00F9146F"/>
    <w:rsid w:val="00F915DC"/>
    <w:rsid w:val="00F9167F"/>
    <w:rsid w:val="00F92642"/>
    <w:rsid w:val="00F928C9"/>
    <w:rsid w:val="00F92EA5"/>
    <w:rsid w:val="00F93D68"/>
    <w:rsid w:val="00F94CC0"/>
    <w:rsid w:val="00F956D0"/>
    <w:rsid w:val="00F96249"/>
    <w:rsid w:val="00F967B3"/>
    <w:rsid w:val="00FA477D"/>
    <w:rsid w:val="00FA5FD9"/>
    <w:rsid w:val="00FA7133"/>
    <w:rsid w:val="00FA7FB6"/>
    <w:rsid w:val="00FB0263"/>
    <w:rsid w:val="00FB0DC3"/>
    <w:rsid w:val="00FB2C70"/>
    <w:rsid w:val="00FB3ACD"/>
    <w:rsid w:val="00FB50C1"/>
    <w:rsid w:val="00FB6A0A"/>
    <w:rsid w:val="00FB7516"/>
    <w:rsid w:val="00FC125C"/>
    <w:rsid w:val="00FC1941"/>
    <w:rsid w:val="00FC1A10"/>
    <w:rsid w:val="00FC2332"/>
    <w:rsid w:val="00FC3B51"/>
    <w:rsid w:val="00FC51AA"/>
    <w:rsid w:val="00FC5CE3"/>
    <w:rsid w:val="00FC6E07"/>
    <w:rsid w:val="00FC7A20"/>
    <w:rsid w:val="00FD14AB"/>
    <w:rsid w:val="00FD3B34"/>
    <w:rsid w:val="00FD567A"/>
    <w:rsid w:val="00FD695B"/>
    <w:rsid w:val="00FD7B1B"/>
    <w:rsid w:val="00FD7B5D"/>
    <w:rsid w:val="00FE01EE"/>
    <w:rsid w:val="00FE3685"/>
    <w:rsid w:val="00FE3E4A"/>
    <w:rsid w:val="00FE43C2"/>
    <w:rsid w:val="00FE5631"/>
    <w:rsid w:val="00FE6E40"/>
    <w:rsid w:val="00FF1153"/>
    <w:rsid w:val="00FF1659"/>
    <w:rsid w:val="00FF1F02"/>
    <w:rsid w:val="00FF1FE7"/>
    <w:rsid w:val="00FF21E3"/>
    <w:rsid w:val="00FF31ED"/>
    <w:rsid w:val="00FF5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14:docId w14:val="443075BB"/>
  <w15:chartTrackingRefBased/>
  <w15:docId w15:val="{8957BF1C-64BA-46C8-A8A4-34BD6E50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ADA"/>
  </w:style>
  <w:style w:type="paragraph" w:styleId="Heading1">
    <w:name w:val="heading 1"/>
    <w:basedOn w:val="Normal"/>
    <w:next w:val="Normal"/>
    <w:link w:val="Heading1Char"/>
    <w:qFormat/>
    <w:rsid w:val="004C1CC2"/>
    <w:pPr>
      <w:keepNext/>
      <w:keepLines/>
      <w:spacing w:before="240" w:line="360" w:lineRule="auto"/>
      <w:jc w:val="center"/>
      <w:outlineLvl w:val="0"/>
    </w:pPr>
    <w:rPr>
      <w:rFonts w:eastAsiaTheme="majorEastAsia" w:cstheme="majorBidi"/>
      <w:b/>
      <w:sz w:val="40"/>
      <w:szCs w:val="32"/>
    </w:rPr>
  </w:style>
  <w:style w:type="paragraph" w:styleId="Heading2">
    <w:name w:val="heading 2"/>
    <w:basedOn w:val="Normal"/>
    <w:next w:val="Normal"/>
    <w:link w:val="Heading2Char"/>
    <w:unhideWhenUsed/>
    <w:qFormat/>
    <w:rsid w:val="00A547EA"/>
    <w:pPr>
      <w:keepNext/>
      <w:keepLines/>
      <w:spacing w:before="120" w:after="120"/>
      <w:jc w:val="both"/>
      <w:outlineLvl w:val="1"/>
    </w:pPr>
    <w:rPr>
      <w:rFonts w:eastAsiaTheme="majorEastAsia" w:cstheme="majorBidi"/>
      <w:b/>
      <w:szCs w:val="26"/>
    </w:rPr>
  </w:style>
  <w:style w:type="paragraph" w:styleId="Heading3">
    <w:name w:val="heading 3"/>
    <w:basedOn w:val="Normal"/>
    <w:next w:val="Normal"/>
    <w:link w:val="Heading3Char"/>
    <w:unhideWhenUsed/>
    <w:qFormat/>
    <w:rsid w:val="00D063CB"/>
    <w:pPr>
      <w:keepNext/>
      <w:keepLines/>
      <w:spacing w:before="40"/>
      <w:jc w:val="both"/>
      <w:outlineLvl w:val="2"/>
    </w:pPr>
    <w:rPr>
      <w:rFonts w:eastAsiaTheme="majorEastAsia"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2 Char,Normal bullet 2 Char,Bullet list Char,List Paragraph1 Char,Numbered Para 1 Char,Dot pt Char,No Spacing1 Char,List Paragraph Char Char Char Char,Indicator Text Char,Bullet 1 Char,Bullet Points Char,MAIN CONTENT Char,Strip Char"/>
    <w:link w:val="ListParagraph"/>
    <w:uiPriority w:val="34"/>
    <w:qFormat/>
    <w:locked/>
    <w:rsid w:val="001F30D9"/>
    <w:rPr>
      <w:rFonts w:eastAsia="Calibri" w:cs="Times New Roman"/>
    </w:rPr>
  </w:style>
  <w:style w:type="paragraph" w:styleId="ListParagraph">
    <w:name w:val="List Paragraph"/>
    <w:aliases w:val="2,Normal bullet 2,Bullet list,List Paragraph1,Numbered Para 1,Dot pt,No Spacing1,List Paragraph Char Char Char,Indicator Text,Bullet 1,Bullet Points,MAIN CONTENT,IFCL - List Paragraph,List Paragraph12,OBC Bullet,F5 List Paragraph,Strip"/>
    <w:basedOn w:val="Normal"/>
    <w:link w:val="ListParagraphChar"/>
    <w:uiPriority w:val="34"/>
    <w:qFormat/>
    <w:rsid w:val="001F30D9"/>
    <w:pPr>
      <w:ind w:left="720"/>
      <w:contextualSpacing/>
      <w:jc w:val="both"/>
    </w:pPr>
    <w:rPr>
      <w:rFonts w:eastAsia="Calibri" w:cs="Times New Roman"/>
    </w:rPr>
  </w:style>
  <w:style w:type="table" w:styleId="TableGrid">
    <w:name w:val="Table Grid"/>
    <w:basedOn w:val="TableNormal"/>
    <w:uiPriority w:val="39"/>
    <w:rsid w:val="00283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E487D"/>
    <w:rPr>
      <w:sz w:val="16"/>
      <w:szCs w:val="16"/>
    </w:rPr>
  </w:style>
  <w:style w:type="paragraph" w:styleId="CommentText">
    <w:name w:val="annotation text"/>
    <w:basedOn w:val="Normal"/>
    <w:link w:val="CommentTextChar"/>
    <w:uiPriority w:val="99"/>
    <w:unhideWhenUsed/>
    <w:rsid w:val="009E487D"/>
    <w:rPr>
      <w:sz w:val="20"/>
      <w:szCs w:val="20"/>
    </w:rPr>
  </w:style>
  <w:style w:type="character" w:customStyle="1" w:styleId="CommentTextChar">
    <w:name w:val="Comment Text Char"/>
    <w:basedOn w:val="DefaultParagraphFont"/>
    <w:link w:val="CommentText"/>
    <w:uiPriority w:val="99"/>
    <w:rsid w:val="009E487D"/>
    <w:rPr>
      <w:sz w:val="20"/>
      <w:szCs w:val="20"/>
    </w:rPr>
  </w:style>
  <w:style w:type="paragraph" w:styleId="CommentSubject">
    <w:name w:val="annotation subject"/>
    <w:basedOn w:val="CommentText"/>
    <w:next w:val="CommentText"/>
    <w:link w:val="CommentSubjectChar"/>
    <w:uiPriority w:val="99"/>
    <w:semiHidden/>
    <w:unhideWhenUsed/>
    <w:rsid w:val="009E487D"/>
    <w:rPr>
      <w:b/>
      <w:bCs/>
    </w:rPr>
  </w:style>
  <w:style w:type="character" w:customStyle="1" w:styleId="CommentSubjectChar">
    <w:name w:val="Comment Subject Char"/>
    <w:basedOn w:val="CommentTextChar"/>
    <w:link w:val="CommentSubject"/>
    <w:uiPriority w:val="99"/>
    <w:semiHidden/>
    <w:rsid w:val="009E487D"/>
    <w:rPr>
      <w:b/>
      <w:bCs/>
      <w:sz w:val="20"/>
      <w:szCs w:val="20"/>
    </w:rPr>
  </w:style>
  <w:style w:type="paragraph" w:styleId="BalloonText">
    <w:name w:val="Balloon Text"/>
    <w:basedOn w:val="Normal"/>
    <w:link w:val="BalloonTextChar"/>
    <w:uiPriority w:val="99"/>
    <w:semiHidden/>
    <w:unhideWhenUsed/>
    <w:rsid w:val="009E48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87D"/>
    <w:rPr>
      <w:rFonts w:ascii="Segoe UI" w:hAnsi="Segoe UI" w:cs="Segoe UI"/>
      <w:sz w:val="18"/>
      <w:szCs w:val="18"/>
    </w:rPr>
  </w:style>
  <w:style w:type="paragraph" w:styleId="Header">
    <w:name w:val="header"/>
    <w:basedOn w:val="Normal"/>
    <w:link w:val="HeaderChar"/>
    <w:uiPriority w:val="99"/>
    <w:unhideWhenUsed/>
    <w:rsid w:val="00A24B7F"/>
    <w:pPr>
      <w:tabs>
        <w:tab w:val="center" w:pos="4153"/>
        <w:tab w:val="right" w:pos="8306"/>
      </w:tabs>
    </w:pPr>
  </w:style>
  <w:style w:type="character" w:customStyle="1" w:styleId="HeaderChar">
    <w:name w:val="Header Char"/>
    <w:basedOn w:val="DefaultParagraphFont"/>
    <w:link w:val="Header"/>
    <w:uiPriority w:val="99"/>
    <w:rsid w:val="00A24B7F"/>
  </w:style>
  <w:style w:type="paragraph" w:styleId="Footer">
    <w:name w:val="footer"/>
    <w:basedOn w:val="Normal"/>
    <w:link w:val="FooterChar"/>
    <w:unhideWhenUsed/>
    <w:rsid w:val="00A24B7F"/>
    <w:pPr>
      <w:tabs>
        <w:tab w:val="center" w:pos="4153"/>
        <w:tab w:val="right" w:pos="8306"/>
      </w:tabs>
    </w:pPr>
  </w:style>
  <w:style w:type="character" w:customStyle="1" w:styleId="FooterChar">
    <w:name w:val="Footer Char"/>
    <w:basedOn w:val="DefaultParagraphFont"/>
    <w:link w:val="Footer"/>
    <w:rsid w:val="00A24B7F"/>
  </w:style>
  <w:style w:type="paragraph" w:styleId="NormalWeb">
    <w:name w:val="Normal (Web)"/>
    <w:basedOn w:val="Normal"/>
    <w:uiPriority w:val="99"/>
    <w:unhideWhenUsed/>
    <w:rsid w:val="008B20CC"/>
    <w:pPr>
      <w:spacing w:before="100" w:beforeAutospacing="1" w:after="100" w:afterAutospacing="1"/>
      <w:jc w:val="both"/>
    </w:pPr>
    <w:rPr>
      <w:rFonts w:eastAsia="Times New Roman" w:cs="Times New Roman"/>
      <w:szCs w:val="24"/>
      <w:lang w:eastAsia="lv-LV"/>
    </w:rPr>
  </w:style>
  <w:style w:type="paragraph" w:styleId="FootnoteText">
    <w:name w:val="footnote text"/>
    <w:aliases w:val="Vēres teksts Rakstz.1 Char,Vēres teksts Rakstz. Rakstz. Char,Vēres teksts Rakstz.1 Rakstz. Rakstz. Char,Vēres teksts Rakstz. Rakstz. Rakstz. Rakstz. Char,Vēres teksts Rakstz.1 Rakstz. Rakstz. Rakstz. Rakstz. Char,Footnote,Fußnote,Char,f,ft"/>
    <w:basedOn w:val="Normal"/>
    <w:link w:val="FootnoteTextChar"/>
    <w:uiPriority w:val="99"/>
    <w:unhideWhenUsed/>
    <w:qFormat/>
    <w:rsid w:val="00C65C24"/>
    <w:rPr>
      <w:sz w:val="20"/>
      <w:szCs w:val="20"/>
    </w:rPr>
  </w:style>
  <w:style w:type="character" w:customStyle="1" w:styleId="FootnoteTextChar">
    <w:name w:val="Footnote Text Char"/>
    <w:aliases w:val="Vēres teksts Rakstz.1 Char Char,Vēres teksts Rakstz. Rakstz. Char Char,Vēres teksts Rakstz.1 Rakstz. Rakstz. Char Char,Vēres teksts Rakstz. Rakstz. Rakstz. Rakstz. Char Char,Footnote Char,Fußnote Char,Char Char,f Char,ft Char"/>
    <w:basedOn w:val="DefaultParagraphFont"/>
    <w:link w:val="FootnoteText"/>
    <w:uiPriority w:val="99"/>
    <w:qFormat/>
    <w:rsid w:val="00C65C24"/>
    <w:rPr>
      <w:sz w:val="20"/>
      <w:szCs w:val="20"/>
    </w:rPr>
  </w:style>
  <w:style w:type="character" w:styleId="FootnoteReference">
    <w:name w:val="footnote reference"/>
    <w:aliases w:val="Footnote Reference Number,Footnote symbol,Footnote Reference Superscript,SUPERS,ftref,Footnote Refernece,stylish,BVI fnr,Fußnotenzeichen_Raxen,callout,Stinking Styles22,number,Footnote symboFußnotenzeichen,Footnote sign,Times 10 Point"/>
    <w:basedOn w:val="DefaultParagraphFont"/>
    <w:link w:val="Char2"/>
    <w:uiPriority w:val="99"/>
    <w:unhideWhenUsed/>
    <w:qFormat/>
    <w:rsid w:val="00C65C24"/>
    <w:rPr>
      <w:vertAlign w:val="superscript"/>
    </w:rPr>
  </w:style>
  <w:style w:type="paragraph" w:customStyle="1" w:styleId="Char2">
    <w:name w:val="Char2"/>
    <w:aliases w:val="Char Char Char Char"/>
    <w:basedOn w:val="Normal"/>
    <w:next w:val="Normal"/>
    <w:link w:val="FootnoteReference"/>
    <w:uiPriority w:val="99"/>
    <w:rsid w:val="00C65C24"/>
    <w:pPr>
      <w:spacing w:after="160" w:line="240" w:lineRule="exact"/>
      <w:jc w:val="both"/>
      <w:textAlignment w:val="baseline"/>
    </w:pPr>
    <w:rPr>
      <w:vertAlign w:val="superscript"/>
    </w:rPr>
  </w:style>
  <w:style w:type="paragraph" w:customStyle="1" w:styleId="Default">
    <w:name w:val="Default"/>
    <w:rsid w:val="00D10801"/>
    <w:pPr>
      <w:autoSpaceDE w:val="0"/>
      <w:autoSpaceDN w:val="0"/>
      <w:adjustRightInd w:val="0"/>
    </w:pPr>
    <w:rPr>
      <w:rFonts w:ascii="Arial" w:hAnsi="Arial" w:cs="Arial"/>
      <w:color w:val="000000"/>
      <w:szCs w:val="24"/>
    </w:rPr>
  </w:style>
  <w:style w:type="character" w:customStyle="1" w:styleId="Heading1Char">
    <w:name w:val="Heading 1 Char"/>
    <w:basedOn w:val="DefaultParagraphFont"/>
    <w:link w:val="Heading1"/>
    <w:rsid w:val="004C1CC2"/>
    <w:rPr>
      <w:rFonts w:eastAsiaTheme="majorEastAsia" w:cstheme="majorBidi"/>
      <w:b/>
      <w:sz w:val="40"/>
      <w:szCs w:val="32"/>
    </w:rPr>
  </w:style>
  <w:style w:type="paragraph" w:styleId="TOCHeading">
    <w:name w:val="TOC Heading"/>
    <w:basedOn w:val="Heading1"/>
    <w:next w:val="Normal"/>
    <w:uiPriority w:val="39"/>
    <w:unhideWhenUsed/>
    <w:qFormat/>
    <w:rsid w:val="0046420E"/>
    <w:pPr>
      <w:spacing w:line="259" w:lineRule="auto"/>
      <w:outlineLvl w:val="9"/>
    </w:pPr>
    <w:rPr>
      <w:lang w:val="en-US"/>
    </w:rPr>
  </w:style>
  <w:style w:type="character" w:customStyle="1" w:styleId="Heading2Char">
    <w:name w:val="Heading 2 Char"/>
    <w:basedOn w:val="DefaultParagraphFont"/>
    <w:link w:val="Heading2"/>
    <w:rsid w:val="00A547EA"/>
    <w:rPr>
      <w:rFonts w:eastAsiaTheme="majorEastAsia" w:cstheme="majorBidi"/>
      <w:b/>
      <w:szCs w:val="26"/>
    </w:rPr>
  </w:style>
  <w:style w:type="paragraph" w:styleId="TOC1">
    <w:name w:val="toc 1"/>
    <w:basedOn w:val="Normal"/>
    <w:next w:val="Normal"/>
    <w:autoRedefine/>
    <w:uiPriority w:val="39"/>
    <w:unhideWhenUsed/>
    <w:rsid w:val="00075E5A"/>
    <w:pPr>
      <w:tabs>
        <w:tab w:val="left" w:pos="480"/>
        <w:tab w:val="right" w:leader="dot" w:pos="8777"/>
      </w:tabs>
      <w:spacing w:after="100"/>
    </w:pPr>
    <w:rPr>
      <w:b/>
      <w:noProof/>
    </w:rPr>
  </w:style>
  <w:style w:type="paragraph" w:styleId="TOC2">
    <w:name w:val="toc 2"/>
    <w:basedOn w:val="Normal"/>
    <w:next w:val="Normal"/>
    <w:autoRedefine/>
    <w:uiPriority w:val="39"/>
    <w:unhideWhenUsed/>
    <w:rsid w:val="002F0D3E"/>
    <w:pPr>
      <w:tabs>
        <w:tab w:val="left" w:pos="709"/>
        <w:tab w:val="left" w:pos="960"/>
        <w:tab w:val="right" w:leader="dot" w:pos="8777"/>
      </w:tabs>
      <w:spacing w:after="100"/>
      <w:ind w:left="709" w:hanging="425"/>
    </w:pPr>
    <w:rPr>
      <w:noProof/>
    </w:rPr>
  </w:style>
  <w:style w:type="character" w:styleId="Hyperlink">
    <w:name w:val="Hyperlink"/>
    <w:basedOn w:val="DefaultParagraphFont"/>
    <w:uiPriority w:val="99"/>
    <w:unhideWhenUsed/>
    <w:rsid w:val="00D063CB"/>
    <w:rPr>
      <w:color w:val="0563C1" w:themeColor="hyperlink"/>
      <w:u w:val="single"/>
    </w:rPr>
  </w:style>
  <w:style w:type="character" w:customStyle="1" w:styleId="Heading3Char">
    <w:name w:val="Heading 3 Char"/>
    <w:basedOn w:val="DefaultParagraphFont"/>
    <w:link w:val="Heading3"/>
    <w:rsid w:val="00D063CB"/>
    <w:rPr>
      <w:rFonts w:eastAsiaTheme="majorEastAsia" w:cstheme="majorBidi"/>
      <w:b/>
      <w:szCs w:val="24"/>
    </w:rPr>
  </w:style>
  <w:style w:type="paragraph" w:styleId="TOC3">
    <w:name w:val="toc 3"/>
    <w:basedOn w:val="Normal"/>
    <w:next w:val="Normal"/>
    <w:autoRedefine/>
    <w:uiPriority w:val="39"/>
    <w:unhideWhenUsed/>
    <w:rsid w:val="00AF172F"/>
    <w:pPr>
      <w:tabs>
        <w:tab w:val="right" w:leader="dot" w:pos="8777"/>
      </w:tabs>
      <w:spacing w:after="100"/>
      <w:ind w:left="1276" w:hanging="567"/>
    </w:pPr>
    <w:rPr>
      <w:i/>
      <w:noProof/>
    </w:rPr>
  </w:style>
  <w:style w:type="character" w:customStyle="1" w:styleId="spelle">
    <w:name w:val="spelle"/>
    <w:rsid w:val="0005162B"/>
  </w:style>
  <w:style w:type="table" w:customStyle="1" w:styleId="TableGrid1">
    <w:name w:val="Table Grid1"/>
    <w:basedOn w:val="TableNormal"/>
    <w:next w:val="TableGrid"/>
    <w:uiPriority w:val="39"/>
    <w:rsid w:val="00CC324A"/>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41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c">
    <w:name w:val="naisc"/>
    <w:basedOn w:val="Normal"/>
    <w:rsid w:val="00350556"/>
    <w:pPr>
      <w:spacing w:before="75" w:after="75"/>
      <w:jc w:val="center"/>
    </w:pPr>
    <w:rPr>
      <w:rFonts w:eastAsia="Times New Roman" w:cs="Times New Roman"/>
      <w:szCs w:val="24"/>
      <w:lang w:eastAsia="lv-LV"/>
    </w:rPr>
  </w:style>
  <w:style w:type="paragraph" w:styleId="Revision">
    <w:name w:val="Revision"/>
    <w:hidden/>
    <w:uiPriority w:val="99"/>
    <w:semiHidden/>
    <w:rsid w:val="00AA10E9"/>
  </w:style>
  <w:style w:type="paragraph" w:customStyle="1" w:styleId="liknoteik">
    <w:name w:val="lik_noteik"/>
    <w:basedOn w:val="Normal"/>
    <w:rsid w:val="001C5DB0"/>
    <w:pPr>
      <w:spacing w:before="100" w:beforeAutospacing="1" w:after="100" w:afterAutospacing="1"/>
    </w:pPr>
    <w:rPr>
      <w:rFonts w:eastAsia="Times New Roman" w:cs="Times New Roman"/>
      <w:szCs w:val="24"/>
      <w:lang w:eastAsia="lv-LV"/>
    </w:rPr>
  </w:style>
  <w:style w:type="paragraph" w:customStyle="1" w:styleId="likdat">
    <w:name w:val="lik_dat"/>
    <w:basedOn w:val="Normal"/>
    <w:rsid w:val="001C5DB0"/>
    <w:pPr>
      <w:spacing w:before="100" w:beforeAutospacing="1" w:after="100" w:afterAutospacing="1"/>
    </w:pPr>
    <w:rPr>
      <w:rFonts w:eastAsia="Times New Roman" w:cs="Times New Roman"/>
      <w:szCs w:val="24"/>
      <w:lang w:eastAsia="lv-LV"/>
    </w:rPr>
  </w:style>
  <w:style w:type="paragraph" w:styleId="BodyText">
    <w:name w:val="Body Text"/>
    <w:aliases w:val="OT Body Text,Body,Tekst"/>
    <w:basedOn w:val="Normal"/>
    <w:link w:val="BodyTextChar"/>
    <w:rsid w:val="004F37DD"/>
    <w:pPr>
      <w:jc w:val="both"/>
    </w:pPr>
    <w:rPr>
      <w:rFonts w:eastAsia="Times New Roman" w:cs="Times New Roman"/>
      <w:szCs w:val="20"/>
    </w:rPr>
  </w:style>
  <w:style w:type="character" w:customStyle="1" w:styleId="BodyTextChar">
    <w:name w:val="Body Text Char"/>
    <w:aliases w:val="OT Body Text Char,Body Char,Tekst Char"/>
    <w:basedOn w:val="DefaultParagraphFont"/>
    <w:link w:val="BodyText"/>
    <w:rsid w:val="004F37DD"/>
    <w:rPr>
      <w:rFonts w:eastAsia="Times New Roman" w:cs="Times New Roman"/>
      <w:szCs w:val="20"/>
    </w:rPr>
  </w:style>
  <w:style w:type="character" w:customStyle="1" w:styleId="apple-converted-space">
    <w:name w:val="apple-converted-space"/>
    <w:rsid w:val="004F37DD"/>
  </w:style>
  <w:style w:type="paragraph" w:styleId="BodyTextIndent">
    <w:name w:val="Body Text Indent"/>
    <w:basedOn w:val="Normal"/>
    <w:link w:val="BodyTextIndentChar"/>
    <w:uiPriority w:val="99"/>
    <w:unhideWhenUsed/>
    <w:rsid w:val="004F37DD"/>
    <w:pPr>
      <w:spacing w:after="120"/>
      <w:ind w:left="283"/>
      <w:jc w:val="both"/>
    </w:pPr>
    <w:rPr>
      <w:rFonts w:eastAsia="Calibri" w:cs="Times New Roman"/>
    </w:rPr>
  </w:style>
  <w:style w:type="character" w:customStyle="1" w:styleId="BodyTextIndentChar">
    <w:name w:val="Body Text Indent Char"/>
    <w:basedOn w:val="DefaultParagraphFont"/>
    <w:link w:val="BodyTextIndent"/>
    <w:uiPriority w:val="99"/>
    <w:rsid w:val="004F37DD"/>
    <w:rPr>
      <w:rFonts w:eastAsia="Calibri" w:cs="Times New Roman"/>
    </w:rPr>
  </w:style>
  <w:style w:type="character" w:styleId="Strong">
    <w:name w:val="Strong"/>
    <w:uiPriority w:val="22"/>
    <w:qFormat/>
    <w:rsid w:val="004F37DD"/>
    <w:rPr>
      <w:b/>
      <w:bCs/>
    </w:rPr>
  </w:style>
  <w:style w:type="character" w:customStyle="1" w:styleId="CommentTextChar1">
    <w:name w:val="Comment Text Char1"/>
    <w:uiPriority w:val="99"/>
    <w:semiHidden/>
    <w:rsid w:val="004F37DD"/>
    <w:rPr>
      <w:sz w:val="20"/>
      <w:szCs w:val="20"/>
    </w:rPr>
  </w:style>
  <w:style w:type="character" w:customStyle="1" w:styleId="FootnoteReference1">
    <w:name w:val="Footnote Reference1"/>
    <w:rsid w:val="004F37DD"/>
    <w:rPr>
      <w:vertAlign w:val="superscript"/>
    </w:rPr>
  </w:style>
  <w:style w:type="character" w:customStyle="1" w:styleId="FootnoteCharacters">
    <w:name w:val="Footnote Characters"/>
    <w:rsid w:val="004F37DD"/>
  </w:style>
  <w:style w:type="paragraph" w:customStyle="1" w:styleId="FootnoteText1">
    <w:name w:val="Footnote Text1"/>
    <w:basedOn w:val="Normal"/>
    <w:rsid w:val="004F37DD"/>
    <w:pPr>
      <w:suppressAutoHyphens/>
      <w:spacing w:line="100" w:lineRule="atLeast"/>
      <w:jc w:val="both"/>
    </w:pPr>
    <w:rPr>
      <w:rFonts w:eastAsia="Calibri" w:cs="Times New Roman"/>
      <w:color w:val="000000"/>
      <w:kern w:val="1"/>
      <w:sz w:val="20"/>
      <w:szCs w:val="20"/>
    </w:rPr>
  </w:style>
  <w:style w:type="paragraph" w:styleId="Caption">
    <w:name w:val="caption"/>
    <w:basedOn w:val="Normal"/>
    <w:next w:val="Normal"/>
    <w:link w:val="CaptionChar"/>
    <w:qFormat/>
    <w:rsid w:val="004F37DD"/>
    <w:pPr>
      <w:jc w:val="both"/>
    </w:pPr>
    <w:rPr>
      <w:rFonts w:eastAsia="Times New Roman" w:cs="Times New Roman"/>
      <w:b/>
      <w:bCs/>
      <w:sz w:val="20"/>
      <w:szCs w:val="20"/>
      <w:lang w:eastAsia="lv-LV"/>
    </w:rPr>
  </w:style>
  <w:style w:type="paragraph" w:styleId="NoSpacing">
    <w:name w:val="No Spacing"/>
    <w:link w:val="NoSpacingChar"/>
    <w:uiPriority w:val="1"/>
    <w:qFormat/>
    <w:rsid w:val="004F37DD"/>
    <w:rPr>
      <w:rFonts w:ascii="Calibri" w:eastAsia="Calibri" w:hAnsi="Calibri" w:cs="Times New Roman"/>
      <w:sz w:val="22"/>
    </w:rPr>
  </w:style>
  <w:style w:type="table" w:customStyle="1" w:styleId="LightList1">
    <w:name w:val="Light List1"/>
    <w:basedOn w:val="TableNormal"/>
    <w:uiPriority w:val="61"/>
    <w:rsid w:val="004F37DD"/>
    <w:rPr>
      <w:rFonts w:ascii="Calibri" w:eastAsia="Calibri" w:hAnsi="Calibri" w:cs="Times New Roman"/>
      <w:sz w:val="20"/>
      <w:szCs w:val="20"/>
      <w:lang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NoSpacingChar">
    <w:name w:val="No Spacing Char"/>
    <w:link w:val="NoSpacing"/>
    <w:uiPriority w:val="1"/>
    <w:rsid w:val="004F37DD"/>
    <w:rPr>
      <w:rFonts w:ascii="Calibri" w:eastAsia="Calibri" w:hAnsi="Calibri" w:cs="Times New Roman"/>
      <w:sz w:val="22"/>
    </w:rPr>
  </w:style>
  <w:style w:type="character" w:customStyle="1" w:styleId="ListLabel5">
    <w:name w:val="ListLabel 5"/>
    <w:rsid w:val="004F37DD"/>
    <w:rPr>
      <w:rFonts w:cs="Times New Roman"/>
    </w:rPr>
  </w:style>
  <w:style w:type="character" w:customStyle="1" w:styleId="ListLabel6">
    <w:name w:val="ListLabel 6"/>
    <w:rsid w:val="004F37DD"/>
    <w:rPr>
      <w:rFonts w:cs="Courier New"/>
    </w:rPr>
  </w:style>
  <w:style w:type="character" w:customStyle="1" w:styleId="ListLabel7">
    <w:name w:val="ListLabel 7"/>
    <w:rsid w:val="004F37DD"/>
    <w:rPr>
      <w:rFonts w:cs="Wingdings"/>
    </w:rPr>
  </w:style>
  <w:style w:type="character" w:customStyle="1" w:styleId="ListLabel8">
    <w:name w:val="ListLabel 8"/>
    <w:rsid w:val="004F37DD"/>
    <w:rPr>
      <w:rFonts w:cs="Symbol"/>
    </w:rPr>
  </w:style>
  <w:style w:type="character" w:customStyle="1" w:styleId="Footnoteanchor">
    <w:name w:val="Footnote anchor"/>
    <w:rsid w:val="004F37DD"/>
    <w:rPr>
      <w:vertAlign w:val="superscript"/>
    </w:rPr>
  </w:style>
  <w:style w:type="character" w:customStyle="1" w:styleId="Endnoteanchor">
    <w:name w:val="Endnote anchor"/>
    <w:rsid w:val="004F37DD"/>
    <w:rPr>
      <w:vertAlign w:val="superscript"/>
    </w:rPr>
  </w:style>
  <w:style w:type="character" w:customStyle="1" w:styleId="EndnoteCharacters">
    <w:name w:val="Endnote Characters"/>
    <w:rsid w:val="004F37DD"/>
  </w:style>
  <w:style w:type="character" w:customStyle="1" w:styleId="NumberingSymbols">
    <w:name w:val="Numbering Symbols"/>
    <w:rsid w:val="004F37DD"/>
  </w:style>
  <w:style w:type="character" w:customStyle="1" w:styleId="Bullets">
    <w:name w:val="Bullets"/>
    <w:rsid w:val="004F37DD"/>
    <w:rPr>
      <w:rFonts w:ascii="OpenSymbol" w:eastAsia="OpenSymbol" w:hAnsi="OpenSymbol" w:cs="OpenSymbol"/>
    </w:rPr>
  </w:style>
  <w:style w:type="paragraph" w:customStyle="1" w:styleId="Heading">
    <w:name w:val="Heading"/>
    <w:basedOn w:val="Normal"/>
    <w:next w:val="Textbody"/>
    <w:rsid w:val="004F37DD"/>
    <w:pPr>
      <w:keepNext/>
      <w:widowControl w:val="0"/>
      <w:tabs>
        <w:tab w:val="left" w:pos="709"/>
      </w:tabs>
      <w:suppressAutoHyphens/>
      <w:spacing w:before="240" w:after="120"/>
      <w:jc w:val="both"/>
    </w:pPr>
    <w:rPr>
      <w:rFonts w:ascii="Liberation Sans" w:eastAsia="WenQuanYi Micro Hei" w:hAnsi="Liberation Sans" w:cs="Lohit Hindi"/>
      <w:sz w:val="28"/>
      <w:szCs w:val="28"/>
      <w:lang w:val="en-US" w:eastAsia="zh-CN" w:bidi="hi-IN"/>
    </w:rPr>
  </w:style>
  <w:style w:type="paragraph" w:customStyle="1" w:styleId="Textbody">
    <w:name w:val="Text body"/>
    <w:basedOn w:val="Normal"/>
    <w:rsid w:val="004F37DD"/>
    <w:pPr>
      <w:widowControl w:val="0"/>
      <w:tabs>
        <w:tab w:val="left" w:pos="709"/>
      </w:tabs>
      <w:suppressAutoHyphens/>
      <w:spacing w:after="120"/>
      <w:jc w:val="both"/>
    </w:pPr>
    <w:rPr>
      <w:rFonts w:ascii="Liberation Serif" w:eastAsia="WenQuanYi Micro Hei" w:hAnsi="Liberation Serif" w:cs="Lohit Hindi"/>
      <w:szCs w:val="24"/>
      <w:lang w:val="en-US" w:eastAsia="zh-CN" w:bidi="hi-IN"/>
    </w:rPr>
  </w:style>
  <w:style w:type="paragraph" w:styleId="List">
    <w:name w:val="List"/>
    <w:basedOn w:val="Textbody"/>
    <w:rsid w:val="004F37DD"/>
  </w:style>
  <w:style w:type="paragraph" w:customStyle="1" w:styleId="Index">
    <w:name w:val="Index"/>
    <w:basedOn w:val="Normal"/>
    <w:rsid w:val="004F37DD"/>
    <w:pPr>
      <w:widowControl w:val="0"/>
      <w:suppressLineNumbers/>
      <w:tabs>
        <w:tab w:val="left" w:pos="709"/>
      </w:tabs>
      <w:suppressAutoHyphens/>
      <w:jc w:val="both"/>
    </w:pPr>
    <w:rPr>
      <w:rFonts w:ascii="Liberation Serif" w:eastAsia="WenQuanYi Micro Hei" w:hAnsi="Liberation Serif" w:cs="Lohit Hindi"/>
      <w:szCs w:val="24"/>
      <w:lang w:val="en-US" w:eastAsia="zh-CN" w:bidi="hi-IN"/>
    </w:rPr>
  </w:style>
  <w:style w:type="paragraph" w:customStyle="1" w:styleId="TableContents">
    <w:name w:val="Table Contents"/>
    <w:basedOn w:val="Normal"/>
    <w:rsid w:val="004F37DD"/>
    <w:pPr>
      <w:widowControl w:val="0"/>
      <w:suppressLineNumbers/>
      <w:tabs>
        <w:tab w:val="left" w:pos="709"/>
      </w:tabs>
      <w:suppressAutoHyphens/>
      <w:jc w:val="both"/>
    </w:pPr>
    <w:rPr>
      <w:rFonts w:ascii="Liberation Serif" w:eastAsia="WenQuanYi Micro Hei" w:hAnsi="Liberation Serif" w:cs="Lohit Hindi"/>
      <w:szCs w:val="24"/>
      <w:lang w:val="en-US" w:eastAsia="zh-CN" w:bidi="hi-IN"/>
    </w:rPr>
  </w:style>
  <w:style w:type="paragraph" w:customStyle="1" w:styleId="TableHeading">
    <w:name w:val="Table Heading"/>
    <w:basedOn w:val="TableContents"/>
    <w:rsid w:val="004F37DD"/>
    <w:pPr>
      <w:jc w:val="center"/>
    </w:pPr>
    <w:rPr>
      <w:b/>
      <w:bCs/>
    </w:rPr>
  </w:style>
  <w:style w:type="character" w:styleId="Emphasis">
    <w:name w:val="Emphasis"/>
    <w:uiPriority w:val="20"/>
    <w:qFormat/>
    <w:rsid w:val="004F37DD"/>
    <w:rPr>
      <w:i/>
      <w:iCs/>
    </w:rPr>
  </w:style>
  <w:style w:type="paragraph" w:customStyle="1" w:styleId="Standard">
    <w:name w:val="Standard"/>
    <w:rsid w:val="004F37DD"/>
    <w:pPr>
      <w:suppressAutoHyphens/>
      <w:autoSpaceDN w:val="0"/>
      <w:textAlignment w:val="baseline"/>
    </w:pPr>
    <w:rPr>
      <w:rFonts w:eastAsia="Times New Roman" w:cs="Times New Roman"/>
      <w:kern w:val="3"/>
      <w:sz w:val="20"/>
      <w:szCs w:val="20"/>
    </w:rPr>
  </w:style>
  <w:style w:type="paragraph" w:styleId="Title">
    <w:name w:val="Title"/>
    <w:basedOn w:val="Normal"/>
    <w:link w:val="TitleChar"/>
    <w:qFormat/>
    <w:rsid w:val="004F37DD"/>
    <w:pPr>
      <w:jc w:val="center"/>
    </w:pPr>
    <w:rPr>
      <w:rFonts w:eastAsia="Times New Roman" w:cs="Times New Roman"/>
      <w:b/>
      <w:bCs/>
      <w:sz w:val="28"/>
      <w:szCs w:val="28"/>
      <w:lang w:eastAsia="lv-LV"/>
    </w:rPr>
  </w:style>
  <w:style w:type="character" w:customStyle="1" w:styleId="TitleChar">
    <w:name w:val="Title Char"/>
    <w:basedOn w:val="DefaultParagraphFont"/>
    <w:link w:val="Title"/>
    <w:rsid w:val="004F37DD"/>
    <w:rPr>
      <w:rFonts w:eastAsia="Times New Roman" w:cs="Times New Roman"/>
      <w:b/>
      <w:bCs/>
      <w:sz w:val="28"/>
      <w:szCs w:val="28"/>
      <w:lang w:eastAsia="lv-LV"/>
    </w:rPr>
  </w:style>
  <w:style w:type="character" w:customStyle="1" w:styleId="CaptionChar">
    <w:name w:val="Caption Char"/>
    <w:link w:val="Caption"/>
    <w:rsid w:val="004F37DD"/>
    <w:rPr>
      <w:rFonts w:eastAsia="Times New Roman" w:cs="Times New Roman"/>
      <w:b/>
      <w:bCs/>
      <w:sz w:val="20"/>
      <w:szCs w:val="20"/>
      <w:lang w:eastAsia="lv-LV"/>
    </w:rPr>
  </w:style>
  <w:style w:type="paragraph" w:customStyle="1" w:styleId="PPStils">
    <w:name w:val="PP Stils"/>
    <w:basedOn w:val="Normal"/>
    <w:uiPriority w:val="99"/>
    <w:rsid w:val="004F37DD"/>
    <w:pPr>
      <w:jc w:val="center"/>
    </w:pPr>
    <w:rPr>
      <w:rFonts w:eastAsia="Times New Roman" w:cs="Times New Roman"/>
      <w:b/>
      <w:szCs w:val="28"/>
      <w:lang w:eastAsia="lv-LV"/>
    </w:rPr>
  </w:style>
  <w:style w:type="paragraph" w:customStyle="1" w:styleId="Sarakstarindkopa1">
    <w:name w:val="Saraksta rindkopa1"/>
    <w:basedOn w:val="Normal"/>
    <w:uiPriority w:val="99"/>
    <w:rsid w:val="004F37DD"/>
    <w:pPr>
      <w:ind w:left="720"/>
      <w:contextualSpacing/>
      <w:jc w:val="both"/>
    </w:pPr>
    <w:rPr>
      <w:rFonts w:eastAsia="Times New Roman" w:cs="Times New Roman"/>
    </w:rPr>
  </w:style>
  <w:style w:type="paragraph" w:customStyle="1" w:styleId="Tabulasteksts10fleft">
    <w:name w:val="Tabulas teksts 10f left"/>
    <w:basedOn w:val="Normal"/>
    <w:link w:val="Tabulasteksts10fleftChar"/>
    <w:qFormat/>
    <w:rsid w:val="004F37DD"/>
    <w:pPr>
      <w:spacing w:after="120"/>
      <w:jc w:val="both"/>
    </w:pPr>
    <w:rPr>
      <w:rFonts w:eastAsia="Calibri" w:cs="Times New Roman"/>
      <w:bCs/>
      <w:color w:val="000000"/>
      <w:sz w:val="20"/>
      <w:szCs w:val="20"/>
    </w:rPr>
  </w:style>
  <w:style w:type="character" w:customStyle="1" w:styleId="Tabulasteksts10fleftChar">
    <w:name w:val="Tabulas teksts 10f left Char"/>
    <w:link w:val="Tabulasteksts10fleft"/>
    <w:rsid w:val="004F37DD"/>
    <w:rPr>
      <w:rFonts w:eastAsia="Calibri" w:cs="Times New Roman"/>
      <w:bCs/>
      <w:color w:val="000000"/>
      <w:sz w:val="20"/>
      <w:szCs w:val="20"/>
    </w:rPr>
  </w:style>
  <w:style w:type="paragraph" w:customStyle="1" w:styleId="naisf">
    <w:name w:val="naisf"/>
    <w:basedOn w:val="Normal"/>
    <w:rsid w:val="004F37DD"/>
    <w:pPr>
      <w:spacing w:before="50" w:after="50"/>
      <w:ind w:firstLine="250"/>
      <w:jc w:val="both"/>
    </w:pPr>
    <w:rPr>
      <w:rFonts w:eastAsia="Times New Roman" w:cs="Times New Roman"/>
      <w:szCs w:val="24"/>
      <w:lang w:eastAsia="lv-LV"/>
    </w:rPr>
  </w:style>
  <w:style w:type="paragraph" w:customStyle="1" w:styleId="teksts">
    <w:name w:val="teksts"/>
    <w:basedOn w:val="Normal"/>
    <w:rsid w:val="004F37DD"/>
    <w:rPr>
      <w:rFonts w:eastAsia="Times New Roman" w:cs="Times New Roman"/>
      <w:sz w:val="20"/>
      <w:szCs w:val="20"/>
    </w:rPr>
  </w:style>
  <w:style w:type="paragraph" w:customStyle="1" w:styleId="virsraksts1">
    <w:name w:val="virsraksts1"/>
    <w:basedOn w:val="Normal"/>
    <w:autoRedefine/>
    <w:rsid w:val="004F37DD"/>
    <w:pPr>
      <w:spacing w:before="200" w:after="200"/>
      <w:jc w:val="center"/>
    </w:pPr>
    <w:rPr>
      <w:rFonts w:eastAsia="Times New Roman" w:cs="Times New Roman"/>
      <w:b/>
      <w:sz w:val="28"/>
      <w:szCs w:val="28"/>
      <w:lang w:eastAsia="lv-LV"/>
    </w:rPr>
  </w:style>
  <w:style w:type="paragraph" w:customStyle="1" w:styleId="Bezatstarpm1">
    <w:name w:val="Bez atstarpēm1"/>
    <w:qFormat/>
    <w:rsid w:val="004F37DD"/>
    <w:rPr>
      <w:rFonts w:eastAsia="Times New Roman" w:cs="Times New Roman"/>
      <w:lang w:eastAsia="lv-LV"/>
    </w:rPr>
  </w:style>
  <w:style w:type="character" w:styleId="FollowedHyperlink">
    <w:name w:val="FollowedHyperlink"/>
    <w:uiPriority w:val="99"/>
    <w:semiHidden/>
    <w:unhideWhenUsed/>
    <w:rsid w:val="004F37DD"/>
    <w:rPr>
      <w:color w:val="954F72"/>
      <w:u w:val="single"/>
    </w:rPr>
  </w:style>
  <w:style w:type="character" w:customStyle="1" w:styleId="phone">
    <w:name w:val="phone"/>
    <w:rsid w:val="004F37DD"/>
  </w:style>
  <w:style w:type="paragraph" w:customStyle="1" w:styleId="tv2131">
    <w:name w:val="tv2131"/>
    <w:basedOn w:val="Normal"/>
    <w:rsid w:val="004F37DD"/>
    <w:pPr>
      <w:spacing w:line="360" w:lineRule="auto"/>
      <w:ind w:firstLine="300"/>
    </w:pPr>
    <w:rPr>
      <w:rFonts w:eastAsia="Times New Roman" w:cs="Times New Roman"/>
      <w:color w:val="414142"/>
      <w:sz w:val="20"/>
      <w:szCs w:val="20"/>
      <w:lang w:eastAsia="lv-LV"/>
    </w:rPr>
  </w:style>
  <w:style w:type="paragraph" w:styleId="PlainText">
    <w:name w:val="Plain Text"/>
    <w:basedOn w:val="Normal"/>
    <w:link w:val="PlainTextChar"/>
    <w:uiPriority w:val="99"/>
    <w:unhideWhenUsed/>
    <w:rsid w:val="004F37DD"/>
    <w:rPr>
      <w:rFonts w:ascii="Calibri" w:eastAsia="Calibri" w:hAnsi="Calibri" w:cs="Times New Roman"/>
      <w:color w:val="1F497D"/>
      <w:sz w:val="22"/>
      <w:szCs w:val="21"/>
    </w:rPr>
  </w:style>
  <w:style w:type="character" w:customStyle="1" w:styleId="PlainTextChar">
    <w:name w:val="Plain Text Char"/>
    <w:basedOn w:val="DefaultParagraphFont"/>
    <w:link w:val="PlainText"/>
    <w:uiPriority w:val="99"/>
    <w:rsid w:val="004F37DD"/>
    <w:rPr>
      <w:rFonts w:ascii="Calibri" w:eastAsia="Calibri" w:hAnsi="Calibri" w:cs="Times New Roman"/>
      <w:color w:val="1F497D"/>
      <w:sz w:val="22"/>
      <w:szCs w:val="21"/>
    </w:rPr>
  </w:style>
  <w:style w:type="character" w:customStyle="1" w:styleId="normalchar1">
    <w:name w:val="normal__char1"/>
    <w:basedOn w:val="DefaultParagraphFont"/>
    <w:rsid w:val="004F37DD"/>
    <w:rPr>
      <w:rFonts w:ascii="Calibri" w:hAnsi="Calibri" w:hint="default"/>
      <w:strike w:val="0"/>
      <w:dstrike w:val="0"/>
      <w:sz w:val="22"/>
      <w:szCs w:val="22"/>
      <w:u w:val="none"/>
      <w:effect w:val="none"/>
    </w:rPr>
  </w:style>
  <w:style w:type="character" w:styleId="SubtleEmphasis">
    <w:name w:val="Subtle Emphasis"/>
    <w:basedOn w:val="DefaultParagraphFont"/>
    <w:uiPriority w:val="19"/>
    <w:qFormat/>
    <w:rsid w:val="004F37DD"/>
    <w:rPr>
      <w:i/>
      <w:iCs/>
      <w:color w:val="404040" w:themeColor="text1" w:themeTint="BF"/>
    </w:rPr>
  </w:style>
  <w:style w:type="paragraph" w:customStyle="1" w:styleId="h2">
    <w:name w:val="h2"/>
    <w:basedOn w:val="Normal"/>
    <w:uiPriority w:val="99"/>
    <w:rsid w:val="004F37DD"/>
    <w:pPr>
      <w:spacing w:before="100" w:beforeAutospacing="1" w:after="100" w:afterAutospacing="1"/>
    </w:pPr>
    <w:rPr>
      <w:rFonts w:eastAsia="Times New Roman" w:cs="Times New Roman"/>
      <w:color w:val="306060"/>
      <w:szCs w:val="24"/>
      <w:lang w:eastAsia="lv-LV"/>
    </w:rPr>
  </w:style>
  <w:style w:type="character" w:styleId="UnresolvedMention">
    <w:name w:val="Unresolved Mention"/>
    <w:basedOn w:val="DefaultParagraphFont"/>
    <w:uiPriority w:val="99"/>
    <w:semiHidden/>
    <w:unhideWhenUsed/>
    <w:rsid w:val="004F37DD"/>
    <w:rPr>
      <w:color w:val="605E5C"/>
      <w:shd w:val="clear" w:color="auto" w:fill="E1DFDD"/>
    </w:rPr>
  </w:style>
  <w:style w:type="table" w:customStyle="1" w:styleId="TableGrid2">
    <w:name w:val="Table Grid2"/>
    <w:basedOn w:val="TableNormal"/>
    <w:next w:val="TableGrid"/>
    <w:uiPriority w:val="39"/>
    <w:rsid w:val="004F37DD"/>
    <w:rPr>
      <w:rFonts w:asciiTheme="minorHAnsi" w:hAnsi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asnosaukums">
    <w:name w:val="Tabulas nosaukums"/>
    <w:basedOn w:val="Normal"/>
    <w:qFormat/>
    <w:rsid w:val="004F37DD"/>
    <w:pPr>
      <w:keepNext/>
      <w:spacing w:before="240" w:line="360" w:lineRule="auto"/>
      <w:jc w:val="center"/>
    </w:pPr>
    <w:rPr>
      <w:rFonts w:ascii="Verdana" w:eastAsia="Aptos" w:hAnsi="Verdana" w:cs="Times New Roman"/>
      <w:b/>
      <w:bCs/>
      <w:kern w:val="2"/>
      <w:sz w:val="18"/>
      <w:szCs w:val="18"/>
      <w14:ligatures w14:val="standardContextual"/>
    </w:rPr>
  </w:style>
  <w:style w:type="character" w:customStyle="1" w:styleId="ui-provider">
    <w:name w:val="ui-provider"/>
    <w:basedOn w:val="DefaultParagraphFont"/>
    <w:rsid w:val="004F37DD"/>
  </w:style>
  <w:style w:type="character" w:customStyle="1" w:styleId="rynqvb">
    <w:name w:val="rynqvb"/>
    <w:basedOn w:val="DefaultParagraphFont"/>
    <w:rsid w:val="004F37DD"/>
  </w:style>
  <w:style w:type="paragraph" w:customStyle="1" w:styleId="Footnotenumberinbodytext">
    <w:name w:val="Footnote number in body text"/>
    <w:basedOn w:val="Normal"/>
    <w:next w:val="Normal"/>
    <w:uiPriority w:val="99"/>
    <w:rsid w:val="001649ED"/>
    <w:pPr>
      <w:spacing w:after="160" w:line="240" w:lineRule="exact"/>
      <w:jc w:val="both"/>
      <w:textAlignment w:val="baseline"/>
    </w:pPr>
    <w:rPr>
      <w:rFonts w:asciiTheme="minorHAnsi" w:hAnsiTheme="minorHAnsi"/>
      <w:kern w:val="2"/>
      <w:sz w:val="22"/>
      <w:vertAlign w:val="superscript"/>
      <w14:ligatures w14:val="standardContextual"/>
    </w:rPr>
  </w:style>
  <w:style w:type="paragraph" w:customStyle="1" w:styleId="pf0">
    <w:name w:val="pf0"/>
    <w:basedOn w:val="Normal"/>
    <w:rsid w:val="00075E5A"/>
    <w:pPr>
      <w:spacing w:before="100" w:beforeAutospacing="1" w:after="100" w:afterAutospacing="1"/>
    </w:pPr>
    <w:rPr>
      <w:rFonts w:eastAsia="Times New Roman" w:cs="Times New Roman"/>
      <w:szCs w:val="24"/>
      <w:lang w:eastAsia="lv-LV"/>
    </w:rPr>
  </w:style>
  <w:style w:type="character" w:customStyle="1" w:styleId="cf01">
    <w:name w:val="cf01"/>
    <w:basedOn w:val="DefaultParagraphFont"/>
    <w:rsid w:val="00075E5A"/>
    <w:rPr>
      <w:rFonts w:ascii="Segoe UI" w:hAnsi="Segoe UI" w:cs="Segoe UI" w:hint="default"/>
      <w:sz w:val="18"/>
      <w:szCs w:val="18"/>
    </w:rPr>
  </w:style>
  <w:style w:type="table" w:customStyle="1" w:styleId="TableGrid3">
    <w:name w:val="Table Grid3"/>
    <w:basedOn w:val="TableNormal"/>
    <w:next w:val="TableGrid"/>
    <w:uiPriority w:val="39"/>
    <w:rsid w:val="002C349F"/>
    <w:rPr>
      <w:rFonts w:ascii="Aptos" w:hAnsi="Aptos"/>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9043">
      <w:bodyDiv w:val="1"/>
      <w:marLeft w:val="0"/>
      <w:marRight w:val="0"/>
      <w:marTop w:val="0"/>
      <w:marBottom w:val="0"/>
      <w:divBdr>
        <w:top w:val="none" w:sz="0" w:space="0" w:color="auto"/>
        <w:left w:val="none" w:sz="0" w:space="0" w:color="auto"/>
        <w:bottom w:val="none" w:sz="0" w:space="0" w:color="auto"/>
        <w:right w:val="none" w:sz="0" w:space="0" w:color="auto"/>
      </w:divBdr>
    </w:div>
    <w:div w:id="41175470">
      <w:bodyDiv w:val="1"/>
      <w:marLeft w:val="0"/>
      <w:marRight w:val="0"/>
      <w:marTop w:val="0"/>
      <w:marBottom w:val="0"/>
      <w:divBdr>
        <w:top w:val="none" w:sz="0" w:space="0" w:color="auto"/>
        <w:left w:val="none" w:sz="0" w:space="0" w:color="auto"/>
        <w:bottom w:val="none" w:sz="0" w:space="0" w:color="auto"/>
        <w:right w:val="none" w:sz="0" w:space="0" w:color="auto"/>
      </w:divBdr>
    </w:div>
    <w:div w:id="89275773">
      <w:bodyDiv w:val="1"/>
      <w:marLeft w:val="0"/>
      <w:marRight w:val="0"/>
      <w:marTop w:val="0"/>
      <w:marBottom w:val="0"/>
      <w:divBdr>
        <w:top w:val="none" w:sz="0" w:space="0" w:color="auto"/>
        <w:left w:val="none" w:sz="0" w:space="0" w:color="auto"/>
        <w:bottom w:val="none" w:sz="0" w:space="0" w:color="auto"/>
        <w:right w:val="none" w:sz="0" w:space="0" w:color="auto"/>
      </w:divBdr>
    </w:div>
    <w:div w:id="94719388">
      <w:bodyDiv w:val="1"/>
      <w:marLeft w:val="0"/>
      <w:marRight w:val="0"/>
      <w:marTop w:val="0"/>
      <w:marBottom w:val="0"/>
      <w:divBdr>
        <w:top w:val="none" w:sz="0" w:space="0" w:color="auto"/>
        <w:left w:val="none" w:sz="0" w:space="0" w:color="auto"/>
        <w:bottom w:val="none" w:sz="0" w:space="0" w:color="auto"/>
        <w:right w:val="none" w:sz="0" w:space="0" w:color="auto"/>
      </w:divBdr>
    </w:div>
    <w:div w:id="124661840">
      <w:bodyDiv w:val="1"/>
      <w:marLeft w:val="0"/>
      <w:marRight w:val="0"/>
      <w:marTop w:val="0"/>
      <w:marBottom w:val="0"/>
      <w:divBdr>
        <w:top w:val="none" w:sz="0" w:space="0" w:color="auto"/>
        <w:left w:val="none" w:sz="0" w:space="0" w:color="auto"/>
        <w:bottom w:val="none" w:sz="0" w:space="0" w:color="auto"/>
        <w:right w:val="none" w:sz="0" w:space="0" w:color="auto"/>
      </w:divBdr>
    </w:div>
    <w:div w:id="135345159">
      <w:bodyDiv w:val="1"/>
      <w:marLeft w:val="0"/>
      <w:marRight w:val="0"/>
      <w:marTop w:val="0"/>
      <w:marBottom w:val="0"/>
      <w:divBdr>
        <w:top w:val="none" w:sz="0" w:space="0" w:color="auto"/>
        <w:left w:val="none" w:sz="0" w:space="0" w:color="auto"/>
        <w:bottom w:val="none" w:sz="0" w:space="0" w:color="auto"/>
        <w:right w:val="none" w:sz="0" w:space="0" w:color="auto"/>
      </w:divBdr>
    </w:div>
    <w:div w:id="147862361">
      <w:bodyDiv w:val="1"/>
      <w:marLeft w:val="0"/>
      <w:marRight w:val="0"/>
      <w:marTop w:val="0"/>
      <w:marBottom w:val="0"/>
      <w:divBdr>
        <w:top w:val="none" w:sz="0" w:space="0" w:color="auto"/>
        <w:left w:val="none" w:sz="0" w:space="0" w:color="auto"/>
        <w:bottom w:val="none" w:sz="0" w:space="0" w:color="auto"/>
        <w:right w:val="none" w:sz="0" w:space="0" w:color="auto"/>
      </w:divBdr>
      <w:divsChild>
        <w:div w:id="1864397102">
          <w:marLeft w:val="547"/>
          <w:marRight w:val="0"/>
          <w:marTop w:val="0"/>
          <w:marBottom w:val="0"/>
          <w:divBdr>
            <w:top w:val="none" w:sz="0" w:space="0" w:color="auto"/>
            <w:left w:val="none" w:sz="0" w:space="0" w:color="auto"/>
            <w:bottom w:val="none" w:sz="0" w:space="0" w:color="auto"/>
            <w:right w:val="none" w:sz="0" w:space="0" w:color="auto"/>
          </w:divBdr>
        </w:div>
      </w:divsChild>
    </w:div>
    <w:div w:id="152643971">
      <w:bodyDiv w:val="1"/>
      <w:marLeft w:val="0"/>
      <w:marRight w:val="0"/>
      <w:marTop w:val="0"/>
      <w:marBottom w:val="0"/>
      <w:divBdr>
        <w:top w:val="none" w:sz="0" w:space="0" w:color="auto"/>
        <w:left w:val="none" w:sz="0" w:space="0" w:color="auto"/>
        <w:bottom w:val="none" w:sz="0" w:space="0" w:color="auto"/>
        <w:right w:val="none" w:sz="0" w:space="0" w:color="auto"/>
      </w:divBdr>
    </w:div>
    <w:div w:id="159734647">
      <w:bodyDiv w:val="1"/>
      <w:marLeft w:val="0"/>
      <w:marRight w:val="0"/>
      <w:marTop w:val="0"/>
      <w:marBottom w:val="0"/>
      <w:divBdr>
        <w:top w:val="none" w:sz="0" w:space="0" w:color="auto"/>
        <w:left w:val="none" w:sz="0" w:space="0" w:color="auto"/>
        <w:bottom w:val="none" w:sz="0" w:space="0" w:color="auto"/>
        <w:right w:val="none" w:sz="0" w:space="0" w:color="auto"/>
      </w:divBdr>
    </w:div>
    <w:div w:id="162091807">
      <w:bodyDiv w:val="1"/>
      <w:marLeft w:val="0"/>
      <w:marRight w:val="0"/>
      <w:marTop w:val="0"/>
      <w:marBottom w:val="0"/>
      <w:divBdr>
        <w:top w:val="none" w:sz="0" w:space="0" w:color="auto"/>
        <w:left w:val="none" w:sz="0" w:space="0" w:color="auto"/>
        <w:bottom w:val="none" w:sz="0" w:space="0" w:color="auto"/>
        <w:right w:val="none" w:sz="0" w:space="0" w:color="auto"/>
      </w:divBdr>
      <w:divsChild>
        <w:div w:id="1277712654">
          <w:marLeft w:val="547"/>
          <w:marRight w:val="0"/>
          <w:marTop w:val="0"/>
          <w:marBottom w:val="0"/>
          <w:divBdr>
            <w:top w:val="none" w:sz="0" w:space="0" w:color="auto"/>
            <w:left w:val="none" w:sz="0" w:space="0" w:color="auto"/>
            <w:bottom w:val="none" w:sz="0" w:space="0" w:color="auto"/>
            <w:right w:val="none" w:sz="0" w:space="0" w:color="auto"/>
          </w:divBdr>
        </w:div>
      </w:divsChild>
    </w:div>
    <w:div w:id="170880843">
      <w:bodyDiv w:val="1"/>
      <w:marLeft w:val="0"/>
      <w:marRight w:val="0"/>
      <w:marTop w:val="0"/>
      <w:marBottom w:val="0"/>
      <w:divBdr>
        <w:top w:val="none" w:sz="0" w:space="0" w:color="auto"/>
        <w:left w:val="none" w:sz="0" w:space="0" w:color="auto"/>
        <w:bottom w:val="none" w:sz="0" w:space="0" w:color="auto"/>
        <w:right w:val="none" w:sz="0" w:space="0" w:color="auto"/>
      </w:divBdr>
    </w:div>
    <w:div w:id="197011843">
      <w:bodyDiv w:val="1"/>
      <w:marLeft w:val="0"/>
      <w:marRight w:val="0"/>
      <w:marTop w:val="0"/>
      <w:marBottom w:val="0"/>
      <w:divBdr>
        <w:top w:val="none" w:sz="0" w:space="0" w:color="auto"/>
        <w:left w:val="none" w:sz="0" w:space="0" w:color="auto"/>
        <w:bottom w:val="none" w:sz="0" w:space="0" w:color="auto"/>
        <w:right w:val="none" w:sz="0" w:space="0" w:color="auto"/>
      </w:divBdr>
      <w:divsChild>
        <w:div w:id="231549818">
          <w:marLeft w:val="446"/>
          <w:marRight w:val="0"/>
          <w:marTop w:val="0"/>
          <w:marBottom w:val="0"/>
          <w:divBdr>
            <w:top w:val="none" w:sz="0" w:space="0" w:color="auto"/>
            <w:left w:val="none" w:sz="0" w:space="0" w:color="auto"/>
            <w:bottom w:val="none" w:sz="0" w:space="0" w:color="auto"/>
            <w:right w:val="none" w:sz="0" w:space="0" w:color="auto"/>
          </w:divBdr>
        </w:div>
        <w:div w:id="650789728">
          <w:marLeft w:val="446"/>
          <w:marRight w:val="0"/>
          <w:marTop w:val="0"/>
          <w:marBottom w:val="0"/>
          <w:divBdr>
            <w:top w:val="none" w:sz="0" w:space="0" w:color="auto"/>
            <w:left w:val="none" w:sz="0" w:space="0" w:color="auto"/>
            <w:bottom w:val="none" w:sz="0" w:space="0" w:color="auto"/>
            <w:right w:val="none" w:sz="0" w:space="0" w:color="auto"/>
          </w:divBdr>
        </w:div>
        <w:div w:id="1169296812">
          <w:marLeft w:val="446"/>
          <w:marRight w:val="0"/>
          <w:marTop w:val="0"/>
          <w:marBottom w:val="0"/>
          <w:divBdr>
            <w:top w:val="none" w:sz="0" w:space="0" w:color="auto"/>
            <w:left w:val="none" w:sz="0" w:space="0" w:color="auto"/>
            <w:bottom w:val="none" w:sz="0" w:space="0" w:color="auto"/>
            <w:right w:val="none" w:sz="0" w:space="0" w:color="auto"/>
          </w:divBdr>
        </w:div>
      </w:divsChild>
    </w:div>
    <w:div w:id="197551630">
      <w:bodyDiv w:val="1"/>
      <w:marLeft w:val="0"/>
      <w:marRight w:val="0"/>
      <w:marTop w:val="0"/>
      <w:marBottom w:val="0"/>
      <w:divBdr>
        <w:top w:val="none" w:sz="0" w:space="0" w:color="auto"/>
        <w:left w:val="none" w:sz="0" w:space="0" w:color="auto"/>
        <w:bottom w:val="none" w:sz="0" w:space="0" w:color="auto"/>
        <w:right w:val="none" w:sz="0" w:space="0" w:color="auto"/>
      </w:divBdr>
      <w:divsChild>
        <w:div w:id="735669296">
          <w:marLeft w:val="547"/>
          <w:marRight w:val="0"/>
          <w:marTop w:val="0"/>
          <w:marBottom w:val="0"/>
          <w:divBdr>
            <w:top w:val="none" w:sz="0" w:space="0" w:color="auto"/>
            <w:left w:val="none" w:sz="0" w:space="0" w:color="auto"/>
            <w:bottom w:val="none" w:sz="0" w:space="0" w:color="auto"/>
            <w:right w:val="none" w:sz="0" w:space="0" w:color="auto"/>
          </w:divBdr>
        </w:div>
      </w:divsChild>
    </w:div>
    <w:div w:id="218519991">
      <w:bodyDiv w:val="1"/>
      <w:marLeft w:val="0"/>
      <w:marRight w:val="0"/>
      <w:marTop w:val="0"/>
      <w:marBottom w:val="0"/>
      <w:divBdr>
        <w:top w:val="none" w:sz="0" w:space="0" w:color="auto"/>
        <w:left w:val="none" w:sz="0" w:space="0" w:color="auto"/>
        <w:bottom w:val="none" w:sz="0" w:space="0" w:color="auto"/>
        <w:right w:val="none" w:sz="0" w:space="0" w:color="auto"/>
      </w:divBdr>
    </w:div>
    <w:div w:id="224754994">
      <w:bodyDiv w:val="1"/>
      <w:marLeft w:val="0"/>
      <w:marRight w:val="0"/>
      <w:marTop w:val="0"/>
      <w:marBottom w:val="0"/>
      <w:divBdr>
        <w:top w:val="none" w:sz="0" w:space="0" w:color="auto"/>
        <w:left w:val="none" w:sz="0" w:space="0" w:color="auto"/>
        <w:bottom w:val="none" w:sz="0" w:space="0" w:color="auto"/>
        <w:right w:val="none" w:sz="0" w:space="0" w:color="auto"/>
      </w:divBdr>
    </w:div>
    <w:div w:id="274025904">
      <w:bodyDiv w:val="1"/>
      <w:marLeft w:val="0"/>
      <w:marRight w:val="0"/>
      <w:marTop w:val="0"/>
      <w:marBottom w:val="0"/>
      <w:divBdr>
        <w:top w:val="none" w:sz="0" w:space="0" w:color="auto"/>
        <w:left w:val="none" w:sz="0" w:space="0" w:color="auto"/>
        <w:bottom w:val="none" w:sz="0" w:space="0" w:color="auto"/>
        <w:right w:val="none" w:sz="0" w:space="0" w:color="auto"/>
      </w:divBdr>
    </w:div>
    <w:div w:id="289828605">
      <w:bodyDiv w:val="1"/>
      <w:marLeft w:val="0"/>
      <w:marRight w:val="0"/>
      <w:marTop w:val="0"/>
      <w:marBottom w:val="0"/>
      <w:divBdr>
        <w:top w:val="none" w:sz="0" w:space="0" w:color="auto"/>
        <w:left w:val="none" w:sz="0" w:space="0" w:color="auto"/>
        <w:bottom w:val="none" w:sz="0" w:space="0" w:color="auto"/>
        <w:right w:val="none" w:sz="0" w:space="0" w:color="auto"/>
      </w:divBdr>
    </w:div>
    <w:div w:id="292374394">
      <w:bodyDiv w:val="1"/>
      <w:marLeft w:val="0"/>
      <w:marRight w:val="0"/>
      <w:marTop w:val="0"/>
      <w:marBottom w:val="0"/>
      <w:divBdr>
        <w:top w:val="none" w:sz="0" w:space="0" w:color="auto"/>
        <w:left w:val="none" w:sz="0" w:space="0" w:color="auto"/>
        <w:bottom w:val="none" w:sz="0" w:space="0" w:color="auto"/>
        <w:right w:val="none" w:sz="0" w:space="0" w:color="auto"/>
      </w:divBdr>
    </w:div>
    <w:div w:id="324090589">
      <w:bodyDiv w:val="1"/>
      <w:marLeft w:val="0"/>
      <w:marRight w:val="0"/>
      <w:marTop w:val="0"/>
      <w:marBottom w:val="0"/>
      <w:divBdr>
        <w:top w:val="none" w:sz="0" w:space="0" w:color="auto"/>
        <w:left w:val="none" w:sz="0" w:space="0" w:color="auto"/>
        <w:bottom w:val="none" w:sz="0" w:space="0" w:color="auto"/>
        <w:right w:val="none" w:sz="0" w:space="0" w:color="auto"/>
      </w:divBdr>
    </w:div>
    <w:div w:id="325480588">
      <w:bodyDiv w:val="1"/>
      <w:marLeft w:val="0"/>
      <w:marRight w:val="0"/>
      <w:marTop w:val="0"/>
      <w:marBottom w:val="0"/>
      <w:divBdr>
        <w:top w:val="none" w:sz="0" w:space="0" w:color="auto"/>
        <w:left w:val="none" w:sz="0" w:space="0" w:color="auto"/>
        <w:bottom w:val="none" w:sz="0" w:space="0" w:color="auto"/>
        <w:right w:val="none" w:sz="0" w:space="0" w:color="auto"/>
      </w:divBdr>
    </w:div>
    <w:div w:id="338967031">
      <w:bodyDiv w:val="1"/>
      <w:marLeft w:val="0"/>
      <w:marRight w:val="0"/>
      <w:marTop w:val="0"/>
      <w:marBottom w:val="0"/>
      <w:divBdr>
        <w:top w:val="none" w:sz="0" w:space="0" w:color="auto"/>
        <w:left w:val="none" w:sz="0" w:space="0" w:color="auto"/>
        <w:bottom w:val="none" w:sz="0" w:space="0" w:color="auto"/>
        <w:right w:val="none" w:sz="0" w:space="0" w:color="auto"/>
      </w:divBdr>
    </w:div>
    <w:div w:id="358356905">
      <w:bodyDiv w:val="1"/>
      <w:marLeft w:val="0"/>
      <w:marRight w:val="0"/>
      <w:marTop w:val="0"/>
      <w:marBottom w:val="0"/>
      <w:divBdr>
        <w:top w:val="none" w:sz="0" w:space="0" w:color="auto"/>
        <w:left w:val="none" w:sz="0" w:space="0" w:color="auto"/>
        <w:bottom w:val="none" w:sz="0" w:space="0" w:color="auto"/>
        <w:right w:val="none" w:sz="0" w:space="0" w:color="auto"/>
      </w:divBdr>
    </w:div>
    <w:div w:id="360785902">
      <w:bodyDiv w:val="1"/>
      <w:marLeft w:val="0"/>
      <w:marRight w:val="0"/>
      <w:marTop w:val="0"/>
      <w:marBottom w:val="0"/>
      <w:divBdr>
        <w:top w:val="none" w:sz="0" w:space="0" w:color="auto"/>
        <w:left w:val="none" w:sz="0" w:space="0" w:color="auto"/>
        <w:bottom w:val="none" w:sz="0" w:space="0" w:color="auto"/>
        <w:right w:val="none" w:sz="0" w:space="0" w:color="auto"/>
      </w:divBdr>
    </w:div>
    <w:div w:id="381026959">
      <w:bodyDiv w:val="1"/>
      <w:marLeft w:val="0"/>
      <w:marRight w:val="0"/>
      <w:marTop w:val="0"/>
      <w:marBottom w:val="0"/>
      <w:divBdr>
        <w:top w:val="none" w:sz="0" w:space="0" w:color="auto"/>
        <w:left w:val="none" w:sz="0" w:space="0" w:color="auto"/>
        <w:bottom w:val="none" w:sz="0" w:space="0" w:color="auto"/>
        <w:right w:val="none" w:sz="0" w:space="0" w:color="auto"/>
      </w:divBdr>
    </w:div>
    <w:div w:id="403993416">
      <w:bodyDiv w:val="1"/>
      <w:marLeft w:val="0"/>
      <w:marRight w:val="0"/>
      <w:marTop w:val="0"/>
      <w:marBottom w:val="0"/>
      <w:divBdr>
        <w:top w:val="none" w:sz="0" w:space="0" w:color="auto"/>
        <w:left w:val="none" w:sz="0" w:space="0" w:color="auto"/>
        <w:bottom w:val="none" w:sz="0" w:space="0" w:color="auto"/>
        <w:right w:val="none" w:sz="0" w:space="0" w:color="auto"/>
      </w:divBdr>
    </w:div>
    <w:div w:id="452017394">
      <w:bodyDiv w:val="1"/>
      <w:marLeft w:val="0"/>
      <w:marRight w:val="0"/>
      <w:marTop w:val="0"/>
      <w:marBottom w:val="0"/>
      <w:divBdr>
        <w:top w:val="none" w:sz="0" w:space="0" w:color="auto"/>
        <w:left w:val="none" w:sz="0" w:space="0" w:color="auto"/>
        <w:bottom w:val="none" w:sz="0" w:space="0" w:color="auto"/>
        <w:right w:val="none" w:sz="0" w:space="0" w:color="auto"/>
      </w:divBdr>
      <w:divsChild>
        <w:div w:id="1372874803">
          <w:marLeft w:val="547"/>
          <w:marRight w:val="0"/>
          <w:marTop w:val="0"/>
          <w:marBottom w:val="0"/>
          <w:divBdr>
            <w:top w:val="none" w:sz="0" w:space="0" w:color="auto"/>
            <w:left w:val="none" w:sz="0" w:space="0" w:color="auto"/>
            <w:bottom w:val="none" w:sz="0" w:space="0" w:color="auto"/>
            <w:right w:val="none" w:sz="0" w:space="0" w:color="auto"/>
          </w:divBdr>
        </w:div>
      </w:divsChild>
    </w:div>
    <w:div w:id="489062165">
      <w:bodyDiv w:val="1"/>
      <w:marLeft w:val="0"/>
      <w:marRight w:val="0"/>
      <w:marTop w:val="0"/>
      <w:marBottom w:val="0"/>
      <w:divBdr>
        <w:top w:val="none" w:sz="0" w:space="0" w:color="auto"/>
        <w:left w:val="none" w:sz="0" w:space="0" w:color="auto"/>
        <w:bottom w:val="none" w:sz="0" w:space="0" w:color="auto"/>
        <w:right w:val="none" w:sz="0" w:space="0" w:color="auto"/>
      </w:divBdr>
    </w:div>
    <w:div w:id="498423348">
      <w:bodyDiv w:val="1"/>
      <w:marLeft w:val="0"/>
      <w:marRight w:val="0"/>
      <w:marTop w:val="0"/>
      <w:marBottom w:val="0"/>
      <w:divBdr>
        <w:top w:val="none" w:sz="0" w:space="0" w:color="auto"/>
        <w:left w:val="none" w:sz="0" w:space="0" w:color="auto"/>
        <w:bottom w:val="none" w:sz="0" w:space="0" w:color="auto"/>
        <w:right w:val="none" w:sz="0" w:space="0" w:color="auto"/>
      </w:divBdr>
    </w:div>
    <w:div w:id="502822582">
      <w:bodyDiv w:val="1"/>
      <w:marLeft w:val="0"/>
      <w:marRight w:val="0"/>
      <w:marTop w:val="0"/>
      <w:marBottom w:val="0"/>
      <w:divBdr>
        <w:top w:val="none" w:sz="0" w:space="0" w:color="auto"/>
        <w:left w:val="none" w:sz="0" w:space="0" w:color="auto"/>
        <w:bottom w:val="none" w:sz="0" w:space="0" w:color="auto"/>
        <w:right w:val="none" w:sz="0" w:space="0" w:color="auto"/>
      </w:divBdr>
    </w:div>
    <w:div w:id="525872786">
      <w:bodyDiv w:val="1"/>
      <w:marLeft w:val="0"/>
      <w:marRight w:val="0"/>
      <w:marTop w:val="0"/>
      <w:marBottom w:val="0"/>
      <w:divBdr>
        <w:top w:val="none" w:sz="0" w:space="0" w:color="auto"/>
        <w:left w:val="none" w:sz="0" w:space="0" w:color="auto"/>
        <w:bottom w:val="none" w:sz="0" w:space="0" w:color="auto"/>
        <w:right w:val="none" w:sz="0" w:space="0" w:color="auto"/>
      </w:divBdr>
    </w:div>
    <w:div w:id="532230981">
      <w:bodyDiv w:val="1"/>
      <w:marLeft w:val="0"/>
      <w:marRight w:val="0"/>
      <w:marTop w:val="0"/>
      <w:marBottom w:val="0"/>
      <w:divBdr>
        <w:top w:val="none" w:sz="0" w:space="0" w:color="auto"/>
        <w:left w:val="none" w:sz="0" w:space="0" w:color="auto"/>
        <w:bottom w:val="none" w:sz="0" w:space="0" w:color="auto"/>
        <w:right w:val="none" w:sz="0" w:space="0" w:color="auto"/>
      </w:divBdr>
    </w:div>
    <w:div w:id="540631617">
      <w:bodyDiv w:val="1"/>
      <w:marLeft w:val="0"/>
      <w:marRight w:val="0"/>
      <w:marTop w:val="0"/>
      <w:marBottom w:val="0"/>
      <w:divBdr>
        <w:top w:val="none" w:sz="0" w:space="0" w:color="auto"/>
        <w:left w:val="none" w:sz="0" w:space="0" w:color="auto"/>
        <w:bottom w:val="none" w:sz="0" w:space="0" w:color="auto"/>
        <w:right w:val="none" w:sz="0" w:space="0" w:color="auto"/>
      </w:divBdr>
    </w:div>
    <w:div w:id="541945181">
      <w:bodyDiv w:val="1"/>
      <w:marLeft w:val="0"/>
      <w:marRight w:val="0"/>
      <w:marTop w:val="0"/>
      <w:marBottom w:val="0"/>
      <w:divBdr>
        <w:top w:val="none" w:sz="0" w:space="0" w:color="auto"/>
        <w:left w:val="none" w:sz="0" w:space="0" w:color="auto"/>
        <w:bottom w:val="none" w:sz="0" w:space="0" w:color="auto"/>
        <w:right w:val="none" w:sz="0" w:space="0" w:color="auto"/>
      </w:divBdr>
    </w:div>
    <w:div w:id="546987486">
      <w:bodyDiv w:val="1"/>
      <w:marLeft w:val="0"/>
      <w:marRight w:val="0"/>
      <w:marTop w:val="0"/>
      <w:marBottom w:val="0"/>
      <w:divBdr>
        <w:top w:val="none" w:sz="0" w:space="0" w:color="auto"/>
        <w:left w:val="none" w:sz="0" w:space="0" w:color="auto"/>
        <w:bottom w:val="none" w:sz="0" w:space="0" w:color="auto"/>
        <w:right w:val="none" w:sz="0" w:space="0" w:color="auto"/>
      </w:divBdr>
    </w:div>
    <w:div w:id="561453649">
      <w:bodyDiv w:val="1"/>
      <w:marLeft w:val="0"/>
      <w:marRight w:val="0"/>
      <w:marTop w:val="0"/>
      <w:marBottom w:val="0"/>
      <w:divBdr>
        <w:top w:val="none" w:sz="0" w:space="0" w:color="auto"/>
        <w:left w:val="none" w:sz="0" w:space="0" w:color="auto"/>
        <w:bottom w:val="none" w:sz="0" w:space="0" w:color="auto"/>
        <w:right w:val="none" w:sz="0" w:space="0" w:color="auto"/>
      </w:divBdr>
      <w:divsChild>
        <w:div w:id="472066609">
          <w:marLeft w:val="446"/>
          <w:marRight w:val="0"/>
          <w:marTop w:val="0"/>
          <w:marBottom w:val="120"/>
          <w:divBdr>
            <w:top w:val="none" w:sz="0" w:space="0" w:color="auto"/>
            <w:left w:val="none" w:sz="0" w:space="0" w:color="auto"/>
            <w:bottom w:val="none" w:sz="0" w:space="0" w:color="auto"/>
            <w:right w:val="none" w:sz="0" w:space="0" w:color="auto"/>
          </w:divBdr>
        </w:div>
        <w:div w:id="1411124869">
          <w:marLeft w:val="446"/>
          <w:marRight w:val="0"/>
          <w:marTop w:val="0"/>
          <w:marBottom w:val="120"/>
          <w:divBdr>
            <w:top w:val="none" w:sz="0" w:space="0" w:color="auto"/>
            <w:left w:val="none" w:sz="0" w:space="0" w:color="auto"/>
            <w:bottom w:val="none" w:sz="0" w:space="0" w:color="auto"/>
            <w:right w:val="none" w:sz="0" w:space="0" w:color="auto"/>
          </w:divBdr>
        </w:div>
        <w:div w:id="588075299">
          <w:marLeft w:val="446"/>
          <w:marRight w:val="0"/>
          <w:marTop w:val="0"/>
          <w:marBottom w:val="120"/>
          <w:divBdr>
            <w:top w:val="none" w:sz="0" w:space="0" w:color="auto"/>
            <w:left w:val="none" w:sz="0" w:space="0" w:color="auto"/>
            <w:bottom w:val="none" w:sz="0" w:space="0" w:color="auto"/>
            <w:right w:val="none" w:sz="0" w:space="0" w:color="auto"/>
          </w:divBdr>
        </w:div>
      </w:divsChild>
    </w:div>
    <w:div w:id="562376635">
      <w:bodyDiv w:val="1"/>
      <w:marLeft w:val="0"/>
      <w:marRight w:val="0"/>
      <w:marTop w:val="0"/>
      <w:marBottom w:val="0"/>
      <w:divBdr>
        <w:top w:val="none" w:sz="0" w:space="0" w:color="auto"/>
        <w:left w:val="none" w:sz="0" w:space="0" w:color="auto"/>
        <w:bottom w:val="none" w:sz="0" w:space="0" w:color="auto"/>
        <w:right w:val="none" w:sz="0" w:space="0" w:color="auto"/>
      </w:divBdr>
    </w:div>
    <w:div w:id="564487030">
      <w:bodyDiv w:val="1"/>
      <w:marLeft w:val="0"/>
      <w:marRight w:val="0"/>
      <w:marTop w:val="0"/>
      <w:marBottom w:val="0"/>
      <w:divBdr>
        <w:top w:val="none" w:sz="0" w:space="0" w:color="auto"/>
        <w:left w:val="none" w:sz="0" w:space="0" w:color="auto"/>
        <w:bottom w:val="none" w:sz="0" w:space="0" w:color="auto"/>
        <w:right w:val="none" w:sz="0" w:space="0" w:color="auto"/>
      </w:divBdr>
    </w:div>
    <w:div w:id="576402831">
      <w:bodyDiv w:val="1"/>
      <w:marLeft w:val="0"/>
      <w:marRight w:val="0"/>
      <w:marTop w:val="0"/>
      <w:marBottom w:val="0"/>
      <w:divBdr>
        <w:top w:val="none" w:sz="0" w:space="0" w:color="auto"/>
        <w:left w:val="none" w:sz="0" w:space="0" w:color="auto"/>
        <w:bottom w:val="none" w:sz="0" w:space="0" w:color="auto"/>
        <w:right w:val="none" w:sz="0" w:space="0" w:color="auto"/>
      </w:divBdr>
    </w:div>
    <w:div w:id="594090529">
      <w:bodyDiv w:val="1"/>
      <w:marLeft w:val="0"/>
      <w:marRight w:val="0"/>
      <w:marTop w:val="0"/>
      <w:marBottom w:val="0"/>
      <w:divBdr>
        <w:top w:val="none" w:sz="0" w:space="0" w:color="auto"/>
        <w:left w:val="none" w:sz="0" w:space="0" w:color="auto"/>
        <w:bottom w:val="none" w:sz="0" w:space="0" w:color="auto"/>
        <w:right w:val="none" w:sz="0" w:space="0" w:color="auto"/>
      </w:divBdr>
    </w:div>
    <w:div w:id="604075940">
      <w:bodyDiv w:val="1"/>
      <w:marLeft w:val="0"/>
      <w:marRight w:val="0"/>
      <w:marTop w:val="0"/>
      <w:marBottom w:val="0"/>
      <w:divBdr>
        <w:top w:val="none" w:sz="0" w:space="0" w:color="auto"/>
        <w:left w:val="none" w:sz="0" w:space="0" w:color="auto"/>
        <w:bottom w:val="none" w:sz="0" w:space="0" w:color="auto"/>
        <w:right w:val="none" w:sz="0" w:space="0" w:color="auto"/>
      </w:divBdr>
    </w:div>
    <w:div w:id="616528634">
      <w:bodyDiv w:val="1"/>
      <w:marLeft w:val="0"/>
      <w:marRight w:val="0"/>
      <w:marTop w:val="0"/>
      <w:marBottom w:val="0"/>
      <w:divBdr>
        <w:top w:val="none" w:sz="0" w:space="0" w:color="auto"/>
        <w:left w:val="none" w:sz="0" w:space="0" w:color="auto"/>
        <w:bottom w:val="none" w:sz="0" w:space="0" w:color="auto"/>
        <w:right w:val="none" w:sz="0" w:space="0" w:color="auto"/>
      </w:divBdr>
    </w:div>
    <w:div w:id="619723793">
      <w:bodyDiv w:val="1"/>
      <w:marLeft w:val="0"/>
      <w:marRight w:val="0"/>
      <w:marTop w:val="0"/>
      <w:marBottom w:val="0"/>
      <w:divBdr>
        <w:top w:val="none" w:sz="0" w:space="0" w:color="auto"/>
        <w:left w:val="none" w:sz="0" w:space="0" w:color="auto"/>
        <w:bottom w:val="none" w:sz="0" w:space="0" w:color="auto"/>
        <w:right w:val="none" w:sz="0" w:space="0" w:color="auto"/>
      </w:divBdr>
    </w:div>
    <w:div w:id="627013890">
      <w:bodyDiv w:val="1"/>
      <w:marLeft w:val="0"/>
      <w:marRight w:val="0"/>
      <w:marTop w:val="0"/>
      <w:marBottom w:val="0"/>
      <w:divBdr>
        <w:top w:val="none" w:sz="0" w:space="0" w:color="auto"/>
        <w:left w:val="none" w:sz="0" w:space="0" w:color="auto"/>
        <w:bottom w:val="none" w:sz="0" w:space="0" w:color="auto"/>
        <w:right w:val="none" w:sz="0" w:space="0" w:color="auto"/>
      </w:divBdr>
    </w:div>
    <w:div w:id="702752859">
      <w:bodyDiv w:val="1"/>
      <w:marLeft w:val="0"/>
      <w:marRight w:val="0"/>
      <w:marTop w:val="0"/>
      <w:marBottom w:val="0"/>
      <w:divBdr>
        <w:top w:val="none" w:sz="0" w:space="0" w:color="auto"/>
        <w:left w:val="none" w:sz="0" w:space="0" w:color="auto"/>
        <w:bottom w:val="none" w:sz="0" w:space="0" w:color="auto"/>
        <w:right w:val="none" w:sz="0" w:space="0" w:color="auto"/>
      </w:divBdr>
    </w:div>
    <w:div w:id="739795463">
      <w:bodyDiv w:val="1"/>
      <w:marLeft w:val="0"/>
      <w:marRight w:val="0"/>
      <w:marTop w:val="0"/>
      <w:marBottom w:val="0"/>
      <w:divBdr>
        <w:top w:val="none" w:sz="0" w:space="0" w:color="auto"/>
        <w:left w:val="none" w:sz="0" w:space="0" w:color="auto"/>
        <w:bottom w:val="none" w:sz="0" w:space="0" w:color="auto"/>
        <w:right w:val="none" w:sz="0" w:space="0" w:color="auto"/>
      </w:divBdr>
    </w:div>
    <w:div w:id="743724918">
      <w:bodyDiv w:val="1"/>
      <w:marLeft w:val="0"/>
      <w:marRight w:val="0"/>
      <w:marTop w:val="0"/>
      <w:marBottom w:val="0"/>
      <w:divBdr>
        <w:top w:val="none" w:sz="0" w:space="0" w:color="auto"/>
        <w:left w:val="none" w:sz="0" w:space="0" w:color="auto"/>
        <w:bottom w:val="none" w:sz="0" w:space="0" w:color="auto"/>
        <w:right w:val="none" w:sz="0" w:space="0" w:color="auto"/>
      </w:divBdr>
    </w:div>
    <w:div w:id="746995344">
      <w:bodyDiv w:val="1"/>
      <w:marLeft w:val="0"/>
      <w:marRight w:val="0"/>
      <w:marTop w:val="0"/>
      <w:marBottom w:val="0"/>
      <w:divBdr>
        <w:top w:val="none" w:sz="0" w:space="0" w:color="auto"/>
        <w:left w:val="none" w:sz="0" w:space="0" w:color="auto"/>
        <w:bottom w:val="none" w:sz="0" w:space="0" w:color="auto"/>
        <w:right w:val="none" w:sz="0" w:space="0" w:color="auto"/>
      </w:divBdr>
    </w:div>
    <w:div w:id="754127557">
      <w:bodyDiv w:val="1"/>
      <w:marLeft w:val="0"/>
      <w:marRight w:val="0"/>
      <w:marTop w:val="0"/>
      <w:marBottom w:val="0"/>
      <w:divBdr>
        <w:top w:val="none" w:sz="0" w:space="0" w:color="auto"/>
        <w:left w:val="none" w:sz="0" w:space="0" w:color="auto"/>
        <w:bottom w:val="none" w:sz="0" w:space="0" w:color="auto"/>
        <w:right w:val="none" w:sz="0" w:space="0" w:color="auto"/>
      </w:divBdr>
    </w:div>
    <w:div w:id="777334050">
      <w:bodyDiv w:val="1"/>
      <w:marLeft w:val="0"/>
      <w:marRight w:val="0"/>
      <w:marTop w:val="0"/>
      <w:marBottom w:val="0"/>
      <w:divBdr>
        <w:top w:val="none" w:sz="0" w:space="0" w:color="auto"/>
        <w:left w:val="none" w:sz="0" w:space="0" w:color="auto"/>
        <w:bottom w:val="none" w:sz="0" w:space="0" w:color="auto"/>
        <w:right w:val="none" w:sz="0" w:space="0" w:color="auto"/>
      </w:divBdr>
    </w:div>
    <w:div w:id="803816913">
      <w:bodyDiv w:val="1"/>
      <w:marLeft w:val="0"/>
      <w:marRight w:val="0"/>
      <w:marTop w:val="0"/>
      <w:marBottom w:val="0"/>
      <w:divBdr>
        <w:top w:val="none" w:sz="0" w:space="0" w:color="auto"/>
        <w:left w:val="none" w:sz="0" w:space="0" w:color="auto"/>
        <w:bottom w:val="none" w:sz="0" w:space="0" w:color="auto"/>
        <w:right w:val="none" w:sz="0" w:space="0" w:color="auto"/>
      </w:divBdr>
    </w:div>
    <w:div w:id="819346364">
      <w:bodyDiv w:val="1"/>
      <w:marLeft w:val="0"/>
      <w:marRight w:val="0"/>
      <w:marTop w:val="0"/>
      <w:marBottom w:val="0"/>
      <w:divBdr>
        <w:top w:val="none" w:sz="0" w:space="0" w:color="auto"/>
        <w:left w:val="none" w:sz="0" w:space="0" w:color="auto"/>
        <w:bottom w:val="none" w:sz="0" w:space="0" w:color="auto"/>
        <w:right w:val="none" w:sz="0" w:space="0" w:color="auto"/>
      </w:divBdr>
      <w:divsChild>
        <w:div w:id="523179054">
          <w:marLeft w:val="274"/>
          <w:marRight w:val="0"/>
          <w:marTop w:val="0"/>
          <w:marBottom w:val="0"/>
          <w:divBdr>
            <w:top w:val="none" w:sz="0" w:space="0" w:color="auto"/>
            <w:left w:val="none" w:sz="0" w:space="0" w:color="auto"/>
            <w:bottom w:val="none" w:sz="0" w:space="0" w:color="auto"/>
            <w:right w:val="none" w:sz="0" w:space="0" w:color="auto"/>
          </w:divBdr>
        </w:div>
        <w:div w:id="1100906180">
          <w:marLeft w:val="274"/>
          <w:marRight w:val="0"/>
          <w:marTop w:val="0"/>
          <w:marBottom w:val="0"/>
          <w:divBdr>
            <w:top w:val="none" w:sz="0" w:space="0" w:color="auto"/>
            <w:left w:val="none" w:sz="0" w:space="0" w:color="auto"/>
            <w:bottom w:val="none" w:sz="0" w:space="0" w:color="auto"/>
            <w:right w:val="none" w:sz="0" w:space="0" w:color="auto"/>
          </w:divBdr>
        </w:div>
        <w:div w:id="1323466194">
          <w:marLeft w:val="274"/>
          <w:marRight w:val="0"/>
          <w:marTop w:val="0"/>
          <w:marBottom w:val="0"/>
          <w:divBdr>
            <w:top w:val="none" w:sz="0" w:space="0" w:color="auto"/>
            <w:left w:val="none" w:sz="0" w:space="0" w:color="auto"/>
            <w:bottom w:val="none" w:sz="0" w:space="0" w:color="auto"/>
            <w:right w:val="none" w:sz="0" w:space="0" w:color="auto"/>
          </w:divBdr>
        </w:div>
        <w:div w:id="1838155813">
          <w:marLeft w:val="274"/>
          <w:marRight w:val="0"/>
          <w:marTop w:val="0"/>
          <w:marBottom w:val="0"/>
          <w:divBdr>
            <w:top w:val="none" w:sz="0" w:space="0" w:color="auto"/>
            <w:left w:val="none" w:sz="0" w:space="0" w:color="auto"/>
            <w:bottom w:val="none" w:sz="0" w:space="0" w:color="auto"/>
            <w:right w:val="none" w:sz="0" w:space="0" w:color="auto"/>
          </w:divBdr>
        </w:div>
        <w:div w:id="1917740257">
          <w:marLeft w:val="274"/>
          <w:marRight w:val="0"/>
          <w:marTop w:val="0"/>
          <w:marBottom w:val="0"/>
          <w:divBdr>
            <w:top w:val="none" w:sz="0" w:space="0" w:color="auto"/>
            <w:left w:val="none" w:sz="0" w:space="0" w:color="auto"/>
            <w:bottom w:val="none" w:sz="0" w:space="0" w:color="auto"/>
            <w:right w:val="none" w:sz="0" w:space="0" w:color="auto"/>
          </w:divBdr>
        </w:div>
        <w:div w:id="650910671">
          <w:marLeft w:val="274"/>
          <w:marRight w:val="0"/>
          <w:marTop w:val="0"/>
          <w:marBottom w:val="0"/>
          <w:divBdr>
            <w:top w:val="none" w:sz="0" w:space="0" w:color="auto"/>
            <w:left w:val="none" w:sz="0" w:space="0" w:color="auto"/>
            <w:bottom w:val="none" w:sz="0" w:space="0" w:color="auto"/>
            <w:right w:val="none" w:sz="0" w:space="0" w:color="auto"/>
          </w:divBdr>
        </w:div>
      </w:divsChild>
    </w:div>
    <w:div w:id="824474618">
      <w:bodyDiv w:val="1"/>
      <w:marLeft w:val="0"/>
      <w:marRight w:val="0"/>
      <w:marTop w:val="0"/>
      <w:marBottom w:val="0"/>
      <w:divBdr>
        <w:top w:val="none" w:sz="0" w:space="0" w:color="auto"/>
        <w:left w:val="none" w:sz="0" w:space="0" w:color="auto"/>
        <w:bottom w:val="none" w:sz="0" w:space="0" w:color="auto"/>
        <w:right w:val="none" w:sz="0" w:space="0" w:color="auto"/>
      </w:divBdr>
    </w:div>
    <w:div w:id="834606793">
      <w:bodyDiv w:val="1"/>
      <w:marLeft w:val="0"/>
      <w:marRight w:val="0"/>
      <w:marTop w:val="0"/>
      <w:marBottom w:val="0"/>
      <w:divBdr>
        <w:top w:val="none" w:sz="0" w:space="0" w:color="auto"/>
        <w:left w:val="none" w:sz="0" w:space="0" w:color="auto"/>
        <w:bottom w:val="none" w:sz="0" w:space="0" w:color="auto"/>
        <w:right w:val="none" w:sz="0" w:space="0" w:color="auto"/>
      </w:divBdr>
    </w:div>
    <w:div w:id="836265274">
      <w:bodyDiv w:val="1"/>
      <w:marLeft w:val="0"/>
      <w:marRight w:val="0"/>
      <w:marTop w:val="0"/>
      <w:marBottom w:val="0"/>
      <w:divBdr>
        <w:top w:val="none" w:sz="0" w:space="0" w:color="auto"/>
        <w:left w:val="none" w:sz="0" w:space="0" w:color="auto"/>
        <w:bottom w:val="none" w:sz="0" w:space="0" w:color="auto"/>
        <w:right w:val="none" w:sz="0" w:space="0" w:color="auto"/>
      </w:divBdr>
    </w:div>
    <w:div w:id="843398683">
      <w:bodyDiv w:val="1"/>
      <w:marLeft w:val="0"/>
      <w:marRight w:val="0"/>
      <w:marTop w:val="0"/>
      <w:marBottom w:val="0"/>
      <w:divBdr>
        <w:top w:val="none" w:sz="0" w:space="0" w:color="auto"/>
        <w:left w:val="none" w:sz="0" w:space="0" w:color="auto"/>
        <w:bottom w:val="none" w:sz="0" w:space="0" w:color="auto"/>
        <w:right w:val="none" w:sz="0" w:space="0" w:color="auto"/>
      </w:divBdr>
    </w:div>
    <w:div w:id="848834822">
      <w:bodyDiv w:val="1"/>
      <w:marLeft w:val="0"/>
      <w:marRight w:val="0"/>
      <w:marTop w:val="0"/>
      <w:marBottom w:val="0"/>
      <w:divBdr>
        <w:top w:val="none" w:sz="0" w:space="0" w:color="auto"/>
        <w:left w:val="none" w:sz="0" w:space="0" w:color="auto"/>
        <w:bottom w:val="none" w:sz="0" w:space="0" w:color="auto"/>
        <w:right w:val="none" w:sz="0" w:space="0" w:color="auto"/>
      </w:divBdr>
    </w:div>
    <w:div w:id="851451044">
      <w:bodyDiv w:val="1"/>
      <w:marLeft w:val="0"/>
      <w:marRight w:val="0"/>
      <w:marTop w:val="0"/>
      <w:marBottom w:val="0"/>
      <w:divBdr>
        <w:top w:val="none" w:sz="0" w:space="0" w:color="auto"/>
        <w:left w:val="none" w:sz="0" w:space="0" w:color="auto"/>
        <w:bottom w:val="none" w:sz="0" w:space="0" w:color="auto"/>
        <w:right w:val="none" w:sz="0" w:space="0" w:color="auto"/>
      </w:divBdr>
    </w:div>
    <w:div w:id="862935408">
      <w:bodyDiv w:val="1"/>
      <w:marLeft w:val="0"/>
      <w:marRight w:val="0"/>
      <w:marTop w:val="0"/>
      <w:marBottom w:val="0"/>
      <w:divBdr>
        <w:top w:val="none" w:sz="0" w:space="0" w:color="auto"/>
        <w:left w:val="none" w:sz="0" w:space="0" w:color="auto"/>
        <w:bottom w:val="none" w:sz="0" w:space="0" w:color="auto"/>
        <w:right w:val="none" w:sz="0" w:space="0" w:color="auto"/>
      </w:divBdr>
    </w:div>
    <w:div w:id="873083904">
      <w:bodyDiv w:val="1"/>
      <w:marLeft w:val="0"/>
      <w:marRight w:val="0"/>
      <w:marTop w:val="0"/>
      <w:marBottom w:val="0"/>
      <w:divBdr>
        <w:top w:val="none" w:sz="0" w:space="0" w:color="auto"/>
        <w:left w:val="none" w:sz="0" w:space="0" w:color="auto"/>
        <w:bottom w:val="none" w:sz="0" w:space="0" w:color="auto"/>
        <w:right w:val="none" w:sz="0" w:space="0" w:color="auto"/>
      </w:divBdr>
    </w:div>
    <w:div w:id="882595256">
      <w:bodyDiv w:val="1"/>
      <w:marLeft w:val="0"/>
      <w:marRight w:val="0"/>
      <w:marTop w:val="0"/>
      <w:marBottom w:val="0"/>
      <w:divBdr>
        <w:top w:val="none" w:sz="0" w:space="0" w:color="auto"/>
        <w:left w:val="none" w:sz="0" w:space="0" w:color="auto"/>
        <w:bottom w:val="none" w:sz="0" w:space="0" w:color="auto"/>
        <w:right w:val="none" w:sz="0" w:space="0" w:color="auto"/>
      </w:divBdr>
    </w:div>
    <w:div w:id="883832839">
      <w:bodyDiv w:val="1"/>
      <w:marLeft w:val="0"/>
      <w:marRight w:val="0"/>
      <w:marTop w:val="0"/>
      <w:marBottom w:val="0"/>
      <w:divBdr>
        <w:top w:val="none" w:sz="0" w:space="0" w:color="auto"/>
        <w:left w:val="none" w:sz="0" w:space="0" w:color="auto"/>
        <w:bottom w:val="none" w:sz="0" w:space="0" w:color="auto"/>
        <w:right w:val="none" w:sz="0" w:space="0" w:color="auto"/>
      </w:divBdr>
    </w:div>
    <w:div w:id="905456118">
      <w:bodyDiv w:val="1"/>
      <w:marLeft w:val="0"/>
      <w:marRight w:val="0"/>
      <w:marTop w:val="0"/>
      <w:marBottom w:val="0"/>
      <w:divBdr>
        <w:top w:val="none" w:sz="0" w:space="0" w:color="auto"/>
        <w:left w:val="none" w:sz="0" w:space="0" w:color="auto"/>
        <w:bottom w:val="none" w:sz="0" w:space="0" w:color="auto"/>
        <w:right w:val="none" w:sz="0" w:space="0" w:color="auto"/>
      </w:divBdr>
    </w:div>
    <w:div w:id="912616920">
      <w:bodyDiv w:val="1"/>
      <w:marLeft w:val="0"/>
      <w:marRight w:val="0"/>
      <w:marTop w:val="0"/>
      <w:marBottom w:val="0"/>
      <w:divBdr>
        <w:top w:val="none" w:sz="0" w:space="0" w:color="auto"/>
        <w:left w:val="none" w:sz="0" w:space="0" w:color="auto"/>
        <w:bottom w:val="none" w:sz="0" w:space="0" w:color="auto"/>
        <w:right w:val="none" w:sz="0" w:space="0" w:color="auto"/>
      </w:divBdr>
    </w:div>
    <w:div w:id="926772123">
      <w:bodyDiv w:val="1"/>
      <w:marLeft w:val="0"/>
      <w:marRight w:val="0"/>
      <w:marTop w:val="0"/>
      <w:marBottom w:val="0"/>
      <w:divBdr>
        <w:top w:val="none" w:sz="0" w:space="0" w:color="auto"/>
        <w:left w:val="none" w:sz="0" w:space="0" w:color="auto"/>
        <w:bottom w:val="none" w:sz="0" w:space="0" w:color="auto"/>
        <w:right w:val="none" w:sz="0" w:space="0" w:color="auto"/>
      </w:divBdr>
    </w:div>
    <w:div w:id="932784370">
      <w:bodyDiv w:val="1"/>
      <w:marLeft w:val="0"/>
      <w:marRight w:val="0"/>
      <w:marTop w:val="0"/>
      <w:marBottom w:val="0"/>
      <w:divBdr>
        <w:top w:val="none" w:sz="0" w:space="0" w:color="auto"/>
        <w:left w:val="none" w:sz="0" w:space="0" w:color="auto"/>
        <w:bottom w:val="none" w:sz="0" w:space="0" w:color="auto"/>
        <w:right w:val="none" w:sz="0" w:space="0" w:color="auto"/>
      </w:divBdr>
      <w:divsChild>
        <w:div w:id="445318938">
          <w:marLeft w:val="547"/>
          <w:marRight w:val="0"/>
          <w:marTop w:val="0"/>
          <w:marBottom w:val="0"/>
          <w:divBdr>
            <w:top w:val="none" w:sz="0" w:space="0" w:color="auto"/>
            <w:left w:val="none" w:sz="0" w:space="0" w:color="auto"/>
            <w:bottom w:val="none" w:sz="0" w:space="0" w:color="auto"/>
            <w:right w:val="none" w:sz="0" w:space="0" w:color="auto"/>
          </w:divBdr>
        </w:div>
        <w:div w:id="628558236">
          <w:marLeft w:val="547"/>
          <w:marRight w:val="0"/>
          <w:marTop w:val="0"/>
          <w:marBottom w:val="0"/>
          <w:divBdr>
            <w:top w:val="none" w:sz="0" w:space="0" w:color="auto"/>
            <w:left w:val="none" w:sz="0" w:space="0" w:color="auto"/>
            <w:bottom w:val="none" w:sz="0" w:space="0" w:color="auto"/>
            <w:right w:val="none" w:sz="0" w:space="0" w:color="auto"/>
          </w:divBdr>
        </w:div>
      </w:divsChild>
    </w:div>
    <w:div w:id="994918997">
      <w:bodyDiv w:val="1"/>
      <w:marLeft w:val="0"/>
      <w:marRight w:val="0"/>
      <w:marTop w:val="0"/>
      <w:marBottom w:val="0"/>
      <w:divBdr>
        <w:top w:val="none" w:sz="0" w:space="0" w:color="auto"/>
        <w:left w:val="none" w:sz="0" w:space="0" w:color="auto"/>
        <w:bottom w:val="none" w:sz="0" w:space="0" w:color="auto"/>
        <w:right w:val="none" w:sz="0" w:space="0" w:color="auto"/>
      </w:divBdr>
    </w:div>
    <w:div w:id="1010762102">
      <w:bodyDiv w:val="1"/>
      <w:marLeft w:val="0"/>
      <w:marRight w:val="0"/>
      <w:marTop w:val="0"/>
      <w:marBottom w:val="0"/>
      <w:divBdr>
        <w:top w:val="none" w:sz="0" w:space="0" w:color="auto"/>
        <w:left w:val="none" w:sz="0" w:space="0" w:color="auto"/>
        <w:bottom w:val="none" w:sz="0" w:space="0" w:color="auto"/>
        <w:right w:val="none" w:sz="0" w:space="0" w:color="auto"/>
      </w:divBdr>
    </w:div>
    <w:div w:id="1023676192">
      <w:bodyDiv w:val="1"/>
      <w:marLeft w:val="0"/>
      <w:marRight w:val="0"/>
      <w:marTop w:val="0"/>
      <w:marBottom w:val="0"/>
      <w:divBdr>
        <w:top w:val="none" w:sz="0" w:space="0" w:color="auto"/>
        <w:left w:val="none" w:sz="0" w:space="0" w:color="auto"/>
        <w:bottom w:val="none" w:sz="0" w:space="0" w:color="auto"/>
        <w:right w:val="none" w:sz="0" w:space="0" w:color="auto"/>
      </w:divBdr>
    </w:div>
    <w:div w:id="1041324769">
      <w:bodyDiv w:val="1"/>
      <w:marLeft w:val="0"/>
      <w:marRight w:val="0"/>
      <w:marTop w:val="0"/>
      <w:marBottom w:val="0"/>
      <w:divBdr>
        <w:top w:val="none" w:sz="0" w:space="0" w:color="auto"/>
        <w:left w:val="none" w:sz="0" w:space="0" w:color="auto"/>
        <w:bottom w:val="none" w:sz="0" w:space="0" w:color="auto"/>
        <w:right w:val="none" w:sz="0" w:space="0" w:color="auto"/>
      </w:divBdr>
    </w:div>
    <w:div w:id="1056316678">
      <w:bodyDiv w:val="1"/>
      <w:marLeft w:val="0"/>
      <w:marRight w:val="0"/>
      <w:marTop w:val="0"/>
      <w:marBottom w:val="0"/>
      <w:divBdr>
        <w:top w:val="none" w:sz="0" w:space="0" w:color="auto"/>
        <w:left w:val="none" w:sz="0" w:space="0" w:color="auto"/>
        <w:bottom w:val="none" w:sz="0" w:space="0" w:color="auto"/>
        <w:right w:val="none" w:sz="0" w:space="0" w:color="auto"/>
      </w:divBdr>
    </w:div>
    <w:div w:id="1070496358">
      <w:bodyDiv w:val="1"/>
      <w:marLeft w:val="0"/>
      <w:marRight w:val="0"/>
      <w:marTop w:val="0"/>
      <w:marBottom w:val="0"/>
      <w:divBdr>
        <w:top w:val="none" w:sz="0" w:space="0" w:color="auto"/>
        <w:left w:val="none" w:sz="0" w:space="0" w:color="auto"/>
        <w:bottom w:val="none" w:sz="0" w:space="0" w:color="auto"/>
        <w:right w:val="none" w:sz="0" w:space="0" w:color="auto"/>
      </w:divBdr>
    </w:div>
    <w:div w:id="1083062763">
      <w:bodyDiv w:val="1"/>
      <w:marLeft w:val="0"/>
      <w:marRight w:val="0"/>
      <w:marTop w:val="0"/>
      <w:marBottom w:val="0"/>
      <w:divBdr>
        <w:top w:val="none" w:sz="0" w:space="0" w:color="auto"/>
        <w:left w:val="none" w:sz="0" w:space="0" w:color="auto"/>
        <w:bottom w:val="none" w:sz="0" w:space="0" w:color="auto"/>
        <w:right w:val="none" w:sz="0" w:space="0" w:color="auto"/>
      </w:divBdr>
    </w:div>
    <w:div w:id="1110274105">
      <w:bodyDiv w:val="1"/>
      <w:marLeft w:val="0"/>
      <w:marRight w:val="0"/>
      <w:marTop w:val="0"/>
      <w:marBottom w:val="0"/>
      <w:divBdr>
        <w:top w:val="none" w:sz="0" w:space="0" w:color="auto"/>
        <w:left w:val="none" w:sz="0" w:space="0" w:color="auto"/>
        <w:bottom w:val="none" w:sz="0" w:space="0" w:color="auto"/>
        <w:right w:val="none" w:sz="0" w:space="0" w:color="auto"/>
      </w:divBdr>
    </w:div>
    <w:div w:id="1112167068">
      <w:bodyDiv w:val="1"/>
      <w:marLeft w:val="0"/>
      <w:marRight w:val="0"/>
      <w:marTop w:val="0"/>
      <w:marBottom w:val="0"/>
      <w:divBdr>
        <w:top w:val="none" w:sz="0" w:space="0" w:color="auto"/>
        <w:left w:val="none" w:sz="0" w:space="0" w:color="auto"/>
        <w:bottom w:val="none" w:sz="0" w:space="0" w:color="auto"/>
        <w:right w:val="none" w:sz="0" w:space="0" w:color="auto"/>
      </w:divBdr>
    </w:div>
    <w:div w:id="1116020882">
      <w:bodyDiv w:val="1"/>
      <w:marLeft w:val="0"/>
      <w:marRight w:val="0"/>
      <w:marTop w:val="0"/>
      <w:marBottom w:val="0"/>
      <w:divBdr>
        <w:top w:val="none" w:sz="0" w:space="0" w:color="auto"/>
        <w:left w:val="none" w:sz="0" w:space="0" w:color="auto"/>
        <w:bottom w:val="none" w:sz="0" w:space="0" w:color="auto"/>
        <w:right w:val="none" w:sz="0" w:space="0" w:color="auto"/>
      </w:divBdr>
    </w:div>
    <w:div w:id="1142503002">
      <w:bodyDiv w:val="1"/>
      <w:marLeft w:val="0"/>
      <w:marRight w:val="0"/>
      <w:marTop w:val="0"/>
      <w:marBottom w:val="0"/>
      <w:divBdr>
        <w:top w:val="none" w:sz="0" w:space="0" w:color="auto"/>
        <w:left w:val="none" w:sz="0" w:space="0" w:color="auto"/>
        <w:bottom w:val="none" w:sz="0" w:space="0" w:color="auto"/>
        <w:right w:val="none" w:sz="0" w:space="0" w:color="auto"/>
      </w:divBdr>
    </w:div>
    <w:div w:id="1144546621">
      <w:bodyDiv w:val="1"/>
      <w:marLeft w:val="0"/>
      <w:marRight w:val="0"/>
      <w:marTop w:val="0"/>
      <w:marBottom w:val="0"/>
      <w:divBdr>
        <w:top w:val="none" w:sz="0" w:space="0" w:color="auto"/>
        <w:left w:val="none" w:sz="0" w:space="0" w:color="auto"/>
        <w:bottom w:val="none" w:sz="0" w:space="0" w:color="auto"/>
        <w:right w:val="none" w:sz="0" w:space="0" w:color="auto"/>
      </w:divBdr>
    </w:div>
    <w:div w:id="1154688637">
      <w:bodyDiv w:val="1"/>
      <w:marLeft w:val="0"/>
      <w:marRight w:val="0"/>
      <w:marTop w:val="0"/>
      <w:marBottom w:val="0"/>
      <w:divBdr>
        <w:top w:val="none" w:sz="0" w:space="0" w:color="auto"/>
        <w:left w:val="none" w:sz="0" w:space="0" w:color="auto"/>
        <w:bottom w:val="none" w:sz="0" w:space="0" w:color="auto"/>
        <w:right w:val="none" w:sz="0" w:space="0" w:color="auto"/>
      </w:divBdr>
    </w:div>
    <w:div w:id="1183546753">
      <w:bodyDiv w:val="1"/>
      <w:marLeft w:val="0"/>
      <w:marRight w:val="0"/>
      <w:marTop w:val="0"/>
      <w:marBottom w:val="0"/>
      <w:divBdr>
        <w:top w:val="none" w:sz="0" w:space="0" w:color="auto"/>
        <w:left w:val="none" w:sz="0" w:space="0" w:color="auto"/>
        <w:bottom w:val="none" w:sz="0" w:space="0" w:color="auto"/>
        <w:right w:val="none" w:sz="0" w:space="0" w:color="auto"/>
      </w:divBdr>
    </w:div>
    <w:div w:id="1218738926">
      <w:bodyDiv w:val="1"/>
      <w:marLeft w:val="0"/>
      <w:marRight w:val="0"/>
      <w:marTop w:val="0"/>
      <w:marBottom w:val="0"/>
      <w:divBdr>
        <w:top w:val="none" w:sz="0" w:space="0" w:color="auto"/>
        <w:left w:val="none" w:sz="0" w:space="0" w:color="auto"/>
        <w:bottom w:val="none" w:sz="0" w:space="0" w:color="auto"/>
        <w:right w:val="none" w:sz="0" w:space="0" w:color="auto"/>
      </w:divBdr>
    </w:div>
    <w:div w:id="1254780040">
      <w:bodyDiv w:val="1"/>
      <w:marLeft w:val="0"/>
      <w:marRight w:val="0"/>
      <w:marTop w:val="0"/>
      <w:marBottom w:val="0"/>
      <w:divBdr>
        <w:top w:val="none" w:sz="0" w:space="0" w:color="auto"/>
        <w:left w:val="none" w:sz="0" w:space="0" w:color="auto"/>
        <w:bottom w:val="none" w:sz="0" w:space="0" w:color="auto"/>
        <w:right w:val="none" w:sz="0" w:space="0" w:color="auto"/>
      </w:divBdr>
    </w:div>
    <w:div w:id="1305890275">
      <w:bodyDiv w:val="1"/>
      <w:marLeft w:val="0"/>
      <w:marRight w:val="0"/>
      <w:marTop w:val="0"/>
      <w:marBottom w:val="0"/>
      <w:divBdr>
        <w:top w:val="none" w:sz="0" w:space="0" w:color="auto"/>
        <w:left w:val="none" w:sz="0" w:space="0" w:color="auto"/>
        <w:bottom w:val="none" w:sz="0" w:space="0" w:color="auto"/>
        <w:right w:val="none" w:sz="0" w:space="0" w:color="auto"/>
      </w:divBdr>
    </w:div>
    <w:div w:id="1307778000">
      <w:bodyDiv w:val="1"/>
      <w:marLeft w:val="0"/>
      <w:marRight w:val="0"/>
      <w:marTop w:val="0"/>
      <w:marBottom w:val="0"/>
      <w:divBdr>
        <w:top w:val="none" w:sz="0" w:space="0" w:color="auto"/>
        <w:left w:val="none" w:sz="0" w:space="0" w:color="auto"/>
        <w:bottom w:val="none" w:sz="0" w:space="0" w:color="auto"/>
        <w:right w:val="none" w:sz="0" w:space="0" w:color="auto"/>
      </w:divBdr>
    </w:div>
    <w:div w:id="1316034329">
      <w:bodyDiv w:val="1"/>
      <w:marLeft w:val="0"/>
      <w:marRight w:val="0"/>
      <w:marTop w:val="0"/>
      <w:marBottom w:val="0"/>
      <w:divBdr>
        <w:top w:val="none" w:sz="0" w:space="0" w:color="auto"/>
        <w:left w:val="none" w:sz="0" w:space="0" w:color="auto"/>
        <w:bottom w:val="none" w:sz="0" w:space="0" w:color="auto"/>
        <w:right w:val="none" w:sz="0" w:space="0" w:color="auto"/>
      </w:divBdr>
    </w:div>
    <w:div w:id="1318267431">
      <w:bodyDiv w:val="1"/>
      <w:marLeft w:val="0"/>
      <w:marRight w:val="0"/>
      <w:marTop w:val="0"/>
      <w:marBottom w:val="0"/>
      <w:divBdr>
        <w:top w:val="none" w:sz="0" w:space="0" w:color="auto"/>
        <w:left w:val="none" w:sz="0" w:space="0" w:color="auto"/>
        <w:bottom w:val="none" w:sz="0" w:space="0" w:color="auto"/>
        <w:right w:val="none" w:sz="0" w:space="0" w:color="auto"/>
      </w:divBdr>
    </w:div>
    <w:div w:id="1342126192">
      <w:bodyDiv w:val="1"/>
      <w:marLeft w:val="0"/>
      <w:marRight w:val="0"/>
      <w:marTop w:val="0"/>
      <w:marBottom w:val="0"/>
      <w:divBdr>
        <w:top w:val="none" w:sz="0" w:space="0" w:color="auto"/>
        <w:left w:val="none" w:sz="0" w:space="0" w:color="auto"/>
        <w:bottom w:val="none" w:sz="0" w:space="0" w:color="auto"/>
        <w:right w:val="none" w:sz="0" w:space="0" w:color="auto"/>
      </w:divBdr>
      <w:divsChild>
        <w:div w:id="453135477">
          <w:marLeft w:val="547"/>
          <w:marRight w:val="0"/>
          <w:marTop w:val="0"/>
          <w:marBottom w:val="0"/>
          <w:divBdr>
            <w:top w:val="none" w:sz="0" w:space="0" w:color="auto"/>
            <w:left w:val="none" w:sz="0" w:space="0" w:color="auto"/>
            <w:bottom w:val="none" w:sz="0" w:space="0" w:color="auto"/>
            <w:right w:val="none" w:sz="0" w:space="0" w:color="auto"/>
          </w:divBdr>
        </w:div>
      </w:divsChild>
    </w:div>
    <w:div w:id="1368526961">
      <w:bodyDiv w:val="1"/>
      <w:marLeft w:val="0"/>
      <w:marRight w:val="0"/>
      <w:marTop w:val="0"/>
      <w:marBottom w:val="0"/>
      <w:divBdr>
        <w:top w:val="none" w:sz="0" w:space="0" w:color="auto"/>
        <w:left w:val="none" w:sz="0" w:space="0" w:color="auto"/>
        <w:bottom w:val="none" w:sz="0" w:space="0" w:color="auto"/>
        <w:right w:val="none" w:sz="0" w:space="0" w:color="auto"/>
      </w:divBdr>
    </w:div>
    <w:div w:id="1389496373">
      <w:bodyDiv w:val="1"/>
      <w:marLeft w:val="0"/>
      <w:marRight w:val="0"/>
      <w:marTop w:val="0"/>
      <w:marBottom w:val="0"/>
      <w:divBdr>
        <w:top w:val="none" w:sz="0" w:space="0" w:color="auto"/>
        <w:left w:val="none" w:sz="0" w:space="0" w:color="auto"/>
        <w:bottom w:val="none" w:sz="0" w:space="0" w:color="auto"/>
        <w:right w:val="none" w:sz="0" w:space="0" w:color="auto"/>
      </w:divBdr>
    </w:div>
    <w:div w:id="1399549550">
      <w:bodyDiv w:val="1"/>
      <w:marLeft w:val="0"/>
      <w:marRight w:val="0"/>
      <w:marTop w:val="0"/>
      <w:marBottom w:val="0"/>
      <w:divBdr>
        <w:top w:val="none" w:sz="0" w:space="0" w:color="auto"/>
        <w:left w:val="none" w:sz="0" w:space="0" w:color="auto"/>
        <w:bottom w:val="none" w:sz="0" w:space="0" w:color="auto"/>
        <w:right w:val="none" w:sz="0" w:space="0" w:color="auto"/>
      </w:divBdr>
      <w:divsChild>
        <w:div w:id="2119400431">
          <w:marLeft w:val="547"/>
          <w:marRight w:val="0"/>
          <w:marTop w:val="240"/>
          <w:marBottom w:val="240"/>
          <w:divBdr>
            <w:top w:val="none" w:sz="0" w:space="0" w:color="auto"/>
            <w:left w:val="none" w:sz="0" w:space="0" w:color="auto"/>
            <w:bottom w:val="none" w:sz="0" w:space="0" w:color="auto"/>
            <w:right w:val="none" w:sz="0" w:space="0" w:color="auto"/>
          </w:divBdr>
        </w:div>
        <w:div w:id="931662591">
          <w:marLeft w:val="547"/>
          <w:marRight w:val="0"/>
          <w:marTop w:val="240"/>
          <w:marBottom w:val="240"/>
          <w:divBdr>
            <w:top w:val="none" w:sz="0" w:space="0" w:color="auto"/>
            <w:left w:val="none" w:sz="0" w:space="0" w:color="auto"/>
            <w:bottom w:val="none" w:sz="0" w:space="0" w:color="auto"/>
            <w:right w:val="none" w:sz="0" w:space="0" w:color="auto"/>
          </w:divBdr>
        </w:div>
        <w:div w:id="76248975">
          <w:marLeft w:val="547"/>
          <w:marRight w:val="0"/>
          <w:marTop w:val="240"/>
          <w:marBottom w:val="240"/>
          <w:divBdr>
            <w:top w:val="none" w:sz="0" w:space="0" w:color="auto"/>
            <w:left w:val="none" w:sz="0" w:space="0" w:color="auto"/>
            <w:bottom w:val="none" w:sz="0" w:space="0" w:color="auto"/>
            <w:right w:val="none" w:sz="0" w:space="0" w:color="auto"/>
          </w:divBdr>
        </w:div>
        <w:div w:id="2122800207">
          <w:marLeft w:val="547"/>
          <w:marRight w:val="0"/>
          <w:marTop w:val="240"/>
          <w:marBottom w:val="240"/>
          <w:divBdr>
            <w:top w:val="none" w:sz="0" w:space="0" w:color="auto"/>
            <w:left w:val="none" w:sz="0" w:space="0" w:color="auto"/>
            <w:bottom w:val="none" w:sz="0" w:space="0" w:color="auto"/>
            <w:right w:val="none" w:sz="0" w:space="0" w:color="auto"/>
          </w:divBdr>
        </w:div>
        <w:div w:id="1413235132">
          <w:marLeft w:val="547"/>
          <w:marRight w:val="0"/>
          <w:marTop w:val="240"/>
          <w:marBottom w:val="240"/>
          <w:divBdr>
            <w:top w:val="none" w:sz="0" w:space="0" w:color="auto"/>
            <w:left w:val="none" w:sz="0" w:space="0" w:color="auto"/>
            <w:bottom w:val="none" w:sz="0" w:space="0" w:color="auto"/>
            <w:right w:val="none" w:sz="0" w:space="0" w:color="auto"/>
          </w:divBdr>
        </w:div>
      </w:divsChild>
    </w:div>
    <w:div w:id="1538741070">
      <w:bodyDiv w:val="1"/>
      <w:marLeft w:val="0"/>
      <w:marRight w:val="0"/>
      <w:marTop w:val="0"/>
      <w:marBottom w:val="0"/>
      <w:divBdr>
        <w:top w:val="none" w:sz="0" w:space="0" w:color="auto"/>
        <w:left w:val="none" w:sz="0" w:space="0" w:color="auto"/>
        <w:bottom w:val="none" w:sz="0" w:space="0" w:color="auto"/>
        <w:right w:val="none" w:sz="0" w:space="0" w:color="auto"/>
      </w:divBdr>
    </w:div>
    <w:div w:id="1543785802">
      <w:bodyDiv w:val="1"/>
      <w:marLeft w:val="0"/>
      <w:marRight w:val="0"/>
      <w:marTop w:val="0"/>
      <w:marBottom w:val="0"/>
      <w:divBdr>
        <w:top w:val="none" w:sz="0" w:space="0" w:color="auto"/>
        <w:left w:val="none" w:sz="0" w:space="0" w:color="auto"/>
        <w:bottom w:val="none" w:sz="0" w:space="0" w:color="auto"/>
        <w:right w:val="none" w:sz="0" w:space="0" w:color="auto"/>
      </w:divBdr>
    </w:div>
    <w:div w:id="1552615791">
      <w:bodyDiv w:val="1"/>
      <w:marLeft w:val="0"/>
      <w:marRight w:val="0"/>
      <w:marTop w:val="0"/>
      <w:marBottom w:val="0"/>
      <w:divBdr>
        <w:top w:val="none" w:sz="0" w:space="0" w:color="auto"/>
        <w:left w:val="none" w:sz="0" w:space="0" w:color="auto"/>
        <w:bottom w:val="none" w:sz="0" w:space="0" w:color="auto"/>
        <w:right w:val="none" w:sz="0" w:space="0" w:color="auto"/>
      </w:divBdr>
    </w:div>
    <w:div w:id="1583562746">
      <w:bodyDiv w:val="1"/>
      <w:marLeft w:val="0"/>
      <w:marRight w:val="0"/>
      <w:marTop w:val="0"/>
      <w:marBottom w:val="0"/>
      <w:divBdr>
        <w:top w:val="none" w:sz="0" w:space="0" w:color="auto"/>
        <w:left w:val="none" w:sz="0" w:space="0" w:color="auto"/>
        <w:bottom w:val="none" w:sz="0" w:space="0" w:color="auto"/>
        <w:right w:val="none" w:sz="0" w:space="0" w:color="auto"/>
      </w:divBdr>
    </w:div>
    <w:div w:id="1662536706">
      <w:bodyDiv w:val="1"/>
      <w:marLeft w:val="0"/>
      <w:marRight w:val="0"/>
      <w:marTop w:val="0"/>
      <w:marBottom w:val="0"/>
      <w:divBdr>
        <w:top w:val="none" w:sz="0" w:space="0" w:color="auto"/>
        <w:left w:val="none" w:sz="0" w:space="0" w:color="auto"/>
        <w:bottom w:val="none" w:sz="0" w:space="0" w:color="auto"/>
        <w:right w:val="none" w:sz="0" w:space="0" w:color="auto"/>
      </w:divBdr>
    </w:div>
    <w:div w:id="1677687213">
      <w:bodyDiv w:val="1"/>
      <w:marLeft w:val="0"/>
      <w:marRight w:val="0"/>
      <w:marTop w:val="0"/>
      <w:marBottom w:val="0"/>
      <w:divBdr>
        <w:top w:val="none" w:sz="0" w:space="0" w:color="auto"/>
        <w:left w:val="none" w:sz="0" w:space="0" w:color="auto"/>
        <w:bottom w:val="none" w:sz="0" w:space="0" w:color="auto"/>
        <w:right w:val="none" w:sz="0" w:space="0" w:color="auto"/>
      </w:divBdr>
    </w:div>
    <w:div w:id="1678385215">
      <w:bodyDiv w:val="1"/>
      <w:marLeft w:val="0"/>
      <w:marRight w:val="0"/>
      <w:marTop w:val="0"/>
      <w:marBottom w:val="0"/>
      <w:divBdr>
        <w:top w:val="none" w:sz="0" w:space="0" w:color="auto"/>
        <w:left w:val="none" w:sz="0" w:space="0" w:color="auto"/>
        <w:bottom w:val="none" w:sz="0" w:space="0" w:color="auto"/>
        <w:right w:val="none" w:sz="0" w:space="0" w:color="auto"/>
      </w:divBdr>
    </w:div>
    <w:div w:id="1679968296">
      <w:bodyDiv w:val="1"/>
      <w:marLeft w:val="0"/>
      <w:marRight w:val="0"/>
      <w:marTop w:val="0"/>
      <w:marBottom w:val="0"/>
      <w:divBdr>
        <w:top w:val="none" w:sz="0" w:space="0" w:color="auto"/>
        <w:left w:val="none" w:sz="0" w:space="0" w:color="auto"/>
        <w:bottom w:val="none" w:sz="0" w:space="0" w:color="auto"/>
        <w:right w:val="none" w:sz="0" w:space="0" w:color="auto"/>
      </w:divBdr>
    </w:div>
    <w:div w:id="1706952009">
      <w:bodyDiv w:val="1"/>
      <w:marLeft w:val="0"/>
      <w:marRight w:val="0"/>
      <w:marTop w:val="0"/>
      <w:marBottom w:val="0"/>
      <w:divBdr>
        <w:top w:val="none" w:sz="0" w:space="0" w:color="auto"/>
        <w:left w:val="none" w:sz="0" w:space="0" w:color="auto"/>
        <w:bottom w:val="none" w:sz="0" w:space="0" w:color="auto"/>
        <w:right w:val="none" w:sz="0" w:space="0" w:color="auto"/>
      </w:divBdr>
    </w:div>
    <w:div w:id="1726677541">
      <w:bodyDiv w:val="1"/>
      <w:marLeft w:val="0"/>
      <w:marRight w:val="0"/>
      <w:marTop w:val="0"/>
      <w:marBottom w:val="0"/>
      <w:divBdr>
        <w:top w:val="none" w:sz="0" w:space="0" w:color="auto"/>
        <w:left w:val="none" w:sz="0" w:space="0" w:color="auto"/>
        <w:bottom w:val="none" w:sz="0" w:space="0" w:color="auto"/>
        <w:right w:val="none" w:sz="0" w:space="0" w:color="auto"/>
      </w:divBdr>
    </w:div>
    <w:div w:id="1747875696">
      <w:bodyDiv w:val="1"/>
      <w:marLeft w:val="0"/>
      <w:marRight w:val="0"/>
      <w:marTop w:val="0"/>
      <w:marBottom w:val="0"/>
      <w:divBdr>
        <w:top w:val="none" w:sz="0" w:space="0" w:color="auto"/>
        <w:left w:val="none" w:sz="0" w:space="0" w:color="auto"/>
        <w:bottom w:val="none" w:sz="0" w:space="0" w:color="auto"/>
        <w:right w:val="none" w:sz="0" w:space="0" w:color="auto"/>
      </w:divBdr>
    </w:div>
    <w:div w:id="1765805066">
      <w:bodyDiv w:val="1"/>
      <w:marLeft w:val="0"/>
      <w:marRight w:val="0"/>
      <w:marTop w:val="0"/>
      <w:marBottom w:val="0"/>
      <w:divBdr>
        <w:top w:val="none" w:sz="0" w:space="0" w:color="auto"/>
        <w:left w:val="none" w:sz="0" w:space="0" w:color="auto"/>
        <w:bottom w:val="none" w:sz="0" w:space="0" w:color="auto"/>
        <w:right w:val="none" w:sz="0" w:space="0" w:color="auto"/>
      </w:divBdr>
      <w:divsChild>
        <w:div w:id="1560827929">
          <w:marLeft w:val="547"/>
          <w:marRight w:val="0"/>
          <w:marTop w:val="0"/>
          <w:marBottom w:val="0"/>
          <w:divBdr>
            <w:top w:val="none" w:sz="0" w:space="0" w:color="auto"/>
            <w:left w:val="none" w:sz="0" w:space="0" w:color="auto"/>
            <w:bottom w:val="none" w:sz="0" w:space="0" w:color="auto"/>
            <w:right w:val="none" w:sz="0" w:space="0" w:color="auto"/>
          </w:divBdr>
        </w:div>
      </w:divsChild>
    </w:div>
    <w:div w:id="1777479182">
      <w:bodyDiv w:val="1"/>
      <w:marLeft w:val="0"/>
      <w:marRight w:val="0"/>
      <w:marTop w:val="0"/>
      <w:marBottom w:val="0"/>
      <w:divBdr>
        <w:top w:val="none" w:sz="0" w:space="0" w:color="auto"/>
        <w:left w:val="none" w:sz="0" w:space="0" w:color="auto"/>
        <w:bottom w:val="none" w:sz="0" w:space="0" w:color="auto"/>
        <w:right w:val="none" w:sz="0" w:space="0" w:color="auto"/>
      </w:divBdr>
    </w:div>
    <w:div w:id="1779527475">
      <w:bodyDiv w:val="1"/>
      <w:marLeft w:val="0"/>
      <w:marRight w:val="0"/>
      <w:marTop w:val="0"/>
      <w:marBottom w:val="0"/>
      <w:divBdr>
        <w:top w:val="none" w:sz="0" w:space="0" w:color="auto"/>
        <w:left w:val="none" w:sz="0" w:space="0" w:color="auto"/>
        <w:bottom w:val="none" w:sz="0" w:space="0" w:color="auto"/>
        <w:right w:val="none" w:sz="0" w:space="0" w:color="auto"/>
      </w:divBdr>
    </w:div>
    <w:div w:id="1780223043">
      <w:bodyDiv w:val="1"/>
      <w:marLeft w:val="0"/>
      <w:marRight w:val="0"/>
      <w:marTop w:val="0"/>
      <w:marBottom w:val="0"/>
      <w:divBdr>
        <w:top w:val="none" w:sz="0" w:space="0" w:color="auto"/>
        <w:left w:val="none" w:sz="0" w:space="0" w:color="auto"/>
        <w:bottom w:val="none" w:sz="0" w:space="0" w:color="auto"/>
        <w:right w:val="none" w:sz="0" w:space="0" w:color="auto"/>
      </w:divBdr>
    </w:div>
    <w:div w:id="1781336893">
      <w:bodyDiv w:val="1"/>
      <w:marLeft w:val="0"/>
      <w:marRight w:val="0"/>
      <w:marTop w:val="0"/>
      <w:marBottom w:val="0"/>
      <w:divBdr>
        <w:top w:val="none" w:sz="0" w:space="0" w:color="auto"/>
        <w:left w:val="none" w:sz="0" w:space="0" w:color="auto"/>
        <w:bottom w:val="none" w:sz="0" w:space="0" w:color="auto"/>
        <w:right w:val="none" w:sz="0" w:space="0" w:color="auto"/>
      </w:divBdr>
    </w:div>
    <w:div w:id="1804496566">
      <w:bodyDiv w:val="1"/>
      <w:marLeft w:val="0"/>
      <w:marRight w:val="0"/>
      <w:marTop w:val="0"/>
      <w:marBottom w:val="0"/>
      <w:divBdr>
        <w:top w:val="none" w:sz="0" w:space="0" w:color="auto"/>
        <w:left w:val="none" w:sz="0" w:space="0" w:color="auto"/>
        <w:bottom w:val="none" w:sz="0" w:space="0" w:color="auto"/>
        <w:right w:val="none" w:sz="0" w:space="0" w:color="auto"/>
      </w:divBdr>
    </w:div>
    <w:div w:id="1809546705">
      <w:bodyDiv w:val="1"/>
      <w:marLeft w:val="0"/>
      <w:marRight w:val="0"/>
      <w:marTop w:val="0"/>
      <w:marBottom w:val="0"/>
      <w:divBdr>
        <w:top w:val="none" w:sz="0" w:space="0" w:color="auto"/>
        <w:left w:val="none" w:sz="0" w:space="0" w:color="auto"/>
        <w:bottom w:val="none" w:sz="0" w:space="0" w:color="auto"/>
        <w:right w:val="none" w:sz="0" w:space="0" w:color="auto"/>
      </w:divBdr>
    </w:div>
    <w:div w:id="1817867637">
      <w:bodyDiv w:val="1"/>
      <w:marLeft w:val="0"/>
      <w:marRight w:val="0"/>
      <w:marTop w:val="0"/>
      <w:marBottom w:val="0"/>
      <w:divBdr>
        <w:top w:val="none" w:sz="0" w:space="0" w:color="auto"/>
        <w:left w:val="none" w:sz="0" w:space="0" w:color="auto"/>
        <w:bottom w:val="none" w:sz="0" w:space="0" w:color="auto"/>
        <w:right w:val="none" w:sz="0" w:space="0" w:color="auto"/>
      </w:divBdr>
    </w:div>
    <w:div w:id="1850676891">
      <w:bodyDiv w:val="1"/>
      <w:marLeft w:val="0"/>
      <w:marRight w:val="0"/>
      <w:marTop w:val="0"/>
      <w:marBottom w:val="0"/>
      <w:divBdr>
        <w:top w:val="none" w:sz="0" w:space="0" w:color="auto"/>
        <w:left w:val="none" w:sz="0" w:space="0" w:color="auto"/>
        <w:bottom w:val="none" w:sz="0" w:space="0" w:color="auto"/>
        <w:right w:val="none" w:sz="0" w:space="0" w:color="auto"/>
      </w:divBdr>
    </w:div>
    <w:div w:id="1855149220">
      <w:bodyDiv w:val="1"/>
      <w:marLeft w:val="0"/>
      <w:marRight w:val="0"/>
      <w:marTop w:val="0"/>
      <w:marBottom w:val="0"/>
      <w:divBdr>
        <w:top w:val="none" w:sz="0" w:space="0" w:color="auto"/>
        <w:left w:val="none" w:sz="0" w:space="0" w:color="auto"/>
        <w:bottom w:val="none" w:sz="0" w:space="0" w:color="auto"/>
        <w:right w:val="none" w:sz="0" w:space="0" w:color="auto"/>
      </w:divBdr>
    </w:div>
    <w:div w:id="1856724125">
      <w:bodyDiv w:val="1"/>
      <w:marLeft w:val="0"/>
      <w:marRight w:val="0"/>
      <w:marTop w:val="0"/>
      <w:marBottom w:val="0"/>
      <w:divBdr>
        <w:top w:val="none" w:sz="0" w:space="0" w:color="auto"/>
        <w:left w:val="none" w:sz="0" w:space="0" w:color="auto"/>
        <w:bottom w:val="none" w:sz="0" w:space="0" w:color="auto"/>
        <w:right w:val="none" w:sz="0" w:space="0" w:color="auto"/>
      </w:divBdr>
    </w:div>
    <w:div w:id="1860123088">
      <w:bodyDiv w:val="1"/>
      <w:marLeft w:val="0"/>
      <w:marRight w:val="0"/>
      <w:marTop w:val="0"/>
      <w:marBottom w:val="0"/>
      <w:divBdr>
        <w:top w:val="none" w:sz="0" w:space="0" w:color="auto"/>
        <w:left w:val="none" w:sz="0" w:space="0" w:color="auto"/>
        <w:bottom w:val="none" w:sz="0" w:space="0" w:color="auto"/>
        <w:right w:val="none" w:sz="0" w:space="0" w:color="auto"/>
      </w:divBdr>
    </w:div>
    <w:div w:id="1888910542">
      <w:bodyDiv w:val="1"/>
      <w:marLeft w:val="0"/>
      <w:marRight w:val="0"/>
      <w:marTop w:val="0"/>
      <w:marBottom w:val="0"/>
      <w:divBdr>
        <w:top w:val="none" w:sz="0" w:space="0" w:color="auto"/>
        <w:left w:val="none" w:sz="0" w:space="0" w:color="auto"/>
        <w:bottom w:val="none" w:sz="0" w:space="0" w:color="auto"/>
        <w:right w:val="none" w:sz="0" w:space="0" w:color="auto"/>
      </w:divBdr>
    </w:div>
    <w:div w:id="1929730265">
      <w:bodyDiv w:val="1"/>
      <w:marLeft w:val="0"/>
      <w:marRight w:val="0"/>
      <w:marTop w:val="0"/>
      <w:marBottom w:val="0"/>
      <w:divBdr>
        <w:top w:val="none" w:sz="0" w:space="0" w:color="auto"/>
        <w:left w:val="none" w:sz="0" w:space="0" w:color="auto"/>
        <w:bottom w:val="none" w:sz="0" w:space="0" w:color="auto"/>
        <w:right w:val="none" w:sz="0" w:space="0" w:color="auto"/>
      </w:divBdr>
    </w:div>
    <w:div w:id="1931311973">
      <w:bodyDiv w:val="1"/>
      <w:marLeft w:val="0"/>
      <w:marRight w:val="0"/>
      <w:marTop w:val="0"/>
      <w:marBottom w:val="0"/>
      <w:divBdr>
        <w:top w:val="none" w:sz="0" w:space="0" w:color="auto"/>
        <w:left w:val="none" w:sz="0" w:space="0" w:color="auto"/>
        <w:bottom w:val="none" w:sz="0" w:space="0" w:color="auto"/>
        <w:right w:val="none" w:sz="0" w:space="0" w:color="auto"/>
      </w:divBdr>
    </w:div>
    <w:div w:id="1932617601">
      <w:bodyDiv w:val="1"/>
      <w:marLeft w:val="0"/>
      <w:marRight w:val="0"/>
      <w:marTop w:val="0"/>
      <w:marBottom w:val="0"/>
      <w:divBdr>
        <w:top w:val="none" w:sz="0" w:space="0" w:color="auto"/>
        <w:left w:val="none" w:sz="0" w:space="0" w:color="auto"/>
        <w:bottom w:val="none" w:sz="0" w:space="0" w:color="auto"/>
        <w:right w:val="none" w:sz="0" w:space="0" w:color="auto"/>
      </w:divBdr>
    </w:div>
    <w:div w:id="1990287013">
      <w:bodyDiv w:val="1"/>
      <w:marLeft w:val="0"/>
      <w:marRight w:val="0"/>
      <w:marTop w:val="0"/>
      <w:marBottom w:val="0"/>
      <w:divBdr>
        <w:top w:val="none" w:sz="0" w:space="0" w:color="auto"/>
        <w:left w:val="none" w:sz="0" w:space="0" w:color="auto"/>
        <w:bottom w:val="none" w:sz="0" w:space="0" w:color="auto"/>
        <w:right w:val="none" w:sz="0" w:space="0" w:color="auto"/>
      </w:divBdr>
    </w:div>
    <w:div w:id="2009018836">
      <w:bodyDiv w:val="1"/>
      <w:marLeft w:val="0"/>
      <w:marRight w:val="0"/>
      <w:marTop w:val="0"/>
      <w:marBottom w:val="0"/>
      <w:divBdr>
        <w:top w:val="none" w:sz="0" w:space="0" w:color="auto"/>
        <w:left w:val="none" w:sz="0" w:space="0" w:color="auto"/>
        <w:bottom w:val="none" w:sz="0" w:space="0" w:color="auto"/>
        <w:right w:val="none" w:sz="0" w:space="0" w:color="auto"/>
      </w:divBdr>
    </w:div>
    <w:div w:id="2027633152">
      <w:bodyDiv w:val="1"/>
      <w:marLeft w:val="0"/>
      <w:marRight w:val="0"/>
      <w:marTop w:val="0"/>
      <w:marBottom w:val="0"/>
      <w:divBdr>
        <w:top w:val="none" w:sz="0" w:space="0" w:color="auto"/>
        <w:left w:val="none" w:sz="0" w:space="0" w:color="auto"/>
        <w:bottom w:val="none" w:sz="0" w:space="0" w:color="auto"/>
        <w:right w:val="none" w:sz="0" w:space="0" w:color="auto"/>
      </w:divBdr>
    </w:div>
    <w:div w:id="2041204322">
      <w:bodyDiv w:val="1"/>
      <w:marLeft w:val="0"/>
      <w:marRight w:val="0"/>
      <w:marTop w:val="0"/>
      <w:marBottom w:val="0"/>
      <w:divBdr>
        <w:top w:val="none" w:sz="0" w:space="0" w:color="auto"/>
        <w:left w:val="none" w:sz="0" w:space="0" w:color="auto"/>
        <w:bottom w:val="none" w:sz="0" w:space="0" w:color="auto"/>
        <w:right w:val="none" w:sz="0" w:space="0" w:color="auto"/>
      </w:divBdr>
      <w:divsChild>
        <w:div w:id="847865509">
          <w:marLeft w:val="547"/>
          <w:marRight w:val="0"/>
          <w:marTop w:val="0"/>
          <w:marBottom w:val="0"/>
          <w:divBdr>
            <w:top w:val="none" w:sz="0" w:space="0" w:color="auto"/>
            <w:left w:val="none" w:sz="0" w:space="0" w:color="auto"/>
            <w:bottom w:val="none" w:sz="0" w:space="0" w:color="auto"/>
            <w:right w:val="none" w:sz="0" w:space="0" w:color="auto"/>
          </w:divBdr>
        </w:div>
      </w:divsChild>
    </w:div>
    <w:div w:id="2050260479">
      <w:bodyDiv w:val="1"/>
      <w:marLeft w:val="0"/>
      <w:marRight w:val="0"/>
      <w:marTop w:val="0"/>
      <w:marBottom w:val="0"/>
      <w:divBdr>
        <w:top w:val="none" w:sz="0" w:space="0" w:color="auto"/>
        <w:left w:val="none" w:sz="0" w:space="0" w:color="auto"/>
        <w:bottom w:val="none" w:sz="0" w:space="0" w:color="auto"/>
        <w:right w:val="none" w:sz="0" w:space="0" w:color="auto"/>
      </w:divBdr>
    </w:div>
    <w:div w:id="2055694162">
      <w:bodyDiv w:val="1"/>
      <w:marLeft w:val="0"/>
      <w:marRight w:val="0"/>
      <w:marTop w:val="0"/>
      <w:marBottom w:val="0"/>
      <w:divBdr>
        <w:top w:val="none" w:sz="0" w:space="0" w:color="auto"/>
        <w:left w:val="none" w:sz="0" w:space="0" w:color="auto"/>
        <w:bottom w:val="none" w:sz="0" w:space="0" w:color="auto"/>
        <w:right w:val="none" w:sz="0" w:space="0" w:color="auto"/>
      </w:divBdr>
      <w:divsChild>
        <w:div w:id="1304769790">
          <w:marLeft w:val="547"/>
          <w:marRight w:val="0"/>
          <w:marTop w:val="0"/>
          <w:marBottom w:val="0"/>
          <w:divBdr>
            <w:top w:val="none" w:sz="0" w:space="0" w:color="auto"/>
            <w:left w:val="none" w:sz="0" w:space="0" w:color="auto"/>
            <w:bottom w:val="none" w:sz="0" w:space="0" w:color="auto"/>
            <w:right w:val="none" w:sz="0" w:space="0" w:color="auto"/>
          </w:divBdr>
        </w:div>
      </w:divsChild>
    </w:div>
    <w:div w:id="2058773013">
      <w:bodyDiv w:val="1"/>
      <w:marLeft w:val="0"/>
      <w:marRight w:val="0"/>
      <w:marTop w:val="0"/>
      <w:marBottom w:val="0"/>
      <w:divBdr>
        <w:top w:val="none" w:sz="0" w:space="0" w:color="auto"/>
        <w:left w:val="none" w:sz="0" w:space="0" w:color="auto"/>
        <w:bottom w:val="none" w:sz="0" w:space="0" w:color="auto"/>
        <w:right w:val="none" w:sz="0" w:space="0" w:color="auto"/>
      </w:divBdr>
    </w:div>
    <w:div w:id="2059888050">
      <w:bodyDiv w:val="1"/>
      <w:marLeft w:val="0"/>
      <w:marRight w:val="0"/>
      <w:marTop w:val="0"/>
      <w:marBottom w:val="0"/>
      <w:divBdr>
        <w:top w:val="none" w:sz="0" w:space="0" w:color="auto"/>
        <w:left w:val="none" w:sz="0" w:space="0" w:color="auto"/>
        <w:bottom w:val="none" w:sz="0" w:space="0" w:color="auto"/>
        <w:right w:val="none" w:sz="0" w:space="0" w:color="auto"/>
      </w:divBdr>
    </w:div>
    <w:div w:id="2102480284">
      <w:bodyDiv w:val="1"/>
      <w:marLeft w:val="0"/>
      <w:marRight w:val="0"/>
      <w:marTop w:val="0"/>
      <w:marBottom w:val="0"/>
      <w:divBdr>
        <w:top w:val="none" w:sz="0" w:space="0" w:color="auto"/>
        <w:left w:val="none" w:sz="0" w:space="0" w:color="auto"/>
        <w:bottom w:val="none" w:sz="0" w:space="0" w:color="auto"/>
        <w:right w:val="none" w:sz="0" w:space="0" w:color="auto"/>
      </w:divBdr>
      <w:divsChild>
        <w:div w:id="916282498">
          <w:marLeft w:val="547"/>
          <w:marRight w:val="0"/>
          <w:marTop w:val="0"/>
          <w:marBottom w:val="0"/>
          <w:divBdr>
            <w:top w:val="none" w:sz="0" w:space="0" w:color="auto"/>
            <w:left w:val="none" w:sz="0" w:space="0" w:color="auto"/>
            <w:bottom w:val="none" w:sz="0" w:space="0" w:color="auto"/>
            <w:right w:val="none" w:sz="0" w:space="0" w:color="auto"/>
          </w:divBdr>
        </w:div>
      </w:divsChild>
    </w:div>
    <w:div w:id="211982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c.europa.eu/eurostat/databrowser/view/EARN_NT_TAXWEDGE/default/table" TargetMode="External"/><Relationship Id="rId18" Type="http://schemas.openxmlformats.org/officeDocument/2006/relationships/chart" Target="charts/chart6.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anda.orehova@fm.gov.lv"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ec.europa.eu/taxation_customs/tedb/" TargetMode="External"/><Relationship Id="rId25" Type="http://schemas.openxmlformats.org/officeDocument/2006/relationships/hyperlink" Target="mailto:olga.sanda.jurca@fm.gov.lv"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mailto:.Gudevica-Liepina@fm.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eurostat/databrowser/view/EARN_NT_TAXWEDGE/default/table" TargetMode="External"/><Relationship Id="rId24" Type="http://schemas.openxmlformats.org/officeDocument/2006/relationships/hyperlink" Target="mailto:egils.zarakovskis@fm.gov.lv" TargetMode="Externa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mailto:juris.lukss@fm.gov.lv" TargetMode="Externa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mailto:adara.jaunzeme@fm.gov.l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hyperlink" Target="mailto:jolanta.krastina@fm.gov.lv"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92698-grozijumi-likuma-par-iedzivotaju-ienakuma-nodokli-" TargetMode="External"/><Relationship Id="rId2" Type="http://schemas.openxmlformats.org/officeDocument/2006/relationships/hyperlink" Target="https://www.fm.gov.lv/lv/valsts-nodoklu-politikas-pamatnostadnu-izstrades-materiali" TargetMode="External"/><Relationship Id="rId1" Type="http://schemas.openxmlformats.org/officeDocument/2006/relationships/hyperlink" Target="https://likumi.lv/ta/id/349266" TargetMode="External"/><Relationship Id="rId6" Type="http://schemas.openxmlformats.org/officeDocument/2006/relationships/hyperlink" Target="http://registri.vvd.gov.lv/izsniegtas-atlaujas-un-licences/seg-atlaujas/" TargetMode="External"/><Relationship Id="rId5" Type="http://schemas.openxmlformats.org/officeDocument/2006/relationships/hyperlink" Target="https://www.fm.gov.lv/lv/media/18183/download?attachment" TargetMode="External"/><Relationship Id="rId4" Type="http://schemas.openxmlformats.org/officeDocument/2006/relationships/hyperlink" Target="https://likumi.lv/ta/id/342977-grozijumi-likuma-par-iedzivotaju-ienakuma-nodokli-"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 1'!$A$54</c:f>
              <c:strCache>
                <c:ptCount val="1"/>
                <c:pt idx="0">
                  <c:v>Latvija</c:v>
                </c:pt>
              </c:strCache>
            </c:strRef>
          </c:tx>
          <c:spPr>
            <a:ln w="28575" cap="rnd">
              <a:solidFill>
                <a:srgbClr val="C00000"/>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0-9B2C-414C-8AD6-4E45539BF477}"/>
                </c:ext>
              </c:extLst>
            </c:dLbl>
            <c:dLbl>
              <c:idx val="2"/>
              <c:delete val="1"/>
              <c:extLst>
                <c:ext xmlns:c15="http://schemas.microsoft.com/office/drawing/2012/chart" uri="{CE6537A1-D6FC-4f65-9D91-7224C49458BB}"/>
                <c:ext xmlns:c16="http://schemas.microsoft.com/office/drawing/2014/chart" uri="{C3380CC4-5D6E-409C-BE32-E72D297353CC}">
                  <c16:uniqueId val="{00000001-9B2C-414C-8AD6-4E45539BF477}"/>
                </c:ext>
              </c:extLst>
            </c:dLbl>
            <c:dLbl>
              <c:idx val="4"/>
              <c:delete val="1"/>
              <c:extLst>
                <c:ext xmlns:c15="http://schemas.microsoft.com/office/drawing/2012/chart" uri="{CE6537A1-D6FC-4f65-9D91-7224C49458BB}"/>
                <c:ext xmlns:c16="http://schemas.microsoft.com/office/drawing/2014/chart" uri="{C3380CC4-5D6E-409C-BE32-E72D297353CC}">
                  <c16:uniqueId val="{00000002-9B2C-414C-8AD6-4E45539BF477}"/>
                </c:ext>
              </c:extLst>
            </c:dLbl>
            <c:dLbl>
              <c:idx val="6"/>
              <c:delete val="1"/>
              <c:extLst>
                <c:ext xmlns:c15="http://schemas.microsoft.com/office/drawing/2012/chart" uri="{CE6537A1-D6FC-4f65-9D91-7224C49458BB}"/>
                <c:ext xmlns:c16="http://schemas.microsoft.com/office/drawing/2014/chart" uri="{C3380CC4-5D6E-409C-BE32-E72D297353CC}">
                  <c16:uniqueId val="{00000003-9B2C-414C-8AD6-4E45539BF477}"/>
                </c:ext>
              </c:extLst>
            </c:dLbl>
            <c:dLbl>
              <c:idx val="7"/>
              <c:delete val="1"/>
              <c:extLst>
                <c:ext xmlns:c15="http://schemas.microsoft.com/office/drawing/2012/chart" uri="{CE6537A1-D6FC-4f65-9D91-7224C49458BB}"/>
                <c:ext xmlns:c16="http://schemas.microsoft.com/office/drawing/2014/chart" uri="{C3380CC4-5D6E-409C-BE32-E72D297353CC}">
                  <c16:uniqueId val="{00000004-9B2C-414C-8AD6-4E45539BF477}"/>
                </c:ext>
              </c:extLst>
            </c:dLbl>
            <c:dLbl>
              <c:idx val="8"/>
              <c:layout>
                <c:manualLayout>
                  <c:x val="-3.472222222222212E-2"/>
                  <c:y val="4.08679644211139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B2C-414C-8AD6-4E45539BF477}"/>
                </c:ext>
              </c:extLst>
            </c:dLbl>
            <c:dLbl>
              <c:idx val="9"/>
              <c:layout>
                <c:manualLayout>
                  <c:x val="-1.4075678040245173E-2"/>
                  <c:y val="3.62383347914843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B2C-414C-8AD6-4E45539BF47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 1'!$B$53:$K$53</c:f>
              <c:strCache>
                <c:ptCount val="10"/>
                <c:pt idx="0">
                  <c:v>2014</c:v>
                </c:pt>
                <c:pt idx="1">
                  <c:v>2015</c:v>
                </c:pt>
                <c:pt idx="2">
                  <c:v>2016</c:v>
                </c:pt>
                <c:pt idx="3">
                  <c:v>2017</c:v>
                </c:pt>
                <c:pt idx="4">
                  <c:v>2018</c:v>
                </c:pt>
                <c:pt idx="5">
                  <c:v>2019</c:v>
                </c:pt>
                <c:pt idx="6">
                  <c:v>2020</c:v>
                </c:pt>
                <c:pt idx="7">
                  <c:v>2021</c:v>
                </c:pt>
                <c:pt idx="8">
                  <c:v>2022</c:v>
                </c:pt>
                <c:pt idx="9">
                  <c:v>2023</c:v>
                </c:pt>
              </c:strCache>
            </c:strRef>
          </c:cat>
          <c:val>
            <c:numRef>
              <c:f>'Sheet 1'!$B$54:$K$54</c:f>
              <c:numCache>
                <c:formatCode>#\ ##0.##########</c:formatCode>
                <c:ptCount val="10"/>
                <c:pt idx="0">
                  <c:v>42.1</c:v>
                </c:pt>
                <c:pt idx="1">
                  <c:v>41.7</c:v>
                </c:pt>
                <c:pt idx="2">
                  <c:v>41.2</c:v>
                </c:pt>
                <c:pt idx="3">
                  <c:v>41.3</c:v>
                </c:pt>
                <c:pt idx="4">
                  <c:v>39.700000000000003</c:v>
                </c:pt>
                <c:pt idx="5">
                  <c:v>39.6</c:v>
                </c:pt>
                <c:pt idx="6">
                  <c:v>38.700000000000003</c:v>
                </c:pt>
                <c:pt idx="7">
                  <c:v>37.9</c:v>
                </c:pt>
                <c:pt idx="8" formatCode="#\ ##0.0">
                  <c:v>37</c:v>
                </c:pt>
                <c:pt idx="9">
                  <c:v>37.5</c:v>
                </c:pt>
              </c:numCache>
            </c:numRef>
          </c:val>
          <c:smooth val="0"/>
          <c:extLst>
            <c:ext xmlns:c16="http://schemas.microsoft.com/office/drawing/2014/chart" uri="{C3380CC4-5D6E-409C-BE32-E72D297353CC}">
              <c16:uniqueId val="{00000007-9B2C-414C-8AD6-4E45539BF477}"/>
            </c:ext>
          </c:extLst>
        </c:ser>
        <c:ser>
          <c:idx val="1"/>
          <c:order val="1"/>
          <c:tx>
            <c:strRef>
              <c:f>'Sheet 1'!$A$55</c:f>
              <c:strCache>
                <c:ptCount val="1"/>
                <c:pt idx="0">
                  <c:v>Lietuva</c:v>
                </c:pt>
              </c:strCache>
            </c:strRef>
          </c:tx>
          <c:spPr>
            <a:ln w="28575" cap="rnd">
              <a:solidFill>
                <a:srgbClr val="00B050"/>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8-9B2C-414C-8AD6-4E45539BF477}"/>
                </c:ext>
              </c:extLst>
            </c:dLbl>
            <c:dLbl>
              <c:idx val="2"/>
              <c:delete val="1"/>
              <c:extLst>
                <c:ext xmlns:c15="http://schemas.microsoft.com/office/drawing/2012/chart" uri="{CE6537A1-D6FC-4f65-9D91-7224C49458BB}"/>
                <c:ext xmlns:c16="http://schemas.microsoft.com/office/drawing/2014/chart" uri="{C3380CC4-5D6E-409C-BE32-E72D297353CC}">
                  <c16:uniqueId val="{00000009-9B2C-414C-8AD6-4E45539BF477}"/>
                </c:ext>
              </c:extLst>
            </c:dLbl>
            <c:dLbl>
              <c:idx val="4"/>
              <c:delete val="1"/>
              <c:extLst>
                <c:ext xmlns:c15="http://schemas.microsoft.com/office/drawing/2012/chart" uri="{CE6537A1-D6FC-4f65-9D91-7224C49458BB}"/>
                <c:ext xmlns:c16="http://schemas.microsoft.com/office/drawing/2014/chart" uri="{C3380CC4-5D6E-409C-BE32-E72D297353CC}">
                  <c16:uniqueId val="{0000000A-9B2C-414C-8AD6-4E45539BF477}"/>
                </c:ext>
              </c:extLst>
            </c:dLbl>
            <c:dLbl>
              <c:idx val="5"/>
              <c:delete val="1"/>
              <c:extLst>
                <c:ext xmlns:c15="http://schemas.microsoft.com/office/drawing/2012/chart" uri="{CE6537A1-D6FC-4f65-9D91-7224C49458BB}"/>
                <c:ext xmlns:c16="http://schemas.microsoft.com/office/drawing/2014/chart" uri="{C3380CC4-5D6E-409C-BE32-E72D297353CC}">
                  <c16:uniqueId val="{0000000B-9B2C-414C-8AD6-4E45539BF477}"/>
                </c:ext>
              </c:extLst>
            </c:dLbl>
            <c:dLbl>
              <c:idx val="7"/>
              <c:delete val="1"/>
              <c:extLst>
                <c:ext xmlns:c15="http://schemas.microsoft.com/office/drawing/2012/chart" uri="{CE6537A1-D6FC-4f65-9D91-7224C49458BB}"/>
                <c:ext xmlns:c16="http://schemas.microsoft.com/office/drawing/2014/chart" uri="{C3380CC4-5D6E-409C-BE32-E72D297353CC}">
                  <c16:uniqueId val="{0000000C-9B2C-414C-8AD6-4E45539BF477}"/>
                </c:ext>
              </c:extLst>
            </c:dLbl>
            <c:dLbl>
              <c:idx val="8"/>
              <c:delete val="1"/>
              <c:extLst>
                <c:ext xmlns:c15="http://schemas.microsoft.com/office/drawing/2012/chart" uri="{CE6537A1-D6FC-4f65-9D91-7224C49458BB}"/>
                <c:ext xmlns:c16="http://schemas.microsoft.com/office/drawing/2014/chart" uri="{C3380CC4-5D6E-409C-BE32-E72D297353CC}">
                  <c16:uniqueId val="{0000000D-9B2C-414C-8AD6-4E45539BF47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B050"/>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 1'!$B$53:$K$53</c:f>
              <c:strCache>
                <c:ptCount val="10"/>
                <c:pt idx="0">
                  <c:v>2014</c:v>
                </c:pt>
                <c:pt idx="1">
                  <c:v>2015</c:v>
                </c:pt>
                <c:pt idx="2">
                  <c:v>2016</c:v>
                </c:pt>
                <c:pt idx="3">
                  <c:v>2017</c:v>
                </c:pt>
                <c:pt idx="4">
                  <c:v>2018</c:v>
                </c:pt>
                <c:pt idx="5">
                  <c:v>2019</c:v>
                </c:pt>
                <c:pt idx="6">
                  <c:v>2020</c:v>
                </c:pt>
                <c:pt idx="7">
                  <c:v>2021</c:v>
                </c:pt>
                <c:pt idx="8">
                  <c:v>2022</c:v>
                </c:pt>
                <c:pt idx="9">
                  <c:v>2023</c:v>
                </c:pt>
              </c:strCache>
            </c:strRef>
          </c:cat>
          <c:val>
            <c:numRef>
              <c:f>'Sheet 1'!$B$55:$K$55</c:f>
              <c:numCache>
                <c:formatCode>#\ ##0.##########</c:formatCode>
                <c:ptCount val="10"/>
                <c:pt idx="0" formatCode="#\ ##0.0">
                  <c:v>39</c:v>
                </c:pt>
                <c:pt idx="1">
                  <c:v>39.299999999999997</c:v>
                </c:pt>
                <c:pt idx="2" formatCode="#\ ##0.0">
                  <c:v>39</c:v>
                </c:pt>
                <c:pt idx="3">
                  <c:v>37.799999999999997</c:v>
                </c:pt>
                <c:pt idx="4">
                  <c:v>37.200000000000003</c:v>
                </c:pt>
                <c:pt idx="5">
                  <c:v>34.799999999999997</c:v>
                </c:pt>
                <c:pt idx="6">
                  <c:v>33.5</c:v>
                </c:pt>
                <c:pt idx="7">
                  <c:v>34.299999999999997</c:v>
                </c:pt>
                <c:pt idx="8">
                  <c:v>34.200000000000003</c:v>
                </c:pt>
                <c:pt idx="9">
                  <c:v>34.1</c:v>
                </c:pt>
              </c:numCache>
            </c:numRef>
          </c:val>
          <c:smooth val="0"/>
          <c:extLst>
            <c:ext xmlns:c16="http://schemas.microsoft.com/office/drawing/2014/chart" uri="{C3380CC4-5D6E-409C-BE32-E72D297353CC}">
              <c16:uniqueId val="{0000000E-9B2C-414C-8AD6-4E45539BF477}"/>
            </c:ext>
          </c:extLst>
        </c:ser>
        <c:ser>
          <c:idx val="2"/>
          <c:order val="2"/>
          <c:tx>
            <c:strRef>
              <c:f>'Sheet 1'!$A$56</c:f>
              <c:strCache>
                <c:ptCount val="1"/>
                <c:pt idx="0">
                  <c:v>Igaunija</c:v>
                </c:pt>
              </c:strCache>
            </c:strRef>
          </c:tx>
          <c:spPr>
            <a:ln w="28575" cap="rnd">
              <a:solidFill>
                <a:srgbClr val="002060"/>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F-9B2C-414C-8AD6-4E45539BF477}"/>
                </c:ext>
              </c:extLst>
            </c:dLbl>
            <c:dLbl>
              <c:idx val="2"/>
              <c:delete val="1"/>
              <c:extLst>
                <c:ext xmlns:c15="http://schemas.microsoft.com/office/drawing/2012/chart" uri="{CE6537A1-D6FC-4f65-9D91-7224C49458BB}"/>
                <c:ext xmlns:c16="http://schemas.microsoft.com/office/drawing/2014/chart" uri="{C3380CC4-5D6E-409C-BE32-E72D297353CC}">
                  <c16:uniqueId val="{00000010-9B2C-414C-8AD6-4E45539BF477}"/>
                </c:ext>
              </c:extLst>
            </c:dLbl>
            <c:dLbl>
              <c:idx val="3"/>
              <c:layout>
                <c:manualLayout>
                  <c:x val="-8.750000000000005E-2"/>
                  <c:y val="5.63542578011081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B2C-414C-8AD6-4E45539BF477}"/>
                </c:ext>
              </c:extLst>
            </c:dLbl>
            <c:dLbl>
              <c:idx val="5"/>
              <c:delete val="1"/>
              <c:extLst>
                <c:ext xmlns:c15="http://schemas.microsoft.com/office/drawing/2012/chart" uri="{CE6537A1-D6FC-4f65-9D91-7224C49458BB}"/>
                <c:ext xmlns:c16="http://schemas.microsoft.com/office/drawing/2014/chart" uri="{C3380CC4-5D6E-409C-BE32-E72D297353CC}">
                  <c16:uniqueId val="{00000012-9B2C-414C-8AD6-4E45539BF477}"/>
                </c:ext>
              </c:extLst>
            </c:dLbl>
            <c:dLbl>
              <c:idx val="6"/>
              <c:delete val="1"/>
              <c:extLst>
                <c:ext xmlns:c15="http://schemas.microsoft.com/office/drawing/2012/chart" uri="{CE6537A1-D6FC-4f65-9D91-7224C49458BB}"/>
                <c:ext xmlns:c16="http://schemas.microsoft.com/office/drawing/2014/chart" uri="{C3380CC4-5D6E-409C-BE32-E72D297353CC}">
                  <c16:uniqueId val="{00000013-9B2C-414C-8AD6-4E45539BF477}"/>
                </c:ext>
              </c:extLst>
            </c:dLbl>
            <c:dLbl>
              <c:idx val="7"/>
              <c:delete val="1"/>
              <c:extLst>
                <c:ext xmlns:c15="http://schemas.microsoft.com/office/drawing/2012/chart" uri="{CE6537A1-D6FC-4f65-9D91-7224C49458BB}"/>
                <c:ext xmlns:c16="http://schemas.microsoft.com/office/drawing/2014/chart" uri="{C3380CC4-5D6E-409C-BE32-E72D297353CC}">
                  <c16:uniqueId val="{00000014-9B2C-414C-8AD6-4E45539BF477}"/>
                </c:ext>
              </c:extLst>
            </c:dLbl>
            <c:dLbl>
              <c:idx val="8"/>
              <c:layout>
                <c:manualLayout>
                  <c:x val="-7.9166666666666663E-2"/>
                  <c:y val="-2.69790755322251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B2C-414C-8AD6-4E45539BF47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lv-LV"/>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 1'!$B$53:$K$53</c:f>
              <c:strCache>
                <c:ptCount val="10"/>
                <c:pt idx="0">
                  <c:v>2014</c:v>
                </c:pt>
                <c:pt idx="1">
                  <c:v>2015</c:v>
                </c:pt>
                <c:pt idx="2">
                  <c:v>2016</c:v>
                </c:pt>
                <c:pt idx="3">
                  <c:v>2017</c:v>
                </c:pt>
                <c:pt idx="4">
                  <c:v>2018</c:v>
                </c:pt>
                <c:pt idx="5">
                  <c:v>2019</c:v>
                </c:pt>
                <c:pt idx="6">
                  <c:v>2020</c:v>
                </c:pt>
                <c:pt idx="7">
                  <c:v>2021</c:v>
                </c:pt>
                <c:pt idx="8">
                  <c:v>2022</c:v>
                </c:pt>
                <c:pt idx="9">
                  <c:v>2023</c:v>
                </c:pt>
              </c:strCache>
            </c:strRef>
          </c:cat>
          <c:val>
            <c:numRef>
              <c:f>'Sheet 1'!$B$56:$K$56</c:f>
              <c:numCache>
                <c:formatCode>#\ ##0.0</c:formatCode>
                <c:ptCount val="10"/>
                <c:pt idx="0">
                  <c:v>39</c:v>
                </c:pt>
                <c:pt idx="1">
                  <c:v>38</c:v>
                </c:pt>
                <c:pt idx="2" formatCode="#\ ##0.##########">
                  <c:v>37.9</c:v>
                </c:pt>
                <c:pt idx="3">
                  <c:v>38</c:v>
                </c:pt>
                <c:pt idx="4" formatCode="#\ ##0.##########">
                  <c:v>32.700000000000003</c:v>
                </c:pt>
                <c:pt idx="5" formatCode="#\ ##0.##########">
                  <c:v>33.200000000000003</c:v>
                </c:pt>
                <c:pt idx="6" formatCode="#\ ##0.##########">
                  <c:v>33.4</c:v>
                </c:pt>
                <c:pt idx="7" formatCode="#\ ##0.##########">
                  <c:v>33.9</c:v>
                </c:pt>
                <c:pt idx="8" formatCode="#\ ##0.##########">
                  <c:v>34.6</c:v>
                </c:pt>
                <c:pt idx="9" formatCode="#\ ##0.##########">
                  <c:v>33.1</c:v>
                </c:pt>
              </c:numCache>
            </c:numRef>
          </c:val>
          <c:smooth val="0"/>
          <c:extLst>
            <c:ext xmlns:c16="http://schemas.microsoft.com/office/drawing/2014/chart" uri="{C3380CC4-5D6E-409C-BE32-E72D297353CC}">
              <c16:uniqueId val="{00000016-9B2C-414C-8AD6-4E45539BF477}"/>
            </c:ext>
          </c:extLst>
        </c:ser>
        <c:ser>
          <c:idx val="3"/>
          <c:order val="3"/>
          <c:tx>
            <c:strRef>
              <c:f>'Sheet 1'!$A$57</c:f>
              <c:strCache>
                <c:ptCount val="1"/>
                <c:pt idx="0">
                  <c:v>ES - 27 </c:v>
                </c:pt>
              </c:strCache>
            </c:strRef>
          </c:tx>
          <c:spPr>
            <a:ln w="28575" cap="rnd">
              <a:noFill/>
              <a:round/>
            </a:ln>
            <a:effectLst/>
          </c:spPr>
          <c:marker>
            <c:symbol val="triangle"/>
            <c:size val="6"/>
            <c:spPr>
              <a:solidFill>
                <a:srgbClr val="00B0F0"/>
              </a:solidFill>
              <a:ln w="9525">
                <a:solidFill>
                  <a:srgbClr val="00B0F0"/>
                </a:solidFill>
              </a:ln>
              <a:effectLst/>
            </c:spPr>
          </c:marker>
          <c:cat>
            <c:strRef>
              <c:f>'Sheet 1'!$B$53:$K$53</c:f>
              <c:strCache>
                <c:ptCount val="10"/>
                <c:pt idx="0">
                  <c:v>2014</c:v>
                </c:pt>
                <c:pt idx="1">
                  <c:v>2015</c:v>
                </c:pt>
                <c:pt idx="2">
                  <c:v>2016</c:v>
                </c:pt>
                <c:pt idx="3">
                  <c:v>2017</c:v>
                </c:pt>
                <c:pt idx="4">
                  <c:v>2018</c:v>
                </c:pt>
                <c:pt idx="5">
                  <c:v>2019</c:v>
                </c:pt>
                <c:pt idx="6">
                  <c:v>2020</c:v>
                </c:pt>
                <c:pt idx="7">
                  <c:v>2021</c:v>
                </c:pt>
                <c:pt idx="8">
                  <c:v>2022</c:v>
                </c:pt>
                <c:pt idx="9">
                  <c:v>2023</c:v>
                </c:pt>
              </c:strCache>
            </c:strRef>
          </c:cat>
          <c:val>
            <c:numRef>
              <c:f>'Sheet 1'!$B$57:$K$57</c:f>
              <c:numCache>
                <c:formatCode>#\ ##0.##########</c:formatCode>
                <c:ptCount val="10"/>
                <c:pt idx="0">
                  <c:v>41.1</c:v>
                </c:pt>
                <c:pt idx="1">
                  <c:v>40.5</c:v>
                </c:pt>
                <c:pt idx="2">
                  <c:v>40.299999999999997</c:v>
                </c:pt>
                <c:pt idx="3">
                  <c:v>40.1</c:v>
                </c:pt>
                <c:pt idx="4" formatCode="#\ ##0.0">
                  <c:v>40</c:v>
                </c:pt>
                <c:pt idx="5">
                  <c:v>39.9</c:v>
                </c:pt>
                <c:pt idx="6">
                  <c:v>39.1</c:v>
                </c:pt>
                <c:pt idx="7" formatCode="#\ ##0.0">
                  <c:v>39</c:v>
                </c:pt>
                <c:pt idx="8">
                  <c:v>38.6</c:v>
                </c:pt>
                <c:pt idx="9">
                  <c:v>38.6</c:v>
                </c:pt>
              </c:numCache>
            </c:numRef>
          </c:val>
          <c:smooth val="0"/>
          <c:extLst>
            <c:ext xmlns:c16="http://schemas.microsoft.com/office/drawing/2014/chart" uri="{C3380CC4-5D6E-409C-BE32-E72D297353CC}">
              <c16:uniqueId val="{00000017-9B2C-414C-8AD6-4E45539BF477}"/>
            </c:ext>
          </c:extLst>
        </c:ser>
        <c:dLbls>
          <c:showLegendKey val="0"/>
          <c:showVal val="0"/>
          <c:showCatName val="0"/>
          <c:showSerName val="0"/>
          <c:showPercent val="0"/>
          <c:showBubbleSize val="0"/>
        </c:dLbls>
        <c:smooth val="0"/>
        <c:axId val="623233424"/>
        <c:axId val="623234864"/>
      </c:lineChart>
      <c:catAx>
        <c:axId val="623233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23234864"/>
        <c:crosses val="autoZero"/>
        <c:auto val="1"/>
        <c:lblAlgn val="ctr"/>
        <c:lblOffset val="100"/>
        <c:noMultiLvlLbl val="0"/>
      </c:catAx>
      <c:valAx>
        <c:axId val="623234864"/>
        <c:scaling>
          <c:orientation val="minMax"/>
          <c:min val="30"/>
        </c:scaling>
        <c:delete val="0"/>
        <c:axPos val="l"/>
        <c:majorGridlines>
          <c:spPr>
            <a:ln w="9525" cap="flat" cmpd="sng" algn="ctr">
              <a:solidFill>
                <a:schemeClr val="tx1">
                  <a:lumMod val="15000"/>
                  <a:lumOff val="85000"/>
                </a:schemeClr>
              </a:solidFill>
              <a:round/>
            </a:ln>
            <a:effectLst/>
          </c:spPr>
        </c:majorGridlines>
        <c:numFmt formatCode="#\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23233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 1'!$P$13</c:f>
              <c:strCache>
                <c:ptCount val="1"/>
                <c:pt idx="0">
                  <c:v>2023</c:v>
                </c:pt>
              </c:strCache>
            </c:strRef>
          </c:tx>
          <c:spPr>
            <a:solidFill>
              <a:srgbClr val="002060"/>
            </a:solidFill>
            <a:ln>
              <a:noFill/>
            </a:ln>
            <a:effectLst/>
          </c:spPr>
          <c:invertIfNegative val="0"/>
          <c:dPt>
            <c:idx val="12"/>
            <c:invertIfNegative val="0"/>
            <c:bubble3D val="0"/>
            <c:spPr>
              <a:solidFill>
                <a:srgbClr val="C00000"/>
              </a:solidFill>
              <a:ln>
                <a:solidFill>
                  <a:srgbClr val="C00000"/>
                </a:solidFill>
              </a:ln>
              <a:effectLst/>
            </c:spPr>
            <c:extLst>
              <c:ext xmlns:c16="http://schemas.microsoft.com/office/drawing/2014/chart" uri="{C3380CC4-5D6E-409C-BE32-E72D297353CC}">
                <c16:uniqueId val="{00000001-8338-4D9C-8309-127B0812A5A5}"/>
              </c:ext>
            </c:extLst>
          </c:dPt>
          <c:dPt>
            <c:idx val="19"/>
            <c:invertIfNegative val="0"/>
            <c:bubble3D val="0"/>
            <c:spPr>
              <a:solidFill>
                <a:srgbClr val="00B050"/>
              </a:solidFill>
              <a:ln>
                <a:solidFill>
                  <a:srgbClr val="00B050"/>
                </a:solidFill>
              </a:ln>
              <a:effectLst/>
            </c:spPr>
            <c:extLst>
              <c:ext xmlns:c16="http://schemas.microsoft.com/office/drawing/2014/chart" uri="{C3380CC4-5D6E-409C-BE32-E72D297353CC}">
                <c16:uniqueId val="{00000003-8338-4D9C-8309-127B0812A5A5}"/>
              </c:ext>
            </c:extLst>
          </c:dPt>
          <c:dPt>
            <c:idx val="21"/>
            <c:invertIfNegative val="0"/>
            <c:bubble3D val="0"/>
            <c:spPr>
              <a:solidFill>
                <a:srgbClr val="0070C0"/>
              </a:solidFill>
              <a:ln>
                <a:solidFill>
                  <a:srgbClr val="00B0F0"/>
                </a:solidFill>
              </a:ln>
              <a:effectLst/>
            </c:spPr>
            <c:extLst>
              <c:ext xmlns:c16="http://schemas.microsoft.com/office/drawing/2014/chart" uri="{C3380CC4-5D6E-409C-BE32-E72D297353CC}">
                <c16:uniqueId val="{00000005-8338-4D9C-8309-127B0812A5A5}"/>
              </c:ext>
            </c:extLst>
          </c:dPt>
          <c:dLbls>
            <c:dLbl>
              <c:idx val="12"/>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338-4D9C-8309-127B0812A5A5}"/>
                </c:ext>
              </c:extLst>
            </c:dLbl>
            <c:dLbl>
              <c:idx val="19"/>
              <c:layout>
                <c:manualLayout>
                  <c:x val="-2.7777777777777779E-3"/>
                  <c:y val="1.388888888888884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B05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338-4D9C-8309-127B0812A5A5}"/>
                </c:ext>
              </c:extLst>
            </c:dLbl>
            <c:dLbl>
              <c:idx val="2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B0F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338-4D9C-8309-127B0812A5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 1'!$O$14:$O$40</c:f>
              <c:strCache>
                <c:ptCount val="27"/>
                <c:pt idx="0">
                  <c:v>Beļģija</c:v>
                </c:pt>
                <c:pt idx="1">
                  <c:v>Vācija</c:v>
                </c:pt>
                <c:pt idx="2">
                  <c:v>Austrija</c:v>
                </c:pt>
                <c:pt idx="3">
                  <c:v>Ungārija</c:v>
                </c:pt>
                <c:pt idx="4">
                  <c:v>Francija</c:v>
                </c:pt>
                <c:pt idx="5">
                  <c:v>Slovēnija</c:v>
                </c:pt>
                <c:pt idx="6">
                  <c:v>Zviedrija</c:v>
                </c:pt>
                <c:pt idx="7">
                  <c:v>Slovākija</c:v>
                </c:pt>
                <c:pt idx="8">
                  <c:v>Itālija</c:v>
                </c:pt>
                <c:pt idx="9">
                  <c:v>Portugāle</c:v>
                </c:pt>
                <c:pt idx="10">
                  <c:v>Rumānija</c:v>
                </c:pt>
                <c:pt idx="11">
                  <c:v>Čehija</c:v>
                </c:pt>
                <c:pt idx="12">
                  <c:v>Latvija</c:v>
                </c:pt>
                <c:pt idx="13">
                  <c:v>Somija</c:v>
                </c:pt>
                <c:pt idx="14">
                  <c:v>Horvārtija</c:v>
                </c:pt>
                <c:pt idx="15">
                  <c:v>Spānija</c:v>
                </c:pt>
                <c:pt idx="16">
                  <c:v>Bulgārija</c:v>
                </c:pt>
                <c:pt idx="17">
                  <c:v>Grieķija</c:v>
                </c:pt>
                <c:pt idx="18">
                  <c:v>Dānija</c:v>
                </c:pt>
                <c:pt idx="19">
                  <c:v>Lietuva</c:v>
                </c:pt>
                <c:pt idx="20">
                  <c:v>Luksemburga</c:v>
                </c:pt>
                <c:pt idx="21">
                  <c:v>Igaunija</c:v>
                </c:pt>
                <c:pt idx="22">
                  <c:v>Polija</c:v>
                </c:pt>
                <c:pt idx="23">
                  <c:v>Nīderlande</c:v>
                </c:pt>
                <c:pt idx="24">
                  <c:v>Malta</c:v>
                </c:pt>
                <c:pt idx="25">
                  <c:v>Īrija</c:v>
                </c:pt>
                <c:pt idx="26">
                  <c:v>Kipra</c:v>
                </c:pt>
              </c:strCache>
            </c:strRef>
          </c:cat>
          <c:val>
            <c:numRef>
              <c:f>'Sheet 1'!$P$14:$P$40</c:f>
              <c:numCache>
                <c:formatCode>0.0</c:formatCode>
                <c:ptCount val="27"/>
                <c:pt idx="0">
                  <c:v>46.1</c:v>
                </c:pt>
                <c:pt idx="1">
                  <c:v>43.7</c:v>
                </c:pt>
                <c:pt idx="2">
                  <c:v>42.7</c:v>
                </c:pt>
                <c:pt idx="3">
                  <c:v>41.2</c:v>
                </c:pt>
                <c:pt idx="4">
                  <c:v>40.4</c:v>
                </c:pt>
                <c:pt idx="5">
                  <c:v>39.9</c:v>
                </c:pt>
                <c:pt idx="6">
                  <c:v>39.700000000000003</c:v>
                </c:pt>
                <c:pt idx="7">
                  <c:v>39.5</c:v>
                </c:pt>
                <c:pt idx="8">
                  <c:v>38.4</c:v>
                </c:pt>
                <c:pt idx="9">
                  <c:v>38.299999999999997</c:v>
                </c:pt>
                <c:pt idx="10">
                  <c:v>38.200000000000003</c:v>
                </c:pt>
                <c:pt idx="11">
                  <c:v>38</c:v>
                </c:pt>
                <c:pt idx="12">
                  <c:v>37.5</c:v>
                </c:pt>
                <c:pt idx="13">
                  <c:v>37.1</c:v>
                </c:pt>
                <c:pt idx="14">
                  <c:v>36.700000000000003</c:v>
                </c:pt>
                <c:pt idx="15">
                  <c:v>36</c:v>
                </c:pt>
                <c:pt idx="16">
                  <c:v>34.9</c:v>
                </c:pt>
                <c:pt idx="17">
                  <c:v>34.5</c:v>
                </c:pt>
                <c:pt idx="18">
                  <c:v>34</c:v>
                </c:pt>
                <c:pt idx="19">
                  <c:v>34.1</c:v>
                </c:pt>
                <c:pt idx="20">
                  <c:v>33.5</c:v>
                </c:pt>
                <c:pt idx="21">
                  <c:v>33.1</c:v>
                </c:pt>
                <c:pt idx="22">
                  <c:v>32.4</c:v>
                </c:pt>
                <c:pt idx="23">
                  <c:v>27.2</c:v>
                </c:pt>
                <c:pt idx="24">
                  <c:v>27.1</c:v>
                </c:pt>
                <c:pt idx="25">
                  <c:v>26</c:v>
                </c:pt>
                <c:pt idx="26">
                  <c:v>22.5</c:v>
                </c:pt>
              </c:numCache>
            </c:numRef>
          </c:val>
          <c:extLst>
            <c:ext xmlns:c16="http://schemas.microsoft.com/office/drawing/2014/chart" uri="{C3380CC4-5D6E-409C-BE32-E72D297353CC}">
              <c16:uniqueId val="{00000006-8338-4D9C-8309-127B0812A5A5}"/>
            </c:ext>
          </c:extLst>
        </c:ser>
        <c:dLbls>
          <c:showLegendKey val="0"/>
          <c:showVal val="0"/>
          <c:showCatName val="0"/>
          <c:showSerName val="0"/>
          <c:showPercent val="0"/>
          <c:showBubbleSize val="0"/>
        </c:dLbls>
        <c:gapWidth val="219"/>
        <c:overlap val="-27"/>
        <c:axId val="851563552"/>
        <c:axId val="851565472"/>
      </c:barChart>
      <c:lineChart>
        <c:grouping val="standard"/>
        <c:varyColors val="0"/>
        <c:ser>
          <c:idx val="1"/>
          <c:order val="1"/>
          <c:tx>
            <c:strRef>
              <c:f>'Sheet 1'!$Q$13</c:f>
              <c:strCache>
                <c:ptCount val="1"/>
                <c:pt idx="0">
                  <c:v>ES-27</c:v>
                </c:pt>
              </c:strCache>
            </c:strRef>
          </c:tx>
          <c:spPr>
            <a:ln w="25400" cap="rnd">
              <a:solidFill>
                <a:srgbClr val="C00000"/>
              </a:solidFill>
              <a:prstDash val="sysDash"/>
              <a:round/>
            </a:ln>
            <a:effectLst/>
          </c:spPr>
          <c:marker>
            <c:symbol val="none"/>
          </c:marker>
          <c:cat>
            <c:strRef>
              <c:f>'Sheet 1'!$O$14:$O$40</c:f>
              <c:strCache>
                <c:ptCount val="27"/>
                <c:pt idx="0">
                  <c:v>Beļģija</c:v>
                </c:pt>
                <c:pt idx="1">
                  <c:v>Vācija</c:v>
                </c:pt>
                <c:pt idx="2">
                  <c:v>Austrija</c:v>
                </c:pt>
                <c:pt idx="3">
                  <c:v>Ungārija</c:v>
                </c:pt>
                <c:pt idx="4">
                  <c:v>Francija</c:v>
                </c:pt>
                <c:pt idx="5">
                  <c:v>Slovēnija</c:v>
                </c:pt>
                <c:pt idx="6">
                  <c:v>Zviedrija</c:v>
                </c:pt>
                <c:pt idx="7">
                  <c:v>Slovākija</c:v>
                </c:pt>
                <c:pt idx="8">
                  <c:v>Itālija</c:v>
                </c:pt>
                <c:pt idx="9">
                  <c:v>Portugāle</c:v>
                </c:pt>
                <c:pt idx="10">
                  <c:v>Rumānija</c:v>
                </c:pt>
                <c:pt idx="11">
                  <c:v>Čehija</c:v>
                </c:pt>
                <c:pt idx="12">
                  <c:v>Latvija</c:v>
                </c:pt>
                <c:pt idx="13">
                  <c:v>Somija</c:v>
                </c:pt>
                <c:pt idx="14">
                  <c:v>Horvārtija</c:v>
                </c:pt>
                <c:pt idx="15">
                  <c:v>Spānija</c:v>
                </c:pt>
                <c:pt idx="16">
                  <c:v>Bulgārija</c:v>
                </c:pt>
                <c:pt idx="17">
                  <c:v>Grieķija</c:v>
                </c:pt>
                <c:pt idx="18">
                  <c:v>Dānija</c:v>
                </c:pt>
                <c:pt idx="19">
                  <c:v>Lietuva</c:v>
                </c:pt>
                <c:pt idx="20">
                  <c:v>Luksemburga</c:v>
                </c:pt>
                <c:pt idx="21">
                  <c:v>Igaunija</c:v>
                </c:pt>
                <c:pt idx="22">
                  <c:v>Polija</c:v>
                </c:pt>
                <c:pt idx="23">
                  <c:v>Nīderlande</c:v>
                </c:pt>
                <c:pt idx="24">
                  <c:v>Malta</c:v>
                </c:pt>
                <c:pt idx="25">
                  <c:v>Īrija</c:v>
                </c:pt>
                <c:pt idx="26">
                  <c:v>Kipra</c:v>
                </c:pt>
              </c:strCache>
            </c:strRef>
          </c:cat>
          <c:val>
            <c:numRef>
              <c:f>'Sheet 1'!$Q$14:$Q$40</c:f>
              <c:numCache>
                <c:formatCode>#\ ##0.##########</c:formatCode>
                <c:ptCount val="27"/>
                <c:pt idx="0">
                  <c:v>38.6</c:v>
                </c:pt>
                <c:pt idx="1">
                  <c:v>38.6</c:v>
                </c:pt>
                <c:pt idx="2">
                  <c:v>38.6</c:v>
                </c:pt>
                <c:pt idx="3">
                  <c:v>38.6</c:v>
                </c:pt>
                <c:pt idx="4">
                  <c:v>38.6</c:v>
                </c:pt>
                <c:pt idx="5">
                  <c:v>38.6</c:v>
                </c:pt>
                <c:pt idx="6">
                  <c:v>38.6</c:v>
                </c:pt>
                <c:pt idx="7">
                  <c:v>38.6</c:v>
                </c:pt>
                <c:pt idx="8">
                  <c:v>38.6</c:v>
                </c:pt>
                <c:pt idx="9">
                  <c:v>38.6</c:v>
                </c:pt>
                <c:pt idx="10">
                  <c:v>38.6</c:v>
                </c:pt>
                <c:pt idx="11">
                  <c:v>38.6</c:v>
                </c:pt>
                <c:pt idx="12">
                  <c:v>38.6</c:v>
                </c:pt>
                <c:pt idx="13">
                  <c:v>38.6</c:v>
                </c:pt>
                <c:pt idx="14">
                  <c:v>38.6</c:v>
                </c:pt>
                <c:pt idx="15">
                  <c:v>38.6</c:v>
                </c:pt>
                <c:pt idx="16">
                  <c:v>38.6</c:v>
                </c:pt>
                <c:pt idx="17">
                  <c:v>38.6</c:v>
                </c:pt>
                <c:pt idx="18">
                  <c:v>38.6</c:v>
                </c:pt>
                <c:pt idx="19">
                  <c:v>38.6</c:v>
                </c:pt>
                <c:pt idx="20">
                  <c:v>38.6</c:v>
                </c:pt>
                <c:pt idx="21">
                  <c:v>38.6</c:v>
                </c:pt>
                <c:pt idx="22">
                  <c:v>38.6</c:v>
                </c:pt>
                <c:pt idx="23">
                  <c:v>38.6</c:v>
                </c:pt>
                <c:pt idx="24">
                  <c:v>38.6</c:v>
                </c:pt>
                <c:pt idx="25">
                  <c:v>38.6</c:v>
                </c:pt>
                <c:pt idx="26">
                  <c:v>38.6</c:v>
                </c:pt>
              </c:numCache>
            </c:numRef>
          </c:val>
          <c:smooth val="0"/>
          <c:extLst>
            <c:ext xmlns:c16="http://schemas.microsoft.com/office/drawing/2014/chart" uri="{C3380CC4-5D6E-409C-BE32-E72D297353CC}">
              <c16:uniqueId val="{00000007-8338-4D9C-8309-127B0812A5A5}"/>
            </c:ext>
          </c:extLst>
        </c:ser>
        <c:dLbls>
          <c:showLegendKey val="0"/>
          <c:showVal val="0"/>
          <c:showCatName val="0"/>
          <c:showSerName val="0"/>
          <c:showPercent val="0"/>
          <c:showBubbleSize val="0"/>
        </c:dLbls>
        <c:marker val="1"/>
        <c:smooth val="0"/>
        <c:axId val="851563552"/>
        <c:axId val="851565472"/>
      </c:lineChart>
      <c:catAx>
        <c:axId val="851563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851565472"/>
        <c:crosses val="autoZero"/>
        <c:auto val="1"/>
        <c:lblAlgn val="ctr"/>
        <c:lblOffset val="100"/>
        <c:noMultiLvlLbl val="0"/>
      </c:catAx>
      <c:valAx>
        <c:axId val="8515654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8515635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996881649507415E-2"/>
          <c:y val="5.247892023783652E-2"/>
          <c:w val="0.90752621012985091"/>
          <c:h val="0.80517964798263253"/>
        </c:manualLayout>
      </c:layout>
      <c:lineChart>
        <c:grouping val="standard"/>
        <c:varyColors val="0"/>
        <c:ser>
          <c:idx val="3"/>
          <c:order val="0"/>
          <c:tx>
            <c:strRef>
              <c:f>KOPĀ!$B$81</c:f>
              <c:strCache>
                <c:ptCount val="1"/>
                <c:pt idx="0">
                  <c:v>Latvija 2024</c:v>
                </c:pt>
              </c:strCache>
            </c:strRef>
          </c:tx>
          <c:spPr>
            <a:ln w="25400" cap="rnd">
              <a:solidFill>
                <a:srgbClr val="C00000"/>
              </a:solidFill>
              <a:round/>
            </a:ln>
            <a:effectLst/>
          </c:spPr>
          <c:marker>
            <c:symbol val="none"/>
          </c:marker>
          <c:cat>
            <c:numRef>
              <c:f>KOPĀ!$A$83:$A$98</c:f>
              <c:numCache>
                <c:formatCode>#,##0</c:formatCode>
                <c:ptCount val="16"/>
                <c:pt idx="0">
                  <c:v>800</c:v>
                </c:pt>
                <c:pt idx="1">
                  <c:v>1000</c:v>
                </c:pt>
                <c:pt idx="2">
                  <c:v>1200</c:v>
                </c:pt>
                <c:pt idx="3">
                  <c:v>1400</c:v>
                </c:pt>
                <c:pt idx="4">
                  <c:v>1600</c:v>
                </c:pt>
                <c:pt idx="5">
                  <c:v>1800</c:v>
                </c:pt>
                <c:pt idx="6">
                  <c:v>2000</c:v>
                </c:pt>
                <c:pt idx="7">
                  <c:v>2500</c:v>
                </c:pt>
                <c:pt idx="8">
                  <c:v>3000</c:v>
                </c:pt>
                <c:pt idx="9">
                  <c:v>4000</c:v>
                </c:pt>
                <c:pt idx="10">
                  <c:v>5000</c:v>
                </c:pt>
                <c:pt idx="11">
                  <c:v>6000</c:v>
                </c:pt>
                <c:pt idx="12">
                  <c:v>7000</c:v>
                </c:pt>
                <c:pt idx="13">
                  <c:v>8000</c:v>
                </c:pt>
                <c:pt idx="14">
                  <c:v>9000</c:v>
                </c:pt>
                <c:pt idx="15">
                  <c:v>10000</c:v>
                </c:pt>
              </c:numCache>
              <c:extLst/>
            </c:numRef>
          </c:cat>
          <c:val>
            <c:numRef>
              <c:f>KOPĀ!$B$83:$B$98</c:f>
              <c:numCache>
                <c:formatCode>0.0%</c:formatCode>
                <c:ptCount val="16"/>
                <c:pt idx="0">
                  <c:v>0.34286443389121601</c:v>
                </c:pt>
                <c:pt idx="1">
                  <c:v>0.37087267453801959</c:v>
                </c:pt>
                <c:pt idx="2">
                  <c:v>0.3895448349692221</c:v>
                </c:pt>
                <c:pt idx="3">
                  <c:v>0.40288209242008088</c:v>
                </c:pt>
                <c:pt idx="4">
                  <c:v>0.41288503550822508</c:v>
                </c:pt>
                <c:pt idx="5">
                  <c:v>0.42245866709820101</c:v>
                </c:pt>
                <c:pt idx="6">
                  <c:v>0.42470669147989315</c:v>
                </c:pt>
                <c:pt idx="7">
                  <c:v>0.4287531353669391</c:v>
                </c:pt>
                <c:pt idx="8">
                  <c:v>0.43145076462496967</c:v>
                </c:pt>
                <c:pt idx="9">
                  <c:v>0.43482280119750788</c:v>
                </c:pt>
                <c:pt idx="10">
                  <c:v>0.43684602314103077</c:v>
                </c:pt>
                <c:pt idx="11">
                  <c:v>0.43819483777004614</c:v>
                </c:pt>
                <c:pt idx="12">
                  <c:v>0.43624593081536478</c:v>
                </c:pt>
                <c:pt idx="13">
                  <c:v>0.4320926062702995</c:v>
                </c:pt>
                <c:pt idx="14">
                  <c:v>0.4288121325834669</c:v>
                </c:pt>
                <c:pt idx="15">
                  <c:v>0.42615551951846958</c:v>
                </c:pt>
              </c:numCache>
              <c:extLst/>
            </c:numRef>
          </c:val>
          <c:smooth val="0"/>
          <c:extLst>
            <c:ext xmlns:c16="http://schemas.microsoft.com/office/drawing/2014/chart" uri="{C3380CC4-5D6E-409C-BE32-E72D297353CC}">
              <c16:uniqueId val="{00000000-82C9-4B20-BD4D-C56A3164D22F}"/>
            </c:ext>
          </c:extLst>
        </c:ser>
        <c:ser>
          <c:idx val="1"/>
          <c:order val="1"/>
          <c:tx>
            <c:strRef>
              <c:f>KOPĀ!$C$81</c:f>
              <c:strCache>
                <c:ptCount val="1"/>
                <c:pt idx="0">
                  <c:v>Latvija 2025</c:v>
                </c:pt>
              </c:strCache>
            </c:strRef>
          </c:tx>
          <c:spPr>
            <a:ln w="19050" cap="rnd">
              <a:solidFill>
                <a:srgbClr val="FF0000"/>
              </a:solidFill>
              <a:prstDash val="sysDot"/>
              <a:round/>
            </a:ln>
            <a:effectLst/>
          </c:spPr>
          <c:marker>
            <c:symbol val="none"/>
          </c:marker>
          <c:cat>
            <c:numRef>
              <c:f>KOPĀ!$A$83:$A$98</c:f>
              <c:numCache>
                <c:formatCode>#,##0</c:formatCode>
                <c:ptCount val="16"/>
                <c:pt idx="0">
                  <c:v>800</c:v>
                </c:pt>
                <c:pt idx="1">
                  <c:v>1000</c:v>
                </c:pt>
                <c:pt idx="2">
                  <c:v>1200</c:v>
                </c:pt>
                <c:pt idx="3">
                  <c:v>1400</c:v>
                </c:pt>
                <c:pt idx="4">
                  <c:v>1600</c:v>
                </c:pt>
                <c:pt idx="5">
                  <c:v>1800</c:v>
                </c:pt>
                <c:pt idx="6">
                  <c:v>2000</c:v>
                </c:pt>
                <c:pt idx="7">
                  <c:v>2500</c:v>
                </c:pt>
                <c:pt idx="8">
                  <c:v>3000</c:v>
                </c:pt>
                <c:pt idx="9">
                  <c:v>4000</c:v>
                </c:pt>
                <c:pt idx="10">
                  <c:v>5000</c:v>
                </c:pt>
                <c:pt idx="11">
                  <c:v>6000</c:v>
                </c:pt>
                <c:pt idx="12">
                  <c:v>7000</c:v>
                </c:pt>
                <c:pt idx="13">
                  <c:v>8000</c:v>
                </c:pt>
                <c:pt idx="14">
                  <c:v>9000</c:v>
                </c:pt>
                <c:pt idx="15">
                  <c:v>10000</c:v>
                </c:pt>
              </c:numCache>
              <c:extLst/>
            </c:numRef>
          </c:cat>
          <c:val>
            <c:numRef>
              <c:f>KOPĀ!$C$83:$C$98</c:f>
              <c:numCache>
                <c:formatCode>0.0%</c:formatCode>
                <c:ptCount val="16"/>
                <c:pt idx="0">
                  <c:v>0.32896067643013188</c:v>
                </c:pt>
                <c:pt idx="1">
                  <c:v>0.35526741645764215</c:v>
                </c:pt>
                <c:pt idx="2">
                  <c:v>0.37280524314264907</c:v>
                </c:pt>
                <c:pt idx="3">
                  <c:v>0.3853322622033683</c:v>
                </c:pt>
                <c:pt idx="4">
                  <c:v>0.39472752649890769</c:v>
                </c:pt>
                <c:pt idx="5">
                  <c:v>0.40203495428432723</c:v>
                </c:pt>
                <c:pt idx="6">
                  <c:v>0.40788089651266279</c:v>
                </c:pt>
                <c:pt idx="7">
                  <c:v>0.41840359252366699</c:v>
                </c:pt>
                <c:pt idx="8">
                  <c:v>0.42541872319766971</c:v>
                </c:pt>
                <c:pt idx="9">
                  <c:v>0.43418763654017306</c:v>
                </c:pt>
                <c:pt idx="10">
                  <c:v>0.43944898454567521</c:v>
                </c:pt>
                <c:pt idx="11">
                  <c:v>0.44295654988267658</c:v>
                </c:pt>
                <c:pt idx="12">
                  <c:v>0.4454619536948205</c:v>
                </c:pt>
                <c:pt idx="13">
                  <c:v>0.44734100655392828</c:v>
                </c:pt>
                <c:pt idx="14">
                  <c:v>0.44778711564066148</c:v>
                </c:pt>
                <c:pt idx="15">
                  <c:v>0.44497096279101767</c:v>
                </c:pt>
              </c:numCache>
              <c:extLst/>
            </c:numRef>
          </c:val>
          <c:smooth val="0"/>
          <c:extLst xmlns:c15="http://schemas.microsoft.com/office/drawing/2012/chart">
            <c:ext xmlns:c16="http://schemas.microsoft.com/office/drawing/2014/chart" uri="{C3380CC4-5D6E-409C-BE32-E72D297353CC}">
              <c16:uniqueId val="{00000001-82C9-4B20-BD4D-C56A3164D22F}"/>
            </c:ext>
          </c:extLst>
        </c:ser>
        <c:ser>
          <c:idx val="8"/>
          <c:order val="2"/>
          <c:tx>
            <c:strRef>
              <c:f>KOPĀ!$D$81</c:f>
              <c:strCache>
                <c:ptCount val="1"/>
                <c:pt idx="0">
                  <c:v>Latvija 2026</c:v>
                </c:pt>
              </c:strCache>
            </c:strRef>
          </c:tx>
          <c:spPr>
            <a:ln w="19050" cap="rnd">
              <a:solidFill>
                <a:srgbClr val="FF0000"/>
              </a:solidFill>
              <a:prstDash val="sysDash"/>
              <a:round/>
            </a:ln>
            <a:effectLst/>
          </c:spPr>
          <c:marker>
            <c:symbol val="none"/>
          </c:marker>
          <c:cat>
            <c:numRef>
              <c:f>KOPĀ!$A$83:$A$98</c:f>
              <c:numCache>
                <c:formatCode>#,##0</c:formatCode>
                <c:ptCount val="16"/>
                <c:pt idx="0">
                  <c:v>800</c:v>
                </c:pt>
                <c:pt idx="1">
                  <c:v>1000</c:v>
                </c:pt>
                <c:pt idx="2">
                  <c:v>1200</c:v>
                </c:pt>
                <c:pt idx="3">
                  <c:v>1400</c:v>
                </c:pt>
                <c:pt idx="4">
                  <c:v>1600</c:v>
                </c:pt>
                <c:pt idx="5">
                  <c:v>1800</c:v>
                </c:pt>
                <c:pt idx="6">
                  <c:v>2000</c:v>
                </c:pt>
                <c:pt idx="7">
                  <c:v>2500</c:v>
                </c:pt>
                <c:pt idx="8">
                  <c:v>3000</c:v>
                </c:pt>
                <c:pt idx="9">
                  <c:v>4000</c:v>
                </c:pt>
                <c:pt idx="10">
                  <c:v>5000</c:v>
                </c:pt>
                <c:pt idx="11">
                  <c:v>6000</c:v>
                </c:pt>
                <c:pt idx="12">
                  <c:v>7000</c:v>
                </c:pt>
                <c:pt idx="13">
                  <c:v>8000</c:v>
                </c:pt>
                <c:pt idx="14">
                  <c:v>9000</c:v>
                </c:pt>
                <c:pt idx="15">
                  <c:v>10000</c:v>
                </c:pt>
              </c:numCache>
              <c:extLst/>
            </c:numRef>
          </c:cat>
          <c:val>
            <c:numRef>
              <c:f>KOPĀ!$D$83:$D$98</c:f>
              <c:numCache>
                <c:formatCode>0.0%</c:formatCode>
                <c:ptCount val="16"/>
                <c:pt idx="0">
                  <c:v>0.31864430779189257</c:v>
                </c:pt>
                <c:pt idx="1">
                  <c:v>0.3470143215470507</c:v>
                </c:pt>
                <c:pt idx="2">
                  <c:v>0.36592766405048954</c:v>
                </c:pt>
                <c:pt idx="3">
                  <c:v>0.37943719441008866</c:v>
                </c:pt>
                <c:pt idx="4">
                  <c:v>0.389569342179788</c:v>
                </c:pt>
                <c:pt idx="5">
                  <c:v>0.39744990155622084</c:v>
                </c:pt>
                <c:pt idx="6">
                  <c:v>0.40375434905736707</c:v>
                </c:pt>
                <c:pt idx="7">
                  <c:v>0.4151023545594304</c:v>
                </c:pt>
                <c:pt idx="8">
                  <c:v>0.42266769156080591</c:v>
                </c:pt>
                <c:pt idx="9">
                  <c:v>0.43212436281252525</c:v>
                </c:pt>
                <c:pt idx="10">
                  <c:v>0.43779836556355695</c:v>
                </c:pt>
                <c:pt idx="11">
                  <c:v>0.4415810340642447</c:v>
                </c:pt>
                <c:pt idx="12">
                  <c:v>0.44428294013616454</c:v>
                </c:pt>
                <c:pt idx="13">
                  <c:v>0.44630936969010432</c:v>
                </c:pt>
                <c:pt idx="14">
                  <c:v>0.4468684158440589</c:v>
                </c:pt>
                <c:pt idx="15">
                  <c:v>0.44413814979570571</c:v>
                </c:pt>
              </c:numCache>
              <c:extLst/>
            </c:numRef>
          </c:val>
          <c:smooth val="0"/>
          <c:extLst xmlns:c15="http://schemas.microsoft.com/office/drawing/2012/chart">
            <c:ext xmlns:c16="http://schemas.microsoft.com/office/drawing/2014/chart" uri="{C3380CC4-5D6E-409C-BE32-E72D297353CC}">
              <c16:uniqueId val="{00000002-82C9-4B20-BD4D-C56A3164D22F}"/>
            </c:ext>
          </c:extLst>
        </c:ser>
        <c:ser>
          <c:idx val="4"/>
          <c:order val="3"/>
          <c:tx>
            <c:strRef>
              <c:f>KOPĀ!$E$81</c:f>
              <c:strCache>
                <c:ptCount val="1"/>
                <c:pt idx="0">
                  <c:v>Latvija 2027</c:v>
                </c:pt>
              </c:strCache>
            </c:strRef>
          </c:tx>
          <c:spPr>
            <a:ln w="38100" cap="rnd">
              <a:solidFill>
                <a:srgbClr val="FF0000"/>
              </a:solidFill>
              <a:prstDash val="solid"/>
              <a:round/>
            </a:ln>
            <a:effectLst/>
          </c:spPr>
          <c:marker>
            <c:symbol val="none"/>
          </c:marker>
          <c:cat>
            <c:numRef>
              <c:f>KOPĀ!$A$83:$A$98</c:f>
              <c:numCache>
                <c:formatCode>#,##0</c:formatCode>
                <c:ptCount val="16"/>
                <c:pt idx="0">
                  <c:v>800</c:v>
                </c:pt>
                <c:pt idx="1">
                  <c:v>1000</c:v>
                </c:pt>
                <c:pt idx="2">
                  <c:v>1200</c:v>
                </c:pt>
                <c:pt idx="3">
                  <c:v>1400</c:v>
                </c:pt>
                <c:pt idx="4">
                  <c:v>1600</c:v>
                </c:pt>
                <c:pt idx="5">
                  <c:v>1800</c:v>
                </c:pt>
                <c:pt idx="6">
                  <c:v>2000</c:v>
                </c:pt>
                <c:pt idx="7">
                  <c:v>2500</c:v>
                </c:pt>
                <c:pt idx="8">
                  <c:v>3000</c:v>
                </c:pt>
                <c:pt idx="9">
                  <c:v>4000</c:v>
                </c:pt>
                <c:pt idx="10">
                  <c:v>5000</c:v>
                </c:pt>
                <c:pt idx="11">
                  <c:v>6000</c:v>
                </c:pt>
                <c:pt idx="12">
                  <c:v>7000</c:v>
                </c:pt>
                <c:pt idx="13">
                  <c:v>8000</c:v>
                </c:pt>
                <c:pt idx="14">
                  <c:v>9000</c:v>
                </c:pt>
                <c:pt idx="15">
                  <c:v>10000</c:v>
                </c:pt>
              </c:numCache>
              <c:extLst/>
            </c:numRef>
          </c:cat>
          <c:val>
            <c:numRef>
              <c:f>KOPĀ!$E$83:$E$98</c:f>
              <c:numCache>
                <c:formatCode>0.0%</c:formatCode>
                <c:ptCount val="16"/>
                <c:pt idx="0">
                  <c:v>0.31348612347277294</c:v>
                </c:pt>
                <c:pt idx="1">
                  <c:v>0.34288777409175497</c:v>
                </c:pt>
                <c:pt idx="2">
                  <c:v>0.36248887450440975</c:v>
                </c:pt>
                <c:pt idx="3">
                  <c:v>0.37648966051344884</c:v>
                </c:pt>
                <c:pt idx="4">
                  <c:v>0.38699025002022819</c:v>
                </c:pt>
                <c:pt idx="5">
                  <c:v>0.3951573751921677</c:v>
                </c:pt>
                <c:pt idx="6">
                  <c:v>0.4016910753297192</c:v>
                </c:pt>
                <c:pt idx="7">
                  <c:v>0.41345173557731213</c:v>
                </c:pt>
                <c:pt idx="8">
                  <c:v>0.42129217574237404</c:v>
                </c:pt>
                <c:pt idx="9">
                  <c:v>0.43109272594870135</c:v>
                </c:pt>
                <c:pt idx="10">
                  <c:v>0.43697305607249781</c:v>
                </c:pt>
                <c:pt idx="11">
                  <c:v>0.44089327615502871</c:v>
                </c:pt>
                <c:pt idx="12">
                  <c:v>0.44369343335683664</c:v>
                </c:pt>
                <c:pt idx="13">
                  <c:v>0.44579355125819237</c:v>
                </c:pt>
                <c:pt idx="14">
                  <c:v>0.44640906594575758</c:v>
                </c:pt>
                <c:pt idx="15">
                  <c:v>0.44372174329804975</c:v>
                </c:pt>
              </c:numCache>
              <c:extLst/>
            </c:numRef>
          </c:val>
          <c:smooth val="0"/>
          <c:extLst>
            <c:ext xmlns:c16="http://schemas.microsoft.com/office/drawing/2014/chart" uri="{C3380CC4-5D6E-409C-BE32-E72D297353CC}">
              <c16:uniqueId val="{00000003-82C9-4B20-BD4D-C56A3164D22F}"/>
            </c:ext>
          </c:extLst>
        </c:ser>
        <c:ser>
          <c:idx val="5"/>
          <c:order val="5"/>
          <c:tx>
            <c:strRef>
              <c:f>KOPĀ!$H$81</c:f>
              <c:strCache>
                <c:ptCount val="1"/>
                <c:pt idx="0">
                  <c:v>Lietuva 2024</c:v>
                </c:pt>
              </c:strCache>
            </c:strRef>
          </c:tx>
          <c:spPr>
            <a:ln w="28575" cap="rnd">
              <a:solidFill>
                <a:srgbClr val="00B050"/>
              </a:solidFill>
              <a:round/>
            </a:ln>
            <a:effectLst/>
          </c:spPr>
          <c:marker>
            <c:symbol val="none"/>
          </c:marker>
          <c:cat>
            <c:numRef>
              <c:f>KOPĀ!$A$83:$A$98</c:f>
              <c:numCache>
                <c:formatCode>#,##0</c:formatCode>
                <c:ptCount val="16"/>
                <c:pt idx="0">
                  <c:v>800</c:v>
                </c:pt>
                <c:pt idx="1">
                  <c:v>1000</c:v>
                </c:pt>
                <c:pt idx="2">
                  <c:v>1200</c:v>
                </c:pt>
                <c:pt idx="3">
                  <c:v>1400</c:v>
                </c:pt>
                <c:pt idx="4">
                  <c:v>1600</c:v>
                </c:pt>
                <c:pt idx="5">
                  <c:v>1800</c:v>
                </c:pt>
                <c:pt idx="6">
                  <c:v>2000</c:v>
                </c:pt>
                <c:pt idx="7">
                  <c:v>2500</c:v>
                </c:pt>
                <c:pt idx="8">
                  <c:v>3000</c:v>
                </c:pt>
                <c:pt idx="9">
                  <c:v>4000</c:v>
                </c:pt>
                <c:pt idx="10">
                  <c:v>5000</c:v>
                </c:pt>
                <c:pt idx="11">
                  <c:v>6000</c:v>
                </c:pt>
                <c:pt idx="12">
                  <c:v>7000</c:v>
                </c:pt>
                <c:pt idx="13">
                  <c:v>8000</c:v>
                </c:pt>
                <c:pt idx="14">
                  <c:v>9000</c:v>
                </c:pt>
                <c:pt idx="15">
                  <c:v>10000</c:v>
                </c:pt>
              </c:numCache>
              <c:extLst/>
            </c:numRef>
          </c:cat>
          <c:val>
            <c:numRef>
              <c:f>KOPĀ!$H$83:$H$98</c:f>
              <c:numCache>
                <c:formatCode>0.0%</c:formatCode>
                <c:ptCount val="16"/>
                <c:pt idx="0">
                  <c:v>0.27514476883850453</c:v>
                </c:pt>
                <c:pt idx="1">
                  <c:v>0.29580508890853724</c:v>
                </c:pt>
                <c:pt idx="2">
                  <c:v>0.33539640436192159</c:v>
                </c:pt>
                <c:pt idx="3">
                  <c:v>0.36367591540005334</c:v>
                </c:pt>
                <c:pt idx="4">
                  <c:v>0.3848855486786521</c:v>
                </c:pt>
                <c:pt idx="5">
                  <c:v>0.40138193011756235</c:v>
                </c:pt>
                <c:pt idx="6">
                  <c:v>0.41457903526869044</c:v>
                </c:pt>
                <c:pt idx="7">
                  <c:v>0.42995893506238331</c:v>
                </c:pt>
                <c:pt idx="8">
                  <c:v>0.43511150407702137</c:v>
                </c:pt>
                <c:pt idx="9">
                  <c:v>0.43511150407702132</c:v>
                </c:pt>
                <c:pt idx="10">
                  <c:v>0.43511150407702132</c:v>
                </c:pt>
                <c:pt idx="11">
                  <c:v>0.43511150407702137</c:v>
                </c:pt>
                <c:pt idx="12">
                  <c:v>0.43511150407702132</c:v>
                </c:pt>
                <c:pt idx="13">
                  <c:v>0.43511150407702132</c:v>
                </c:pt>
                <c:pt idx="14">
                  <c:v>0.43511150407702132</c:v>
                </c:pt>
                <c:pt idx="15">
                  <c:v>0.43486297278711078</c:v>
                </c:pt>
              </c:numCache>
              <c:extLst/>
            </c:numRef>
          </c:val>
          <c:smooth val="0"/>
          <c:extLst>
            <c:ext xmlns:c16="http://schemas.microsoft.com/office/drawing/2014/chart" uri="{C3380CC4-5D6E-409C-BE32-E72D297353CC}">
              <c16:uniqueId val="{00000004-82C9-4B20-BD4D-C56A3164D22F}"/>
            </c:ext>
          </c:extLst>
        </c:ser>
        <c:ser>
          <c:idx val="7"/>
          <c:order val="6"/>
          <c:tx>
            <c:strRef>
              <c:f>KOPĀ!$J$81</c:f>
              <c:strCache>
                <c:ptCount val="1"/>
                <c:pt idx="0">
                  <c:v>Igaunija 2025</c:v>
                </c:pt>
              </c:strCache>
            </c:strRef>
          </c:tx>
          <c:spPr>
            <a:ln w="28575" cap="rnd">
              <a:solidFill>
                <a:srgbClr val="0070C0"/>
              </a:solidFill>
              <a:round/>
            </a:ln>
            <a:effectLst/>
          </c:spPr>
          <c:marker>
            <c:symbol val="none"/>
          </c:marker>
          <c:cat>
            <c:numRef>
              <c:f>KOPĀ!$A$83:$A$98</c:f>
              <c:numCache>
                <c:formatCode>#,##0</c:formatCode>
                <c:ptCount val="16"/>
                <c:pt idx="0">
                  <c:v>800</c:v>
                </c:pt>
                <c:pt idx="1">
                  <c:v>1000</c:v>
                </c:pt>
                <c:pt idx="2">
                  <c:v>1200</c:v>
                </c:pt>
                <c:pt idx="3">
                  <c:v>1400</c:v>
                </c:pt>
                <c:pt idx="4">
                  <c:v>1600</c:v>
                </c:pt>
                <c:pt idx="5">
                  <c:v>1800</c:v>
                </c:pt>
                <c:pt idx="6">
                  <c:v>2000</c:v>
                </c:pt>
                <c:pt idx="7">
                  <c:v>2500</c:v>
                </c:pt>
                <c:pt idx="8">
                  <c:v>3000</c:v>
                </c:pt>
                <c:pt idx="9">
                  <c:v>4000</c:v>
                </c:pt>
                <c:pt idx="10">
                  <c:v>5000</c:v>
                </c:pt>
                <c:pt idx="11">
                  <c:v>6000</c:v>
                </c:pt>
                <c:pt idx="12">
                  <c:v>7000</c:v>
                </c:pt>
                <c:pt idx="13">
                  <c:v>8000</c:v>
                </c:pt>
                <c:pt idx="14">
                  <c:v>9000</c:v>
                </c:pt>
                <c:pt idx="15">
                  <c:v>10000</c:v>
                </c:pt>
              </c:numCache>
              <c:extLst/>
            </c:numRef>
          </c:cat>
          <c:val>
            <c:numRef>
              <c:f>KOPĀ!$J$83:$J$98</c:f>
              <c:numCache>
                <c:formatCode>0.0%</c:formatCode>
                <c:ptCount val="16"/>
                <c:pt idx="0">
                  <c:v>0.29848096564531107</c:v>
                </c:pt>
                <c:pt idx="1">
                  <c:v>0.32292974588938711</c:v>
                </c:pt>
                <c:pt idx="2">
                  <c:v>0.34211260587942205</c:v>
                </c:pt>
                <c:pt idx="3">
                  <c:v>0.3558146487294469</c:v>
                </c:pt>
                <c:pt idx="4">
                  <c:v>0.36609118086696563</c:v>
                </c:pt>
                <c:pt idx="5">
                  <c:v>0.37408403919614686</c:v>
                </c:pt>
                <c:pt idx="6">
                  <c:v>0.38047832585949182</c:v>
                </c:pt>
                <c:pt idx="7">
                  <c:v>0.39198804185351271</c:v>
                </c:pt>
                <c:pt idx="8">
                  <c:v>0.3996611858495267</c:v>
                </c:pt>
                <c:pt idx="9">
                  <c:v>0.40925261584454414</c:v>
                </c:pt>
                <c:pt idx="10">
                  <c:v>0.41500747384155456</c:v>
                </c:pt>
                <c:pt idx="11">
                  <c:v>0.41884404583956159</c:v>
                </c:pt>
                <c:pt idx="12">
                  <c:v>0.42158445440956649</c:v>
                </c:pt>
                <c:pt idx="13">
                  <c:v>0.42363976083707028</c:v>
                </c:pt>
                <c:pt idx="14">
                  <c:v>0.42523833250290649</c:v>
                </c:pt>
                <c:pt idx="15">
                  <c:v>0.42651718983557552</c:v>
                </c:pt>
              </c:numCache>
              <c:extLst/>
            </c:numRef>
          </c:val>
          <c:smooth val="0"/>
          <c:extLst>
            <c:ext xmlns:c16="http://schemas.microsoft.com/office/drawing/2014/chart" uri="{C3380CC4-5D6E-409C-BE32-E72D297353CC}">
              <c16:uniqueId val="{00000005-82C9-4B20-BD4D-C56A3164D22F}"/>
            </c:ext>
          </c:extLst>
        </c:ser>
        <c:dLbls>
          <c:showLegendKey val="0"/>
          <c:showVal val="0"/>
          <c:showCatName val="0"/>
          <c:showSerName val="0"/>
          <c:showPercent val="0"/>
          <c:showBubbleSize val="0"/>
        </c:dLbls>
        <c:smooth val="0"/>
        <c:axId val="415693120"/>
        <c:axId val="364578000"/>
        <c:extLst>
          <c:ext xmlns:c15="http://schemas.microsoft.com/office/drawing/2012/chart" uri="{02D57815-91ED-43cb-92C2-25804820EDAC}">
            <c15:filteredLineSeries>
              <c15:ser>
                <c:idx val="0"/>
                <c:order val="4"/>
                <c:tx>
                  <c:strRef>
                    <c:extLst>
                      <c:ext uri="{02D57815-91ED-43cb-92C2-25804820EDAC}">
                        <c15:formulaRef>
                          <c15:sqref>KOPĀ!$F$81</c15:sqref>
                        </c15:formulaRef>
                      </c:ext>
                    </c:extLst>
                    <c:strCache>
                      <c:ptCount val="1"/>
                      <c:pt idx="0">
                        <c:v>Latvija 2028</c:v>
                      </c:pt>
                    </c:strCache>
                  </c:strRef>
                </c:tx>
                <c:spPr>
                  <a:ln w="38100" cap="rnd">
                    <a:solidFill>
                      <a:srgbClr val="FF0000"/>
                    </a:solidFill>
                    <a:round/>
                  </a:ln>
                  <a:effectLst/>
                </c:spPr>
                <c:marker>
                  <c:symbol val="none"/>
                </c:marker>
                <c:cat>
                  <c:numRef>
                    <c:extLst>
                      <c:ext uri="{02D57815-91ED-43cb-92C2-25804820EDAC}">
                        <c15:formulaRef>
                          <c15:sqref>KOPĀ!$A$83:$A$98</c15:sqref>
                        </c15:formulaRef>
                      </c:ext>
                    </c:extLst>
                    <c:numCache>
                      <c:formatCode>#,##0</c:formatCode>
                      <c:ptCount val="16"/>
                      <c:pt idx="0">
                        <c:v>800</c:v>
                      </c:pt>
                      <c:pt idx="1">
                        <c:v>1000</c:v>
                      </c:pt>
                      <c:pt idx="2">
                        <c:v>1200</c:v>
                      </c:pt>
                      <c:pt idx="3">
                        <c:v>1400</c:v>
                      </c:pt>
                      <c:pt idx="4">
                        <c:v>1600</c:v>
                      </c:pt>
                      <c:pt idx="5">
                        <c:v>1800</c:v>
                      </c:pt>
                      <c:pt idx="6">
                        <c:v>2000</c:v>
                      </c:pt>
                      <c:pt idx="7">
                        <c:v>2500</c:v>
                      </c:pt>
                      <c:pt idx="8">
                        <c:v>3000</c:v>
                      </c:pt>
                      <c:pt idx="9">
                        <c:v>4000</c:v>
                      </c:pt>
                      <c:pt idx="10">
                        <c:v>5000</c:v>
                      </c:pt>
                      <c:pt idx="11">
                        <c:v>6000</c:v>
                      </c:pt>
                      <c:pt idx="12">
                        <c:v>7000</c:v>
                      </c:pt>
                      <c:pt idx="13">
                        <c:v>8000</c:v>
                      </c:pt>
                      <c:pt idx="14">
                        <c:v>9000</c:v>
                      </c:pt>
                      <c:pt idx="15">
                        <c:v>10000</c:v>
                      </c:pt>
                    </c:numCache>
                  </c:numRef>
                </c:cat>
                <c:val>
                  <c:numRef>
                    <c:extLst>
                      <c:ext uri="{02D57815-91ED-43cb-92C2-25804820EDAC}">
                        <c15:formulaRef>
                          <c15:sqref>KOPĀ!$F$83:$F$98</c15:sqref>
                        </c15:formulaRef>
                      </c:ext>
                    </c:extLst>
                    <c:numCache>
                      <c:formatCode>0.0%</c:formatCode>
                      <c:ptCount val="16"/>
                      <c:pt idx="0">
                        <c:v>0.31348612347277294</c:v>
                      </c:pt>
                      <c:pt idx="1">
                        <c:v>0.34288777409175497</c:v>
                      </c:pt>
                      <c:pt idx="2">
                        <c:v>0.36248887450440975</c:v>
                      </c:pt>
                      <c:pt idx="3">
                        <c:v>0.37648966051344884</c:v>
                      </c:pt>
                      <c:pt idx="4">
                        <c:v>0.38699025002022819</c:v>
                      </c:pt>
                      <c:pt idx="5">
                        <c:v>0.3951573751921677</c:v>
                      </c:pt>
                      <c:pt idx="6">
                        <c:v>0.4016910753297192</c:v>
                      </c:pt>
                      <c:pt idx="7">
                        <c:v>0.41345173557731213</c:v>
                      </c:pt>
                      <c:pt idx="8">
                        <c:v>0.42129217574237404</c:v>
                      </c:pt>
                      <c:pt idx="9">
                        <c:v>0.43109272594870135</c:v>
                      </c:pt>
                      <c:pt idx="10">
                        <c:v>0.43697305607249781</c:v>
                      </c:pt>
                      <c:pt idx="11">
                        <c:v>0.44089327615502871</c:v>
                      </c:pt>
                      <c:pt idx="12">
                        <c:v>0.44369343335683664</c:v>
                      </c:pt>
                      <c:pt idx="13">
                        <c:v>0.44579355125819237</c:v>
                      </c:pt>
                      <c:pt idx="14">
                        <c:v>0.44640906594575758</c:v>
                      </c:pt>
                      <c:pt idx="15">
                        <c:v>0.44372174329804975</c:v>
                      </c:pt>
                    </c:numCache>
                  </c:numRef>
                </c:val>
                <c:smooth val="0"/>
                <c:extLst>
                  <c:ext xmlns:c16="http://schemas.microsoft.com/office/drawing/2014/chart" uri="{C3380CC4-5D6E-409C-BE32-E72D297353CC}">
                    <c16:uniqueId val="{00000006-82C9-4B20-BD4D-C56A3164D22F}"/>
                  </c:ext>
                </c:extLst>
              </c15:ser>
            </c15:filteredLineSeries>
          </c:ext>
        </c:extLst>
      </c:lineChart>
      <c:catAx>
        <c:axId val="41569312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Verdana" panose="020B0604030504040204" pitchFamily="34" charset="0"/>
                    <a:cs typeface="Times New Roman" panose="02020603050405020304" pitchFamily="18" charset="0"/>
                  </a:defRPr>
                </a:pPr>
                <a:r>
                  <a:rPr lang="lv-LV" sz="900" b="1"/>
                  <a:t>Bruto</a:t>
                </a:r>
                <a:r>
                  <a:rPr lang="en-US" sz="900" b="1"/>
                  <a:t> </a:t>
                </a:r>
                <a:r>
                  <a:rPr lang="lv-LV" sz="900" b="1"/>
                  <a:t>ienākums</a:t>
                </a:r>
                <a:r>
                  <a:rPr lang="en-US" sz="900" b="1"/>
                  <a:t>, </a:t>
                </a:r>
                <a:r>
                  <a:rPr lang="lv-LV" sz="900" b="0" i="1"/>
                  <a:t>euro</a:t>
                </a:r>
                <a:r>
                  <a:rPr lang="en-US" sz="900" b="0" i="1"/>
                  <a:t> mēnesī</a:t>
                </a:r>
              </a:p>
            </c:rich>
          </c:tx>
          <c:layout>
            <c:manualLayout>
              <c:xMode val="edge"/>
              <c:yMode val="edge"/>
              <c:x val="0.35911310420724596"/>
              <c:y val="0.92987958639701684"/>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Verdana" panose="020B0604030504040204" pitchFamily="34" charset="0"/>
                  <a:cs typeface="Times New Roman" panose="02020603050405020304" pitchFamily="18" charset="0"/>
                </a:defRPr>
              </a:pPr>
              <a:endParaRPr lang="lv-LV"/>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Verdana" panose="020B0604030504040204" pitchFamily="34" charset="0"/>
                <a:cs typeface="Times New Roman" panose="02020603050405020304" pitchFamily="18" charset="0"/>
              </a:defRPr>
            </a:pPr>
            <a:endParaRPr lang="lv-LV"/>
          </a:p>
        </c:txPr>
        <c:crossAx val="364578000"/>
        <c:crosses val="autoZero"/>
        <c:auto val="1"/>
        <c:lblAlgn val="ctr"/>
        <c:lblOffset val="100"/>
        <c:noMultiLvlLbl val="0"/>
      </c:catAx>
      <c:valAx>
        <c:axId val="364578000"/>
        <c:scaling>
          <c:orientation val="minMax"/>
          <c:max val="0.46"/>
          <c:min val="0.26"/>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Verdana" panose="020B0604030504040204" pitchFamily="34" charset="0"/>
                <a:cs typeface="Times New Roman" panose="02020603050405020304" pitchFamily="18" charset="0"/>
              </a:defRPr>
            </a:pPr>
            <a:endParaRPr lang="lv-LV"/>
          </a:p>
        </c:txPr>
        <c:crossAx val="415693120"/>
        <c:crosses val="autoZero"/>
        <c:crossBetween val="between"/>
        <c:majorUnit val="2.0000000000000004E-2"/>
        <c:minorUnit val="3.0000000000000009E-3"/>
      </c:valAx>
      <c:spPr>
        <a:noFill/>
        <a:ln>
          <a:noFill/>
        </a:ln>
        <a:effectLst/>
      </c:spPr>
    </c:plotArea>
    <c:legend>
      <c:legendPos val="b"/>
      <c:layout>
        <c:manualLayout>
          <c:xMode val="edge"/>
          <c:yMode val="edge"/>
          <c:x val="0.34714267526644127"/>
          <c:y val="0.57320935767273462"/>
          <c:w val="0.62271207946088136"/>
          <c:h val="0.28778135048231512"/>
        </c:manualLayout>
      </c:layout>
      <c:overlay val="0"/>
      <c:spPr>
        <a:solidFill>
          <a:schemeClr val="bg1"/>
        </a:solidFill>
        <a:ln>
          <a:solidFill>
            <a:schemeClr val="bg1">
              <a:lumMod val="75000"/>
            </a:schemeClr>
          </a:solid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Verdana" panose="020B0604030504040204" pitchFamily="34" charset="0"/>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bg1">
          <a:lumMod val="75000"/>
        </a:schemeClr>
      </a:solidFill>
      <a:round/>
    </a:ln>
    <a:effectLst/>
  </c:spPr>
  <c:txPr>
    <a:bodyPr/>
    <a:lstStyle/>
    <a:p>
      <a:pPr>
        <a:defRPr sz="700">
          <a:solidFill>
            <a:sysClr val="windowText" lastClr="000000"/>
          </a:solidFill>
          <a:latin typeface="Times New Roman" panose="02020603050405020304" pitchFamily="18" charset="0"/>
          <a:ea typeface="Verdana" panose="020B0604030504040204" pitchFamily="34" charset="0"/>
          <a:cs typeface="Times New Roman" panose="02020603050405020304" pitchFamily="18" charset="0"/>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661093498016924E-2"/>
          <c:y val="5.2698265311832235E-2"/>
          <c:w val="0.9212291442644559"/>
          <c:h val="0.7974734528056342"/>
        </c:manualLayout>
      </c:layout>
      <c:lineChart>
        <c:grouping val="standard"/>
        <c:varyColors val="0"/>
        <c:ser>
          <c:idx val="3"/>
          <c:order val="0"/>
          <c:tx>
            <c:strRef>
              <c:f>KOPĀ!$V$81</c:f>
              <c:strCache>
                <c:ptCount val="1"/>
                <c:pt idx="0">
                  <c:v>Latvija 2024</c:v>
                </c:pt>
              </c:strCache>
            </c:strRef>
          </c:tx>
          <c:spPr>
            <a:ln w="28575" cap="rnd">
              <a:solidFill>
                <a:srgbClr val="C00000"/>
              </a:solidFill>
              <a:round/>
            </a:ln>
            <a:effectLst/>
          </c:spPr>
          <c:marker>
            <c:symbol val="none"/>
          </c:marker>
          <c:cat>
            <c:numRef>
              <c:f>KOPĀ!$U$83:$U$98</c:f>
              <c:numCache>
                <c:formatCode>#,##0</c:formatCode>
                <c:ptCount val="16"/>
                <c:pt idx="0">
                  <c:v>800</c:v>
                </c:pt>
                <c:pt idx="1">
                  <c:v>1000</c:v>
                </c:pt>
                <c:pt idx="2">
                  <c:v>1200</c:v>
                </c:pt>
                <c:pt idx="3">
                  <c:v>1400</c:v>
                </c:pt>
                <c:pt idx="4">
                  <c:v>1600</c:v>
                </c:pt>
                <c:pt idx="5">
                  <c:v>1800</c:v>
                </c:pt>
                <c:pt idx="6">
                  <c:v>2000</c:v>
                </c:pt>
                <c:pt idx="7">
                  <c:v>2500</c:v>
                </c:pt>
                <c:pt idx="8">
                  <c:v>3000</c:v>
                </c:pt>
                <c:pt idx="9">
                  <c:v>4000</c:v>
                </c:pt>
                <c:pt idx="10">
                  <c:v>5000</c:v>
                </c:pt>
                <c:pt idx="11">
                  <c:v>6000</c:v>
                </c:pt>
                <c:pt idx="12">
                  <c:v>7000</c:v>
                </c:pt>
                <c:pt idx="13">
                  <c:v>8000</c:v>
                </c:pt>
                <c:pt idx="14">
                  <c:v>9000</c:v>
                </c:pt>
                <c:pt idx="15">
                  <c:v>10000</c:v>
                </c:pt>
              </c:numCache>
              <c:extLst/>
            </c:numRef>
          </c:cat>
          <c:val>
            <c:numRef>
              <c:f>KOPĀ!$V$83:$V$98</c:f>
              <c:numCache>
                <c:formatCode>0.0%</c:formatCode>
                <c:ptCount val="16"/>
                <c:pt idx="0">
                  <c:v>0.27583137794319929</c:v>
                </c:pt>
                <c:pt idx="1">
                  <c:v>0.28995997933614243</c:v>
                </c:pt>
                <c:pt idx="2">
                  <c:v>0.3221175889676578</c:v>
                </c:pt>
                <c:pt idx="3">
                  <c:v>0.34508731013302579</c:v>
                </c:pt>
                <c:pt idx="4">
                  <c:v>0.36231460100705187</c:v>
                </c:pt>
                <c:pt idx="5">
                  <c:v>0.37750716976382487</c:v>
                </c:pt>
                <c:pt idx="6">
                  <c:v>0.38425034387895457</c:v>
                </c:pt>
                <c:pt idx="7">
                  <c:v>0.3963880572861882</c:v>
                </c:pt>
                <c:pt idx="8">
                  <c:v>0.40447986622434395</c:v>
                </c:pt>
                <c:pt idx="9">
                  <c:v>0.41459462739703862</c:v>
                </c:pt>
                <c:pt idx="10">
                  <c:v>0.42066348410065535</c:v>
                </c:pt>
                <c:pt idx="11">
                  <c:v>0.42470938856973328</c:v>
                </c:pt>
                <c:pt idx="12">
                  <c:v>0.42462695086304331</c:v>
                </c:pt>
                <c:pt idx="13">
                  <c:v>0.42183788672790612</c:v>
                </c:pt>
                <c:pt idx="14">
                  <c:v>0.41963496436849723</c:v>
                </c:pt>
                <c:pt idx="15">
                  <c:v>0.41785098044426378</c:v>
                </c:pt>
              </c:numCache>
              <c:extLst/>
            </c:numRef>
          </c:val>
          <c:smooth val="0"/>
          <c:extLst>
            <c:ext xmlns:c16="http://schemas.microsoft.com/office/drawing/2014/chart" uri="{C3380CC4-5D6E-409C-BE32-E72D297353CC}">
              <c16:uniqueId val="{00000000-7062-42B7-A21F-3782323EA8D9}"/>
            </c:ext>
          </c:extLst>
        </c:ser>
        <c:ser>
          <c:idx val="1"/>
          <c:order val="1"/>
          <c:tx>
            <c:strRef>
              <c:f>KOPĀ!$W$81</c:f>
              <c:strCache>
                <c:ptCount val="1"/>
                <c:pt idx="0">
                  <c:v>Latvija 2025</c:v>
                </c:pt>
              </c:strCache>
            </c:strRef>
          </c:tx>
          <c:spPr>
            <a:ln w="19050" cap="rnd">
              <a:solidFill>
                <a:srgbClr val="FF0000"/>
              </a:solidFill>
              <a:prstDash val="sysDot"/>
              <a:round/>
            </a:ln>
            <a:effectLst/>
          </c:spPr>
          <c:marker>
            <c:symbol val="none"/>
          </c:marker>
          <c:cat>
            <c:numRef>
              <c:f>KOPĀ!$U$83:$U$98</c:f>
              <c:numCache>
                <c:formatCode>#,##0</c:formatCode>
                <c:ptCount val="16"/>
                <c:pt idx="0">
                  <c:v>800</c:v>
                </c:pt>
                <c:pt idx="1">
                  <c:v>1000</c:v>
                </c:pt>
                <c:pt idx="2">
                  <c:v>1200</c:v>
                </c:pt>
                <c:pt idx="3">
                  <c:v>1400</c:v>
                </c:pt>
                <c:pt idx="4">
                  <c:v>1600</c:v>
                </c:pt>
                <c:pt idx="5">
                  <c:v>1800</c:v>
                </c:pt>
                <c:pt idx="6">
                  <c:v>2000</c:v>
                </c:pt>
                <c:pt idx="7">
                  <c:v>2500</c:v>
                </c:pt>
                <c:pt idx="8">
                  <c:v>3000</c:v>
                </c:pt>
                <c:pt idx="9">
                  <c:v>4000</c:v>
                </c:pt>
                <c:pt idx="10">
                  <c:v>5000</c:v>
                </c:pt>
                <c:pt idx="11">
                  <c:v>6000</c:v>
                </c:pt>
                <c:pt idx="12">
                  <c:v>7000</c:v>
                </c:pt>
                <c:pt idx="13">
                  <c:v>8000</c:v>
                </c:pt>
                <c:pt idx="14">
                  <c:v>9000</c:v>
                </c:pt>
                <c:pt idx="15">
                  <c:v>10000</c:v>
                </c:pt>
              </c:numCache>
              <c:extLst/>
            </c:numRef>
          </c:cat>
          <c:val>
            <c:numRef>
              <c:f>KOPĀ!$W$83:$W$98</c:f>
              <c:numCache>
                <c:formatCode>0.0%</c:formatCode>
                <c:ptCount val="16"/>
                <c:pt idx="0">
                  <c:v>0.27583137794319929</c:v>
                </c:pt>
                <c:pt idx="1">
                  <c:v>0.27583137794319923</c:v>
                </c:pt>
                <c:pt idx="2">
                  <c:v>0.28683550449065459</c:v>
                </c:pt>
                <c:pt idx="3">
                  <c:v>0.31164391478737302</c:v>
                </c:pt>
                <c:pt idx="4">
                  <c:v>0.33025022250991182</c:v>
                </c:pt>
                <c:pt idx="5">
                  <c:v>0.34472179518299756</c:v>
                </c:pt>
                <c:pt idx="6">
                  <c:v>0.35629905332146611</c:v>
                </c:pt>
                <c:pt idx="7">
                  <c:v>0.37713811797070962</c:v>
                </c:pt>
                <c:pt idx="8">
                  <c:v>0.39103082773687187</c:v>
                </c:pt>
                <c:pt idx="9">
                  <c:v>0.40839671494457475</c:v>
                </c:pt>
                <c:pt idx="10">
                  <c:v>0.41881624726919653</c:v>
                </c:pt>
                <c:pt idx="11">
                  <c:v>0.42576260215227768</c:v>
                </c:pt>
                <c:pt idx="12">
                  <c:v>0.43072428421162146</c:v>
                </c:pt>
                <c:pt idx="13">
                  <c:v>0.43444554575612909</c:v>
                </c:pt>
                <c:pt idx="14">
                  <c:v>0.43630336818312937</c:v>
                </c:pt>
                <c:pt idx="15">
                  <c:v>0.43456080034961819</c:v>
                </c:pt>
              </c:numCache>
              <c:extLst/>
            </c:numRef>
          </c:val>
          <c:smooth val="0"/>
          <c:extLst xmlns:c15="http://schemas.microsoft.com/office/drawing/2012/chart">
            <c:ext xmlns:c16="http://schemas.microsoft.com/office/drawing/2014/chart" uri="{C3380CC4-5D6E-409C-BE32-E72D297353CC}">
              <c16:uniqueId val="{00000001-7062-42B7-A21F-3782323EA8D9}"/>
            </c:ext>
          </c:extLst>
        </c:ser>
        <c:ser>
          <c:idx val="8"/>
          <c:order val="2"/>
          <c:tx>
            <c:strRef>
              <c:f>KOPĀ!$X$81</c:f>
              <c:strCache>
                <c:ptCount val="1"/>
                <c:pt idx="0">
                  <c:v>Latvija 2026</c:v>
                </c:pt>
              </c:strCache>
            </c:strRef>
          </c:tx>
          <c:spPr>
            <a:ln w="19050" cap="rnd">
              <a:solidFill>
                <a:srgbClr val="FF0000"/>
              </a:solidFill>
              <a:prstDash val="sysDash"/>
              <a:round/>
            </a:ln>
            <a:effectLst/>
          </c:spPr>
          <c:marker>
            <c:symbol val="none"/>
          </c:marker>
          <c:cat>
            <c:numRef>
              <c:f>KOPĀ!$U$83:$U$98</c:f>
              <c:numCache>
                <c:formatCode>#,##0</c:formatCode>
                <c:ptCount val="16"/>
                <c:pt idx="0">
                  <c:v>800</c:v>
                </c:pt>
                <c:pt idx="1">
                  <c:v>1000</c:v>
                </c:pt>
                <c:pt idx="2">
                  <c:v>1200</c:v>
                </c:pt>
                <c:pt idx="3">
                  <c:v>1400</c:v>
                </c:pt>
                <c:pt idx="4">
                  <c:v>1600</c:v>
                </c:pt>
                <c:pt idx="5">
                  <c:v>1800</c:v>
                </c:pt>
                <c:pt idx="6">
                  <c:v>2000</c:v>
                </c:pt>
                <c:pt idx="7">
                  <c:v>2500</c:v>
                </c:pt>
                <c:pt idx="8">
                  <c:v>3000</c:v>
                </c:pt>
                <c:pt idx="9">
                  <c:v>4000</c:v>
                </c:pt>
                <c:pt idx="10">
                  <c:v>5000</c:v>
                </c:pt>
                <c:pt idx="11">
                  <c:v>6000</c:v>
                </c:pt>
                <c:pt idx="12">
                  <c:v>7000</c:v>
                </c:pt>
                <c:pt idx="13">
                  <c:v>8000</c:v>
                </c:pt>
                <c:pt idx="14">
                  <c:v>9000</c:v>
                </c:pt>
                <c:pt idx="15">
                  <c:v>10000</c:v>
                </c:pt>
              </c:numCache>
              <c:extLst/>
            </c:numRef>
          </c:cat>
          <c:val>
            <c:numRef>
              <c:f>KOPĀ!$X$83:$X$98</c:f>
              <c:numCache>
                <c:formatCode>0.0%</c:formatCode>
                <c:ptCount val="16"/>
                <c:pt idx="0">
                  <c:v>0.27583137794319929</c:v>
                </c:pt>
                <c:pt idx="1">
                  <c:v>0.27583137794319923</c:v>
                </c:pt>
                <c:pt idx="2">
                  <c:v>0.27995792539849501</c:v>
                </c:pt>
                <c:pt idx="3">
                  <c:v>0.30574884699409338</c:v>
                </c:pt>
                <c:pt idx="4">
                  <c:v>0.32509203819079213</c:v>
                </c:pt>
                <c:pt idx="5">
                  <c:v>0.34013674245489117</c:v>
                </c:pt>
                <c:pt idx="6">
                  <c:v>0.35217250586617038</c:v>
                </c:pt>
                <c:pt idx="7">
                  <c:v>0.37383688000647303</c:v>
                </c:pt>
                <c:pt idx="8">
                  <c:v>0.38827979610000812</c:v>
                </c:pt>
                <c:pt idx="9">
                  <c:v>0.40633344121692688</c:v>
                </c:pt>
                <c:pt idx="10">
                  <c:v>0.41716562828707826</c:v>
                </c:pt>
                <c:pt idx="11">
                  <c:v>0.42438708633384581</c:v>
                </c:pt>
                <c:pt idx="12">
                  <c:v>0.42954527065296549</c:v>
                </c:pt>
                <c:pt idx="13">
                  <c:v>0.43341390889230519</c:v>
                </c:pt>
                <c:pt idx="14">
                  <c:v>0.43538466838652684</c:v>
                </c:pt>
                <c:pt idx="15">
                  <c:v>0.43372798735430623</c:v>
                </c:pt>
              </c:numCache>
              <c:extLst/>
            </c:numRef>
          </c:val>
          <c:smooth val="0"/>
          <c:extLst xmlns:c15="http://schemas.microsoft.com/office/drawing/2012/chart">
            <c:ext xmlns:c16="http://schemas.microsoft.com/office/drawing/2014/chart" uri="{C3380CC4-5D6E-409C-BE32-E72D297353CC}">
              <c16:uniqueId val="{00000002-7062-42B7-A21F-3782323EA8D9}"/>
            </c:ext>
          </c:extLst>
        </c:ser>
        <c:ser>
          <c:idx val="4"/>
          <c:order val="3"/>
          <c:tx>
            <c:strRef>
              <c:f>KOPĀ!$Y$81</c:f>
              <c:strCache>
                <c:ptCount val="1"/>
                <c:pt idx="0">
                  <c:v>Latvija 2027</c:v>
                </c:pt>
              </c:strCache>
            </c:strRef>
          </c:tx>
          <c:spPr>
            <a:ln w="38100" cap="rnd">
              <a:solidFill>
                <a:srgbClr val="FF0000"/>
              </a:solidFill>
              <a:prstDash val="solid"/>
              <a:round/>
            </a:ln>
            <a:effectLst/>
          </c:spPr>
          <c:marker>
            <c:symbol val="none"/>
          </c:marker>
          <c:cat>
            <c:numRef>
              <c:f>KOPĀ!$U$83:$U$98</c:f>
              <c:numCache>
                <c:formatCode>#,##0</c:formatCode>
                <c:ptCount val="16"/>
                <c:pt idx="0">
                  <c:v>800</c:v>
                </c:pt>
                <c:pt idx="1">
                  <c:v>1000</c:v>
                </c:pt>
                <c:pt idx="2">
                  <c:v>1200</c:v>
                </c:pt>
                <c:pt idx="3">
                  <c:v>1400</c:v>
                </c:pt>
                <c:pt idx="4">
                  <c:v>1600</c:v>
                </c:pt>
                <c:pt idx="5">
                  <c:v>1800</c:v>
                </c:pt>
                <c:pt idx="6">
                  <c:v>2000</c:v>
                </c:pt>
                <c:pt idx="7">
                  <c:v>2500</c:v>
                </c:pt>
                <c:pt idx="8">
                  <c:v>3000</c:v>
                </c:pt>
                <c:pt idx="9">
                  <c:v>4000</c:v>
                </c:pt>
                <c:pt idx="10">
                  <c:v>5000</c:v>
                </c:pt>
                <c:pt idx="11">
                  <c:v>6000</c:v>
                </c:pt>
                <c:pt idx="12">
                  <c:v>7000</c:v>
                </c:pt>
                <c:pt idx="13">
                  <c:v>8000</c:v>
                </c:pt>
                <c:pt idx="14">
                  <c:v>9000</c:v>
                </c:pt>
                <c:pt idx="15">
                  <c:v>10000</c:v>
                </c:pt>
              </c:numCache>
              <c:extLst/>
            </c:numRef>
          </c:cat>
          <c:val>
            <c:numRef>
              <c:f>KOPĀ!$Y$83:$Y$98</c:f>
              <c:numCache>
                <c:formatCode>0.0%</c:formatCode>
                <c:ptCount val="16"/>
                <c:pt idx="0">
                  <c:v>0.27583137794319929</c:v>
                </c:pt>
                <c:pt idx="1">
                  <c:v>0.27583137794319923</c:v>
                </c:pt>
                <c:pt idx="2">
                  <c:v>0.27651913585241522</c:v>
                </c:pt>
                <c:pt idx="3">
                  <c:v>0.30280131309745356</c:v>
                </c:pt>
                <c:pt idx="4">
                  <c:v>0.32251294603123232</c:v>
                </c:pt>
                <c:pt idx="5">
                  <c:v>0.33784421609083803</c:v>
                </c:pt>
                <c:pt idx="6">
                  <c:v>0.35010923213852252</c:v>
                </c:pt>
                <c:pt idx="7">
                  <c:v>0.37218626102435476</c:v>
                </c:pt>
                <c:pt idx="8">
                  <c:v>0.38690428028157614</c:v>
                </c:pt>
                <c:pt idx="9">
                  <c:v>0.40530180435310292</c:v>
                </c:pt>
                <c:pt idx="10">
                  <c:v>0.41634031879601913</c:v>
                </c:pt>
                <c:pt idx="11">
                  <c:v>0.42369932842462982</c:v>
                </c:pt>
                <c:pt idx="12">
                  <c:v>0.4289557638736376</c:v>
                </c:pt>
                <c:pt idx="13">
                  <c:v>0.43289809046039318</c:v>
                </c:pt>
                <c:pt idx="14">
                  <c:v>0.43492531848822552</c:v>
                </c:pt>
                <c:pt idx="15">
                  <c:v>0.43331158085665028</c:v>
                </c:pt>
              </c:numCache>
              <c:extLst/>
            </c:numRef>
          </c:val>
          <c:smooth val="0"/>
          <c:extLst>
            <c:ext xmlns:c16="http://schemas.microsoft.com/office/drawing/2014/chart" uri="{C3380CC4-5D6E-409C-BE32-E72D297353CC}">
              <c16:uniqueId val="{00000003-7062-42B7-A21F-3782323EA8D9}"/>
            </c:ext>
          </c:extLst>
        </c:ser>
        <c:ser>
          <c:idx val="5"/>
          <c:order val="5"/>
          <c:tx>
            <c:strRef>
              <c:f>KOPĀ!$AA$81</c:f>
              <c:strCache>
                <c:ptCount val="1"/>
                <c:pt idx="0">
                  <c:v>Lietuva 2024</c:v>
                </c:pt>
              </c:strCache>
            </c:strRef>
          </c:tx>
          <c:spPr>
            <a:ln w="28575" cap="rnd">
              <a:solidFill>
                <a:srgbClr val="00B050"/>
              </a:solidFill>
              <a:round/>
            </a:ln>
            <a:effectLst/>
          </c:spPr>
          <c:marker>
            <c:symbol val="none"/>
          </c:marker>
          <c:cat>
            <c:numRef>
              <c:f>KOPĀ!$U$83:$U$98</c:f>
              <c:numCache>
                <c:formatCode>#,##0</c:formatCode>
                <c:ptCount val="16"/>
                <c:pt idx="0">
                  <c:v>800</c:v>
                </c:pt>
                <c:pt idx="1">
                  <c:v>1000</c:v>
                </c:pt>
                <c:pt idx="2">
                  <c:v>1200</c:v>
                </c:pt>
                <c:pt idx="3">
                  <c:v>1400</c:v>
                </c:pt>
                <c:pt idx="4">
                  <c:v>1600</c:v>
                </c:pt>
                <c:pt idx="5">
                  <c:v>1800</c:v>
                </c:pt>
                <c:pt idx="6">
                  <c:v>2000</c:v>
                </c:pt>
                <c:pt idx="7">
                  <c:v>2500</c:v>
                </c:pt>
                <c:pt idx="8">
                  <c:v>3000</c:v>
                </c:pt>
                <c:pt idx="9">
                  <c:v>4000</c:v>
                </c:pt>
                <c:pt idx="10">
                  <c:v>5000</c:v>
                </c:pt>
                <c:pt idx="11">
                  <c:v>6000</c:v>
                </c:pt>
                <c:pt idx="12">
                  <c:v>7000</c:v>
                </c:pt>
                <c:pt idx="13">
                  <c:v>8000</c:v>
                </c:pt>
                <c:pt idx="14">
                  <c:v>9000</c:v>
                </c:pt>
                <c:pt idx="15">
                  <c:v>10000</c:v>
                </c:pt>
              </c:numCache>
              <c:extLst/>
            </c:numRef>
          </c:cat>
          <c:val>
            <c:numRef>
              <c:f>KOPĀ!$AA$83:$AA$98</c:f>
              <c:numCache>
                <c:formatCode>0.0%</c:formatCode>
                <c:ptCount val="16"/>
                <c:pt idx="0">
                  <c:v>0.27514476883850453</c:v>
                </c:pt>
                <c:pt idx="1">
                  <c:v>0.29580508890853724</c:v>
                </c:pt>
                <c:pt idx="2">
                  <c:v>0.33539640436192159</c:v>
                </c:pt>
                <c:pt idx="3">
                  <c:v>0.36367591540005334</c:v>
                </c:pt>
                <c:pt idx="4">
                  <c:v>0.3848855486786521</c:v>
                </c:pt>
                <c:pt idx="5">
                  <c:v>0.40138193011756235</c:v>
                </c:pt>
                <c:pt idx="6">
                  <c:v>0.41457903526869044</c:v>
                </c:pt>
                <c:pt idx="7">
                  <c:v>0.42995893506238331</c:v>
                </c:pt>
                <c:pt idx="8">
                  <c:v>0.43511150407702137</c:v>
                </c:pt>
                <c:pt idx="9">
                  <c:v>0.43511150407702132</c:v>
                </c:pt>
                <c:pt idx="10">
                  <c:v>0.43511150407702132</c:v>
                </c:pt>
                <c:pt idx="11">
                  <c:v>0.43511150407702137</c:v>
                </c:pt>
                <c:pt idx="12">
                  <c:v>0.43511150407702132</c:v>
                </c:pt>
                <c:pt idx="13">
                  <c:v>0.43511150407702132</c:v>
                </c:pt>
                <c:pt idx="14">
                  <c:v>0.43511150407702132</c:v>
                </c:pt>
                <c:pt idx="15">
                  <c:v>0.43486297278711078</c:v>
                </c:pt>
              </c:numCache>
              <c:extLst/>
            </c:numRef>
          </c:val>
          <c:smooth val="0"/>
          <c:extLst>
            <c:ext xmlns:c16="http://schemas.microsoft.com/office/drawing/2014/chart" uri="{C3380CC4-5D6E-409C-BE32-E72D297353CC}">
              <c16:uniqueId val="{00000004-7062-42B7-A21F-3782323EA8D9}"/>
            </c:ext>
          </c:extLst>
        </c:ser>
        <c:ser>
          <c:idx val="7"/>
          <c:order val="6"/>
          <c:tx>
            <c:strRef>
              <c:f>KOPĀ!$AB$81</c:f>
              <c:strCache>
                <c:ptCount val="1"/>
                <c:pt idx="0">
                  <c:v>Igaunija 2025</c:v>
                </c:pt>
              </c:strCache>
            </c:strRef>
          </c:tx>
          <c:spPr>
            <a:ln w="28575" cap="rnd">
              <a:solidFill>
                <a:srgbClr val="0070C0"/>
              </a:solidFill>
              <a:round/>
            </a:ln>
            <a:effectLst/>
          </c:spPr>
          <c:marker>
            <c:symbol val="none"/>
          </c:marker>
          <c:cat>
            <c:numRef>
              <c:f>KOPĀ!$U$83:$U$98</c:f>
              <c:numCache>
                <c:formatCode>#,##0</c:formatCode>
                <c:ptCount val="16"/>
                <c:pt idx="0">
                  <c:v>800</c:v>
                </c:pt>
                <c:pt idx="1">
                  <c:v>1000</c:v>
                </c:pt>
                <c:pt idx="2">
                  <c:v>1200</c:v>
                </c:pt>
                <c:pt idx="3">
                  <c:v>1400</c:v>
                </c:pt>
                <c:pt idx="4">
                  <c:v>1600</c:v>
                </c:pt>
                <c:pt idx="5">
                  <c:v>1800</c:v>
                </c:pt>
                <c:pt idx="6">
                  <c:v>2000</c:v>
                </c:pt>
                <c:pt idx="7">
                  <c:v>2500</c:v>
                </c:pt>
                <c:pt idx="8">
                  <c:v>3000</c:v>
                </c:pt>
                <c:pt idx="9">
                  <c:v>4000</c:v>
                </c:pt>
                <c:pt idx="10">
                  <c:v>5000</c:v>
                </c:pt>
                <c:pt idx="11">
                  <c:v>6000</c:v>
                </c:pt>
                <c:pt idx="12">
                  <c:v>7000</c:v>
                </c:pt>
                <c:pt idx="13">
                  <c:v>8000</c:v>
                </c:pt>
                <c:pt idx="14">
                  <c:v>9000</c:v>
                </c:pt>
                <c:pt idx="15">
                  <c:v>10000</c:v>
                </c:pt>
              </c:numCache>
              <c:extLst/>
            </c:numRef>
          </c:cat>
          <c:val>
            <c:numRef>
              <c:f>KOPĀ!$AB$83:$AB$98</c:f>
              <c:numCache>
                <c:formatCode>0.0%</c:formatCode>
                <c:ptCount val="16"/>
                <c:pt idx="0">
                  <c:v>0.29848096564531107</c:v>
                </c:pt>
                <c:pt idx="1">
                  <c:v>0.32292974588938711</c:v>
                </c:pt>
                <c:pt idx="2">
                  <c:v>0.34211260587942205</c:v>
                </c:pt>
                <c:pt idx="3">
                  <c:v>0.3558146487294469</c:v>
                </c:pt>
                <c:pt idx="4">
                  <c:v>0.36609118086696563</c:v>
                </c:pt>
                <c:pt idx="5">
                  <c:v>0.37408403919614686</c:v>
                </c:pt>
                <c:pt idx="6">
                  <c:v>0.38047832585949182</c:v>
                </c:pt>
                <c:pt idx="7">
                  <c:v>0.39198804185351271</c:v>
                </c:pt>
                <c:pt idx="8">
                  <c:v>0.3996611858495267</c:v>
                </c:pt>
                <c:pt idx="9">
                  <c:v>0.40925261584454414</c:v>
                </c:pt>
                <c:pt idx="10">
                  <c:v>0.41500747384155456</c:v>
                </c:pt>
                <c:pt idx="11">
                  <c:v>0.41884404583956159</c:v>
                </c:pt>
                <c:pt idx="12">
                  <c:v>0.42158445440956649</c:v>
                </c:pt>
                <c:pt idx="13">
                  <c:v>0.42363976083707028</c:v>
                </c:pt>
                <c:pt idx="14">
                  <c:v>0.42523833250290649</c:v>
                </c:pt>
                <c:pt idx="15">
                  <c:v>0.42651718983557552</c:v>
                </c:pt>
              </c:numCache>
              <c:extLst/>
            </c:numRef>
          </c:val>
          <c:smooth val="0"/>
          <c:extLst>
            <c:ext xmlns:c16="http://schemas.microsoft.com/office/drawing/2014/chart" uri="{C3380CC4-5D6E-409C-BE32-E72D297353CC}">
              <c16:uniqueId val="{00000005-7062-42B7-A21F-3782323EA8D9}"/>
            </c:ext>
          </c:extLst>
        </c:ser>
        <c:dLbls>
          <c:showLegendKey val="0"/>
          <c:showVal val="0"/>
          <c:showCatName val="0"/>
          <c:showSerName val="0"/>
          <c:showPercent val="0"/>
          <c:showBubbleSize val="0"/>
        </c:dLbls>
        <c:smooth val="0"/>
        <c:axId val="415693120"/>
        <c:axId val="364578000"/>
        <c:extLst>
          <c:ext xmlns:c15="http://schemas.microsoft.com/office/drawing/2012/chart" uri="{02D57815-91ED-43cb-92C2-25804820EDAC}">
            <c15:filteredLineSeries>
              <c15:ser>
                <c:idx val="0"/>
                <c:order val="4"/>
                <c:tx>
                  <c:strRef>
                    <c:extLst>
                      <c:ext uri="{02D57815-91ED-43cb-92C2-25804820EDAC}">
                        <c15:formulaRef>
                          <c15:sqref>KOPĀ!$Z$81</c15:sqref>
                        </c15:formulaRef>
                      </c:ext>
                    </c:extLst>
                    <c:strCache>
                      <c:ptCount val="1"/>
                      <c:pt idx="0">
                        <c:v>Latvija 2028</c:v>
                      </c:pt>
                    </c:strCache>
                  </c:strRef>
                </c:tx>
                <c:spPr>
                  <a:ln w="38100" cap="rnd">
                    <a:solidFill>
                      <a:srgbClr val="FF0000"/>
                    </a:solidFill>
                    <a:round/>
                  </a:ln>
                  <a:effectLst/>
                </c:spPr>
                <c:marker>
                  <c:symbol val="none"/>
                </c:marker>
                <c:cat>
                  <c:numRef>
                    <c:extLst>
                      <c:ext uri="{02D57815-91ED-43cb-92C2-25804820EDAC}">
                        <c15:formulaRef>
                          <c15:sqref>KOPĀ!$U$83:$U$98</c15:sqref>
                        </c15:formulaRef>
                      </c:ext>
                    </c:extLst>
                    <c:numCache>
                      <c:formatCode>#,##0</c:formatCode>
                      <c:ptCount val="16"/>
                      <c:pt idx="0">
                        <c:v>800</c:v>
                      </c:pt>
                      <c:pt idx="1">
                        <c:v>1000</c:v>
                      </c:pt>
                      <c:pt idx="2">
                        <c:v>1200</c:v>
                      </c:pt>
                      <c:pt idx="3">
                        <c:v>1400</c:v>
                      </c:pt>
                      <c:pt idx="4">
                        <c:v>1600</c:v>
                      </c:pt>
                      <c:pt idx="5">
                        <c:v>1800</c:v>
                      </c:pt>
                      <c:pt idx="6">
                        <c:v>2000</c:v>
                      </c:pt>
                      <c:pt idx="7">
                        <c:v>2500</c:v>
                      </c:pt>
                      <c:pt idx="8">
                        <c:v>3000</c:v>
                      </c:pt>
                      <c:pt idx="9">
                        <c:v>4000</c:v>
                      </c:pt>
                      <c:pt idx="10">
                        <c:v>5000</c:v>
                      </c:pt>
                      <c:pt idx="11">
                        <c:v>6000</c:v>
                      </c:pt>
                      <c:pt idx="12">
                        <c:v>7000</c:v>
                      </c:pt>
                      <c:pt idx="13">
                        <c:v>8000</c:v>
                      </c:pt>
                      <c:pt idx="14">
                        <c:v>9000</c:v>
                      </c:pt>
                      <c:pt idx="15">
                        <c:v>10000</c:v>
                      </c:pt>
                    </c:numCache>
                  </c:numRef>
                </c:cat>
                <c:val>
                  <c:numRef>
                    <c:extLst>
                      <c:ext uri="{02D57815-91ED-43cb-92C2-25804820EDAC}">
                        <c15:formulaRef>
                          <c15:sqref>KOPĀ!$Z$83:$Z$98</c15:sqref>
                        </c15:formulaRef>
                      </c:ext>
                    </c:extLst>
                    <c:numCache>
                      <c:formatCode>0.0%</c:formatCode>
                      <c:ptCount val="16"/>
                      <c:pt idx="0">
                        <c:v>0.27583137794319929</c:v>
                      </c:pt>
                      <c:pt idx="1">
                        <c:v>0.27583137794319923</c:v>
                      </c:pt>
                      <c:pt idx="2">
                        <c:v>0.27651913585241522</c:v>
                      </c:pt>
                      <c:pt idx="3">
                        <c:v>0.30280131309745356</c:v>
                      </c:pt>
                      <c:pt idx="4">
                        <c:v>0.32251294603123232</c:v>
                      </c:pt>
                      <c:pt idx="5">
                        <c:v>0.33784421609083803</c:v>
                      </c:pt>
                      <c:pt idx="6">
                        <c:v>0.35010923213852252</c:v>
                      </c:pt>
                      <c:pt idx="7">
                        <c:v>0.37218626102435476</c:v>
                      </c:pt>
                      <c:pt idx="8">
                        <c:v>0.38690428028157614</c:v>
                      </c:pt>
                      <c:pt idx="9">
                        <c:v>0.40530180435310292</c:v>
                      </c:pt>
                      <c:pt idx="10">
                        <c:v>0.41634031879601913</c:v>
                      </c:pt>
                      <c:pt idx="11">
                        <c:v>0.42369932842462982</c:v>
                      </c:pt>
                      <c:pt idx="12">
                        <c:v>0.4289557638736376</c:v>
                      </c:pt>
                      <c:pt idx="13">
                        <c:v>0.43289809046039318</c:v>
                      </c:pt>
                      <c:pt idx="14">
                        <c:v>0.43492531848822552</c:v>
                      </c:pt>
                      <c:pt idx="15">
                        <c:v>0.43331158085665028</c:v>
                      </c:pt>
                    </c:numCache>
                  </c:numRef>
                </c:val>
                <c:smooth val="0"/>
                <c:extLst>
                  <c:ext xmlns:c16="http://schemas.microsoft.com/office/drawing/2014/chart" uri="{C3380CC4-5D6E-409C-BE32-E72D297353CC}">
                    <c16:uniqueId val="{00000006-7062-42B7-A21F-3782323EA8D9}"/>
                  </c:ext>
                </c:extLst>
              </c15:ser>
            </c15:filteredLineSeries>
          </c:ext>
        </c:extLst>
      </c:lineChart>
      <c:catAx>
        <c:axId val="41569312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Verdana" panose="020B0604030504040204" pitchFamily="34" charset="0"/>
                    <a:cs typeface="Times New Roman" panose="02020603050405020304" pitchFamily="18" charset="0"/>
                  </a:defRPr>
                </a:pPr>
                <a:r>
                  <a:rPr lang="lv-LV" sz="900" b="1"/>
                  <a:t>Bruto</a:t>
                </a:r>
                <a:r>
                  <a:rPr lang="en-US" sz="900" b="1"/>
                  <a:t> </a:t>
                </a:r>
                <a:r>
                  <a:rPr lang="lv-LV" sz="900" b="1"/>
                  <a:t>ienākums</a:t>
                </a:r>
                <a:r>
                  <a:rPr lang="en-US" sz="900" b="1"/>
                  <a:t>, </a:t>
                </a:r>
                <a:r>
                  <a:rPr lang="lv-LV" sz="900" b="0" i="1"/>
                  <a:t>euro</a:t>
                </a:r>
                <a:r>
                  <a:rPr lang="en-US" sz="900" b="0" i="1"/>
                  <a:t> mēnesī</a:t>
                </a:r>
              </a:p>
            </c:rich>
          </c:tx>
          <c:layout>
            <c:manualLayout>
              <c:xMode val="edge"/>
              <c:yMode val="edge"/>
              <c:x val="0.35911310420724596"/>
              <c:y val="0.92987958639701684"/>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Verdana" panose="020B0604030504040204" pitchFamily="34" charset="0"/>
                  <a:cs typeface="Times New Roman" panose="02020603050405020304" pitchFamily="18" charset="0"/>
                </a:defRPr>
              </a:pPr>
              <a:endParaRPr lang="lv-LV"/>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Verdana" panose="020B0604030504040204" pitchFamily="34" charset="0"/>
                <a:cs typeface="Times New Roman" panose="02020603050405020304" pitchFamily="18" charset="0"/>
              </a:defRPr>
            </a:pPr>
            <a:endParaRPr lang="lv-LV"/>
          </a:p>
        </c:txPr>
        <c:crossAx val="364578000"/>
        <c:crosses val="autoZero"/>
        <c:auto val="1"/>
        <c:lblAlgn val="ctr"/>
        <c:lblOffset val="100"/>
        <c:noMultiLvlLbl val="0"/>
      </c:catAx>
      <c:valAx>
        <c:axId val="364578000"/>
        <c:scaling>
          <c:orientation val="minMax"/>
          <c:max val="0.45"/>
          <c:min val="0.26"/>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Verdana" panose="020B0604030504040204" pitchFamily="34" charset="0"/>
                <a:cs typeface="Times New Roman" panose="02020603050405020304" pitchFamily="18" charset="0"/>
              </a:defRPr>
            </a:pPr>
            <a:endParaRPr lang="lv-LV"/>
          </a:p>
        </c:txPr>
        <c:crossAx val="415693120"/>
        <c:crosses val="autoZero"/>
        <c:crossBetween val="between"/>
        <c:majorUnit val="2.0000000000000004E-2"/>
        <c:minorUnit val="2.0000000000000005E-3"/>
      </c:valAx>
      <c:spPr>
        <a:noFill/>
        <a:ln>
          <a:noFill/>
        </a:ln>
        <a:effectLst/>
      </c:spPr>
    </c:plotArea>
    <c:legend>
      <c:legendPos val="b"/>
      <c:layout>
        <c:manualLayout>
          <c:xMode val="edge"/>
          <c:yMode val="edge"/>
          <c:x val="0.43025998126886122"/>
          <c:y val="0.55671990469276444"/>
          <c:w val="0.55603767040133201"/>
          <c:h val="0.28737830643509987"/>
        </c:manualLayout>
      </c:layout>
      <c:overlay val="0"/>
      <c:spPr>
        <a:solidFill>
          <a:schemeClr val="bg1"/>
        </a:solidFill>
        <a:ln>
          <a:solidFill>
            <a:schemeClr val="bg1">
              <a:lumMod val="75000"/>
            </a:schemeClr>
          </a:solid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Verdana" panose="020B0604030504040204" pitchFamily="34" charset="0"/>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bg1">
          <a:lumMod val="75000"/>
        </a:schemeClr>
      </a:solidFill>
      <a:round/>
    </a:ln>
    <a:effectLst/>
  </c:spPr>
  <c:txPr>
    <a:bodyPr/>
    <a:lstStyle/>
    <a:p>
      <a:pPr>
        <a:defRPr sz="700">
          <a:solidFill>
            <a:sysClr val="windowText" lastClr="000000"/>
          </a:solidFill>
          <a:latin typeface="Times New Roman" panose="02020603050405020304" pitchFamily="18" charset="0"/>
          <a:ea typeface="Verdana" panose="020B0604030504040204" pitchFamily="34" charset="0"/>
          <a:cs typeface="Times New Roman" panose="02020603050405020304" pitchFamily="18" charset="0"/>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'[_7B_Sc._Fiksēts NM_IIN_25%_makro_27.03.2024.xlsx]PNM aprēķins'!$P$99</c:f>
              <c:strCache>
                <c:ptCount val="1"/>
                <c:pt idx="0">
                  <c:v>Līdz 500</c:v>
                </c:pt>
              </c:strCache>
            </c:strRef>
          </c:tx>
          <c:spPr>
            <a:solidFill>
              <a:schemeClr val="tx2">
                <a:lumMod val="25000"/>
                <a:lumOff val="75000"/>
              </a:schemeClr>
            </a:solidFill>
            <a:ln w="9525" cap="flat" cmpd="sng" algn="ctr">
              <a:solidFill>
                <a:schemeClr val="tx2">
                  <a:lumMod val="25000"/>
                  <a:lumOff val="75000"/>
                </a:schemeClr>
              </a:solidFill>
              <a:round/>
            </a:ln>
            <a:effectLst/>
          </c:spPr>
          <c:invertIfNegative val="0"/>
          <c:dLbls>
            <c:dLbl>
              <c:idx val="0"/>
              <c:tx>
                <c:rich>
                  <a:bodyPr/>
                  <a:lstStyle/>
                  <a:p>
                    <a:fld id="{03145930-1BA8-4E80-A3FC-10E9E47D7865}" type="CELLRANGE">
                      <a:rPr lang="en-US"/>
                      <a:pPr/>
                      <a:t>[CELLRANGE]</a:t>
                    </a:fld>
                    <a:endParaRPr lang="lv-LV"/>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C299-427F-A4AA-BF458B83179B}"/>
                </c:ext>
              </c:extLst>
            </c:dLbl>
            <c:dLbl>
              <c:idx val="1"/>
              <c:tx>
                <c:rich>
                  <a:bodyPr/>
                  <a:lstStyle/>
                  <a:p>
                    <a:fld id="{EF67E14D-0BAC-4764-9142-D3CC1B9A23E3}" type="CELLRANGE">
                      <a:rPr lang="lv-LV"/>
                      <a:pPr/>
                      <a:t>[CELLRANGE]</a:t>
                    </a:fld>
                    <a:endParaRPr lang="lv-LV"/>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C299-427F-A4AA-BF458B83179B}"/>
                </c:ext>
              </c:extLst>
            </c:dLbl>
            <c:numFmt formatCode="0%" sourceLinked="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Times New Roman" panose="02020603050405020304" pitchFamily="18" charset="0"/>
                    <a:ea typeface="Calibri" panose="020F0502020204030204" pitchFamily="34" charset="0"/>
                    <a:cs typeface="Times New Roman" panose="02020603050405020304" pitchFamily="18" charset="0"/>
                  </a:defRPr>
                </a:pPr>
                <a:endParaRPr lang="lv-LV"/>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numRef>
              <c:f>'[_7B_Sc._Fiksēts NM_IIN_25%_makro_27.03.2024.xlsx]PNM aprēķins'!$Q$98:$R$98</c:f>
              <c:numCache>
                <c:formatCode>General</c:formatCode>
                <c:ptCount val="2"/>
                <c:pt idx="0">
                  <c:v>2023</c:v>
                </c:pt>
                <c:pt idx="1">
                  <c:v>2022</c:v>
                </c:pt>
              </c:numCache>
            </c:numRef>
          </c:cat>
          <c:val>
            <c:numRef>
              <c:f>'[_7B_Sc._Fiksēts NM_IIN_25%_makro_27.03.2024.xlsx]PNM aprēķins'!$Q$99:$R$99</c:f>
              <c:numCache>
                <c:formatCode>#,##0</c:formatCode>
                <c:ptCount val="2"/>
                <c:pt idx="0">
                  <c:v>260057</c:v>
                </c:pt>
                <c:pt idx="1">
                  <c:v>281700</c:v>
                </c:pt>
              </c:numCache>
            </c:numRef>
          </c:val>
          <c:extLst>
            <c:ext xmlns:c15="http://schemas.microsoft.com/office/drawing/2012/chart" uri="{02D57815-91ED-43cb-92C2-25804820EDAC}">
              <c15:datalabelsRange>
                <c15:f>'[_7B_Sc._Fiksēts NM_IIN_25%_makro_27.03.2024.xlsx]PNM aprēķins'!$S$99:$T$99</c15:f>
                <c15:dlblRangeCache>
                  <c:ptCount val="2"/>
                  <c:pt idx="0">
                    <c:v>54%</c:v>
                  </c:pt>
                  <c:pt idx="1">
                    <c:v>59%</c:v>
                  </c:pt>
                </c15:dlblRangeCache>
              </c15:datalabelsRange>
            </c:ext>
            <c:ext xmlns:c16="http://schemas.microsoft.com/office/drawing/2014/chart" uri="{C3380CC4-5D6E-409C-BE32-E72D297353CC}">
              <c16:uniqueId val="{00000002-C299-427F-A4AA-BF458B83179B}"/>
            </c:ext>
          </c:extLst>
        </c:ser>
        <c:ser>
          <c:idx val="1"/>
          <c:order val="1"/>
          <c:tx>
            <c:strRef>
              <c:f>'[_7B_Sc._Fiksēts NM_IIN_25%_makro_27.03.2024.xlsx]PNM aprēķins'!$P$100</c:f>
              <c:strCache>
                <c:ptCount val="1"/>
                <c:pt idx="0">
                  <c:v>No 500 Līdz 700</c:v>
                </c:pt>
              </c:strCache>
            </c:strRef>
          </c:tx>
          <c:spPr>
            <a:solidFill>
              <a:schemeClr val="accent2">
                <a:lumMod val="40000"/>
                <a:lumOff val="60000"/>
              </a:schemeClr>
            </a:solidFill>
            <a:ln w="9525" cap="flat" cmpd="sng" algn="ctr">
              <a:solidFill>
                <a:schemeClr val="accent2">
                  <a:lumMod val="40000"/>
                  <a:lumOff val="60000"/>
                </a:schemeClr>
              </a:solidFill>
              <a:round/>
            </a:ln>
            <a:effectLst/>
          </c:spPr>
          <c:invertIfNegative val="0"/>
          <c:dLbls>
            <c:dLbl>
              <c:idx val="0"/>
              <c:tx>
                <c:rich>
                  <a:bodyPr/>
                  <a:lstStyle/>
                  <a:p>
                    <a:fld id="{0977CE94-5F9E-44C0-BD44-37284133FC0A}" type="CELLRANGE">
                      <a:rPr lang="en-US"/>
                      <a:pPr/>
                      <a:t>[CELLRANGE]</a:t>
                    </a:fld>
                    <a:endParaRPr lang="lv-LV"/>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C299-427F-A4AA-BF458B83179B}"/>
                </c:ext>
              </c:extLst>
            </c:dLbl>
            <c:dLbl>
              <c:idx val="1"/>
              <c:tx>
                <c:rich>
                  <a:bodyPr/>
                  <a:lstStyle/>
                  <a:p>
                    <a:fld id="{2B3DA187-3703-4CFD-9C4C-9A40A202B646}" type="CELLRANGE">
                      <a:rPr lang="lv-LV"/>
                      <a:pPr/>
                      <a:t>[CELLRANGE]</a:t>
                    </a:fld>
                    <a:endParaRPr lang="lv-LV"/>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C299-427F-A4AA-BF458B83179B}"/>
                </c:ext>
              </c:extLst>
            </c:dLbl>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Times New Roman" panose="02020603050405020304" pitchFamily="18" charset="0"/>
                    <a:ea typeface="Calibri" panose="020F0502020204030204" pitchFamily="34" charset="0"/>
                    <a:cs typeface="Times New Roman" panose="02020603050405020304" pitchFamily="18" charset="0"/>
                  </a:defRPr>
                </a:pPr>
                <a:endParaRPr lang="lv-LV"/>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numRef>
              <c:f>'[_7B_Sc._Fiksēts NM_IIN_25%_makro_27.03.2024.xlsx]PNM aprēķins'!$Q$98:$R$98</c:f>
              <c:numCache>
                <c:formatCode>General</c:formatCode>
                <c:ptCount val="2"/>
                <c:pt idx="0">
                  <c:v>2023</c:v>
                </c:pt>
                <c:pt idx="1">
                  <c:v>2022</c:v>
                </c:pt>
              </c:numCache>
            </c:numRef>
          </c:cat>
          <c:val>
            <c:numRef>
              <c:f>'[_7B_Sc._Fiksēts NM_IIN_25%_makro_27.03.2024.xlsx]PNM aprēķins'!$Q$100:$R$100</c:f>
              <c:numCache>
                <c:formatCode>#,##0</c:formatCode>
                <c:ptCount val="2"/>
                <c:pt idx="0">
                  <c:v>119263</c:v>
                </c:pt>
                <c:pt idx="1">
                  <c:v>108934</c:v>
                </c:pt>
              </c:numCache>
            </c:numRef>
          </c:val>
          <c:extLst>
            <c:ext xmlns:c15="http://schemas.microsoft.com/office/drawing/2012/chart" uri="{02D57815-91ED-43cb-92C2-25804820EDAC}">
              <c15:datalabelsRange>
                <c15:f>'[_7B_Sc._Fiksēts NM_IIN_25%_makro_27.03.2024.xlsx]PNM aprēķins'!$S$100:$T$100</c15:f>
                <c15:dlblRangeCache>
                  <c:ptCount val="2"/>
                  <c:pt idx="0">
                    <c:v>25%</c:v>
                  </c:pt>
                  <c:pt idx="1">
                    <c:v>23%</c:v>
                  </c:pt>
                </c15:dlblRangeCache>
              </c15:datalabelsRange>
            </c:ext>
            <c:ext xmlns:c16="http://schemas.microsoft.com/office/drawing/2014/chart" uri="{C3380CC4-5D6E-409C-BE32-E72D297353CC}">
              <c16:uniqueId val="{00000005-C299-427F-A4AA-BF458B83179B}"/>
            </c:ext>
          </c:extLst>
        </c:ser>
        <c:ser>
          <c:idx val="2"/>
          <c:order val="2"/>
          <c:tx>
            <c:strRef>
              <c:f>'[_7B_Sc._Fiksēts NM_IIN_25%_makro_27.03.2024.xlsx]PNM aprēķins'!$P$101</c:f>
              <c:strCache>
                <c:ptCount val="1"/>
                <c:pt idx="0">
                  <c:v>No 700 Līdz 1 000</c:v>
                </c:pt>
              </c:strCache>
            </c:strRef>
          </c:tx>
          <c:spPr>
            <a:solidFill>
              <a:schemeClr val="accent4">
                <a:lumMod val="20000"/>
                <a:lumOff val="80000"/>
              </a:schemeClr>
            </a:solidFill>
            <a:ln w="9525" cap="flat" cmpd="sng" algn="ctr">
              <a:solidFill>
                <a:schemeClr val="accent4">
                  <a:lumMod val="20000"/>
                  <a:lumOff val="80000"/>
                </a:schemeClr>
              </a:solidFill>
              <a:round/>
            </a:ln>
            <a:effectLst/>
          </c:spPr>
          <c:invertIfNegative val="0"/>
          <c:dLbls>
            <c:dLbl>
              <c:idx val="0"/>
              <c:tx>
                <c:rich>
                  <a:bodyPr/>
                  <a:lstStyle/>
                  <a:p>
                    <a:fld id="{9ED59D44-A73B-4944-BFE9-184610068024}" type="CELLRANGE">
                      <a:rPr lang="en-US"/>
                      <a:pPr/>
                      <a:t>[CELLRANGE]</a:t>
                    </a:fld>
                    <a:endParaRPr lang="lv-LV"/>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C299-427F-A4AA-BF458B83179B}"/>
                </c:ext>
              </c:extLst>
            </c:dLbl>
            <c:dLbl>
              <c:idx val="1"/>
              <c:tx>
                <c:rich>
                  <a:bodyPr/>
                  <a:lstStyle/>
                  <a:p>
                    <a:fld id="{EBC28930-6E4C-42FD-B23A-9F7BC36809AE}" type="CELLRANGE">
                      <a:rPr lang="lv-LV"/>
                      <a:pPr/>
                      <a:t>[CELLRANGE]</a:t>
                    </a:fld>
                    <a:endParaRPr lang="lv-LV"/>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C299-427F-A4AA-BF458B83179B}"/>
                </c:ext>
              </c:extLst>
            </c:dLbl>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Times New Roman" panose="02020603050405020304" pitchFamily="18" charset="0"/>
                    <a:ea typeface="Calibri" panose="020F0502020204030204" pitchFamily="34" charset="0"/>
                    <a:cs typeface="Times New Roman" panose="02020603050405020304" pitchFamily="18" charset="0"/>
                  </a:defRPr>
                </a:pPr>
                <a:endParaRPr lang="lv-LV"/>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numRef>
              <c:f>'[_7B_Sc._Fiksēts NM_IIN_25%_makro_27.03.2024.xlsx]PNM aprēķins'!$Q$98:$R$98</c:f>
              <c:numCache>
                <c:formatCode>General</c:formatCode>
                <c:ptCount val="2"/>
                <c:pt idx="0">
                  <c:v>2023</c:v>
                </c:pt>
                <c:pt idx="1">
                  <c:v>2022</c:v>
                </c:pt>
              </c:numCache>
            </c:numRef>
          </c:cat>
          <c:val>
            <c:numRef>
              <c:f>'[_7B_Sc._Fiksēts NM_IIN_25%_makro_27.03.2024.xlsx]PNM aprēķins'!$Q$101:$R$101</c:f>
              <c:numCache>
                <c:formatCode>#,##0</c:formatCode>
                <c:ptCount val="2"/>
                <c:pt idx="0">
                  <c:v>70648</c:v>
                </c:pt>
                <c:pt idx="1">
                  <c:v>56337</c:v>
                </c:pt>
              </c:numCache>
            </c:numRef>
          </c:val>
          <c:extLst>
            <c:ext xmlns:c15="http://schemas.microsoft.com/office/drawing/2012/chart" uri="{02D57815-91ED-43cb-92C2-25804820EDAC}">
              <c15:datalabelsRange>
                <c15:f>'[_7B_Sc._Fiksēts NM_IIN_25%_makro_27.03.2024.xlsx]PNM aprēķins'!$S$101:$T$101</c15:f>
                <c15:dlblRangeCache>
                  <c:ptCount val="2"/>
                  <c:pt idx="0">
                    <c:v>15%</c:v>
                  </c:pt>
                  <c:pt idx="1">
                    <c:v>12%</c:v>
                  </c:pt>
                </c15:dlblRangeCache>
              </c15:datalabelsRange>
            </c:ext>
            <c:ext xmlns:c16="http://schemas.microsoft.com/office/drawing/2014/chart" uri="{C3380CC4-5D6E-409C-BE32-E72D297353CC}">
              <c16:uniqueId val="{00000008-C299-427F-A4AA-BF458B83179B}"/>
            </c:ext>
          </c:extLst>
        </c:ser>
        <c:ser>
          <c:idx val="3"/>
          <c:order val="3"/>
          <c:tx>
            <c:strRef>
              <c:f>'[_7B_Sc._Fiksēts NM_IIN_25%_makro_27.03.2024.xlsx]PNM aprēķins'!$P$102</c:f>
              <c:strCache>
                <c:ptCount val="1"/>
                <c:pt idx="0">
                  <c:v>Virs 1 000</c:v>
                </c:pt>
              </c:strCache>
            </c:strRef>
          </c:tx>
          <c:spPr>
            <a:solidFill>
              <a:schemeClr val="accent6">
                <a:lumMod val="20000"/>
                <a:lumOff val="80000"/>
              </a:schemeClr>
            </a:solidFill>
            <a:ln w="9525" cap="flat" cmpd="sng" algn="ctr">
              <a:solidFill>
                <a:schemeClr val="accent6">
                  <a:lumMod val="20000"/>
                  <a:lumOff val="80000"/>
                </a:schemeClr>
              </a:solidFill>
              <a:round/>
            </a:ln>
            <a:effectLst/>
          </c:spPr>
          <c:invertIfNegative val="0"/>
          <c:dLbls>
            <c:dLbl>
              <c:idx val="0"/>
              <c:tx>
                <c:rich>
                  <a:bodyPr/>
                  <a:lstStyle/>
                  <a:p>
                    <a:fld id="{BF981258-6900-4E6D-B586-B77E83E0FCB5}" type="CELLRANGE">
                      <a:rPr lang="en-US"/>
                      <a:pPr/>
                      <a:t>[CELLRANGE]</a:t>
                    </a:fld>
                    <a:r>
                      <a:rPr lang="en-US"/>
                      <a:t>*</a:t>
                    </a:r>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C299-427F-A4AA-BF458B83179B}"/>
                </c:ext>
              </c:extLst>
            </c:dLbl>
            <c:dLbl>
              <c:idx val="1"/>
              <c:tx>
                <c:rich>
                  <a:bodyPr/>
                  <a:lstStyle/>
                  <a:p>
                    <a:fld id="{724C003F-9114-4958-8958-3113D95D0FC4}" type="CELLRANGE">
                      <a:rPr lang="lv-LV"/>
                      <a:pPr/>
                      <a:t>[CELLRANGE]</a:t>
                    </a:fld>
                    <a:endParaRPr lang="lv-LV"/>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C299-427F-A4AA-BF458B83179B}"/>
                </c:ext>
              </c:extLst>
            </c:dLbl>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Times New Roman" panose="02020603050405020304" pitchFamily="18" charset="0"/>
                    <a:ea typeface="Calibri" panose="020F0502020204030204" pitchFamily="34" charset="0"/>
                    <a:cs typeface="Times New Roman" panose="02020603050405020304" pitchFamily="18" charset="0"/>
                  </a:defRPr>
                </a:pPr>
                <a:endParaRPr lang="lv-LV"/>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numRef>
              <c:f>'[_7B_Sc._Fiksēts NM_IIN_25%_makro_27.03.2024.xlsx]PNM aprēķins'!$Q$98:$R$98</c:f>
              <c:numCache>
                <c:formatCode>General</c:formatCode>
                <c:ptCount val="2"/>
                <c:pt idx="0">
                  <c:v>2023</c:v>
                </c:pt>
                <c:pt idx="1">
                  <c:v>2022</c:v>
                </c:pt>
              </c:numCache>
            </c:numRef>
          </c:cat>
          <c:val>
            <c:numRef>
              <c:f>'[_7B_Sc._Fiksēts NM_IIN_25%_makro_27.03.2024.xlsx]PNM aprēķins'!$Q$102:$R$102</c:f>
              <c:numCache>
                <c:formatCode>#,##0</c:formatCode>
                <c:ptCount val="2"/>
                <c:pt idx="0">
                  <c:v>33569</c:v>
                </c:pt>
                <c:pt idx="1">
                  <c:v>26641</c:v>
                </c:pt>
              </c:numCache>
            </c:numRef>
          </c:val>
          <c:extLst>
            <c:ext xmlns:c15="http://schemas.microsoft.com/office/drawing/2012/chart" uri="{02D57815-91ED-43cb-92C2-25804820EDAC}">
              <c15:datalabelsRange>
                <c15:f>'[_7B_Sc._Fiksēts NM_IIN_25%_makro_27.03.2024.xlsx]PNM aprēķins'!$S$102:$T$102</c15:f>
                <c15:dlblRangeCache>
                  <c:ptCount val="2"/>
                  <c:pt idx="0">
                    <c:v>7%</c:v>
                  </c:pt>
                  <c:pt idx="1">
                    <c:v>6%</c:v>
                  </c:pt>
                </c15:dlblRangeCache>
              </c15:datalabelsRange>
            </c:ext>
            <c:ext xmlns:c16="http://schemas.microsoft.com/office/drawing/2014/chart" uri="{C3380CC4-5D6E-409C-BE32-E72D297353CC}">
              <c16:uniqueId val="{0000000B-C299-427F-A4AA-BF458B83179B}"/>
            </c:ext>
          </c:extLst>
        </c:ser>
        <c:dLbls>
          <c:dLblPos val="ctr"/>
          <c:showLegendKey val="0"/>
          <c:showVal val="1"/>
          <c:showCatName val="0"/>
          <c:showSerName val="0"/>
          <c:showPercent val="0"/>
          <c:showBubbleSize val="0"/>
        </c:dLbls>
        <c:gapWidth val="150"/>
        <c:overlap val="100"/>
        <c:axId val="870273951"/>
        <c:axId val="870267711"/>
      </c:barChart>
      <c:catAx>
        <c:axId val="870273951"/>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1" i="0" u="none" strike="noStrike" kern="1200" cap="all" baseline="0">
                <a:solidFill>
                  <a:sysClr val="windowText" lastClr="000000"/>
                </a:solidFill>
                <a:latin typeface="Times New Roman" panose="02020603050405020304" pitchFamily="18" charset="0"/>
                <a:ea typeface="Calibri" panose="020F0502020204030204" pitchFamily="34" charset="0"/>
                <a:cs typeface="Times New Roman" panose="02020603050405020304" pitchFamily="18" charset="0"/>
              </a:defRPr>
            </a:pPr>
            <a:endParaRPr lang="lv-LV"/>
          </a:p>
        </c:txPr>
        <c:crossAx val="870267711"/>
        <c:crosses val="autoZero"/>
        <c:auto val="1"/>
        <c:lblAlgn val="ctr"/>
        <c:lblOffset val="100"/>
        <c:noMultiLvlLbl val="0"/>
      </c:catAx>
      <c:valAx>
        <c:axId val="870267711"/>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Times New Roman" panose="02020603050405020304" pitchFamily="18" charset="0"/>
                <a:ea typeface="Calibri" panose="020F0502020204030204" pitchFamily="34" charset="0"/>
                <a:cs typeface="Times New Roman" panose="02020603050405020304" pitchFamily="18" charset="0"/>
              </a:defRPr>
            </a:pPr>
            <a:endParaRPr lang="lv-LV"/>
          </a:p>
        </c:txPr>
        <c:crossAx val="870273951"/>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Times New Roman" panose="02020603050405020304" pitchFamily="18" charset="0"/>
              <a:ea typeface="Calibri" panose="020F0502020204030204" pitchFamily="34" charset="0"/>
              <a:cs typeface="Times New Roman" panose="02020603050405020304" pitchFamily="18" charset="0"/>
            </a:defRPr>
          </a:pPr>
          <a:endParaRPr lang="lv-LV"/>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sz="700" b="1">
          <a:solidFill>
            <a:sysClr val="windowText" lastClr="000000"/>
          </a:solidFill>
          <a:latin typeface="+mn-lt"/>
          <a:ea typeface="Calibri" panose="020F0502020204030204" pitchFamily="34" charset="0"/>
          <a:cs typeface="Calibri" panose="020F0502020204030204" pitchFamily="34" charset="0"/>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percentStacked"/>
        <c:varyColors val="0"/>
        <c:ser>
          <c:idx val="0"/>
          <c:order val="0"/>
          <c:tx>
            <c:strRef>
              <c:f>Sheet1!$A$2</c:f>
              <c:strCache>
                <c:ptCount val="1"/>
                <c:pt idx="0">
                  <c:v>PVN</c:v>
                </c:pt>
              </c:strCache>
            </c:strRef>
          </c:tx>
          <c:spPr>
            <a:solidFill>
              <a:schemeClr val="accent1"/>
            </a:solidFill>
            <a:ln>
              <a:noFill/>
            </a:ln>
            <a:effectLst/>
            <a:sp3d/>
          </c:spPr>
          <c:invertIfNegative val="0"/>
          <c:dLbls>
            <c:dLbl>
              <c:idx val="2"/>
              <c:layout>
                <c:manualLayout>
                  <c:x val="7.1415744978684994E-3"/>
                  <c:y val="5.76140349603778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89-4C1F-B4FD-1AFD18771CBD}"/>
                </c:ext>
              </c:extLst>
            </c:dLbl>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2024</c:v>
                </c:pt>
                <c:pt idx="1">
                  <c:v>2025</c:v>
                </c:pt>
                <c:pt idx="2">
                  <c:v>2026</c:v>
                </c:pt>
                <c:pt idx="3">
                  <c:v>2027</c:v>
                </c:pt>
              </c:strCache>
            </c:strRef>
          </c:cat>
          <c:val>
            <c:numRef>
              <c:f>Sheet1!$B$2:$E$2</c:f>
              <c:numCache>
                <c:formatCode>0.0%</c:formatCode>
                <c:ptCount val="4"/>
                <c:pt idx="0">
                  <c:v>0.17355371900826447</c:v>
                </c:pt>
                <c:pt idx="1">
                  <c:v>0.17355371900826444</c:v>
                </c:pt>
                <c:pt idx="2">
                  <c:v>0.17355371900826447</c:v>
                </c:pt>
                <c:pt idx="3">
                  <c:v>0.17355371900826444</c:v>
                </c:pt>
              </c:numCache>
            </c:numRef>
          </c:val>
          <c:extLst>
            <c:ext xmlns:c16="http://schemas.microsoft.com/office/drawing/2014/chart" uri="{C3380CC4-5D6E-409C-BE32-E72D297353CC}">
              <c16:uniqueId val="{00000001-5D89-4C1F-B4FD-1AFD18771CBD}"/>
            </c:ext>
          </c:extLst>
        </c:ser>
        <c:ser>
          <c:idx val="1"/>
          <c:order val="1"/>
          <c:tx>
            <c:strRef>
              <c:f>Sheet1!$A$3</c:f>
              <c:strCache>
                <c:ptCount val="1"/>
                <c:pt idx="0">
                  <c:v>AN</c:v>
                </c:pt>
              </c:strCache>
            </c:strRef>
          </c:tx>
          <c:spPr>
            <a:solidFill>
              <a:schemeClr val="accent2"/>
            </a:solidFill>
            <a:ln>
              <a:noFill/>
            </a:ln>
            <a:effectLst/>
            <a:sp3d/>
          </c:spPr>
          <c:invertIfNegative val="0"/>
          <c:dLbls>
            <c:dLbl>
              <c:idx val="0"/>
              <c:layout>
                <c:manualLayout>
                  <c:x val="9.7090086782333201E-3"/>
                  <c:y val="-4.433706479703696E-2"/>
                </c:manualLayout>
              </c:layout>
              <c:tx>
                <c:rich>
                  <a:bodyPr/>
                  <a:lstStyle/>
                  <a:p>
                    <a:fld id="{E2BBF661-7493-4F0B-8D9F-7DB56022453A}" type="VALUE">
                      <a:rPr lang="en-US">
                        <a:solidFill>
                          <a:schemeClr val="tx1"/>
                        </a:solidFill>
                      </a:rPr>
                      <a:pPr/>
                      <a:t>[VALUE]</a:t>
                    </a:fld>
                    <a:endParaRPr lang="lv-LV"/>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D89-4C1F-B4FD-1AFD18771CBD}"/>
                </c:ext>
              </c:extLst>
            </c:dLbl>
            <c:dLbl>
              <c:idx val="1"/>
              <c:layout>
                <c:manualLayout>
                  <c:x val="1.0298023168768145E-2"/>
                  <c:y val="-3.19372721797439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89-4C1F-B4FD-1AFD18771CBD}"/>
                </c:ext>
              </c:extLst>
            </c:dLbl>
            <c:dLbl>
              <c:idx val="2"/>
              <c:layout>
                <c:manualLayout>
                  <c:x val="8.5593600759750095E-3"/>
                  <c:y val="-3.81373780505438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D89-4C1F-B4FD-1AFD18771CBD}"/>
                </c:ext>
              </c:extLst>
            </c:dLbl>
            <c:dLbl>
              <c:idx val="3"/>
              <c:layout>
                <c:manualLayout>
                  <c:x val="6.1788139012609322E-3"/>
                  <c:y val="-3.7260150876367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D89-4C1F-B4FD-1AFD18771CBD}"/>
                </c:ext>
              </c:extLst>
            </c:dLbl>
            <c:spPr>
              <a:noFill/>
              <a:ln>
                <a:noFill/>
              </a:ln>
              <a:effectLst/>
            </c:spPr>
            <c:txPr>
              <a:bodyPr rot="0" spcFirstLastPara="1" vertOverflow="ellipsis" vert="horz" wrap="square" anchor="ctr" anchorCtr="1"/>
              <a:lstStyle/>
              <a:p>
                <a:pPr>
                  <a:defRPr sz="900" b="1" i="0" u="none" strike="noStrike" kern="1200" baseline="0">
                    <a:solidFill>
                      <a:schemeClr val="accent2">
                        <a:lumMod val="7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2024</c:v>
                </c:pt>
                <c:pt idx="1">
                  <c:v>2025</c:v>
                </c:pt>
                <c:pt idx="2">
                  <c:v>2026</c:v>
                </c:pt>
                <c:pt idx="3">
                  <c:v>2027</c:v>
                </c:pt>
              </c:strCache>
            </c:strRef>
          </c:cat>
          <c:val>
            <c:numRef>
              <c:f>Sheet1!$B$3:$E$3</c:f>
              <c:numCache>
                <c:formatCode>0.0%</c:formatCode>
                <c:ptCount val="4"/>
                <c:pt idx="0">
                  <c:v>2.9871552325002493E-2</c:v>
                </c:pt>
                <c:pt idx="1">
                  <c:v>6.5700750371727942E-2</c:v>
                </c:pt>
                <c:pt idx="2">
                  <c:v>9.8445552991007546E-2</c:v>
                </c:pt>
                <c:pt idx="3">
                  <c:v>5.1762932810304696E-2</c:v>
                </c:pt>
              </c:numCache>
            </c:numRef>
          </c:val>
          <c:extLst>
            <c:ext xmlns:c16="http://schemas.microsoft.com/office/drawing/2014/chart" uri="{C3380CC4-5D6E-409C-BE32-E72D297353CC}">
              <c16:uniqueId val="{00000006-5D89-4C1F-B4FD-1AFD18771CBD}"/>
            </c:ext>
          </c:extLst>
        </c:ser>
        <c:ser>
          <c:idx val="2"/>
          <c:order val="2"/>
          <c:tx>
            <c:strRef>
              <c:f>Sheet1!$A$4</c:f>
              <c:strCache>
                <c:ptCount val="1"/>
                <c:pt idx="0">
                  <c:v>Cena pirms nodokļiem</c:v>
                </c:pt>
              </c:strCache>
            </c:strRef>
          </c:tx>
          <c:spPr>
            <a:solidFill>
              <a:schemeClr val="bg1">
                <a:lumMod val="75000"/>
              </a:schemeClr>
            </a:solidFill>
            <a:ln>
              <a:noFill/>
            </a:ln>
            <a:effectLst/>
            <a:sp3d/>
          </c:spPr>
          <c:invertIfNegative val="0"/>
          <c:dLbls>
            <c:dLbl>
              <c:idx val="0"/>
              <c:layout>
                <c:manualLayout>
                  <c:x val="1.029802316876822E-2"/>
                  <c:y val="-6.38745443594879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D89-4C1F-B4FD-1AFD18771CBD}"/>
                </c:ext>
              </c:extLst>
            </c:dLbl>
            <c:dLbl>
              <c:idx val="1"/>
              <c:layout>
                <c:manualLayout>
                  <c:x val="8.2384185350145769E-3"/>
                  <c:y val="-9.04889378426079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D89-4C1F-B4FD-1AFD18771CBD}"/>
                </c:ext>
              </c:extLst>
            </c:dLbl>
            <c:dLbl>
              <c:idx val="2"/>
              <c:layout>
                <c:manualLayout>
                  <c:x val="4.1192092675072884E-3"/>
                  <c:y val="-8.51660591459839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D89-4C1F-B4FD-1AFD18771CBD}"/>
                </c:ext>
              </c:extLst>
            </c:dLbl>
            <c:dLbl>
              <c:idx val="3"/>
              <c:layout>
                <c:manualLayout>
                  <c:x val="4.1192092675072884E-3"/>
                  <c:y val="-8.51660591459839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D89-4C1F-B4FD-1AFD18771CBD}"/>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2024</c:v>
                </c:pt>
                <c:pt idx="1">
                  <c:v>2025</c:v>
                </c:pt>
                <c:pt idx="2">
                  <c:v>2026</c:v>
                </c:pt>
                <c:pt idx="3">
                  <c:v>2027</c:v>
                </c:pt>
              </c:strCache>
            </c:strRef>
          </c:cat>
          <c:val>
            <c:numRef>
              <c:f>Sheet1!$B$4:$E$4</c:f>
              <c:numCache>
                <c:formatCode>0.0%</c:formatCode>
                <c:ptCount val="4"/>
                <c:pt idx="0">
                  <c:v>0.79657472866673307</c:v>
                </c:pt>
                <c:pt idx="1">
                  <c:v>0.7607455306200076</c:v>
                </c:pt>
                <c:pt idx="2">
                  <c:v>0.72800072800072801</c:v>
                </c:pt>
                <c:pt idx="3">
                  <c:v>0.77468334818143081</c:v>
                </c:pt>
              </c:numCache>
            </c:numRef>
          </c:val>
          <c:extLst>
            <c:ext xmlns:c16="http://schemas.microsoft.com/office/drawing/2014/chart" uri="{C3380CC4-5D6E-409C-BE32-E72D297353CC}">
              <c16:uniqueId val="{0000000B-5D89-4C1F-B4FD-1AFD18771CBD}"/>
            </c:ext>
          </c:extLst>
        </c:ser>
        <c:dLbls>
          <c:showLegendKey val="0"/>
          <c:showVal val="1"/>
          <c:showCatName val="0"/>
          <c:showSerName val="0"/>
          <c:showPercent val="0"/>
          <c:showBubbleSize val="0"/>
        </c:dLbls>
        <c:gapWidth val="150"/>
        <c:shape val="box"/>
        <c:axId val="1399964912"/>
        <c:axId val="1399965872"/>
        <c:axId val="0"/>
      </c:bar3DChart>
      <c:catAx>
        <c:axId val="1399964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399965872"/>
        <c:crosses val="autoZero"/>
        <c:auto val="1"/>
        <c:lblAlgn val="ctr"/>
        <c:lblOffset val="100"/>
        <c:noMultiLvlLbl val="0"/>
      </c:catAx>
      <c:valAx>
        <c:axId val="139996587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399964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0.68985</cdr:x>
      <cdr:y>0.1088</cdr:y>
    </cdr:from>
    <cdr:to>
      <cdr:x>0.92274</cdr:x>
      <cdr:y>0.18287</cdr:y>
    </cdr:to>
    <cdr:sp macro="" textlink="">
      <cdr:nvSpPr>
        <cdr:cNvPr id="2" name="TextBox 4">
          <a:extLst xmlns:a="http://schemas.openxmlformats.org/drawingml/2006/main">
            <a:ext uri="{FF2B5EF4-FFF2-40B4-BE49-F238E27FC236}">
              <a16:creationId xmlns:a16="http://schemas.microsoft.com/office/drawing/2014/main" id="{33DF06F3-A63B-136B-E107-7ED4DA933F6B}"/>
            </a:ext>
          </a:extLst>
        </cdr:cNvPr>
        <cdr:cNvSpPr txBox="1"/>
      </cdr:nvSpPr>
      <cdr:spPr>
        <a:xfrm xmlns:a="http://schemas.openxmlformats.org/drawingml/2006/main">
          <a:off x="3968750" y="298450"/>
          <a:ext cx="1339850" cy="2032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lv-LV" sz="1000" b="1">
              <a:solidFill>
                <a:srgbClr val="002060"/>
              </a:solidFill>
              <a:latin typeface="Times New Roman" panose="02020603050405020304" pitchFamily="18" charset="0"/>
              <a:cs typeface="Times New Roman" panose="02020603050405020304" pitchFamily="18" charset="0"/>
            </a:rPr>
            <a:t>ES-27</a:t>
          </a:r>
          <a:r>
            <a:rPr lang="lv-LV" sz="1000" b="1" baseline="0">
              <a:solidFill>
                <a:srgbClr val="002060"/>
              </a:solidFill>
              <a:latin typeface="Times New Roman" panose="02020603050405020304" pitchFamily="18" charset="0"/>
              <a:cs typeface="Times New Roman" panose="02020603050405020304" pitchFamily="18" charset="0"/>
            </a:rPr>
            <a:t> vidēji - 38,6%</a:t>
          </a:r>
          <a:endParaRPr lang="lv-LV" sz="1000" b="1">
            <a:solidFill>
              <a:srgbClr val="002060"/>
            </a:solidFill>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1DFFD-945B-451B-976F-BC7894B9E10D}">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324</TotalTime>
  <Pages>38</Pages>
  <Words>57336</Words>
  <Characters>32683</Characters>
  <Application>Microsoft Office Word</Application>
  <DocSecurity>0</DocSecurity>
  <Lines>272</Lines>
  <Paragraphs>179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ziņojums "Par valsts budžeta ieņēmumu un nodokļu politikas pārskatīšanu 2024. – 2027. gadā"</vt:lpstr>
      <vt:lpstr/>
    </vt:vector>
  </TitlesOfParts>
  <Company/>
  <LinksUpToDate>false</LinksUpToDate>
  <CharactersWithSpaces>89840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valsts budžeta ieņēmumu un nodokļu politikas pārskatīšanu 2024. – 2027. gadā"</dc:title>
  <dc:subject>Nodokļu politika</dc:subject>
  <dc:creator>Ieva Kodoliņa-Miglāne</dc:creator>
  <cp:keywords/>
  <cp:lastModifiedBy>Madara Jaunzeme</cp:lastModifiedBy>
  <cp:revision>42</cp:revision>
  <cp:lastPrinted>2024-09-17T11:04:00Z</cp:lastPrinted>
  <dcterms:created xsi:type="dcterms:W3CDTF">2024-09-13T11:32:00Z</dcterms:created>
  <dcterms:modified xsi:type="dcterms:W3CDTF">2024-09-19T05:41:00Z</dcterms:modified>
  <cp:contentStatus/>
</cp:coreProperties>
</file>