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F7DD2" w14:textId="04C5C4BD" w:rsidR="001D1E0E" w:rsidRPr="00E5538F" w:rsidRDefault="001D1E0E" w:rsidP="00D64C19">
      <w:pPr>
        <w:keepNext/>
        <w:keepLines/>
        <w:spacing w:before="120" w:after="240" w:line="259" w:lineRule="auto"/>
        <w:ind w:firstLine="0"/>
        <w:jc w:val="center"/>
        <w:outlineLvl w:val="1"/>
        <w:rPr>
          <w:rFonts w:eastAsia="Times New Roman" w:cs="Times New Roman"/>
          <w:color w:val="000000"/>
          <w:sz w:val="28"/>
          <w:szCs w:val="28"/>
          <w:lang w:eastAsia="lv-LV"/>
        </w:rPr>
      </w:pPr>
      <w:bookmarkStart w:id="0" w:name="_Toc179372478"/>
      <w:r w:rsidRPr="00E5538F">
        <w:rPr>
          <w:rFonts w:eastAsia="Times New Roman" w:cs="Times New Roman"/>
          <w:b/>
          <w:bCs/>
          <w:color w:val="000000"/>
          <w:sz w:val="28"/>
          <w:szCs w:val="28"/>
          <w:lang w:eastAsia="lv-LV"/>
        </w:rPr>
        <w:t>EK tehniskā informācija</w:t>
      </w:r>
      <w:r w:rsidRPr="00E5538F">
        <w:rPr>
          <w:rStyle w:val="FootnoteReference"/>
          <w:rFonts w:ascii="Times New Roman" w:eastAsia="Times New Roman" w:hAnsi="Times New Roman" w:cs="Times New Roman"/>
          <w:b/>
          <w:bCs/>
          <w:color w:val="000000"/>
          <w:sz w:val="28"/>
          <w:szCs w:val="28"/>
          <w:lang w:eastAsia="lv-LV"/>
        </w:rPr>
        <w:footnoteReference w:id="1"/>
      </w:r>
      <w:r w:rsidRPr="00E5538F">
        <w:rPr>
          <w:rFonts w:eastAsia="Times New Roman" w:cs="Times New Roman"/>
          <w:b/>
          <w:bCs/>
          <w:color w:val="000000"/>
          <w:sz w:val="28"/>
          <w:szCs w:val="28"/>
          <w:lang w:eastAsia="lv-LV"/>
        </w:rPr>
        <w:t xml:space="preserve"> </w:t>
      </w:r>
      <w:r w:rsidRPr="00D64C19">
        <w:rPr>
          <w:rFonts w:eastAsia="Times New Roman" w:cs="Times New Roman"/>
          <w:color w:val="000000"/>
          <w:sz w:val="22"/>
          <w:lang w:eastAsia="lv-LV"/>
        </w:rPr>
        <w:t>(tulkojums no angļu valodas)</w:t>
      </w:r>
      <w:bookmarkEnd w:id="0"/>
    </w:p>
    <w:p w14:paraId="282AD654" w14:textId="77777777" w:rsidR="001D1E0E" w:rsidRPr="009F79C4" w:rsidRDefault="001D1E0E" w:rsidP="001D1E0E">
      <w:pPr>
        <w:spacing w:after="240"/>
        <w:rPr>
          <w:rFonts w:cs="Times New Roman"/>
          <w:szCs w:val="24"/>
        </w:rPr>
      </w:pPr>
      <w:r w:rsidRPr="009F79C4">
        <w:rPr>
          <w:rFonts w:cs="Times New Roman"/>
          <w:szCs w:val="24"/>
        </w:rPr>
        <w:t>Eiropas Komisija 2024. gada 21. jūnijā Latvijai ir sniegusi tehnisko informāciju – trīs sākotnējo norādījumu tabulas Fiskāli strukturālajam plānam.</w:t>
      </w:r>
    </w:p>
    <w:p w14:paraId="0BFFFD19" w14:textId="74276FA4" w:rsidR="001D1E0E" w:rsidRPr="009F79C4" w:rsidRDefault="001D1E0E" w:rsidP="00E5538F">
      <w:pPr>
        <w:spacing w:after="240"/>
        <w:rPr>
          <w:rFonts w:cs="Times New Roman"/>
          <w:szCs w:val="24"/>
        </w:rPr>
      </w:pPr>
      <w:r w:rsidRPr="009F79C4">
        <w:rPr>
          <w:rFonts w:cs="Times New Roman"/>
          <w:szCs w:val="24"/>
        </w:rPr>
        <w:t>Saskaņā ar Regulas (ES) 2024/1263</w:t>
      </w:r>
      <w:r w:rsidRPr="001F2116">
        <w:rPr>
          <w:rStyle w:val="FootnoteReference"/>
          <w:rFonts w:ascii="Times New Roman" w:hAnsi="Times New Roman" w:cs="Times New Roman"/>
          <w:sz w:val="24"/>
          <w:szCs w:val="24"/>
        </w:rPr>
        <w:footnoteReference w:id="2"/>
      </w:r>
      <w:r w:rsidRPr="009F79C4">
        <w:rPr>
          <w:rFonts w:cs="Times New Roman"/>
          <w:szCs w:val="24"/>
        </w:rPr>
        <w:t xml:space="preserve"> 9. panta 3. punktu, 1. un 2. tabulā ir norādīts minimālais strukturālās primārās bilances līmenis, kas nepieciešams, lai nodrošinātu, ka nominālais budžeta deficīts tiek saglabāts zem 3 % no IKP un vispārējās valdības parāds tiek saglabāts zem 60 % no IKP, pieņemot, ka nepastāv jebkādi papildu politikas pasākumi pēc 4 gadu (1. tabula) vai 7 gadu (2. tabula) korekcijas perioda. Šo minimālo līmeņu sasniegšana līdz korekcijas perioda beigām nozīmē zināmas fiskālas korekcijas. 1. un 2. tabulā ir norādīta arī deficīta noturības nosacījumu ietekme, ja tāda ir, kas aprakstīta Regulas (ES) 2024/1263 8. pantā.  Galvenie sākotnējie nosacījumi un pamatā esošie pieņēmumi apkopoti 3. tabulā. </w:t>
      </w:r>
    </w:p>
    <w:p w14:paraId="769D64D9" w14:textId="77777777" w:rsidR="001D1E0E" w:rsidRPr="009F79C4" w:rsidRDefault="001D1E0E" w:rsidP="00CD5109">
      <w:pPr>
        <w:spacing w:after="0" w:line="240" w:lineRule="auto"/>
        <w:ind w:firstLine="0"/>
        <w:jc w:val="right"/>
        <w:rPr>
          <w:rFonts w:cs="Times New Roman"/>
          <w:i/>
          <w:iCs/>
          <w:szCs w:val="24"/>
        </w:rPr>
      </w:pPr>
      <w:r w:rsidRPr="009F79C4">
        <w:rPr>
          <w:rFonts w:cs="Times New Roman"/>
          <w:i/>
          <w:iCs/>
          <w:szCs w:val="24"/>
        </w:rPr>
        <w:t xml:space="preserve">1. tabula. </w:t>
      </w:r>
      <w:r w:rsidRPr="009F79C4">
        <w:rPr>
          <w:rFonts w:cs="Times New Roman"/>
          <w:b/>
          <w:bCs/>
          <w:i/>
          <w:iCs/>
          <w:szCs w:val="24"/>
        </w:rPr>
        <w:t>Tehniskā informācija plānam bez pagarinājuma</w:t>
      </w:r>
    </w:p>
    <w:tbl>
      <w:tblPr>
        <w:tblStyle w:val="TableGrid"/>
        <w:tblW w:w="9073" w:type="dxa"/>
        <w:tblLook w:val="04A0" w:firstRow="1" w:lastRow="0" w:firstColumn="1" w:lastColumn="0" w:noHBand="0" w:noVBand="1"/>
      </w:tblPr>
      <w:tblGrid>
        <w:gridCol w:w="4673"/>
        <w:gridCol w:w="2009"/>
        <w:gridCol w:w="2391"/>
      </w:tblGrid>
      <w:tr w:rsidR="001D1E0E" w:rsidRPr="00EB585D" w14:paraId="7A77BCFA" w14:textId="77777777" w:rsidTr="00E5538F">
        <w:trPr>
          <w:trHeight w:val="626"/>
        </w:trPr>
        <w:tc>
          <w:tcPr>
            <w:tcW w:w="4673" w:type="dxa"/>
            <w:shd w:val="clear" w:color="auto" w:fill="9CC2E5" w:themeFill="accent5" w:themeFillTint="99"/>
            <w:noWrap/>
            <w:vAlign w:val="center"/>
            <w:hideMark/>
          </w:tcPr>
          <w:p w14:paraId="0F32BE97" w14:textId="77777777" w:rsidR="001D1E0E" w:rsidRPr="001D1E0E" w:rsidRDefault="001D1E0E" w:rsidP="00E5538F">
            <w:pPr>
              <w:spacing w:after="0" w:line="240" w:lineRule="auto"/>
              <w:ind w:firstLine="0"/>
              <w:jc w:val="center"/>
              <w:rPr>
                <w:rFonts w:eastAsia="Times New Roman" w:cs="Times New Roman"/>
                <w:b/>
                <w:bCs/>
                <w:color w:val="000000"/>
                <w:sz w:val="20"/>
                <w:szCs w:val="20"/>
                <w:lang w:eastAsia="lv-LV"/>
              </w:rPr>
            </w:pPr>
            <w:r w:rsidRPr="001D1E0E">
              <w:rPr>
                <w:rFonts w:eastAsia="Times New Roman" w:cs="Times New Roman"/>
                <w:b/>
                <w:bCs/>
                <w:color w:val="000000"/>
                <w:sz w:val="20"/>
                <w:szCs w:val="20"/>
                <w:lang w:eastAsia="lv-LV"/>
              </w:rPr>
              <w:t>Plānam bez pagarinājuma (4 gadi)</w:t>
            </w:r>
          </w:p>
        </w:tc>
        <w:tc>
          <w:tcPr>
            <w:tcW w:w="2009" w:type="dxa"/>
            <w:shd w:val="clear" w:color="auto" w:fill="9CC2E5" w:themeFill="accent5" w:themeFillTint="99"/>
            <w:vAlign w:val="center"/>
            <w:hideMark/>
          </w:tcPr>
          <w:p w14:paraId="28C64DBF" w14:textId="77777777" w:rsidR="001D1E0E" w:rsidRPr="001D1E0E" w:rsidRDefault="001D1E0E" w:rsidP="00E5538F">
            <w:pPr>
              <w:spacing w:after="0" w:line="240" w:lineRule="auto"/>
              <w:ind w:firstLine="0"/>
              <w:jc w:val="center"/>
              <w:rPr>
                <w:rFonts w:eastAsia="Times New Roman" w:cs="Times New Roman"/>
                <w:b/>
                <w:bCs/>
                <w:color w:val="000000"/>
                <w:sz w:val="20"/>
                <w:szCs w:val="20"/>
                <w:lang w:eastAsia="lv-LV"/>
              </w:rPr>
            </w:pPr>
            <w:r w:rsidRPr="001D1E0E">
              <w:rPr>
                <w:rFonts w:eastAsia="Times New Roman" w:cs="Times New Roman"/>
                <w:b/>
                <w:bCs/>
                <w:color w:val="000000"/>
                <w:sz w:val="20"/>
                <w:szCs w:val="20"/>
                <w:lang w:eastAsia="lv-LV"/>
              </w:rPr>
              <w:t>Ar deficīta noturības nosacījumu</w:t>
            </w:r>
          </w:p>
        </w:tc>
        <w:tc>
          <w:tcPr>
            <w:tcW w:w="2391" w:type="dxa"/>
            <w:shd w:val="clear" w:color="auto" w:fill="9CC2E5" w:themeFill="accent5" w:themeFillTint="99"/>
            <w:vAlign w:val="center"/>
            <w:hideMark/>
          </w:tcPr>
          <w:p w14:paraId="5AA15647" w14:textId="77777777" w:rsidR="001D1E0E" w:rsidRPr="001D1E0E" w:rsidRDefault="001D1E0E" w:rsidP="00E5538F">
            <w:pPr>
              <w:spacing w:after="0" w:line="240" w:lineRule="auto"/>
              <w:ind w:firstLine="0"/>
              <w:jc w:val="center"/>
              <w:rPr>
                <w:rFonts w:eastAsia="Times New Roman" w:cs="Times New Roman"/>
                <w:b/>
                <w:bCs/>
                <w:color w:val="000000"/>
                <w:sz w:val="20"/>
                <w:szCs w:val="20"/>
                <w:lang w:eastAsia="lv-LV"/>
              </w:rPr>
            </w:pPr>
            <w:r w:rsidRPr="001D1E0E">
              <w:rPr>
                <w:rFonts w:eastAsia="Times New Roman" w:cs="Times New Roman"/>
                <w:b/>
                <w:bCs/>
                <w:color w:val="000000"/>
                <w:sz w:val="20"/>
                <w:szCs w:val="20"/>
                <w:lang w:eastAsia="lv-LV"/>
              </w:rPr>
              <w:t>Bez deficīta noturības nosacījuma</w:t>
            </w:r>
          </w:p>
        </w:tc>
      </w:tr>
      <w:tr w:rsidR="001D1E0E" w:rsidRPr="00EB585D" w14:paraId="3521D099" w14:textId="77777777" w:rsidTr="00E5538F">
        <w:trPr>
          <w:trHeight w:val="626"/>
        </w:trPr>
        <w:tc>
          <w:tcPr>
            <w:tcW w:w="4673" w:type="dxa"/>
            <w:vAlign w:val="center"/>
            <w:hideMark/>
          </w:tcPr>
          <w:p w14:paraId="5E99C532"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Minimālais strukturālās primārās bilances līmenis 2028. gadā (% no IKP)</w:t>
            </w:r>
          </w:p>
        </w:tc>
        <w:tc>
          <w:tcPr>
            <w:tcW w:w="2009" w:type="dxa"/>
            <w:noWrap/>
            <w:vAlign w:val="center"/>
            <w:hideMark/>
          </w:tcPr>
          <w:p w14:paraId="4C2EEB1A"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-0.1</w:t>
            </w:r>
          </w:p>
        </w:tc>
        <w:tc>
          <w:tcPr>
            <w:tcW w:w="2391" w:type="dxa"/>
            <w:noWrap/>
            <w:vAlign w:val="center"/>
            <w:hideMark/>
          </w:tcPr>
          <w:p w14:paraId="3EFE196A"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-1.3</w:t>
            </w:r>
          </w:p>
        </w:tc>
      </w:tr>
      <w:tr w:rsidR="001D1E0E" w:rsidRPr="00EB585D" w14:paraId="09857D8B" w14:textId="77777777" w:rsidTr="00E5538F">
        <w:trPr>
          <w:trHeight w:val="626"/>
        </w:trPr>
        <w:tc>
          <w:tcPr>
            <w:tcW w:w="4673" w:type="dxa"/>
            <w:vAlign w:val="center"/>
            <w:hideMark/>
          </w:tcPr>
          <w:p w14:paraId="6D4C564B" w14:textId="77777777" w:rsidR="001D1E0E" w:rsidRPr="00EB585D" w:rsidRDefault="001D1E0E" w:rsidP="00E5538F">
            <w:pPr>
              <w:spacing w:after="0" w:line="240" w:lineRule="auto"/>
              <w:ind w:firstLine="0"/>
              <w:jc w:val="left"/>
              <w:rPr>
                <w:rFonts w:eastAsia="Times New Roman" w:cs="Times New Roman"/>
                <w:b/>
                <w:bCs/>
                <w:i/>
                <w:iCs/>
                <w:color w:val="000000"/>
                <w:sz w:val="20"/>
                <w:szCs w:val="20"/>
                <w:lang w:eastAsia="lv-LV"/>
              </w:rPr>
            </w:pPr>
            <w:r w:rsidRPr="00EB585D">
              <w:rPr>
                <w:rFonts w:eastAsia="Times New Roman" w:cs="Times New Roman"/>
                <w:i/>
                <w:iCs/>
                <w:color w:val="000000"/>
                <w:sz w:val="20"/>
                <w:szCs w:val="20"/>
                <w:lang w:eastAsia="lv-LV"/>
              </w:rPr>
              <w:t>Starpība ar 2024. gada strukturālo primāro bilanci (procentpunkti no IKP)</w:t>
            </w:r>
          </w:p>
        </w:tc>
        <w:tc>
          <w:tcPr>
            <w:tcW w:w="2009" w:type="dxa"/>
            <w:noWrap/>
            <w:vAlign w:val="center"/>
            <w:hideMark/>
          </w:tcPr>
          <w:p w14:paraId="24977DD9" w14:textId="77777777" w:rsidR="001D1E0E" w:rsidRPr="00EB585D" w:rsidRDefault="001D1E0E" w:rsidP="00E5538F">
            <w:pPr>
              <w:spacing w:after="0" w:line="240" w:lineRule="auto"/>
              <w:ind w:firstLine="0"/>
              <w:jc w:val="center"/>
              <w:rPr>
                <w:rFonts w:eastAsia="Times New Roman" w:cs="Times New Roman"/>
                <w:i/>
                <w:iCs/>
                <w:color w:val="000000"/>
                <w:sz w:val="20"/>
                <w:szCs w:val="20"/>
                <w:lang w:eastAsia="lv-LV"/>
              </w:rPr>
            </w:pPr>
            <w:r w:rsidRPr="00EB585D">
              <w:rPr>
                <w:rFonts w:eastAsia="Times New Roman" w:cs="Times New Roman"/>
                <w:i/>
                <w:iCs/>
                <w:color w:val="000000"/>
                <w:sz w:val="20"/>
                <w:szCs w:val="20"/>
                <w:lang w:eastAsia="lv-LV"/>
              </w:rPr>
              <w:t>1.2</w:t>
            </w:r>
          </w:p>
        </w:tc>
        <w:tc>
          <w:tcPr>
            <w:tcW w:w="2391" w:type="dxa"/>
            <w:noWrap/>
            <w:vAlign w:val="center"/>
            <w:hideMark/>
          </w:tcPr>
          <w:p w14:paraId="62C3B862" w14:textId="77777777" w:rsidR="001D1E0E" w:rsidRPr="00EB585D" w:rsidRDefault="001D1E0E" w:rsidP="00E5538F">
            <w:pPr>
              <w:spacing w:after="0" w:line="240" w:lineRule="auto"/>
              <w:ind w:firstLine="0"/>
              <w:jc w:val="center"/>
              <w:rPr>
                <w:rFonts w:eastAsia="Times New Roman" w:cs="Times New Roman"/>
                <w:i/>
                <w:iCs/>
                <w:color w:val="000000"/>
                <w:sz w:val="20"/>
                <w:szCs w:val="20"/>
                <w:lang w:eastAsia="lv-LV"/>
              </w:rPr>
            </w:pPr>
            <w:r w:rsidRPr="00EB585D">
              <w:rPr>
                <w:rFonts w:eastAsia="Times New Roman" w:cs="Times New Roman"/>
                <w:i/>
                <w:iCs/>
                <w:color w:val="000000"/>
                <w:sz w:val="20"/>
                <w:szCs w:val="20"/>
                <w:lang w:eastAsia="lv-LV"/>
              </w:rPr>
              <w:t>0.1</w:t>
            </w:r>
          </w:p>
        </w:tc>
      </w:tr>
    </w:tbl>
    <w:p w14:paraId="612DED39" w14:textId="77777777" w:rsidR="001D1E0E" w:rsidRPr="009F79C4" w:rsidRDefault="001D1E0E" w:rsidP="00E5538F">
      <w:pPr>
        <w:spacing w:before="240" w:after="0" w:line="240" w:lineRule="auto"/>
        <w:ind w:firstLine="0"/>
        <w:jc w:val="right"/>
        <w:rPr>
          <w:rFonts w:cs="Times New Roman"/>
          <w:i/>
          <w:iCs/>
          <w:szCs w:val="24"/>
        </w:rPr>
      </w:pPr>
      <w:r w:rsidRPr="009F79C4">
        <w:rPr>
          <w:rFonts w:cs="Times New Roman"/>
          <w:i/>
          <w:iCs/>
          <w:szCs w:val="24"/>
        </w:rPr>
        <w:t xml:space="preserve">2. tabula. </w:t>
      </w:r>
      <w:r w:rsidRPr="009F79C4">
        <w:rPr>
          <w:rFonts w:cs="Times New Roman"/>
          <w:b/>
          <w:bCs/>
          <w:i/>
          <w:iCs/>
          <w:szCs w:val="24"/>
        </w:rPr>
        <w:t>Tehniskā informācija plānam ar pagarinājumu</w:t>
      </w:r>
    </w:p>
    <w:tbl>
      <w:tblPr>
        <w:tblStyle w:val="TableGrid"/>
        <w:tblW w:w="9067" w:type="dxa"/>
        <w:tblLook w:val="04A0" w:firstRow="1" w:lastRow="0" w:firstColumn="1" w:lastColumn="0" w:noHBand="0" w:noVBand="1"/>
      </w:tblPr>
      <w:tblGrid>
        <w:gridCol w:w="4673"/>
        <w:gridCol w:w="1985"/>
        <w:gridCol w:w="2409"/>
      </w:tblGrid>
      <w:tr w:rsidR="001D1E0E" w:rsidRPr="00EB585D" w14:paraId="1B002889" w14:textId="77777777" w:rsidTr="00E5538F">
        <w:trPr>
          <w:trHeight w:val="634"/>
        </w:trPr>
        <w:tc>
          <w:tcPr>
            <w:tcW w:w="4673" w:type="dxa"/>
            <w:shd w:val="clear" w:color="auto" w:fill="9CC2E5" w:themeFill="accent5" w:themeFillTint="99"/>
            <w:noWrap/>
            <w:vAlign w:val="center"/>
            <w:hideMark/>
          </w:tcPr>
          <w:p w14:paraId="39F29899" w14:textId="77777777" w:rsidR="001D1E0E" w:rsidRPr="001D1E0E" w:rsidRDefault="001D1E0E" w:rsidP="00E5538F">
            <w:pPr>
              <w:spacing w:after="0" w:line="240" w:lineRule="auto"/>
              <w:ind w:firstLine="0"/>
              <w:jc w:val="center"/>
              <w:rPr>
                <w:rFonts w:eastAsia="Times New Roman" w:cs="Times New Roman"/>
                <w:b/>
                <w:bCs/>
                <w:color w:val="000000"/>
                <w:sz w:val="20"/>
                <w:szCs w:val="20"/>
                <w:lang w:eastAsia="lv-LV"/>
              </w:rPr>
            </w:pPr>
            <w:r w:rsidRPr="001D1E0E">
              <w:rPr>
                <w:rFonts w:eastAsia="Times New Roman" w:cs="Times New Roman"/>
                <w:b/>
                <w:bCs/>
                <w:color w:val="000000"/>
                <w:sz w:val="20"/>
                <w:szCs w:val="20"/>
                <w:lang w:eastAsia="lv-LV"/>
              </w:rPr>
              <w:t>Plānam ar pagarinājumu (7 gadi)</w:t>
            </w:r>
          </w:p>
        </w:tc>
        <w:tc>
          <w:tcPr>
            <w:tcW w:w="1985" w:type="dxa"/>
            <w:shd w:val="clear" w:color="auto" w:fill="9CC2E5" w:themeFill="accent5" w:themeFillTint="99"/>
            <w:vAlign w:val="center"/>
            <w:hideMark/>
          </w:tcPr>
          <w:p w14:paraId="2AD4E6D9" w14:textId="77777777" w:rsidR="001D1E0E" w:rsidRPr="001D1E0E" w:rsidRDefault="001D1E0E" w:rsidP="00E5538F">
            <w:pPr>
              <w:spacing w:after="0" w:line="240" w:lineRule="auto"/>
              <w:ind w:firstLine="0"/>
              <w:jc w:val="center"/>
              <w:rPr>
                <w:rFonts w:eastAsia="Times New Roman" w:cs="Times New Roman"/>
                <w:b/>
                <w:bCs/>
                <w:color w:val="000000"/>
                <w:sz w:val="20"/>
                <w:szCs w:val="20"/>
                <w:lang w:eastAsia="lv-LV"/>
              </w:rPr>
            </w:pPr>
            <w:r w:rsidRPr="001D1E0E">
              <w:rPr>
                <w:rFonts w:eastAsia="Times New Roman" w:cs="Times New Roman"/>
                <w:b/>
                <w:bCs/>
                <w:color w:val="000000"/>
                <w:sz w:val="20"/>
                <w:szCs w:val="20"/>
                <w:lang w:eastAsia="lv-LV"/>
              </w:rPr>
              <w:t>Ar deficīta noturības nosacījumu</w:t>
            </w:r>
          </w:p>
        </w:tc>
        <w:tc>
          <w:tcPr>
            <w:tcW w:w="2409" w:type="dxa"/>
            <w:shd w:val="clear" w:color="auto" w:fill="9CC2E5" w:themeFill="accent5" w:themeFillTint="99"/>
            <w:vAlign w:val="center"/>
            <w:hideMark/>
          </w:tcPr>
          <w:p w14:paraId="44A8CE53" w14:textId="77777777" w:rsidR="001D1E0E" w:rsidRPr="001D1E0E" w:rsidRDefault="001D1E0E" w:rsidP="00E5538F">
            <w:pPr>
              <w:spacing w:after="0" w:line="240" w:lineRule="auto"/>
              <w:ind w:firstLine="0"/>
              <w:jc w:val="center"/>
              <w:rPr>
                <w:rFonts w:eastAsia="Times New Roman" w:cs="Times New Roman"/>
                <w:b/>
                <w:bCs/>
                <w:color w:val="000000"/>
                <w:sz w:val="20"/>
                <w:szCs w:val="20"/>
                <w:lang w:eastAsia="lv-LV"/>
              </w:rPr>
            </w:pPr>
            <w:r w:rsidRPr="001D1E0E">
              <w:rPr>
                <w:rFonts w:eastAsia="Times New Roman" w:cs="Times New Roman"/>
                <w:b/>
                <w:bCs/>
                <w:color w:val="000000"/>
                <w:sz w:val="20"/>
                <w:szCs w:val="20"/>
                <w:lang w:eastAsia="lv-LV"/>
              </w:rPr>
              <w:t>Bez deficīta noturības nosacījuma</w:t>
            </w:r>
          </w:p>
        </w:tc>
      </w:tr>
      <w:tr w:rsidR="001D1E0E" w:rsidRPr="00EB585D" w14:paraId="7AB066FF" w14:textId="77777777" w:rsidTr="00E5538F">
        <w:trPr>
          <w:trHeight w:val="634"/>
        </w:trPr>
        <w:tc>
          <w:tcPr>
            <w:tcW w:w="4673" w:type="dxa"/>
            <w:vAlign w:val="center"/>
            <w:hideMark/>
          </w:tcPr>
          <w:p w14:paraId="701FD633"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Minimālais strukturālās primārās bilances līmenis 2031. gadā (% no IKP)</w:t>
            </w:r>
          </w:p>
        </w:tc>
        <w:tc>
          <w:tcPr>
            <w:tcW w:w="1985" w:type="dxa"/>
            <w:noWrap/>
            <w:vAlign w:val="center"/>
            <w:hideMark/>
          </w:tcPr>
          <w:p w14:paraId="106958D8"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0.2</w:t>
            </w:r>
          </w:p>
        </w:tc>
        <w:tc>
          <w:tcPr>
            <w:tcW w:w="2409" w:type="dxa"/>
            <w:noWrap/>
            <w:vAlign w:val="center"/>
            <w:hideMark/>
          </w:tcPr>
          <w:p w14:paraId="348202C1"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-1.1</w:t>
            </w:r>
          </w:p>
        </w:tc>
      </w:tr>
      <w:tr w:rsidR="001D1E0E" w:rsidRPr="00EB585D" w14:paraId="757634EA" w14:textId="77777777" w:rsidTr="00E5538F">
        <w:trPr>
          <w:trHeight w:val="634"/>
        </w:trPr>
        <w:tc>
          <w:tcPr>
            <w:tcW w:w="4673" w:type="dxa"/>
            <w:vAlign w:val="center"/>
            <w:hideMark/>
          </w:tcPr>
          <w:p w14:paraId="5C6C5060" w14:textId="77777777" w:rsidR="001D1E0E" w:rsidRPr="00EB585D" w:rsidRDefault="001D1E0E" w:rsidP="00E5538F">
            <w:pPr>
              <w:spacing w:after="0" w:line="240" w:lineRule="auto"/>
              <w:ind w:firstLine="0"/>
              <w:jc w:val="left"/>
              <w:rPr>
                <w:rFonts w:eastAsia="Times New Roman" w:cs="Times New Roman"/>
                <w:b/>
                <w:bCs/>
                <w:i/>
                <w:iCs/>
                <w:color w:val="000000"/>
                <w:sz w:val="20"/>
                <w:szCs w:val="20"/>
                <w:lang w:eastAsia="lv-LV"/>
              </w:rPr>
            </w:pPr>
            <w:r w:rsidRPr="00EB585D">
              <w:rPr>
                <w:rFonts w:eastAsia="Times New Roman" w:cs="Times New Roman"/>
                <w:i/>
                <w:iCs/>
                <w:color w:val="000000"/>
                <w:sz w:val="20"/>
                <w:szCs w:val="20"/>
                <w:lang w:eastAsia="lv-LV"/>
              </w:rPr>
              <w:t>Starpība ar 2024. gada strukturālo primāro bilanci (procentpunkti no IKP)</w:t>
            </w:r>
          </w:p>
        </w:tc>
        <w:tc>
          <w:tcPr>
            <w:tcW w:w="1985" w:type="dxa"/>
            <w:noWrap/>
            <w:vAlign w:val="center"/>
            <w:hideMark/>
          </w:tcPr>
          <w:p w14:paraId="425469F0" w14:textId="77777777" w:rsidR="001D1E0E" w:rsidRPr="00EB585D" w:rsidRDefault="001D1E0E" w:rsidP="00E5538F">
            <w:pPr>
              <w:spacing w:after="0" w:line="240" w:lineRule="auto"/>
              <w:ind w:firstLine="0"/>
              <w:jc w:val="center"/>
              <w:rPr>
                <w:rFonts w:eastAsia="Times New Roman" w:cs="Times New Roman"/>
                <w:i/>
                <w:iCs/>
                <w:color w:val="000000"/>
                <w:sz w:val="20"/>
                <w:szCs w:val="20"/>
                <w:lang w:eastAsia="lv-LV"/>
              </w:rPr>
            </w:pPr>
            <w:r w:rsidRPr="00EB585D">
              <w:rPr>
                <w:rFonts w:eastAsia="Times New Roman" w:cs="Times New Roman"/>
                <w:i/>
                <w:iCs/>
                <w:color w:val="000000"/>
                <w:sz w:val="20"/>
                <w:szCs w:val="20"/>
                <w:lang w:eastAsia="lv-LV"/>
              </w:rPr>
              <w:t>1.5</w:t>
            </w:r>
          </w:p>
        </w:tc>
        <w:tc>
          <w:tcPr>
            <w:tcW w:w="2409" w:type="dxa"/>
            <w:noWrap/>
            <w:vAlign w:val="center"/>
            <w:hideMark/>
          </w:tcPr>
          <w:p w14:paraId="3B70E7B7" w14:textId="77777777" w:rsidR="001D1E0E" w:rsidRPr="00EB585D" w:rsidRDefault="001D1E0E" w:rsidP="00E5538F">
            <w:pPr>
              <w:spacing w:after="0" w:line="240" w:lineRule="auto"/>
              <w:ind w:firstLine="0"/>
              <w:jc w:val="center"/>
              <w:rPr>
                <w:rFonts w:eastAsia="Times New Roman" w:cs="Times New Roman"/>
                <w:i/>
                <w:iCs/>
                <w:color w:val="000000"/>
                <w:sz w:val="20"/>
                <w:szCs w:val="20"/>
                <w:lang w:eastAsia="lv-LV"/>
              </w:rPr>
            </w:pPr>
            <w:r w:rsidRPr="00EB585D">
              <w:rPr>
                <w:rFonts w:eastAsia="Times New Roman" w:cs="Times New Roman"/>
                <w:i/>
                <w:iCs/>
                <w:color w:val="000000"/>
                <w:sz w:val="20"/>
                <w:szCs w:val="20"/>
                <w:lang w:eastAsia="lv-LV"/>
              </w:rPr>
              <w:t>0.3</w:t>
            </w:r>
          </w:p>
        </w:tc>
      </w:tr>
    </w:tbl>
    <w:p w14:paraId="52D8E241" w14:textId="77777777" w:rsidR="001D1E0E" w:rsidRPr="009F79C4" w:rsidRDefault="001D1E0E" w:rsidP="00E5538F">
      <w:pPr>
        <w:spacing w:before="240" w:after="0" w:line="240" w:lineRule="auto"/>
        <w:ind w:firstLine="0"/>
        <w:jc w:val="right"/>
        <w:rPr>
          <w:rFonts w:cs="Times New Roman"/>
          <w:b/>
          <w:bCs/>
          <w:i/>
          <w:iCs/>
          <w:szCs w:val="24"/>
        </w:rPr>
      </w:pPr>
      <w:r w:rsidRPr="009F79C4">
        <w:rPr>
          <w:rFonts w:cs="Times New Roman"/>
          <w:i/>
          <w:iCs/>
          <w:szCs w:val="24"/>
        </w:rPr>
        <w:t xml:space="preserve">3. tabula: </w:t>
      </w:r>
      <w:r w:rsidRPr="009F79C4">
        <w:rPr>
          <w:rFonts w:cs="Times New Roman"/>
          <w:b/>
          <w:bCs/>
          <w:i/>
          <w:iCs/>
          <w:szCs w:val="24"/>
        </w:rPr>
        <w:t>Galvenie budžeta, makroekonomiskie un finanšu manīgie lielumi</w:t>
      </w:r>
    </w:p>
    <w:tbl>
      <w:tblPr>
        <w:tblStyle w:val="TableGrid"/>
        <w:tblW w:w="9067" w:type="dxa"/>
        <w:tblLook w:val="04A0" w:firstRow="1" w:lastRow="0" w:firstColumn="1" w:lastColumn="0" w:noHBand="0" w:noVBand="1"/>
      </w:tblPr>
      <w:tblGrid>
        <w:gridCol w:w="4673"/>
        <w:gridCol w:w="1985"/>
        <w:gridCol w:w="2409"/>
      </w:tblGrid>
      <w:tr w:rsidR="001D1E0E" w:rsidRPr="00EB585D" w14:paraId="598101D5" w14:textId="77777777" w:rsidTr="00E5538F">
        <w:trPr>
          <w:trHeight w:val="620"/>
          <w:tblHeader/>
        </w:trPr>
        <w:tc>
          <w:tcPr>
            <w:tcW w:w="4673" w:type="dxa"/>
            <w:shd w:val="clear" w:color="auto" w:fill="9CC2E5" w:themeFill="accent5" w:themeFillTint="99"/>
            <w:noWrap/>
            <w:vAlign w:val="center"/>
            <w:hideMark/>
          </w:tcPr>
          <w:p w14:paraId="656CAB28"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Budžeta mainīgie lielumi: sākotnējie nosacījumi</w:t>
            </w:r>
          </w:p>
        </w:tc>
        <w:tc>
          <w:tcPr>
            <w:tcW w:w="1985" w:type="dxa"/>
            <w:shd w:val="clear" w:color="auto" w:fill="9CC2E5" w:themeFill="accent5" w:themeFillTint="99"/>
            <w:noWrap/>
            <w:vAlign w:val="center"/>
            <w:hideMark/>
          </w:tcPr>
          <w:p w14:paraId="14EF0BAE"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2023</w:t>
            </w:r>
          </w:p>
        </w:tc>
        <w:tc>
          <w:tcPr>
            <w:tcW w:w="2409" w:type="dxa"/>
            <w:shd w:val="clear" w:color="auto" w:fill="9CC2E5" w:themeFill="accent5" w:themeFillTint="99"/>
            <w:noWrap/>
            <w:vAlign w:val="center"/>
            <w:hideMark/>
          </w:tcPr>
          <w:p w14:paraId="319FC623"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2024</w:t>
            </w:r>
          </w:p>
        </w:tc>
      </w:tr>
      <w:tr w:rsidR="001D1E0E" w:rsidRPr="00EB585D" w14:paraId="6378CA61" w14:textId="77777777" w:rsidTr="00E5538F">
        <w:trPr>
          <w:trHeight w:val="311"/>
        </w:trPr>
        <w:tc>
          <w:tcPr>
            <w:tcW w:w="4673" w:type="dxa"/>
            <w:noWrap/>
            <w:vAlign w:val="center"/>
            <w:hideMark/>
          </w:tcPr>
          <w:p w14:paraId="45302F68"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Vispārējās valdības budžeta bilance (% no IKP)</w:t>
            </w:r>
          </w:p>
        </w:tc>
        <w:tc>
          <w:tcPr>
            <w:tcW w:w="1985" w:type="dxa"/>
            <w:noWrap/>
            <w:vAlign w:val="center"/>
            <w:hideMark/>
          </w:tcPr>
          <w:p w14:paraId="64977941"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-2.2</w:t>
            </w:r>
          </w:p>
        </w:tc>
        <w:tc>
          <w:tcPr>
            <w:tcW w:w="2409" w:type="dxa"/>
            <w:noWrap/>
            <w:vAlign w:val="center"/>
            <w:hideMark/>
          </w:tcPr>
          <w:p w14:paraId="22138F9A"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-2.8</w:t>
            </w:r>
          </w:p>
        </w:tc>
      </w:tr>
      <w:tr w:rsidR="001D1E0E" w:rsidRPr="00EB585D" w14:paraId="10392678" w14:textId="77777777" w:rsidTr="00E5538F">
        <w:trPr>
          <w:trHeight w:val="264"/>
        </w:trPr>
        <w:tc>
          <w:tcPr>
            <w:tcW w:w="4673" w:type="dxa"/>
            <w:noWrap/>
            <w:vAlign w:val="center"/>
            <w:hideMark/>
          </w:tcPr>
          <w:p w14:paraId="2BF8D75D"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Vispārējās valdības parāds (% no IKP)</w:t>
            </w:r>
          </w:p>
        </w:tc>
        <w:tc>
          <w:tcPr>
            <w:tcW w:w="1985" w:type="dxa"/>
            <w:noWrap/>
            <w:vAlign w:val="center"/>
            <w:hideMark/>
          </w:tcPr>
          <w:p w14:paraId="046AC263"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43.6</w:t>
            </w:r>
          </w:p>
        </w:tc>
        <w:tc>
          <w:tcPr>
            <w:tcW w:w="2409" w:type="dxa"/>
            <w:noWrap/>
            <w:vAlign w:val="center"/>
            <w:hideMark/>
          </w:tcPr>
          <w:p w14:paraId="0EAFFAE7"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44.5</w:t>
            </w:r>
          </w:p>
        </w:tc>
      </w:tr>
      <w:tr w:rsidR="001D1E0E" w:rsidRPr="00EB585D" w14:paraId="03201507" w14:textId="77777777" w:rsidTr="00E5538F">
        <w:trPr>
          <w:trHeight w:val="310"/>
        </w:trPr>
        <w:tc>
          <w:tcPr>
            <w:tcW w:w="4673" w:type="dxa"/>
            <w:noWrap/>
            <w:vAlign w:val="center"/>
            <w:hideMark/>
          </w:tcPr>
          <w:p w14:paraId="7B85860F"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Neto izdevumu pieaugums (%)</w:t>
            </w:r>
          </w:p>
        </w:tc>
        <w:tc>
          <w:tcPr>
            <w:tcW w:w="1985" w:type="dxa"/>
            <w:noWrap/>
            <w:vAlign w:val="center"/>
            <w:hideMark/>
          </w:tcPr>
          <w:p w14:paraId="4C74DDB1"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8.0</w:t>
            </w:r>
          </w:p>
        </w:tc>
        <w:tc>
          <w:tcPr>
            <w:tcW w:w="2409" w:type="dxa"/>
            <w:noWrap/>
            <w:vAlign w:val="center"/>
            <w:hideMark/>
          </w:tcPr>
          <w:p w14:paraId="3A69AD09"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4.9</w:t>
            </w:r>
          </w:p>
        </w:tc>
      </w:tr>
      <w:tr w:rsidR="001D1E0E" w:rsidRPr="00EB585D" w14:paraId="5C13D14B" w14:textId="77777777" w:rsidTr="00E5538F">
        <w:trPr>
          <w:trHeight w:val="310"/>
        </w:trPr>
        <w:tc>
          <w:tcPr>
            <w:tcW w:w="4673" w:type="dxa"/>
            <w:noWrap/>
            <w:vAlign w:val="center"/>
            <w:hideMark/>
          </w:tcPr>
          <w:p w14:paraId="00D37075"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Strukturālā primārā bilance (% no IKP)</w:t>
            </w:r>
          </w:p>
        </w:tc>
        <w:tc>
          <w:tcPr>
            <w:tcW w:w="1985" w:type="dxa"/>
            <w:noWrap/>
            <w:vAlign w:val="center"/>
            <w:hideMark/>
          </w:tcPr>
          <w:p w14:paraId="4A8DF3D9"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-1.3</w:t>
            </w:r>
          </w:p>
        </w:tc>
        <w:tc>
          <w:tcPr>
            <w:tcW w:w="2409" w:type="dxa"/>
            <w:noWrap/>
            <w:vAlign w:val="center"/>
            <w:hideMark/>
          </w:tcPr>
          <w:p w14:paraId="42D0B746"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-1.4</w:t>
            </w:r>
          </w:p>
        </w:tc>
      </w:tr>
      <w:tr w:rsidR="001D1E0E" w:rsidRPr="00EB585D" w14:paraId="5311CC3B" w14:textId="77777777" w:rsidTr="00E5538F">
        <w:trPr>
          <w:trHeight w:val="610"/>
        </w:trPr>
        <w:tc>
          <w:tcPr>
            <w:tcW w:w="4673" w:type="dxa"/>
            <w:vAlign w:val="center"/>
            <w:hideMark/>
          </w:tcPr>
          <w:p w14:paraId="53C15670" w14:textId="77777777" w:rsidR="00E5538F" w:rsidRDefault="001D1E0E" w:rsidP="00E5538F">
            <w:pPr>
              <w:spacing w:after="0" w:line="240" w:lineRule="auto"/>
              <w:ind w:firstLine="0"/>
              <w:jc w:val="left"/>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Galvenie pieņēmumi plānam bez pagarinājuma</w:t>
            </w:r>
          </w:p>
          <w:p w14:paraId="7F51146A" w14:textId="3B1DE134" w:rsidR="001D1E0E" w:rsidRPr="00EB585D" w:rsidRDefault="001D1E0E" w:rsidP="00E5538F">
            <w:pPr>
              <w:spacing w:after="0" w:line="240" w:lineRule="auto"/>
              <w:ind w:firstLine="0"/>
              <w:jc w:val="left"/>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(4 gadi)</w:t>
            </w:r>
          </w:p>
        </w:tc>
        <w:tc>
          <w:tcPr>
            <w:tcW w:w="1985" w:type="dxa"/>
            <w:noWrap/>
            <w:vAlign w:val="center"/>
            <w:hideMark/>
          </w:tcPr>
          <w:p w14:paraId="64893578"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Pieņēmums</w:t>
            </w:r>
          </w:p>
        </w:tc>
        <w:tc>
          <w:tcPr>
            <w:tcW w:w="2409" w:type="dxa"/>
            <w:noWrap/>
            <w:vAlign w:val="center"/>
            <w:hideMark/>
          </w:tcPr>
          <w:p w14:paraId="7ED52C4F"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Laika periods</w:t>
            </w:r>
          </w:p>
        </w:tc>
      </w:tr>
      <w:tr w:rsidR="001D1E0E" w:rsidRPr="00EB585D" w14:paraId="4ECFEE98" w14:textId="77777777" w:rsidTr="00E5538F">
        <w:trPr>
          <w:trHeight w:val="310"/>
        </w:trPr>
        <w:tc>
          <w:tcPr>
            <w:tcW w:w="4673" w:type="dxa"/>
            <w:noWrap/>
            <w:vAlign w:val="center"/>
            <w:hideMark/>
          </w:tcPr>
          <w:p w14:paraId="6CD4E53F"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Izmaiņas novecošanās izmaksās (procentpunkti no IKP)</w:t>
            </w:r>
          </w:p>
        </w:tc>
        <w:tc>
          <w:tcPr>
            <w:tcW w:w="1985" w:type="dxa"/>
            <w:noWrap/>
            <w:vAlign w:val="center"/>
            <w:hideMark/>
          </w:tcPr>
          <w:p w14:paraId="3E6B9EB8"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-0.3</w:t>
            </w:r>
          </w:p>
        </w:tc>
        <w:tc>
          <w:tcPr>
            <w:tcW w:w="2409" w:type="dxa"/>
            <w:noWrap/>
            <w:vAlign w:val="center"/>
            <w:hideMark/>
          </w:tcPr>
          <w:p w14:paraId="41B4C3FF"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2028 - 2038</w:t>
            </w:r>
          </w:p>
        </w:tc>
      </w:tr>
      <w:tr w:rsidR="001D1E0E" w:rsidRPr="00EB585D" w14:paraId="30224B5B" w14:textId="77777777" w:rsidTr="00E5538F">
        <w:trPr>
          <w:trHeight w:val="353"/>
        </w:trPr>
        <w:tc>
          <w:tcPr>
            <w:tcW w:w="4673" w:type="dxa"/>
            <w:noWrap/>
            <w:vAlign w:val="center"/>
            <w:hideMark/>
          </w:tcPr>
          <w:p w14:paraId="1A0118B5"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Atlikumu un plūsmu korekcija (% no IKP)</w:t>
            </w:r>
          </w:p>
        </w:tc>
        <w:tc>
          <w:tcPr>
            <w:tcW w:w="1985" w:type="dxa"/>
            <w:noWrap/>
            <w:vAlign w:val="center"/>
            <w:hideMark/>
          </w:tcPr>
          <w:p w14:paraId="371DA947"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0.1</w:t>
            </w:r>
          </w:p>
        </w:tc>
        <w:tc>
          <w:tcPr>
            <w:tcW w:w="2409" w:type="dxa"/>
            <w:noWrap/>
            <w:vAlign w:val="center"/>
            <w:hideMark/>
          </w:tcPr>
          <w:p w14:paraId="07F3D440"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2025 - 2038 vidēji</w:t>
            </w:r>
          </w:p>
        </w:tc>
      </w:tr>
      <w:tr w:rsidR="001D1E0E" w:rsidRPr="00EB585D" w14:paraId="33FD8F05" w14:textId="77777777" w:rsidTr="00E5538F">
        <w:trPr>
          <w:trHeight w:val="290"/>
        </w:trPr>
        <w:tc>
          <w:tcPr>
            <w:tcW w:w="4673" w:type="dxa"/>
            <w:noWrap/>
            <w:vAlign w:val="center"/>
            <w:hideMark/>
          </w:tcPr>
          <w:p w14:paraId="2EB1AD10"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Reālais IKP pieaugums (%)</w:t>
            </w:r>
          </w:p>
        </w:tc>
        <w:tc>
          <w:tcPr>
            <w:tcW w:w="1985" w:type="dxa"/>
            <w:noWrap/>
            <w:vAlign w:val="center"/>
            <w:hideMark/>
          </w:tcPr>
          <w:p w14:paraId="714911D5"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1.4</w:t>
            </w:r>
          </w:p>
        </w:tc>
        <w:tc>
          <w:tcPr>
            <w:tcW w:w="2409" w:type="dxa"/>
            <w:noWrap/>
            <w:vAlign w:val="center"/>
            <w:hideMark/>
          </w:tcPr>
          <w:p w14:paraId="1B3DFC1C"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2025 - 2038 vidēji</w:t>
            </w:r>
          </w:p>
        </w:tc>
      </w:tr>
      <w:tr w:rsidR="001D1E0E" w:rsidRPr="00EB585D" w14:paraId="4901A9DE" w14:textId="77777777" w:rsidTr="00E5538F">
        <w:trPr>
          <w:trHeight w:val="310"/>
        </w:trPr>
        <w:tc>
          <w:tcPr>
            <w:tcW w:w="4673" w:type="dxa"/>
            <w:noWrap/>
            <w:vAlign w:val="center"/>
            <w:hideMark/>
          </w:tcPr>
          <w:p w14:paraId="21648C48"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lastRenderedPageBreak/>
              <w:t xml:space="preserve">Inflācija (IKP </w:t>
            </w:r>
            <w:proofErr w:type="spellStart"/>
            <w:r w:rsidRPr="00EB585D">
              <w:rPr>
                <w:rFonts w:eastAsia="Times New Roman" w:cs="Times New Roman"/>
                <w:color w:val="000000"/>
                <w:sz w:val="20"/>
                <w:szCs w:val="20"/>
                <w:lang w:eastAsia="lv-LV"/>
              </w:rPr>
              <w:t>deflatora</w:t>
            </w:r>
            <w:proofErr w:type="spellEnd"/>
            <w:r w:rsidRPr="00EB585D">
              <w:rPr>
                <w:rFonts w:eastAsia="Times New Roman" w:cs="Times New Roman"/>
                <w:color w:val="000000"/>
                <w:sz w:val="20"/>
                <w:szCs w:val="20"/>
                <w:lang w:eastAsia="lv-LV"/>
              </w:rPr>
              <w:t xml:space="preserve"> izmaiņas, %)</w:t>
            </w:r>
          </w:p>
        </w:tc>
        <w:tc>
          <w:tcPr>
            <w:tcW w:w="1985" w:type="dxa"/>
            <w:noWrap/>
            <w:vAlign w:val="center"/>
            <w:hideMark/>
          </w:tcPr>
          <w:p w14:paraId="29667B5A"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2.5</w:t>
            </w:r>
          </w:p>
        </w:tc>
        <w:tc>
          <w:tcPr>
            <w:tcW w:w="2409" w:type="dxa"/>
            <w:noWrap/>
            <w:vAlign w:val="center"/>
            <w:hideMark/>
          </w:tcPr>
          <w:p w14:paraId="5B96F353"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2025 - 2038 vidēji</w:t>
            </w:r>
          </w:p>
        </w:tc>
      </w:tr>
      <w:tr w:rsidR="001D1E0E" w:rsidRPr="00EB585D" w14:paraId="63492E92" w14:textId="77777777" w:rsidTr="00E5538F">
        <w:trPr>
          <w:trHeight w:val="310"/>
        </w:trPr>
        <w:tc>
          <w:tcPr>
            <w:tcW w:w="4673" w:type="dxa"/>
            <w:noWrap/>
            <w:vAlign w:val="center"/>
            <w:hideMark/>
          </w:tcPr>
          <w:p w14:paraId="5FDE8702"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Nominālā netiešā procentu likme (%)</w:t>
            </w:r>
          </w:p>
        </w:tc>
        <w:tc>
          <w:tcPr>
            <w:tcW w:w="1985" w:type="dxa"/>
            <w:noWrap/>
            <w:vAlign w:val="center"/>
            <w:hideMark/>
          </w:tcPr>
          <w:p w14:paraId="76EE3E00"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3.3</w:t>
            </w:r>
          </w:p>
        </w:tc>
        <w:tc>
          <w:tcPr>
            <w:tcW w:w="2409" w:type="dxa"/>
            <w:noWrap/>
            <w:vAlign w:val="center"/>
            <w:hideMark/>
          </w:tcPr>
          <w:p w14:paraId="2CCD83E2"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2025 - 2038 vidēji</w:t>
            </w:r>
          </w:p>
        </w:tc>
      </w:tr>
      <w:tr w:rsidR="001D1E0E" w:rsidRPr="00EB585D" w14:paraId="6D25490B" w14:textId="77777777" w:rsidTr="00E5538F">
        <w:trPr>
          <w:trHeight w:val="610"/>
        </w:trPr>
        <w:tc>
          <w:tcPr>
            <w:tcW w:w="4673" w:type="dxa"/>
            <w:vAlign w:val="center"/>
            <w:hideMark/>
          </w:tcPr>
          <w:p w14:paraId="098C7D18" w14:textId="77777777" w:rsidR="001D1E0E" w:rsidRPr="00EB585D" w:rsidRDefault="001D1E0E" w:rsidP="00E5538F">
            <w:pPr>
              <w:spacing w:after="0" w:line="240" w:lineRule="auto"/>
              <w:ind w:firstLine="0"/>
              <w:jc w:val="left"/>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Galvenie pieņēmumi plānam ar pagarinājumu (7 gadi)</w:t>
            </w:r>
          </w:p>
        </w:tc>
        <w:tc>
          <w:tcPr>
            <w:tcW w:w="1985" w:type="dxa"/>
            <w:noWrap/>
            <w:vAlign w:val="center"/>
            <w:hideMark/>
          </w:tcPr>
          <w:p w14:paraId="6DA7C454"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Pieņēmums</w:t>
            </w:r>
          </w:p>
        </w:tc>
        <w:tc>
          <w:tcPr>
            <w:tcW w:w="2409" w:type="dxa"/>
            <w:noWrap/>
            <w:vAlign w:val="center"/>
            <w:hideMark/>
          </w:tcPr>
          <w:p w14:paraId="5823B6B6" w14:textId="77777777" w:rsidR="001D1E0E" w:rsidRPr="00EB585D" w:rsidRDefault="001D1E0E" w:rsidP="00E5538F">
            <w:pPr>
              <w:spacing w:after="0" w:line="240" w:lineRule="auto"/>
              <w:ind w:firstLine="0"/>
              <w:jc w:val="center"/>
              <w:rPr>
                <w:rFonts w:eastAsia="Times New Roman" w:cs="Times New Roman"/>
                <w:b/>
                <w:bCs/>
                <w:color w:val="000000"/>
                <w:sz w:val="20"/>
                <w:szCs w:val="20"/>
                <w:lang w:eastAsia="lv-LV"/>
              </w:rPr>
            </w:pPr>
            <w:r w:rsidRPr="00EB585D">
              <w:rPr>
                <w:rFonts w:eastAsia="Times New Roman" w:cs="Times New Roman"/>
                <w:b/>
                <w:bCs/>
                <w:color w:val="000000"/>
                <w:sz w:val="20"/>
                <w:szCs w:val="20"/>
                <w:lang w:eastAsia="lv-LV"/>
              </w:rPr>
              <w:t>Laika periods</w:t>
            </w:r>
          </w:p>
        </w:tc>
      </w:tr>
      <w:tr w:rsidR="001D1E0E" w:rsidRPr="00EB585D" w14:paraId="1A52CD1D" w14:textId="77777777" w:rsidTr="00E5538F">
        <w:trPr>
          <w:trHeight w:val="310"/>
        </w:trPr>
        <w:tc>
          <w:tcPr>
            <w:tcW w:w="4673" w:type="dxa"/>
            <w:noWrap/>
            <w:vAlign w:val="center"/>
            <w:hideMark/>
          </w:tcPr>
          <w:p w14:paraId="4A701E89"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Izmaiņas novecošanās izmaksās (procentpunkti no IKP)</w:t>
            </w:r>
          </w:p>
        </w:tc>
        <w:tc>
          <w:tcPr>
            <w:tcW w:w="1985" w:type="dxa"/>
            <w:noWrap/>
            <w:vAlign w:val="center"/>
            <w:hideMark/>
          </w:tcPr>
          <w:p w14:paraId="4A504B34"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-0.5</w:t>
            </w:r>
          </w:p>
        </w:tc>
        <w:tc>
          <w:tcPr>
            <w:tcW w:w="2409" w:type="dxa"/>
            <w:noWrap/>
            <w:vAlign w:val="center"/>
            <w:hideMark/>
          </w:tcPr>
          <w:p w14:paraId="0561F724"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2031 - 2041</w:t>
            </w:r>
          </w:p>
        </w:tc>
      </w:tr>
      <w:tr w:rsidR="001D1E0E" w:rsidRPr="00EB585D" w14:paraId="3FCBADC4" w14:textId="77777777" w:rsidTr="00E5538F">
        <w:trPr>
          <w:trHeight w:val="310"/>
        </w:trPr>
        <w:tc>
          <w:tcPr>
            <w:tcW w:w="4673" w:type="dxa"/>
            <w:noWrap/>
            <w:vAlign w:val="center"/>
            <w:hideMark/>
          </w:tcPr>
          <w:p w14:paraId="75938B60"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Atlikumu un plūsmu korekcija (% no IKP)</w:t>
            </w:r>
          </w:p>
        </w:tc>
        <w:tc>
          <w:tcPr>
            <w:tcW w:w="1985" w:type="dxa"/>
            <w:noWrap/>
            <w:vAlign w:val="center"/>
            <w:hideMark/>
          </w:tcPr>
          <w:p w14:paraId="3856EAC5"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0.1</w:t>
            </w:r>
          </w:p>
        </w:tc>
        <w:tc>
          <w:tcPr>
            <w:tcW w:w="2409" w:type="dxa"/>
            <w:noWrap/>
            <w:vAlign w:val="center"/>
            <w:hideMark/>
          </w:tcPr>
          <w:p w14:paraId="79795C02"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2025 - 2041 vidēji</w:t>
            </w:r>
          </w:p>
        </w:tc>
      </w:tr>
      <w:tr w:rsidR="001D1E0E" w:rsidRPr="00EB585D" w14:paraId="3CC9516E" w14:textId="77777777" w:rsidTr="00E5538F">
        <w:trPr>
          <w:trHeight w:val="310"/>
        </w:trPr>
        <w:tc>
          <w:tcPr>
            <w:tcW w:w="4673" w:type="dxa"/>
            <w:noWrap/>
            <w:vAlign w:val="center"/>
            <w:hideMark/>
          </w:tcPr>
          <w:p w14:paraId="03D6078E"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Reālais IKP pieaugums (%)</w:t>
            </w:r>
          </w:p>
        </w:tc>
        <w:tc>
          <w:tcPr>
            <w:tcW w:w="1985" w:type="dxa"/>
            <w:noWrap/>
            <w:vAlign w:val="center"/>
            <w:hideMark/>
          </w:tcPr>
          <w:p w14:paraId="44EC93C6"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1.3</w:t>
            </w:r>
          </w:p>
        </w:tc>
        <w:tc>
          <w:tcPr>
            <w:tcW w:w="2409" w:type="dxa"/>
            <w:noWrap/>
            <w:vAlign w:val="center"/>
            <w:hideMark/>
          </w:tcPr>
          <w:p w14:paraId="42EDEDD1"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2025 - 2041 vidēji</w:t>
            </w:r>
          </w:p>
        </w:tc>
      </w:tr>
      <w:tr w:rsidR="001D1E0E" w:rsidRPr="00EB585D" w14:paraId="75FE7C12" w14:textId="77777777" w:rsidTr="00E5538F">
        <w:trPr>
          <w:trHeight w:val="310"/>
        </w:trPr>
        <w:tc>
          <w:tcPr>
            <w:tcW w:w="4673" w:type="dxa"/>
            <w:noWrap/>
            <w:vAlign w:val="center"/>
            <w:hideMark/>
          </w:tcPr>
          <w:p w14:paraId="1245AF06"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 xml:space="preserve">Inflācija (IKP </w:t>
            </w:r>
            <w:proofErr w:type="spellStart"/>
            <w:r w:rsidRPr="00EB585D">
              <w:rPr>
                <w:rFonts w:eastAsia="Times New Roman" w:cs="Times New Roman"/>
                <w:color w:val="000000"/>
                <w:sz w:val="20"/>
                <w:szCs w:val="20"/>
                <w:lang w:eastAsia="lv-LV"/>
              </w:rPr>
              <w:t>deflatora</w:t>
            </w:r>
            <w:proofErr w:type="spellEnd"/>
            <w:r w:rsidRPr="00EB585D">
              <w:rPr>
                <w:rFonts w:eastAsia="Times New Roman" w:cs="Times New Roman"/>
                <w:color w:val="000000"/>
                <w:sz w:val="20"/>
                <w:szCs w:val="20"/>
                <w:lang w:eastAsia="lv-LV"/>
              </w:rPr>
              <w:t xml:space="preserve"> izmaiņas, %)</w:t>
            </w:r>
          </w:p>
        </w:tc>
        <w:tc>
          <w:tcPr>
            <w:tcW w:w="1985" w:type="dxa"/>
            <w:noWrap/>
            <w:vAlign w:val="center"/>
            <w:hideMark/>
          </w:tcPr>
          <w:p w14:paraId="1658264A"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2.5</w:t>
            </w:r>
          </w:p>
        </w:tc>
        <w:tc>
          <w:tcPr>
            <w:tcW w:w="2409" w:type="dxa"/>
            <w:noWrap/>
            <w:vAlign w:val="center"/>
            <w:hideMark/>
          </w:tcPr>
          <w:p w14:paraId="4EC1A5B2"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2025 - 2041 vidēji</w:t>
            </w:r>
          </w:p>
        </w:tc>
      </w:tr>
      <w:tr w:rsidR="001D1E0E" w:rsidRPr="00EB585D" w14:paraId="2262816A" w14:textId="77777777" w:rsidTr="00E5538F">
        <w:trPr>
          <w:trHeight w:val="310"/>
        </w:trPr>
        <w:tc>
          <w:tcPr>
            <w:tcW w:w="4673" w:type="dxa"/>
            <w:noWrap/>
            <w:vAlign w:val="center"/>
            <w:hideMark/>
          </w:tcPr>
          <w:p w14:paraId="3EEAB9A6" w14:textId="77777777" w:rsidR="001D1E0E" w:rsidRPr="00EB585D" w:rsidRDefault="001D1E0E" w:rsidP="00E5538F">
            <w:pPr>
              <w:spacing w:after="0" w:line="240" w:lineRule="auto"/>
              <w:ind w:firstLine="0"/>
              <w:jc w:val="left"/>
              <w:rPr>
                <w:rFonts w:eastAsia="Times New Roman" w:cs="Times New Roman"/>
                <w:color w:val="000000"/>
                <w:sz w:val="20"/>
                <w:szCs w:val="20"/>
                <w:lang w:eastAsia="lv-LV"/>
              </w:rPr>
            </w:pPr>
            <w:r w:rsidRPr="00EB585D">
              <w:rPr>
                <w:rFonts w:eastAsia="Times New Roman" w:cs="Times New Roman"/>
                <w:color w:val="000000"/>
                <w:sz w:val="20"/>
                <w:szCs w:val="20"/>
                <w:lang w:eastAsia="lv-LV"/>
              </w:rPr>
              <w:t>Nominālā netiešā procentu likme (%)</w:t>
            </w:r>
          </w:p>
        </w:tc>
        <w:tc>
          <w:tcPr>
            <w:tcW w:w="1985" w:type="dxa"/>
            <w:noWrap/>
            <w:vAlign w:val="center"/>
            <w:hideMark/>
          </w:tcPr>
          <w:p w14:paraId="4DE0D990"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3.4</w:t>
            </w:r>
          </w:p>
        </w:tc>
        <w:tc>
          <w:tcPr>
            <w:tcW w:w="2409" w:type="dxa"/>
            <w:noWrap/>
            <w:vAlign w:val="center"/>
            <w:hideMark/>
          </w:tcPr>
          <w:p w14:paraId="4607555C" w14:textId="77777777" w:rsidR="001D1E0E" w:rsidRPr="00EB585D" w:rsidRDefault="001D1E0E" w:rsidP="00E5538F">
            <w:pPr>
              <w:spacing w:after="0" w:line="240" w:lineRule="auto"/>
              <w:ind w:firstLine="0"/>
              <w:jc w:val="center"/>
              <w:rPr>
                <w:rFonts w:eastAsia="Times New Roman" w:cs="Times New Roman"/>
                <w:color w:val="000000"/>
                <w:sz w:val="20"/>
                <w:szCs w:val="20"/>
                <w:lang w:eastAsia="lv-LV"/>
              </w:rPr>
            </w:pPr>
            <w:r w:rsidRPr="00EB585D">
              <w:rPr>
                <w:rFonts w:eastAsia="Times New Roman" w:cs="Times New Roman"/>
                <w:color w:val="000000"/>
                <w:sz w:val="20"/>
                <w:szCs w:val="20"/>
                <w:lang w:eastAsia="lv-LV"/>
              </w:rPr>
              <w:t>2025 - 2041 vidēji</w:t>
            </w:r>
          </w:p>
        </w:tc>
      </w:tr>
    </w:tbl>
    <w:p w14:paraId="2F5D24A3" w14:textId="77777777" w:rsidR="001D1E0E" w:rsidRPr="009F79C4" w:rsidRDefault="001D1E0E" w:rsidP="00E5538F">
      <w:pPr>
        <w:spacing w:after="0" w:line="240" w:lineRule="auto"/>
        <w:ind w:firstLine="0"/>
        <w:rPr>
          <w:rFonts w:eastAsia="Times New Roman"/>
          <w:lang w:eastAsia="lv-LV"/>
        </w:rPr>
      </w:pPr>
    </w:p>
    <w:p w14:paraId="6A675A94" w14:textId="77777777" w:rsidR="00095DF0" w:rsidRDefault="00095DF0"/>
    <w:sectPr w:rsidR="00095DF0" w:rsidSect="0040033A">
      <w:headerReference w:type="default" r:id="rId6"/>
      <w:footerReference w:type="default" r:id="rId7"/>
      <w:pgSz w:w="11906" w:h="16838"/>
      <w:pgMar w:top="1418" w:right="1134" w:bottom="567" w:left="1701" w:header="709" w:footer="709"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B4502" w14:textId="77777777" w:rsidR="004203E8" w:rsidRDefault="004203E8" w:rsidP="001D1E0E">
      <w:pPr>
        <w:spacing w:after="0" w:line="240" w:lineRule="auto"/>
      </w:pPr>
      <w:r>
        <w:separator/>
      </w:r>
    </w:p>
  </w:endnote>
  <w:endnote w:type="continuationSeparator" w:id="0">
    <w:p w14:paraId="6F4CEA11" w14:textId="77777777" w:rsidR="004203E8" w:rsidRDefault="004203E8" w:rsidP="001D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110659"/>
      <w:docPartObj>
        <w:docPartGallery w:val="Page Numbers (Bottom of Page)"/>
        <w:docPartUnique/>
      </w:docPartObj>
    </w:sdtPr>
    <w:sdtEndPr>
      <w:rPr>
        <w:noProof/>
      </w:rPr>
    </w:sdtEndPr>
    <w:sdtContent>
      <w:p w14:paraId="1CB4DB78" w14:textId="7C6755F6" w:rsidR="00CD5109" w:rsidRDefault="00CD5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39F19" w14:textId="77777777" w:rsidR="00CD5109" w:rsidRDefault="00CD5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F6AC9" w14:textId="77777777" w:rsidR="004203E8" w:rsidRDefault="004203E8" w:rsidP="001D1E0E">
      <w:pPr>
        <w:spacing w:after="0" w:line="240" w:lineRule="auto"/>
      </w:pPr>
      <w:r>
        <w:separator/>
      </w:r>
    </w:p>
  </w:footnote>
  <w:footnote w:type="continuationSeparator" w:id="0">
    <w:p w14:paraId="2BAE810B" w14:textId="77777777" w:rsidR="004203E8" w:rsidRDefault="004203E8" w:rsidP="001D1E0E">
      <w:pPr>
        <w:spacing w:after="0" w:line="240" w:lineRule="auto"/>
      </w:pPr>
      <w:r>
        <w:continuationSeparator/>
      </w:r>
    </w:p>
  </w:footnote>
  <w:footnote w:id="1">
    <w:p w14:paraId="4BF94660" w14:textId="5722A4CE" w:rsidR="001D1E0E" w:rsidRPr="001F2116" w:rsidRDefault="001D1E0E" w:rsidP="00E5538F">
      <w:pPr>
        <w:pStyle w:val="FootnoteText"/>
        <w:spacing w:after="0" w:line="240" w:lineRule="auto"/>
        <w:rPr>
          <w:color w:val="auto"/>
        </w:rPr>
      </w:pPr>
      <w:r w:rsidRPr="001F2116">
        <w:rPr>
          <w:rStyle w:val="FootnoteReference"/>
          <w:rFonts w:ascii="Times New Roman" w:hAnsi="Times New Roman"/>
        </w:rPr>
        <w:footnoteRef/>
      </w:r>
      <w:r w:rsidRPr="001F2116">
        <w:t xml:space="preserve">  20.</w:t>
      </w:r>
      <w:r w:rsidR="00E5538F" w:rsidRPr="001F2116">
        <w:t>0</w:t>
      </w:r>
      <w:r w:rsidRPr="001F2116">
        <w:t>6.2024 , C(</w:t>
      </w:r>
      <w:r w:rsidRPr="001F2116">
        <w:rPr>
          <w:color w:val="auto"/>
        </w:rPr>
        <w:t xml:space="preserve">2024) 4439 </w:t>
      </w:r>
      <w:proofErr w:type="spellStart"/>
      <w:r w:rsidRPr="001F2116">
        <w:rPr>
          <w:color w:val="auto"/>
        </w:rPr>
        <w:t>final</w:t>
      </w:r>
      <w:proofErr w:type="spellEnd"/>
    </w:p>
  </w:footnote>
  <w:footnote w:id="2">
    <w:p w14:paraId="350DAC97" w14:textId="03EBCC91" w:rsidR="001D1E0E" w:rsidRPr="001F2116" w:rsidRDefault="001D1E0E" w:rsidP="00E5538F">
      <w:pPr>
        <w:pStyle w:val="FootnoteText"/>
        <w:spacing w:after="0" w:line="240" w:lineRule="auto"/>
      </w:pPr>
      <w:r w:rsidRPr="001F2116">
        <w:rPr>
          <w:rStyle w:val="FootnoteReference"/>
          <w:rFonts w:ascii="Times New Roman" w:hAnsi="Times New Roman"/>
          <w:color w:val="auto"/>
        </w:rPr>
        <w:footnoteRef/>
      </w:r>
      <w:r w:rsidRPr="001F2116">
        <w:rPr>
          <w:color w:val="auto"/>
        </w:rPr>
        <w:t xml:space="preserve"> </w:t>
      </w:r>
      <w:r w:rsidR="00E5538F" w:rsidRPr="001F2116">
        <w:rPr>
          <w:color w:val="auto"/>
        </w:rPr>
        <w:t xml:space="preserve">Pieejams: </w:t>
      </w:r>
      <w:hyperlink r:id="rId1" w:history="1">
        <w:r w:rsidR="00E5538F" w:rsidRPr="001F2116">
          <w:rPr>
            <w:rStyle w:val="Hyperlink"/>
            <w:color w:val="auto"/>
          </w:rPr>
          <w:t>https://eur-lex.europa.eu/legal-content/LV/TXT/HTML/?uri=OJ:L_202401263</w:t>
        </w:r>
      </w:hyperlink>
      <w:r w:rsidRPr="001F2116">
        <w:rPr>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DE2B" w14:textId="4BA657FA" w:rsidR="00C72541" w:rsidRPr="00C72541" w:rsidRDefault="00C72541" w:rsidP="00C72541">
    <w:pPr>
      <w:pStyle w:val="Header"/>
      <w:tabs>
        <w:tab w:val="left" w:pos="2279"/>
        <w:tab w:val="right" w:pos="9071"/>
      </w:tabs>
      <w:jc w:val="right"/>
      <w:rPr>
        <w:sz w:val="20"/>
        <w:szCs w:val="18"/>
      </w:rPr>
    </w:pPr>
    <w:r>
      <w:rPr>
        <w:sz w:val="20"/>
        <w:szCs w:val="18"/>
      </w:rPr>
      <w:tab/>
    </w:r>
    <w:r>
      <w:rPr>
        <w:sz w:val="20"/>
        <w:szCs w:val="18"/>
      </w:rPr>
      <w:tab/>
    </w:r>
    <w:r w:rsidRPr="00C72541">
      <w:rPr>
        <w:sz w:val="20"/>
        <w:szCs w:val="18"/>
      </w:rPr>
      <w:t xml:space="preserve">1. </w:t>
    </w:r>
    <w:r w:rsidR="001F3BAA">
      <w:rPr>
        <w:sz w:val="20"/>
        <w:szCs w:val="18"/>
      </w:rPr>
      <w:t>P</w:t>
    </w:r>
    <w:r w:rsidRPr="00C72541">
      <w:rPr>
        <w:sz w:val="20"/>
        <w:szCs w:val="18"/>
      </w:rPr>
      <w:t xml:space="preserve">ielikums Latvijas Fiskāli strukturālajam plānam 2025.- 2028. gadam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6"/>
    <w:rsid w:val="00095DF0"/>
    <w:rsid w:val="000A2E66"/>
    <w:rsid w:val="001D1E0E"/>
    <w:rsid w:val="001F2116"/>
    <w:rsid w:val="001F3BAA"/>
    <w:rsid w:val="0040033A"/>
    <w:rsid w:val="004203E8"/>
    <w:rsid w:val="0093383C"/>
    <w:rsid w:val="009F5EA1"/>
    <w:rsid w:val="00A13D7F"/>
    <w:rsid w:val="00AC08D0"/>
    <w:rsid w:val="00C72541"/>
    <w:rsid w:val="00CD5109"/>
    <w:rsid w:val="00D64C19"/>
    <w:rsid w:val="00E553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2720"/>
  <w15:chartTrackingRefBased/>
  <w15:docId w15:val="{6FE26EE4-4A1C-4B0E-ACBB-68C62F4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0E"/>
    <w:pPr>
      <w:spacing w:after="120" w:line="276" w:lineRule="auto"/>
      <w:ind w:firstLine="720"/>
      <w:jc w:val="both"/>
    </w:pPr>
    <w:rPr>
      <w:rFonts w:eastAsiaTheme="minorEastAsia"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 Char Char Char,single space,ft Rakstz. Rakstz.,ft Rakstz.,ft,-E Fußnotentext,Fußnotentext Ursprung,Vēres teksts Char Char Char Char Char,Char Char Char Char Char Char Char Char Char Char Char Char,footnote tex,Char"/>
    <w:basedOn w:val="Normal"/>
    <w:link w:val="FootnoteTextChar"/>
    <w:uiPriority w:val="99"/>
    <w:qFormat/>
    <w:rsid w:val="001D1E0E"/>
    <w:pPr>
      <w:keepLines/>
      <w:widowControl w:val="0"/>
      <w:ind w:left="340" w:hanging="340"/>
    </w:pPr>
    <w:rPr>
      <w:rFonts w:eastAsia="Times New Roman" w:cs="Times New Roman"/>
      <w:snapToGrid w:val="0"/>
      <w:color w:val="000000"/>
      <w:sz w:val="20"/>
      <w:szCs w:val="20"/>
    </w:rPr>
  </w:style>
  <w:style w:type="character" w:customStyle="1" w:styleId="FootnoteTextChar">
    <w:name w:val="Footnote Text Char"/>
    <w:aliases w:val="Footnote Char,Fußnote Char,Fußnote Char Char Char Char,single space Char,ft Rakstz. Rakstz. Char,ft Rakstz. Char,ft Char,-E Fußnotentext Char,Fußnotentext Ursprung Char,Vēres teksts Char Char Char Char Char Char,footnote tex Char"/>
    <w:basedOn w:val="DefaultParagraphFont"/>
    <w:link w:val="FootnoteText"/>
    <w:uiPriority w:val="99"/>
    <w:rsid w:val="001D1E0E"/>
    <w:rPr>
      <w:rFonts w:eastAsia="Times New Roman"/>
      <w:snapToGrid w:val="0"/>
      <w:color w:val="000000"/>
      <w:kern w:val="0"/>
      <w:sz w:val="20"/>
      <w:szCs w:val="20"/>
      <w14:ligatures w14:val="none"/>
    </w:rPr>
  </w:style>
  <w:style w:type="character" w:styleId="FootnoteReference">
    <w:name w:val="footnote reference"/>
    <w:aliases w:val="Footnote Reference Number,Footnote symbol,Footnote Reference Superscript,ftref,Footnote Refernece,Odwołanie przypisu,BVI fnr,Footnotes refss,SUPERS,Ref,de nota al pie,-E Fußnotenzeichen,Footnote reference number,Times 10 Point,E,E FNZ"/>
    <w:link w:val="Char2"/>
    <w:uiPriority w:val="99"/>
    <w:qFormat/>
    <w:rsid w:val="001D1E0E"/>
    <w:rPr>
      <w:rFonts w:ascii="Garamond" w:hAnsi="Garamond"/>
      <w:sz w:val="20"/>
      <w:vertAlign w:val="superscript"/>
    </w:rPr>
  </w:style>
  <w:style w:type="character" w:styleId="Hyperlink">
    <w:name w:val="Hyperlink"/>
    <w:uiPriority w:val="99"/>
    <w:unhideWhenUsed/>
    <w:rsid w:val="001D1E0E"/>
    <w:rPr>
      <w:color w:val="0000FF"/>
      <w:u w:val="single"/>
    </w:rPr>
  </w:style>
  <w:style w:type="paragraph" w:customStyle="1" w:styleId="Char2">
    <w:name w:val="Char2"/>
    <w:aliases w:val="Char Char Char Char"/>
    <w:basedOn w:val="Normal"/>
    <w:next w:val="Normal"/>
    <w:link w:val="FootnoteReference"/>
    <w:uiPriority w:val="99"/>
    <w:rsid w:val="001D1E0E"/>
    <w:pPr>
      <w:spacing w:line="240" w:lineRule="exact"/>
      <w:textAlignment w:val="baseline"/>
    </w:pPr>
    <w:rPr>
      <w:rFonts w:ascii="Garamond" w:eastAsiaTheme="minorHAnsi" w:hAnsi="Garamond" w:cs="Times New Roman"/>
      <w:kern w:val="2"/>
      <w:sz w:val="20"/>
      <w:szCs w:val="24"/>
      <w:vertAlign w:val="superscript"/>
      <w14:ligatures w14:val="standardContextual"/>
    </w:rPr>
  </w:style>
  <w:style w:type="table" w:styleId="GridTable1Light-Accent1">
    <w:name w:val="Grid Table 1 Light Accent 1"/>
    <w:basedOn w:val="TableNormal"/>
    <w:uiPriority w:val="46"/>
    <w:rsid w:val="001D1E0E"/>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D1E0E"/>
    <w:pPr>
      <w:spacing w:after="0" w:line="240" w:lineRule="auto"/>
    </w:pPr>
    <w:rPr>
      <w:rFonts w:asciiTheme="minorHAnsi" w:eastAsiaTheme="minorEastAsia" w:hAnsiTheme="minorHAnsi" w:cstheme="minorBidi"/>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1D1E0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7Colorful-Accent1">
    <w:name w:val="List Table 7 Colorful Accent 1"/>
    <w:basedOn w:val="TableNormal"/>
    <w:uiPriority w:val="52"/>
    <w:rsid w:val="001D1E0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1">
    <w:name w:val="List Table 3 Accent 1"/>
    <w:basedOn w:val="TableNormal"/>
    <w:uiPriority w:val="48"/>
    <w:rsid w:val="001D1E0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Accent5">
    <w:name w:val="Grid Table 6 Colorful Accent 5"/>
    <w:basedOn w:val="TableNormal"/>
    <w:uiPriority w:val="51"/>
    <w:rsid w:val="001D1E0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D1E0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1D1E0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1D1E0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E5538F"/>
    <w:rPr>
      <w:color w:val="605E5C"/>
      <w:shd w:val="clear" w:color="auto" w:fill="E1DFDD"/>
    </w:rPr>
  </w:style>
  <w:style w:type="paragraph" w:styleId="Header">
    <w:name w:val="header"/>
    <w:basedOn w:val="Normal"/>
    <w:link w:val="HeaderChar"/>
    <w:uiPriority w:val="99"/>
    <w:unhideWhenUsed/>
    <w:rsid w:val="00CD51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5109"/>
    <w:rPr>
      <w:rFonts w:eastAsiaTheme="minorEastAsia" w:cstheme="minorBidi"/>
      <w:kern w:val="0"/>
      <w:szCs w:val="22"/>
      <w14:ligatures w14:val="none"/>
    </w:rPr>
  </w:style>
  <w:style w:type="paragraph" w:styleId="Footer">
    <w:name w:val="footer"/>
    <w:basedOn w:val="Normal"/>
    <w:link w:val="FooterChar"/>
    <w:uiPriority w:val="99"/>
    <w:unhideWhenUsed/>
    <w:rsid w:val="00CD51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5109"/>
    <w:rPr>
      <w:rFonts w:eastAsiaTheme="minorEastAsia"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OJ:L_202401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1696</Words>
  <Characters>968</Characters>
  <Application>Microsoft Office Word</Application>
  <DocSecurity>0</DocSecurity>
  <Lines>8</Lines>
  <Paragraphs>5</Paragraphs>
  <ScaleCrop>false</ScaleCrop>
  <Company>Finanšu Ministrija</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Finanšu ministrija</dc:creator>
  <cp:keywords/>
  <dc:description/>
  <cp:lastModifiedBy>Finanšu ministrija</cp:lastModifiedBy>
  <cp:revision>11</cp:revision>
  <dcterms:created xsi:type="dcterms:W3CDTF">2024-10-10T07:25:00Z</dcterms:created>
  <dcterms:modified xsi:type="dcterms:W3CDTF">2024-10-11T09:08:00Z</dcterms:modified>
</cp:coreProperties>
</file>