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057" w:rsidRDefault="00F37057" w:rsidP="00155FEA">
      <w:pPr>
        <w:jc w:val="center"/>
        <w:rPr>
          <w:iCs/>
          <w:szCs w:val="24"/>
          <w:lang w:eastAsia="lv-LV"/>
        </w:rPr>
      </w:pPr>
      <w:bookmarkStart w:id="0" w:name="_GoBack"/>
      <w:bookmarkEnd w:id="0"/>
    </w:p>
    <w:p w:rsidR="00F37057" w:rsidRDefault="00F37057" w:rsidP="00155FEA">
      <w:pPr>
        <w:jc w:val="center"/>
        <w:rPr>
          <w:iCs/>
          <w:szCs w:val="24"/>
          <w:lang w:eastAsia="lv-LV"/>
        </w:rPr>
      </w:pPr>
    </w:p>
    <w:p w:rsidR="001943EE" w:rsidRPr="00F37057" w:rsidRDefault="008D1B4D" w:rsidP="00155FEA">
      <w:pPr>
        <w:jc w:val="center"/>
        <w:rPr>
          <w:b/>
          <w:spacing w:val="4"/>
          <w:sz w:val="26"/>
          <w:szCs w:val="26"/>
        </w:rPr>
      </w:pPr>
      <w:r w:rsidRPr="00F37057">
        <w:rPr>
          <w:b/>
          <w:iCs/>
          <w:sz w:val="26"/>
          <w:szCs w:val="26"/>
          <w:lang w:eastAsia="lv-LV"/>
        </w:rPr>
        <w:t>Par valsts pagaidu budžetu 2019.gadam</w:t>
      </w:r>
    </w:p>
    <w:p w:rsidR="00114955" w:rsidRPr="00F37057" w:rsidRDefault="00114955" w:rsidP="007F3771">
      <w:pPr>
        <w:rPr>
          <w:b/>
          <w:spacing w:val="4"/>
          <w:sz w:val="20"/>
        </w:rPr>
      </w:pPr>
    </w:p>
    <w:p w:rsidR="00E04F00" w:rsidRPr="003F2252" w:rsidRDefault="00E04F00" w:rsidP="007F3771">
      <w:pPr>
        <w:rPr>
          <w:szCs w:val="24"/>
        </w:rPr>
      </w:pPr>
    </w:p>
    <w:p w:rsidR="008D22AE" w:rsidRPr="00F37057" w:rsidRDefault="008D22AE" w:rsidP="000778F0">
      <w:pPr>
        <w:framePr w:w="9083" w:h="4756" w:hRule="exact" w:hSpace="181" w:wrap="around" w:vAnchor="page" w:hAnchor="page" w:x="1701" w:y="573" w:anchorLock="1"/>
        <w:widowControl w:val="0"/>
        <w:autoSpaceDE w:val="0"/>
        <w:autoSpaceDN w:val="0"/>
        <w:adjustRightInd w:val="0"/>
        <w:ind w:left="-1800" w:firstLine="1942"/>
        <w:jc w:val="right"/>
        <w:rPr>
          <w:rFonts w:ascii="Courier" w:hAnsi="Courier"/>
          <w:szCs w:val="24"/>
          <w:lang w:eastAsia="lv-LV"/>
        </w:rPr>
      </w:pPr>
    </w:p>
    <w:p w:rsidR="008D22AE" w:rsidRPr="00F37057" w:rsidRDefault="008D22AE" w:rsidP="000778F0">
      <w:pPr>
        <w:framePr w:w="9083" w:h="4756" w:hRule="exact" w:hSpace="181" w:wrap="around" w:vAnchor="page" w:hAnchor="page" w:x="1701" w:y="573" w:anchorLock="1"/>
        <w:widowControl w:val="0"/>
        <w:autoSpaceDE w:val="0"/>
        <w:autoSpaceDN w:val="0"/>
        <w:adjustRightInd w:val="0"/>
        <w:ind w:left="-1800" w:firstLine="1942"/>
        <w:jc w:val="center"/>
        <w:rPr>
          <w:rFonts w:ascii="Courier" w:hAnsi="Courier"/>
          <w:i/>
          <w:szCs w:val="24"/>
          <w:lang w:eastAsia="lv-LV"/>
        </w:rPr>
      </w:pPr>
    </w:p>
    <w:p w:rsidR="008D22AE" w:rsidRPr="00F37057" w:rsidRDefault="008D22AE" w:rsidP="000778F0">
      <w:pPr>
        <w:framePr w:w="9083" w:h="4756" w:hRule="exact" w:hSpace="181" w:wrap="around" w:vAnchor="page" w:hAnchor="page" w:x="1701" w:y="573" w:anchorLock="1"/>
        <w:widowControl w:val="0"/>
        <w:autoSpaceDE w:val="0"/>
        <w:autoSpaceDN w:val="0"/>
        <w:adjustRightInd w:val="0"/>
        <w:ind w:left="-1800" w:firstLine="1942"/>
        <w:jc w:val="right"/>
        <w:rPr>
          <w:rFonts w:ascii="Courier" w:hAnsi="Courier"/>
          <w:szCs w:val="24"/>
          <w:lang w:eastAsia="lv-LV"/>
        </w:rPr>
      </w:pPr>
    </w:p>
    <w:p w:rsidR="008D22AE" w:rsidRPr="00F37057" w:rsidRDefault="008D22AE" w:rsidP="000778F0">
      <w:pPr>
        <w:framePr w:w="9083" w:h="4756" w:hRule="exact" w:hSpace="181" w:wrap="around" w:vAnchor="page" w:hAnchor="page" w:x="1701" w:y="573" w:anchorLock="1"/>
        <w:widowControl w:val="0"/>
        <w:autoSpaceDE w:val="0"/>
        <w:autoSpaceDN w:val="0"/>
        <w:adjustRightInd w:val="0"/>
        <w:ind w:left="-1800" w:firstLine="1942"/>
        <w:jc w:val="center"/>
        <w:rPr>
          <w:rFonts w:ascii="Courier" w:hAnsi="Courier"/>
          <w:szCs w:val="24"/>
          <w:lang w:eastAsia="lv-LV"/>
        </w:rPr>
      </w:pPr>
    </w:p>
    <w:p w:rsidR="000778F0" w:rsidRDefault="000778F0" w:rsidP="00730117">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C3745" w:rsidRDefault="007C3745"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730117" w:rsidRDefault="00730117" w:rsidP="00D3393E">
      <w:pPr>
        <w:framePr w:w="9362" w:h="4756" w:hRule="exact" w:hSpace="181" w:wrap="around" w:vAnchor="page" w:hAnchor="page" w:x="1701" w:y="573" w:anchorLock="1"/>
        <w:rPr>
          <w:sz w:val="20"/>
        </w:rPr>
      </w:pPr>
    </w:p>
    <w:p w:rsidR="000778F0" w:rsidRDefault="000778F0" w:rsidP="00D3393E">
      <w:pPr>
        <w:framePr w:w="9362" w:h="4756" w:hRule="exact" w:hSpace="181" w:wrap="around" w:vAnchor="page" w:hAnchor="page" w:x="1701" w:y="573" w:anchorLock="1"/>
        <w:rPr>
          <w:sz w:val="20"/>
        </w:rPr>
      </w:pPr>
    </w:p>
    <w:p w:rsidR="00730117" w:rsidRPr="00B81ED0" w:rsidRDefault="00D3393E" w:rsidP="00D3393E">
      <w:pPr>
        <w:framePr w:w="9362" w:h="4756" w:hRule="exact" w:hSpace="181" w:wrap="around" w:vAnchor="page" w:hAnchor="page" w:x="1701" w:y="573" w:anchorLock="1"/>
        <w:jc w:val="center"/>
        <w:rPr>
          <w:color w:val="000000"/>
          <w:spacing w:val="100"/>
          <w:sz w:val="20"/>
        </w:rPr>
      </w:pPr>
      <w:r>
        <w:rPr>
          <w:color w:val="000000"/>
          <w:spacing w:val="100"/>
          <w:sz w:val="20"/>
        </w:rPr>
        <w:t xml:space="preserve"> </w:t>
      </w:r>
      <w:r w:rsidR="00730117" w:rsidRPr="00B81ED0">
        <w:rPr>
          <w:color w:val="000000"/>
          <w:spacing w:val="100"/>
          <w:sz w:val="20"/>
        </w:rPr>
        <w:t>RĪKOJUMS</w:t>
      </w:r>
    </w:p>
    <w:p w:rsidR="000778F0" w:rsidRDefault="000778F0" w:rsidP="00D3393E">
      <w:pPr>
        <w:framePr w:w="9362" w:h="4756" w:hRule="exact" w:hSpace="181" w:wrap="around" w:vAnchor="page" w:hAnchor="page" w:x="1701" w:y="573" w:anchorLock="1"/>
        <w:jc w:val="center"/>
        <w:rPr>
          <w:sz w:val="16"/>
        </w:rPr>
      </w:pPr>
    </w:p>
    <w:p w:rsidR="00730117" w:rsidRDefault="00730117" w:rsidP="00D3393E">
      <w:pPr>
        <w:framePr w:w="9362" w:h="4756" w:hRule="exact" w:hSpace="181" w:wrap="around" w:vAnchor="page" w:hAnchor="page" w:x="1701" w:y="573" w:anchorLock="1"/>
        <w:jc w:val="center"/>
        <w:rPr>
          <w:sz w:val="20"/>
        </w:rPr>
      </w:pPr>
      <w:r w:rsidRPr="00914649">
        <w:rPr>
          <w:sz w:val="20"/>
        </w:rPr>
        <w:t>Rīgā</w:t>
      </w:r>
    </w:p>
    <w:p w:rsidR="000778F0" w:rsidRDefault="000778F0" w:rsidP="00D3393E">
      <w:pPr>
        <w:framePr w:w="9362" w:h="4756" w:hRule="exact" w:hSpace="181" w:wrap="around" w:vAnchor="page" w:hAnchor="page" w:x="1701" w:y="573" w:anchorLock="1"/>
        <w:jc w:val="center"/>
        <w:rPr>
          <w:sz w:val="21"/>
        </w:rPr>
      </w:pPr>
    </w:p>
    <w:p w:rsidR="00D3393E" w:rsidRDefault="00D3393E" w:rsidP="00D3393E">
      <w:pPr>
        <w:framePr w:w="9362" w:h="4756" w:hRule="exact" w:hSpace="181" w:wrap="around" w:vAnchor="page" w:hAnchor="page" w:x="1701" w:y="573" w:anchorLock="1"/>
        <w:jc w:val="center"/>
        <w:rPr>
          <w:sz w:val="21"/>
        </w:rPr>
      </w:pPr>
    </w:p>
    <w:tbl>
      <w:tblPr>
        <w:tblW w:w="9039" w:type="dxa"/>
        <w:tblLook w:val="0000" w:firstRow="0" w:lastRow="0" w:firstColumn="0" w:lastColumn="0" w:noHBand="0" w:noVBand="0"/>
      </w:tblPr>
      <w:tblGrid>
        <w:gridCol w:w="450"/>
        <w:gridCol w:w="1785"/>
        <w:gridCol w:w="5670"/>
        <w:gridCol w:w="1134"/>
      </w:tblGrid>
      <w:tr w:rsidR="008D22AE" w:rsidRPr="002A20A3" w:rsidTr="005C00B9">
        <w:tc>
          <w:tcPr>
            <w:tcW w:w="450" w:type="dxa"/>
            <w:tcBorders>
              <w:top w:val="nil"/>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rPr>
                <w:sz w:val="20"/>
              </w:rPr>
            </w:pPr>
          </w:p>
        </w:tc>
        <w:bookmarkStart w:id="1" w:name="reg_dat"/>
        <w:tc>
          <w:tcPr>
            <w:tcW w:w="1785" w:type="dxa"/>
            <w:tcBorders>
              <w:top w:val="nil"/>
              <w:left w:val="nil"/>
              <w:bottom w:val="single" w:sz="4" w:space="0" w:color="auto"/>
              <w:right w:val="nil"/>
            </w:tcBorders>
          </w:tcPr>
          <w:p w:rsidR="008D22AE" w:rsidRPr="002A20A3" w:rsidRDefault="004157D9" w:rsidP="00D3393E">
            <w:pPr>
              <w:framePr w:w="9362" w:h="4756" w:hRule="exact" w:hSpace="181" w:wrap="around" w:vAnchor="page" w:hAnchor="page" w:x="1701" w:y="573" w:anchorLock="1"/>
              <w:tabs>
                <w:tab w:val="left" w:pos="3960"/>
              </w:tabs>
              <w:rPr>
                <w:szCs w:val="24"/>
              </w:rPr>
            </w:pPr>
            <w:r>
              <w:rPr>
                <w:szCs w:val="24"/>
              </w:rPr>
              <w:fldChar w:fldCharType="begin">
                <w:ffData>
                  <w:name w:val="reg_dat"/>
                  <w:enabled/>
                  <w:calcOnExit w:val="0"/>
                  <w:textInput>
                    <w:default w:val="                      "/>
                  </w:textInput>
                </w:ffData>
              </w:fldChar>
            </w:r>
            <w:r w:rsidR="008D22AE">
              <w:rPr>
                <w:szCs w:val="24"/>
              </w:rPr>
              <w:instrText xml:space="preserve"> FORMTEXT </w:instrText>
            </w:r>
            <w:r>
              <w:rPr>
                <w:szCs w:val="24"/>
              </w:rPr>
            </w:r>
            <w:r>
              <w:rPr>
                <w:szCs w:val="24"/>
              </w:rPr>
              <w:fldChar w:fldCharType="separate"/>
            </w:r>
            <w:r w:rsidR="00D72B3F">
              <w:rPr>
                <w:szCs w:val="24"/>
              </w:rPr>
              <w:t>18.12.2018</w:t>
            </w:r>
            <w:r>
              <w:rPr>
                <w:szCs w:val="24"/>
              </w:rPr>
              <w:fldChar w:fldCharType="end"/>
            </w:r>
            <w:bookmarkEnd w:id="1"/>
          </w:p>
        </w:tc>
        <w:tc>
          <w:tcPr>
            <w:tcW w:w="5670" w:type="dxa"/>
            <w:tcBorders>
              <w:top w:val="nil"/>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jc w:val="right"/>
              <w:rPr>
                <w:sz w:val="20"/>
              </w:rPr>
            </w:pPr>
            <w:r w:rsidRPr="002A20A3">
              <w:rPr>
                <w:sz w:val="20"/>
              </w:rPr>
              <w:t>Nr.</w:t>
            </w:r>
          </w:p>
        </w:tc>
        <w:bookmarkStart w:id="2" w:name="reg_num"/>
        <w:tc>
          <w:tcPr>
            <w:tcW w:w="1134" w:type="dxa"/>
            <w:tcBorders>
              <w:top w:val="nil"/>
              <w:left w:val="nil"/>
              <w:bottom w:val="single" w:sz="4" w:space="0" w:color="auto"/>
              <w:right w:val="nil"/>
            </w:tcBorders>
          </w:tcPr>
          <w:p w:rsidR="008D22AE" w:rsidRPr="002A20A3" w:rsidRDefault="004157D9" w:rsidP="00D3393E">
            <w:pPr>
              <w:framePr w:w="9362" w:h="4756" w:hRule="exact" w:hSpace="181" w:wrap="around" w:vAnchor="page" w:hAnchor="page" w:x="1701" w:y="573" w:anchorLock="1"/>
              <w:tabs>
                <w:tab w:val="left" w:pos="360"/>
                <w:tab w:val="left" w:pos="3960"/>
              </w:tabs>
              <w:rPr>
                <w:szCs w:val="24"/>
              </w:rPr>
            </w:pPr>
            <w:r>
              <w:rPr>
                <w:szCs w:val="24"/>
              </w:rPr>
              <w:fldChar w:fldCharType="begin">
                <w:ffData>
                  <w:name w:val="reg_num"/>
                  <w:enabled/>
                  <w:calcOnExit w:val="0"/>
                  <w:textInput>
                    <w:default w:val="            "/>
                  </w:textInput>
                </w:ffData>
              </w:fldChar>
            </w:r>
            <w:r w:rsidR="008D22AE">
              <w:rPr>
                <w:szCs w:val="24"/>
              </w:rPr>
              <w:instrText xml:space="preserve"> FORMTEXT </w:instrText>
            </w:r>
            <w:r>
              <w:rPr>
                <w:szCs w:val="24"/>
              </w:rPr>
            </w:r>
            <w:r>
              <w:rPr>
                <w:szCs w:val="24"/>
              </w:rPr>
              <w:fldChar w:fldCharType="separate"/>
            </w:r>
            <w:r w:rsidR="00D72B3F">
              <w:rPr>
                <w:szCs w:val="24"/>
              </w:rPr>
              <w:t>488</w:t>
            </w:r>
            <w:r>
              <w:rPr>
                <w:szCs w:val="24"/>
              </w:rPr>
              <w:fldChar w:fldCharType="end"/>
            </w:r>
            <w:bookmarkEnd w:id="2"/>
          </w:p>
        </w:tc>
      </w:tr>
      <w:tr w:rsidR="008D22AE" w:rsidRPr="002A20A3" w:rsidTr="005C00B9">
        <w:trPr>
          <w:trHeight w:val="188"/>
        </w:trPr>
        <w:tc>
          <w:tcPr>
            <w:tcW w:w="450" w:type="dxa"/>
            <w:tcBorders>
              <w:top w:val="nil"/>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rPr>
                <w:sz w:val="20"/>
              </w:rPr>
            </w:pPr>
          </w:p>
        </w:tc>
        <w:tc>
          <w:tcPr>
            <w:tcW w:w="1785" w:type="dxa"/>
            <w:tcBorders>
              <w:top w:val="single" w:sz="4" w:space="0" w:color="auto"/>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rPr>
                <w:sz w:val="20"/>
              </w:rPr>
            </w:pPr>
          </w:p>
        </w:tc>
        <w:tc>
          <w:tcPr>
            <w:tcW w:w="5670" w:type="dxa"/>
            <w:tcBorders>
              <w:top w:val="nil"/>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jc w:val="center"/>
              <w:rPr>
                <w:sz w:val="20"/>
              </w:rPr>
            </w:pPr>
          </w:p>
        </w:tc>
        <w:tc>
          <w:tcPr>
            <w:tcW w:w="1134" w:type="dxa"/>
            <w:tcBorders>
              <w:top w:val="single" w:sz="4" w:space="0" w:color="auto"/>
              <w:left w:val="nil"/>
              <w:bottom w:val="nil"/>
              <w:right w:val="nil"/>
            </w:tcBorders>
          </w:tcPr>
          <w:p w:rsidR="008D22AE" w:rsidRPr="002A20A3" w:rsidRDefault="008D22AE" w:rsidP="00D3393E">
            <w:pPr>
              <w:framePr w:w="9362" w:h="4756" w:hRule="exact" w:hSpace="181" w:wrap="around" w:vAnchor="page" w:hAnchor="page" w:x="1701" w:y="573" w:anchorLock="1"/>
              <w:tabs>
                <w:tab w:val="left" w:pos="360"/>
                <w:tab w:val="left" w:pos="3960"/>
              </w:tabs>
              <w:rPr>
                <w:sz w:val="20"/>
              </w:rPr>
            </w:pPr>
          </w:p>
        </w:tc>
      </w:tr>
    </w:tbl>
    <w:p w:rsidR="008D22AE" w:rsidRDefault="008D22AE" w:rsidP="00D3393E">
      <w:pPr>
        <w:framePr w:w="9362" w:h="4756" w:hRule="exact" w:hSpace="181" w:wrap="around" w:vAnchor="page" w:hAnchor="page" w:x="1701" w:y="573" w:anchorLock="1"/>
        <w:tabs>
          <w:tab w:val="left" w:pos="4820"/>
        </w:tabs>
        <w:rPr>
          <w:sz w:val="20"/>
        </w:rPr>
      </w:pPr>
    </w:p>
    <w:p w:rsidR="00F37057" w:rsidRPr="00F37057" w:rsidRDefault="00F37057" w:rsidP="00F37057">
      <w:pPr>
        <w:spacing w:before="120" w:after="120"/>
        <w:ind w:firstLine="567"/>
        <w:rPr>
          <w:sz w:val="26"/>
          <w:szCs w:val="26"/>
          <w:lang w:eastAsia="lv-LV"/>
        </w:rPr>
      </w:pPr>
      <w:r w:rsidRPr="00F37057">
        <w:rPr>
          <w:sz w:val="26"/>
          <w:szCs w:val="26"/>
          <w:lang w:eastAsia="lv-LV"/>
        </w:rPr>
        <w:t>1. Apstiprināt valsts pamatbudžeta izdevumus 2019.gadam saskaņā ar 1. un 2.pielikumu.</w:t>
      </w:r>
    </w:p>
    <w:p w:rsidR="00F37057" w:rsidRPr="00F37057" w:rsidRDefault="00F37057" w:rsidP="00F37057">
      <w:pPr>
        <w:spacing w:before="120" w:after="120"/>
        <w:ind w:firstLine="567"/>
        <w:rPr>
          <w:sz w:val="26"/>
          <w:szCs w:val="26"/>
          <w:lang w:eastAsia="lv-LV"/>
        </w:rPr>
      </w:pPr>
      <w:r w:rsidRPr="00F37057">
        <w:rPr>
          <w:bCs/>
          <w:sz w:val="26"/>
          <w:szCs w:val="26"/>
          <w:lang w:eastAsia="lv-LV"/>
        </w:rPr>
        <w:t xml:space="preserve">2. </w:t>
      </w:r>
      <w:r w:rsidRPr="00F37057">
        <w:rPr>
          <w:sz w:val="26"/>
          <w:szCs w:val="26"/>
          <w:lang w:eastAsia="lv-LV"/>
        </w:rPr>
        <w:t>Apstiprināt valsts speciālā budžeta izdevumus 2019.gadam saskaņā ar 1. un 3.pielikumu.</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bCs/>
          <w:sz w:val="26"/>
          <w:szCs w:val="26"/>
          <w:lang w:eastAsia="lv-LV"/>
        </w:rPr>
        <w:t>3. </w:t>
      </w:r>
      <w:r w:rsidRPr="00F37057">
        <w:rPr>
          <w:rFonts w:ascii="Times New Roman" w:hAnsi="Times New Roman"/>
          <w:sz w:val="26"/>
          <w:szCs w:val="26"/>
          <w:lang w:eastAsia="lv-LV"/>
        </w:rPr>
        <w:t xml:space="preserve"> </w:t>
      </w:r>
      <w:r w:rsidRPr="00F37057">
        <w:rPr>
          <w:rFonts w:ascii="Times New Roman" w:hAnsi="Times New Roman"/>
          <w:sz w:val="26"/>
          <w:szCs w:val="26"/>
        </w:rPr>
        <w:t>Apstiprināt mērķdotāciju apjomu pašvaldībām, tajā skaitā:</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sz w:val="26"/>
          <w:szCs w:val="26"/>
        </w:rPr>
        <w:t>3.1. pašvaldību pamata un vispārējās vidējās izglītības iestāžu, pašvaldību speciālās izglītības iestāžu un pašvaldību profesionālās izglītības iestāžu pedagogu darba samaksai un valsts sociālās apdrošināšanas obligātajām iemaksām saskaņā ar 4.pielikumu;</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sz w:val="26"/>
          <w:szCs w:val="26"/>
        </w:rPr>
        <w:t>3.2. daļējai interešu izglītības programmu pedagogu darba samaksai un valsts sociālās apdrošināšanas obligātajām iemaksām saskaņā ar 5.pielikumu;</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sz w:val="26"/>
          <w:szCs w:val="26"/>
        </w:rPr>
        <w:t>3.3. 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  saskaņā ar 6.pielikumu;</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sz w:val="26"/>
          <w:szCs w:val="26"/>
        </w:rPr>
        <w:lastRenderedPageBreak/>
        <w:t>3.4. pašvaldību izglītības iestādēs bērnu no piecu gadu vecuma izglītošanā nodarbināto pedagogu darba samaksai un valsts sociālās apdrošināšanas obligātajām iemaksām saskaņā ar 7.pielikumu;</w:t>
      </w:r>
    </w:p>
    <w:p w:rsidR="00F37057" w:rsidRPr="00F37057" w:rsidRDefault="00F37057" w:rsidP="00F37057">
      <w:pPr>
        <w:pStyle w:val="ListParagraph"/>
        <w:tabs>
          <w:tab w:val="left" w:pos="993"/>
        </w:tabs>
        <w:spacing w:before="120" w:after="120" w:line="240" w:lineRule="auto"/>
        <w:ind w:left="0" w:firstLine="567"/>
        <w:contextualSpacing w:val="0"/>
        <w:jc w:val="both"/>
        <w:rPr>
          <w:rFonts w:ascii="Times New Roman" w:hAnsi="Times New Roman"/>
          <w:sz w:val="26"/>
          <w:szCs w:val="26"/>
        </w:rPr>
      </w:pPr>
      <w:r w:rsidRPr="00F37057">
        <w:rPr>
          <w:rFonts w:ascii="Times New Roman" w:hAnsi="Times New Roman"/>
          <w:sz w:val="26"/>
          <w:szCs w:val="26"/>
        </w:rPr>
        <w:t>3.5. māksliniecisko kolektīvu vadītāju darba samaksai un valsts sociālās apdrošināšanas obligātajām iemaksām saskaņā ar 8.pielikumu.</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 Apstiprināt valsts budžeta dotāciju pašvaldībām 140 570 964 </w:t>
      </w:r>
      <w:r w:rsidRPr="00F37057">
        <w:rPr>
          <w:i/>
          <w:sz w:val="26"/>
          <w:szCs w:val="26"/>
          <w:lang w:val="lv-LV"/>
        </w:rPr>
        <w:t>euro</w:t>
      </w:r>
      <w:r w:rsidRPr="00F37057">
        <w:rPr>
          <w:sz w:val="26"/>
          <w:szCs w:val="26"/>
          <w:lang w:val="lv-LV"/>
        </w:rPr>
        <w:t xml:space="preserve"> apmērā, tajā skaitā:</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4.1. pašvaldību finanšu izlīdzināšanas fondam 87 916 698 </w:t>
      </w:r>
      <w:r w:rsidRPr="00F37057">
        <w:rPr>
          <w:i/>
          <w:sz w:val="26"/>
          <w:szCs w:val="26"/>
          <w:lang w:val="lv-LV"/>
        </w:rPr>
        <w:t>euro</w:t>
      </w:r>
      <w:r w:rsidRPr="00F37057">
        <w:rPr>
          <w:sz w:val="26"/>
          <w:szCs w:val="26"/>
          <w:lang w:val="lv-LV"/>
        </w:rPr>
        <w:t xml:space="preserve"> apmērā, tajā skaitā šā rīkojuma 4.2.1.apakšpunktā minētā speciālā dotācija;</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4.2. speciālo dotāciju 104 189 791 </w:t>
      </w:r>
      <w:r w:rsidRPr="00F37057">
        <w:rPr>
          <w:i/>
          <w:sz w:val="26"/>
          <w:szCs w:val="26"/>
          <w:lang w:val="lv-LV"/>
        </w:rPr>
        <w:t>euro</w:t>
      </w:r>
      <w:r w:rsidRPr="00F37057">
        <w:rPr>
          <w:sz w:val="26"/>
          <w:szCs w:val="26"/>
          <w:lang w:val="lv-LV"/>
        </w:rPr>
        <w:t xml:space="preserve"> apmērā, kura:</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4.2.1. 52 094 895 </w:t>
      </w:r>
      <w:r w:rsidRPr="00F37057">
        <w:rPr>
          <w:i/>
          <w:sz w:val="26"/>
          <w:szCs w:val="26"/>
          <w:lang w:val="lv-LV"/>
        </w:rPr>
        <w:t>euro</w:t>
      </w:r>
      <w:r w:rsidRPr="00F37057">
        <w:rPr>
          <w:sz w:val="26"/>
          <w:szCs w:val="26"/>
          <w:lang w:val="lv-LV"/>
        </w:rPr>
        <w:t xml:space="preserve"> apmērā tiek pievienota valsts budžeta dotācijai pašvaldību finanšu izlīdzināšanas fondam;</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4.2.2. 52 094 896 </w:t>
      </w:r>
      <w:r w:rsidRPr="00F37057">
        <w:rPr>
          <w:i/>
          <w:sz w:val="26"/>
          <w:szCs w:val="26"/>
          <w:lang w:val="lv-LV"/>
        </w:rPr>
        <w:t>euro</w:t>
      </w:r>
      <w:r w:rsidRPr="00F37057">
        <w:rPr>
          <w:sz w:val="26"/>
          <w:szCs w:val="26"/>
          <w:lang w:val="lv-LV"/>
        </w:rPr>
        <w:t xml:space="preserve"> apmērā tiek integrēta pašvaldību finanšu izlīdzināšanas sistēmā pēc iedzīvotāju ienākuma nodokļa sadales principiem;</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 xml:space="preserve">4.3. pašvaldībām par bērniem bērnunamos un iemītniekiem veco ļaužu pansionātos un centros, kuri tajos ievietoti līdz 1998.gada 1.janvārim, 559 370 </w:t>
      </w:r>
      <w:r w:rsidRPr="00F37057">
        <w:rPr>
          <w:i/>
          <w:sz w:val="26"/>
          <w:szCs w:val="26"/>
          <w:lang w:val="lv-LV"/>
        </w:rPr>
        <w:t>euro</w:t>
      </w:r>
      <w:r w:rsidRPr="00F37057">
        <w:rPr>
          <w:sz w:val="26"/>
          <w:szCs w:val="26"/>
          <w:lang w:val="lv-LV"/>
        </w:rPr>
        <w:t xml:space="preserve"> apmērā saskaņā ar 9.pielikumu.</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 Saskaņā ar pašvaldību finanšu izlīdzināšanas aprēķinu noteikt:</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5.1. pašvaldību iemaksas izlīdzināšanas fondā atbilstoši 10.pielikumam:</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5.1.1. pašvaldības iemaksas pašvaldību finanšu izlīdzināšanas fondā veic Valsts kase no iedzīvotāju ienākuma nodokļa faktiski saņemtās daļas;</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5.1.2. Valsts kase attiecīgās summas ietur no iedzīvotāju ienākuma nodokļa ieņēmumu budžeta sadales konta atbilstoši nodokļa ieņēmumu izpildei;</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5.2. dotācijas pašvaldībām no pašvaldību finanšu izlīdzināšanas fonda atbilstoši 11.pielikumā minētajam procentuālajam sadalījumam izmaksā Valsts kase;</w:t>
      </w:r>
    </w:p>
    <w:p w:rsidR="00F37057" w:rsidRPr="00F37057" w:rsidRDefault="00F37057" w:rsidP="00F37057">
      <w:pPr>
        <w:pStyle w:val="naisf"/>
        <w:spacing w:before="120" w:beforeAutospacing="0" w:after="120" w:afterAutospacing="0"/>
        <w:ind w:firstLine="567"/>
        <w:jc w:val="both"/>
        <w:rPr>
          <w:sz w:val="26"/>
          <w:szCs w:val="26"/>
          <w:lang w:val="lv-LV"/>
        </w:rPr>
      </w:pPr>
      <w:r w:rsidRPr="00F37057">
        <w:rPr>
          <w:sz w:val="26"/>
          <w:szCs w:val="26"/>
          <w:lang w:val="lv-LV"/>
        </w:rPr>
        <w:t>5.3. speciālo dotāciju saskaņā ar 12.pielikumu Valsts kase reizi mēnesī pārskaita pašvaldībām 1/12 daļas apmērā uz kontiem, kuros tiek ieskaitīti iedzīvotāju ienākuma nodokļa ieņēmumi.</w:t>
      </w:r>
    </w:p>
    <w:p w:rsidR="00F37057" w:rsidRPr="00F37057" w:rsidRDefault="00F37057" w:rsidP="00F37057">
      <w:pPr>
        <w:spacing w:before="120" w:after="120"/>
        <w:ind w:firstLine="567"/>
        <w:rPr>
          <w:sz w:val="26"/>
          <w:szCs w:val="26"/>
          <w:lang w:eastAsia="lv-LV"/>
        </w:rPr>
      </w:pPr>
      <w:r w:rsidRPr="00F37057">
        <w:rPr>
          <w:bCs/>
          <w:sz w:val="26"/>
          <w:szCs w:val="26"/>
          <w:lang w:eastAsia="lv-LV"/>
        </w:rPr>
        <w:lastRenderedPageBreak/>
        <w:t>6.</w:t>
      </w:r>
      <w:r w:rsidRPr="00F37057">
        <w:rPr>
          <w:sz w:val="26"/>
          <w:szCs w:val="26"/>
          <w:lang w:eastAsia="lv-LV"/>
        </w:rPr>
        <w:t xml:space="preserve"> Apstiprināt valsts budžeta aizdevumus un aizdevumu atmaksas saskaņā ar 13.pielikumu.</w:t>
      </w:r>
    </w:p>
    <w:p w:rsidR="00F37057" w:rsidRPr="00F37057" w:rsidRDefault="00F37057" w:rsidP="00F37057">
      <w:pPr>
        <w:spacing w:before="120" w:after="120"/>
        <w:ind w:firstLine="567"/>
        <w:rPr>
          <w:sz w:val="26"/>
          <w:szCs w:val="26"/>
          <w:lang w:eastAsia="lv-LV"/>
        </w:rPr>
      </w:pPr>
      <w:bookmarkStart w:id="3" w:name="p12"/>
      <w:bookmarkStart w:id="4" w:name="p-495559"/>
      <w:bookmarkEnd w:id="3"/>
      <w:bookmarkEnd w:id="4"/>
      <w:r w:rsidRPr="00F37057">
        <w:rPr>
          <w:sz w:val="26"/>
          <w:szCs w:val="26"/>
          <w:lang w:eastAsia="lv-LV"/>
        </w:rPr>
        <w:t xml:space="preserve">7. Noteikt pašvaldību aizņēmumu kopējo palielinājumu 118 138 258 </w:t>
      </w:r>
      <w:r w:rsidRPr="00F37057">
        <w:rPr>
          <w:i/>
          <w:sz w:val="26"/>
          <w:szCs w:val="26"/>
          <w:lang w:eastAsia="lv-LV"/>
        </w:rPr>
        <w:t>euro</w:t>
      </w:r>
      <w:r w:rsidRPr="00F37057">
        <w:rPr>
          <w:sz w:val="26"/>
          <w:szCs w:val="26"/>
          <w:lang w:eastAsia="lv-LV"/>
        </w:rPr>
        <w:t xml:space="preserve"> apmērā: </w:t>
      </w:r>
    </w:p>
    <w:p w:rsidR="00F37057" w:rsidRPr="00F37057" w:rsidRDefault="00F37057" w:rsidP="00F37057">
      <w:pPr>
        <w:spacing w:before="120" w:after="120"/>
        <w:ind w:firstLine="567"/>
        <w:rPr>
          <w:sz w:val="26"/>
          <w:szCs w:val="26"/>
          <w:lang w:eastAsia="lv-LV"/>
        </w:rPr>
      </w:pPr>
      <w:r w:rsidRPr="00F37057">
        <w:rPr>
          <w:sz w:val="26"/>
          <w:szCs w:val="26"/>
          <w:lang w:eastAsia="lv-LV"/>
        </w:rPr>
        <w:t xml:space="preserve">7.1.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w:t>
      </w:r>
    </w:p>
    <w:p w:rsidR="00F37057" w:rsidRPr="00F37057" w:rsidRDefault="00F37057" w:rsidP="00F37057">
      <w:pPr>
        <w:spacing w:before="120" w:after="120"/>
        <w:ind w:firstLine="567"/>
        <w:rPr>
          <w:sz w:val="26"/>
          <w:szCs w:val="26"/>
          <w:lang w:eastAsia="lv-LV"/>
        </w:rPr>
      </w:pPr>
      <w:r w:rsidRPr="00F37057">
        <w:rPr>
          <w:sz w:val="26"/>
          <w:szCs w:val="26"/>
          <w:lang w:eastAsia="lv-LV"/>
        </w:rPr>
        <w:t xml:space="preserve">7.2. iepriekšējos gados uzsāktiem projektiem, kuriem aizņēmums piešķirts izmantošanai vidēja termiņa budžeta ietvara periodā. </w:t>
      </w:r>
    </w:p>
    <w:p w:rsidR="00F37057" w:rsidRPr="00F37057" w:rsidRDefault="00F37057" w:rsidP="00F37057">
      <w:pPr>
        <w:spacing w:before="120" w:after="120"/>
        <w:ind w:firstLine="567"/>
        <w:rPr>
          <w:sz w:val="26"/>
          <w:szCs w:val="26"/>
          <w:lang w:eastAsia="lv-LV"/>
        </w:rPr>
      </w:pPr>
      <w:r w:rsidRPr="00F37057">
        <w:rPr>
          <w:sz w:val="26"/>
          <w:szCs w:val="26"/>
          <w:lang w:eastAsia="lv-LV"/>
        </w:rPr>
        <w:t xml:space="preserve">8. Noteikt pašvaldību sniegto galvojumu kopējo palielinājumu 56 914 872 </w:t>
      </w:r>
      <w:r w:rsidRPr="00F37057">
        <w:rPr>
          <w:i/>
          <w:sz w:val="26"/>
          <w:szCs w:val="26"/>
          <w:lang w:eastAsia="lv-LV"/>
        </w:rPr>
        <w:t>euro</w:t>
      </w:r>
      <w:r w:rsidRPr="00F37057">
        <w:rPr>
          <w:sz w:val="26"/>
          <w:szCs w:val="26"/>
          <w:lang w:eastAsia="lv-LV"/>
        </w:rPr>
        <w:t xml:space="preserve"> apmērā par tām parāda saistībām, kuras uzņemas pašvaldības kapitālsabiedrības Eiropas Savienības fondu un pārējās ārvalstu finanšu palīdzības līdzfinansēto projektu īstenošanai.</w:t>
      </w:r>
    </w:p>
    <w:p w:rsidR="00F37057" w:rsidRPr="00F37057" w:rsidRDefault="00F37057" w:rsidP="00F37057">
      <w:pPr>
        <w:spacing w:before="120" w:after="120"/>
        <w:ind w:firstLine="567"/>
        <w:rPr>
          <w:sz w:val="26"/>
          <w:szCs w:val="26"/>
          <w:lang w:eastAsia="lv-LV"/>
        </w:rPr>
      </w:pPr>
      <w:r w:rsidRPr="00F37057">
        <w:rPr>
          <w:sz w:val="26"/>
          <w:szCs w:val="26"/>
          <w:lang w:eastAsia="lv-LV"/>
        </w:rPr>
        <w:t>9. Noteikt, ka pašvaldībām nav tiesību uzņemties ilgtermiņa saistības atbilstoši likuma “Par pašvaldību budžetiem” 22.pantam, izņemot saistības:</w:t>
      </w:r>
    </w:p>
    <w:p w:rsidR="00F37057" w:rsidRPr="00F37057" w:rsidRDefault="00F37057" w:rsidP="00F37057">
      <w:pPr>
        <w:spacing w:before="120" w:after="120"/>
        <w:ind w:firstLine="567"/>
        <w:rPr>
          <w:sz w:val="26"/>
          <w:szCs w:val="26"/>
          <w:lang w:eastAsia="lv-LV"/>
        </w:rPr>
      </w:pPr>
      <w:r w:rsidRPr="00F37057">
        <w:rPr>
          <w:sz w:val="26"/>
          <w:szCs w:val="26"/>
          <w:lang w:eastAsia="lv-LV"/>
        </w:rPr>
        <w:t>9.1. līdz pieciem gadiem pašvaldību autonomo funkciju nodrošināšanai nepieciešamajiem pakalpojumiem, datortehnikas, sakaru un citas biroja tehnikas iegādei;</w:t>
      </w:r>
    </w:p>
    <w:p w:rsidR="00F37057" w:rsidRPr="00F37057" w:rsidRDefault="00F37057" w:rsidP="00F37057">
      <w:pPr>
        <w:spacing w:before="120" w:after="120"/>
        <w:ind w:firstLine="567"/>
        <w:rPr>
          <w:sz w:val="26"/>
          <w:szCs w:val="26"/>
          <w:lang w:eastAsia="lv-LV"/>
        </w:rPr>
      </w:pPr>
      <w:r w:rsidRPr="00F37057">
        <w:rPr>
          <w:sz w:val="26"/>
          <w:szCs w:val="26"/>
          <w:lang w:eastAsia="lv-LV"/>
        </w:rPr>
        <w:t>9.2. pakalpojumiem ilgstošas sociālās aprūpes un sociālās rehabilitācijas pakalpojumu nodrošināšanai;</w:t>
      </w:r>
    </w:p>
    <w:p w:rsidR="00F37057" w:rsidRPr="00F37057" w:rsidRDefault="00F37057" w:rsidP="00F37057">
      <w:pPr>
        <w:spacing w:before="120" w:after="120"/>
        <w:ind w:firstLine="567"/>
        <w:rPr>
          <w:sz w:val="26"/>
          <w:szCs w:val="26"/>
          <w:lang w:eastAsia="lv-LV"/>
        </w:rPr>
      </w:pPr>
      <w:r w:rsidRPr="00F37057">
        <w:rPr>
          <w:sz w:val="26"/>
          <w:szCs w:val="26"/>
          <w:lang w:eastAsia="lv-LV"/>
        </w:rPr>
        <w:t>9.3. šā rīkojuma 7.1.punktā minēto investīciju projektu īstenošanai;</w:t>
      </w:r>
    </w:p>
    <w:p w:rsidR="00F37057" w:rsidRPr="00F37057" w:rsidRDefault="00F37057" w:rsidP="00F37057">
      <w:pPr>
        <w:spacing w:before="120" w:after="120"/>
        <w:ind w:firstLine="567"/>
        <w:rPr>
          <w:sz w:val="26"/>
          <w:szCs w:val="26"/>
          <w:lang w:eastAsia="lv-LV"/>
        </w:rPr>
      </w:pPr>
      <w:r w:rsidRPr="00F37057">
        <w:rPr>
          <w:sz w:val="26"/>
          <w:szCs w:val="26"/>
          <w:lang w:eastAsia="lv-LV"/>
        </w:rPr>
        <w:t>9.4. Publiskās un privātās partnerības likumā noteiktajā kārtībā akceptēto publiskās un privātās partnerības projektu īstenošanai.</w:t>
      </w:r>
    </w:p>
    <w:p w:rsidR="00F37057" w:rsidRPr="00F37057" w:rsidRDefault="00F37057" w:rsidP="00F37057">
      <w:pPr>
        <w:spacing w:before="120" w:after="120"/>
        <w:ind w:firstLine="567"/>
        <w:rPr>
          <w:sz w:val="26"/>
          <w:szCs w:val="26"/>
        </w:rPr>
      </w:pPr>
      <w:r w:rsidRPr="00F37057">
        <w:rPr>
          <w:sz w:val="26"/>
          <w:szCs w:val="26"/>
          <w:lang w:eastAsia="lv-LV"/>
        </w:rPr>
        <w:t xml:space="preserve">10. </w:t>
      </w:r>
      <w:r w:rsidRPr="00F37057">
        <w:rPr>
          <w:sz w:val="26"/>
          <w:szCs w:val="26"/>
        </w:rPr>
        <w:t>Noteikt maksimālo valsts parādu 2019.gada beigās nominālvērtībā 11 250 000 000 </w:t>
      </w:r>
      <w:r w:rsidRPr="00F37057">
        <w:rPr>
          <w:i/>
          <w:sz w:val="26"/>
          <w:szCs w:val="26"/>
        </w:rPr>
        <w:t xml:space="preserve">euro </w:t>
      </w:r>
      <w:r w:rsidRPr="00F37057">
        <w:rPr>
          <w:sz w:val="26"/>
          <w:szCs w:val="26"/>
        </w:rPr>
        <w:t>apmērā, ņemot vērā Valsts kases administrētajiem aizņēmumiem un valsts parāda vērtspapīriem piesaistīto atvasināto finanšu instrumentu valūtas rezultātu.</w:t>
      </w:r>
    </w:p>
    <w:p w:rsidR="00F37057" w:rsidRPr="00F37057" w:rsidRDefault="00F37057" w:rsidP="00F37057">
      <w:pPr>
        <w:spacing w:before="120" w:after="120"/>
        <w:ind w:firstLine="567"/>
        <w:rPr>
          <w:sz w:val="26"/>
          <w:szCs w:val="26"/>
        </w:rPr>
      </w:pPr>
      <w:r w:rsidRPr="00F37057">
        <w:rPr>
          <w:sz w:val="26"/>
          <w:szCs w:val="26"/>
        </w:rPr>
        <w:t xml:space="preserve">11. Valdības rīcības pieļaujamās robežas, lai segtu jau uzņemtās uz valsts budžetu attiecināmās valsts vārdā sniegto galvojumu parāda saistības 2019.gadā, ir novērtētas 292 007 </w:t>
      </w:r>
      <w:r w:rsidRPr="00F37057">
        <w:rPr>
          <w:i/>
          <w:sz w:val="26"/>
          <w:szCs w:val="26"/>
        </w:rPr>
        <w:t>euro</w:t>
      </w:r>
      <w:r w:rsidRPr="00F37057">
        <w:rPr>
          <w:sz w:val="26"/>
          <w:szCs w:val="26"/>
        </w:rPr>
        <w:t xml:space="preserve"> apmērā.</w:t>
      </w:r>
    </w:p>
    <w:p w:rsidR="00F37057" w:rsidRPr="00F37057" w:rsidRDefault="00F37057" w:rsidP="00F37057">
      <w:pPr>
        <w:spacing w:before="120" w:after="120"/>
        <w:ind w:firstLine="567"/>
        <w:rPr>
          <w:sz w:val="26"/>
          <w:szCs w:val="26"/>
        </w:rPr>
      </w:pPr>
      <w:r w:rsidRPr="00F37057">
        <w:rPr>
          <w:sz w:val="26"/>
          <w:szCs w:val="26"/>
          <w:lang w:eastAsia="lv-LV"/>
        </w:rPr>
        <w:lastRenderedPageBreak/>
        <w:t xml:space="preserve">12. </w:t>
      </w:r>
      <w:r w:rsidRPr="00F37057">
        <w:rPr>
          <w:sz w:val="26"/>
          <w:szCs w:val="26"/>
        </w:rPr>
        <w:t xml:space="preserve">Ministrijām un citām centrālajām valsts iestādēm atbilstoši šā rīkojuma 2. un 3.pielikumā apstiprinātajām programmām, apakšprogrammām noteiktajiem apropriācijas apjomiem 2019.gadam un saskaņā ar </w:t>
      </w:r>
      <w:r w:rsidRPr="00F37057">
        <w:rPr>
          <w:sz w:val="26"/>
          <w:szCs w:val="26"/>
          <w:lang w:eastAsia="lv-LV"/>
        </w:rPr>
        <w:t>asignējumu piešķiršanas un izpildes kārtību</w:t>
      </w:r>
      <w:r w:rsidRPr="00F37057">
        <w:rPr>
          <w:sz w:val="26"/>
          <w:szCs w:val="26"/>
        </w:rPr>
        <w:t xml:space="preserve"> iesniegt finansēšanas plānu projektus Valsts kasei ePlānos līdz 21.decembrim. </w:t>
      </w:r>
    </w:p>
    <w:p w:rsidR="00F37057" w:rsidRPr="00F37057" w:rsidRDefault="00F37057" w:rsidP="00F37057">
      <w:pPr>
        <w:spacing w:before="120" w:after="120"/>
        <w:ind w:firstLine="567"/>
        <w:rPr>
          <w:sz w:val="26"/>
          <w:szCs w:val="26"/>
          <w:lang w:eastAsia="lv-LV"/>
        </w:rPr>
      </w:pPr>
      <w:r w:rsidRPr="00F37057">
        <w:rPr>
          <w:sz w:val="26"/>
          <w:szCs w:val="26"/>
        </w:rPr>
        <w:t>13. Valsts kase var pieprasīt papildus informāciju no ministrijām un citām centrālajām valsts iestādēm, kas nepieciešama, lai pārbaudītu sagatavoto finansēšanas plānu projektu atbilstību pagaidu budžeta nosacījumiem.</w:t>
      </w:r>
    </w:p>
    <w:p w:rsidR="00F37057" w:rsidRPr="00F37057" w:rsidRDefault="00F37057" w:rsidP="00F37057">
      <w:pPr>
        <w:spacing w:before="120" w:after="120"/>
        <w:ind w:firstLine="567"/>
        <w:rPr>
          <w:sz w:val="26"/>
          <w:szCs w:val="26"/>
          <w:lang w:eastAsia="lv-LV"/>
        </w:rPr>
      </w:pPr>
      <w:r w:rsidRPr="00F37057">
        <w:rPr>
          <w:sz w:val="26"/>
          <w:szCs w:val="26"/>
          <w:lang w:eastAsia="lv-LV"/>
        </w:rPr>
        <w:t xml:space="preserve">14. </w:t>
      </w:r>
      <w:r w:rsidRPr="00F37057">
        <w:rPr>
          <w:sz w:val="26"/>
          <w:szCs w:val="26"/>
        </w:rPr>
        <w:t xml:space="preserve">Valsts kasei nodrošināt finansēšanas plānu projektu pārbaudi, reģistrēšanu, un </w:t>
      </w:r>
      <w:r w:rsidRPr="00F37057">
        <w:rPr>
          <w:sz w:val="26"/>
          <w:szCs w:val="26"/>
          <w:lang w:eastAsia="lv-LV"/>
        </w:rPr>
        <w:t>asignējumu un dotācijas no vispārējiem ieņēmumiem piešķiršanu līdz 2019.gada 2.janvārim</w:t>
      </w:r>
      <w:r w:rsidRPr="00F37057">
        <w:rPr>
          <w:sz w:val="26"/>
          <w:szCs w:val="26"/>
        </w:rPr>
        <w:t>.</w:t>
      </w:r>
    </w:p>
    <w:p w:rsidR="00F37057" w:rsidRPr="00F37057" w:rsidRDefault="00F37057" w:rsidP="00F37057">
      <w:pPr>
        <w:spacing w:before="120" w:after="120"/>
        <w:ind w:firstLine="567"/>
        <w:rPr>
          <w:iCs/>
          <w:sz w:val="26"/>
          <w:szCs w:val="26"/>
          <w:lang w:eastAsia="lv-LV"/>
        </w:rPr>
      </w:pPr>
      <w:r w:rsidRPr="00F37057">
        <w:rPr>
          <w:sz w:val="26"/>
          <w:szCs w:val="26"/>
          <w:lang w:eastAsia="lv-LV"/>
        </w:rPr>
        <w:t xml:space="preserve">15. </w:t>
      </w:r>
      <w:r w:rsidRPr="00F37057">
        <w:rPr>
          <w:sz w:val="26"/>
          <w:szCs w:val="26"/>
        </w:rPr>
        <w:t xml:space="preserve">Budžeta izpildītājiem normatīvajos aktos noteiktajā kārtībā sagatavot un apstiprināt valsts budžeta programmu, apakšprogrammu un pasākumu tāmes </w:t>
      </w:r>
      <w:r w:rsidRPr="00F37057">
        <w:rPr>
          <w:iCs/>
          <w:sz w:val="26"/>
          <w:szCs w:val="26"/>
          <w:lang w:eastAsia="lv-LV"/>
        </w:rPr>
        <w:t>ne vēlāk kā 40 darbdienu laikā pēc finansēšanas plānu reģistrēšanas Valsts kasē.</w:t>
      </w:r>
    </w:p>
    <w:p w:rsidR="00F37057" w:rsidRPr="00F37057" w:rsidRDefault="00F37057" w:rsidP="00F37057">
      <w:pPr>
        <w:spacing w:before="120" w:after="120"/>
        <w:ind w:firstLine="567"/>
        <w:rPr>
          <w:sz w:val="26"/>
          <w:szCs w:val="26"/>
          <w:lang w:eastAsia="lv-LV"/>
        </w:rPr>
      </w:pPr>
      <w:r w:rsidRPr="00F37057">
        <w:rPr>
          <w:sz w:val="26"/>
          <w:szCs w:val="26"/>
          <w:lang w:eastAsia="lv-LV"/>
        </w:rPr>
        <w:t xml:space="preserve">16. </w:t>
      </w:r>
      <w:r w:rsidRPr="00F37057">
        <w:rPr>
          <w:sz w:val="26"/>
          <w:szCs w:val="26"/>
        </w:rPr>
        <w:t>Pilnvarojumi, kas piešķirti saskaņā ar šo rīkojumu, izbeidzas, kad stājas spēkā likums “Par valsts budžetu 2019.gadam”, un visi izdevumi no saimnieciskā gada sākuma tiek reģistrēti saskaņā ar jauno gadskārtējo valsts budžeta likumu.</w:t>
      </w:r>
    </w:p>
    <w:p w:rsidR="00F37057" w:rsidRPr="00F37057" w:rsidRDefault="00F37057" w:rsidP="00F37057">
      <w:pPr>
        <w:spacing w:before="120" w:after="120"/>
        <w:ind w:firstLine="567"/>
        <w:rPr>
          <w:sz w:val="26"/>
          <w:szCs w:val="26"/>
          <w:lang w:eastAsia="lv-LV"/>
        </w:rPr>
      </w:pPr>
    </w:p>
    <w:p w:rsidR="00F37057" w:rsidRPr="00F37057" w:rsidRDefault="00F37057" w:rsidP="00F37057">
      <w:pPr>
        <w:spacing w:after="120"/>
        <w:ind w:firstLine="567"/>
        <w:rPr>
          <w:rFonts w:eastAsiaTheme="minorHAnsi"/>
          <w:iCs/>
          <w:sz w:val="26"/>
          <w:szCs w:val="26"/>
          <w:lang w:eastAsia="lv-LV"/>
        </w:rPr>
      </w:pPr>
    </w:p>
    <w:p w:rsidR="00F37057" w:rsidRPr="00F37057" w:rsidRDefault="00F37057" w:rsidP="00F37057">
      <w:pPr>
        <w:spacing w:before="120" w:after="120"/>
        <w:ind w:firstLine="567"/>
        <w:rPr>
          <w:rFonts w:eastAsiaTheme="minorHAnsi"/>
          <w:iCs/>
          <w:sz w:val="26"/>
          <w:szCs w:val="26"/>
          <w:lang w:eastAsia="lv-LV"/>
        </w:rPr>
      </w:pPr>
      <w:r w:rsidRPr="00F37057">
        <w:rPr>
          <w:rFonts w:eastAsiaTheme="minorHAnsi"/>
          <w:iCs/>
          <w:sz w:val="26"/>
          <w:szCs w:val="26"/>
          <w:lang w:eastAsia="lv-LV"/>
        </w:rPr>
        <w:t>Pielikumā:</w:t>
      </w:r>
    </w:p>
    <w:p w:rsidR="00F37057" w:rsidRPr="00F37057" w:rsidRDefault="00F37057" w:rsidP="00F37057">
      <w:pPr>
        <w:pStyle w:val="BodyText2"/>
        <w:spacing w:before="120" w:line="240" w:lineRule="auto"/>
        <w:ind w:firstLine="567"/>
        <w:rPr>
          <w:sz w:val="26"/>
          <w:szCs w:val="26"/>
        </w:rPr>
      </w:pPr>
      <w:r w:rsidRPr="00F37057">
        <w:rPr>
          <w:sz w:val="26"/>
          <w:szCs w:val="26"/>
        </w:rPr>
        <w:t xml:space="preserve">1.pielikums “Valsts pamatbudžeta un valsts  speciālā budžeta kopsavilkums” uz 45 lp., </w:t>
      </w:r>
    </w:p>
    <w:p w:rsidR="00F37057" w:rsidRPr="00F37057" w:rsidRDefault="00F37057" w:rsidP="00F37057">
      <w:pPr>
        <w:pStyle w:val="BodyText2"/>
        <w:spacing w:before="120" w:line="240" w:lineRule="auto"/>
        <w:ind w:firstLine="567"/>
        <w:rPr>
          <w:sz w:val="26"/>
          <w:szCs w:val="26"/>
        </w:rPr>
      </w:pPr>
      <w:r w:rsidRPr="00F37057">
        <w:rPr>
          <w:sz w:val="26"/>
          <w:szCs w:val="26"/>
        </w:rPr>
        <w:t>2.pielikums  “Valsts  pamatbudžeta resursu un izdevumu atšifrējums pa programmām un apakšprogrammām” uz 119 lp.,</w:t>
      </w:r>
    </w:p>
    <w:p w:rsidR="00F37057" w:rsidRPr="00F37057" w:rsidRDefault="00F37057" w:rsidP="00F37057">
      <w:pPr>
        <w:pStyle w:val="BodyText2"/>
        <w:spacing w:before="120" w:line="240" w:lineRule="auto"/>
        <w:ind w:firstLine="567"/>
        <w:rPr>
          <w:sz w:val="26"/>
          <w:szCs w:val="26"/>
        </w:rPr>
      </w:pPr>
      <w:r w:rsidRPr="00F37057">
        <w:rPr>
          <w:sz w:val="26"/>
          <w:szCs w:val="26"/>
        </w:rPr>
        <w:t>3.pielikums “Valsts speciālā budžeta ieņēmumu un izdevumu atšifrējums pa programmām un apakšprogrammām” uz 5 lp.,</w:t>
      </w:r>
    </w:p>
    <w:p w:rsidR="00F37057" w:rsidRPr="00F37057" w:rsidRDefault="00F37057" w:rsidP="00F37057">
      <w:pPr>
        <w:pStyle w:val="BodyText2"/>
        <w:spacing w:before="120" w:line="240" w:lineRule="auto"/>
        <w:ind w:firstLine="567"/>
        <w:rPr>
          <w:sz w:val="26"/>
          <w:szCs w:val="26"/>
        </w:rPr>
      </w:pPr>
      <w:r w:rsidRPr="00F37057">
        <w:rPr>
          <w:sz w:val="26"/>
          <w:szCs w:val="26"/>
        </w:rPr>
        <w:t>4.pielikums “Mērķdotācijas pašvaldībām – pašvaldību pamata un vispārējās vidējās izglītības iestāžu, pašvaldību speciālās izglītības iestāžu un pašvaldību profesionālās izglītības iestāžu pedagogu darba samaksai un valsts sociālās apdrošināšanas obligātajām iemaksām” uz 4 lp.,</w:t>
      </w:r>
    </w:p>
    <w:p w:rsidR="00F37057" w:rsidRPr="00F37057" w:rsidRDefault="00F37057" w:rsidP="00F37057">
      <w:pPr>
        <w:shd w:val="clear" w:color="auto" w:fill="FFFFFF"/>
        <w:autoSpaceDE w:val="0"/>
        <w:spacing w:before="120" w:after="120"/>
        <w:ind w:firstLine="567"/>
        <w:rPr>
          <w:sz w:val="26"/>
          <w:szCs w:val="26"/>
        </w:rPr>
      </w:pPr>
      <w:r w:rsidRPr="00F37057">
        <w:rPr>
          <w:sz w:val="26"/>
          <w:szCs w:val="26"/>
        </w:rPr>
        <w:lastRenderedPageBreak/>
        <w:t>5.pielikums “Mērķdotācijas pašvaldībām – interešu izglītības programmu pedagogu daļējai darba samaksai un valsts sociālās apdrošināšanas obligātajām iemaksām” uz 3 lp.,</w:t>
      </w:r>
    </w:p>
    <w:p w:rsidR="00F37057" w:rsidRPr="00F37057" w:rsidRDefault="00F37057" w:rsidP="00F37057">
      <w:pPr>
        <w:pStyle w:val="BodyText2"/>
        <w:spacing w:before="120" w:line="240" w:lineRule="auto"/>
        <w:ind w:firstLine="567"/>
        <w:rPr>
          <w:sz w:val="26"/>
          <w:szCs w:val="26"/>
        </w:rPr>
      </w:pPr>
      <w:r w:rsidRPr="00F37057">
        <w:rPr>
          <w:sz w:val="26"/>
          <w:szCs w:val="26"/>
        </w:rPr>
        <w:t>6.pielikums “Mērķdotācijas pašvaldībām – 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 uz 2 lp.,</w:t>
      </w:r>
    </w:p>
    <w:p w:rsidR="00F37057" w:rsidRPr="00F37057" w:rsidRDefault="00F37057" w:rsidP="00F37057">
      <w:pPr>
        <w:pStyle w:val="BodyText2"/>
        <w:spacing w:before="120" w:line="240" w:lineRule="auto"/>
        <w:ind w:firstLine="567"/>
        <w:rPr>
          <w:sz w:val="26"/>
          <w:szCs w:val="26"/>
        </w:rPr>
      </w:pPr>
      <w:r w:rsidRPr="00F37057">
        <w:rPr>
          <w:sz w:val="26"/>
          <w:szCs w:val="26"/>
        </w:rPr>
        <w:t>7.pielikums  “Mērķdotācijas pašvaldībām – pašvaldību izglītības iestādēs bērnu no piecu gadu vecuma izglītošanā nodarbināto pedagogu darba samaksai un valsts sociālās apdrošināšanas obligātajām iemaksām” uz 3 lp.,</w:t>
      </w:r>
    </w:p>
    <w:p w:rsidR="00F37057" w:rsidRPr="00F37057" w:rsidRDefault="00F37057" w:rsidP="00F37057">
      <w:pPr>
        <w:pStyle w:val="BodyText2"/>
        <w:spacing w:before="120" w:line="240" w:lineRule="auto"/>
        <w:ind w:firstLine="567"/>
        <w:rPr>
          <w:sz w:val="26"/>
          <w:szCs w:val="26"/>
        </w:rPr>
      </w:pPr>
      <w:r w:rsidRPr="00F37057">
        <w:rPr>
          <w:sz w:val="26"/>
          <w:szCs w:val="26"/>
        </w:rPr>
        <w:t>8.pielikums “Mērķdotācijas pašvaldību māksliniecisko kolektīvu vadītāju darba samaksai un valsts sociālās apdrošināšanas obligātajām iemaksām” uz 4 lp.,</w:t>
      </w:r>
    </w:p>
    <w:p w:rsidR="00F37057" w:rsidRPr="00F37057" w:rsidRDefault="00F37057" w:rsidP="00F37057">
      <w:pPr>
        <w:pStyle w:val="BodyText2"/>
        <w:spacing w:before="120" w:line="240" w:lineRule="auto"/>
        <w:ind w:firstLine="567"/>
        <w:rPr>
          <w:sz w:val="26"/>
          <w:szCs w:val="26"/>
        </w:rPr>
      </w:pPr>
      <w:r w:rsidRPr="00F37057">
        <w:rPr>
          <w:sz w:val="26"/>
          <w:szCs w:val="26"/>
        </w:rPr>
        <w:t>9.pielikums “Dotācijas sadalījums pašvaldībām par bērniem bērnunamos un iemītniekiem veco ļaužu pansionātos un centros, kuri tajos ievietoti līdz 1998.gada 1.janvārim” uz 2 lp.;</w:t>
      </w:r>
    </w:p>
    <w:p w:rsidR="00F37057" w:rsidRPr="00F37057" w:rsidRDefault="00F37057" w:rsidP="00F37057">
      <w:pPr>
        <w:pStyle w:val="BodyText2"/>
        <w:spacing w:before="120" w:line="240" w:lineRule="auto"/>
        <w:ind w:firstLine="567"/>
        <w:rPr>
          <w:sz w:val="26"/>
          <w:szCs w:val="26"/>
        </w:rPr>
      </w:pPr>
      <w:r w:rsidRPr="00F37057">
        <w:rPr>
          <w:sz w:val="26"/>
          <w:szCs w:val="26"/>
        </w:rPr>
        <w:t>10.pielikums “Pašvaldību iemaksas pašvaldību finanšu izlīdzināšanas fondā” uz 1 lp.,</w:t>
      </w:r>
    </w:p>
    <w:p w:rsidR="00F37057" w:rsidRPr="00F37057" w:rsidRDefault="00F37057" w:rsidP="00F37057">
      <w:pPr>
        <w:pStyle w:val="BodyText2"/>
        <w:spacing w:before="120" w:line="240" w:lineRule="auto"/>
        <w:ind w:firstLine="567"/>
        <w:rPr>
          <w:sz w:val="26"/>
          <w:szCs w:val="26"/>
        </w:rPr>
      </w:pPr>
      <w:r w:rsidRPr="00F37057">
        <w:rPr>
          <w:sz w:val="26"/>
          <w:szCs w:val="26"/>
        </w:rPr>
        <w:t>11.pielikums “Dotācijas pašvaldībām no pašvaldību finanšu izlīdzināšanas fonda” uz 4 lp.,</w:t>
      </w:r>
    </w:p>
    <w:p w:rsidR="00F37057" w:rsidRPr="00F37057" w:rsidRDefault="00F37057" w:rsidP="00F37057">
      <w:pPr>
        <w:pStyle w:val="BodyText2"/>
        <w:spacing w:before="120" w:line="240" w:lineRule="auto"/>
        <w:ind w:firstLine="567"/>
        <w:rPr>
          <w:sz w:val="26"/>
          <w:szCs w:val="26"/>
        </w:rPr>
      </w:pPr>
      <w:r w:rsidRPr="00F37057">
        <w:rPr>
          <w:sz w:val="26"/>
          <w:szCs w:val="26"/>
        </w:rPr>
        <w:t>12.pielikums “Speciālās dotācijas sadalījums pašvaldībām” uz 4 lp.,</w:t>
      </w:r>
    </w:p>
    <w:p w:rsidR="00F37057" w:rsidRPr="00F37057" w:rsidRDefault="00F37057" w:rsidP="00F37057">
      <w:pPr>
        <w:pStyle w:val="BodyText2"/>
        <w:spacing w:before="120" w:line="240" w:lineRule="auto"/>
        <w:ind w:firstLine="567"/>
        <w:rPr>
          <w:sz w:val="26"/>
          <w:szCs w:val="26"/>
        </w:rPr>
      </w:pPr>
      <w:r w:rsidRPr="00F37057">
        <w:rPr>
          <w:sz w:val="26"/>
          <w:szCs w:val="26"/>
        </w:rPr>
        <w:t>13.pielikums “Valsts budžeta aizdevumi un aizdevumu atmaksas” uz 1 lp..</w:t>
      </w:r>
    </w:p>
    <w:p w:rsidR="00F37057" w:rsidRPr="00F37057" w:rsidRDefault="00F37057" w:rsidP="00F37057">
      <w:pPr>
        <w:spacing w:before="120" w:after="120"/>
        <w:ind w:firstLine="567"/>
        <w:contextualSpacing/>
        <w:rPr>
          <w:sz w:val="26"/>
          <w:szCs w:val="26"/>
          <w:lang w:eastAsia="lv-LV"/>
        </w:rPr>
      </w:pPr>
    </w:p>
    <w:p w:rsidR="00F37057" w:rsidRPr="00F37057" w:rsidRDefault="00F37057" w:rsidP="00F37057">
      <w:pPr>
        <w:spacing w:before="120" w:after="120"/>
        <w:ind w:firstLine="567"/>
        <w:rPr>
          <w:sz w:val="26"/>
          <w:szCs w:val="26"/>
          <w:lang w:eastAsia="lv-LV"/>
        </w:rPr>
      </w:pPr>
    </w:p>
    <w:p w:rsidR="00935FCA" w:rsidRPr="00F37057" w:rsidRDefault="00935FCA" w:rsidP="00935FCA">
      <w:pPr>
        <w:rPr>
          <w:sz w:val="26"/>
          <w:szCs w:val="26"/>
        </w:rPr>
      </w:pPr>
      <w:bookmarkStart w:id="5" w:name="p17"/>
      <w:bookmarkStart w:id="6" w:name="p-571987"/>
      <w:bookmarkEnd w:id="5"/>
      <w:bookmarkEnd w:id="6"/>
    </w:p>
    <w:p w:rsidR="00935FCA" w:rsidRPr="00F37057" w:rsidRDefault="00935FCA" w:rsidP="00F37057">
      <w:pPr>
        <w:ind w:right="-142"/>
        <w:rPr>
          <w:sz w:val="26"/>
          <w:szCs w:val="26"/>
        </w:rPr>
      </w:pPr>
    </w:p>
    <w:tbl>
      <w:tblPr>
        <w:tblStyle w:val="TableGrid"/>
        <w:tblW w:w="96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985"/>
        <w:gridCol w:w="3193"/>
      </w:tblGrid>
      <w:tr w:rsidR="00935FCA" w:rsidRPr="00F37057" w:rsidTr="00F37057">
        <w:tc>
          <w:tcPr>
            <w:tcW w:w="4428" w:type="dxa"/>
          </w:tcPr>
          <w:p w:rsidR="00935FCA" w:rsidRPr="00F37057" w:rsidRDefault="008D1B4D" w:rsidP="009C0233">
            <w:pPr>
              <w:rPr>
                <w:sz w:val="26"/>
                <w:szCs w:val="26"/>
              </w:rPr>
            </w:pPr>
            <w:bookmarkStart w:id="7" w:name="amats" w:colFirst="0" w:colLast="0"/>
            <w:r w:rsidRPr="00F37057">
              <w:rPr>
                <w:sz w:val="26"/>
                <w:szCs w:val="26"/>
              </w:rPr>
              <w:t>Ministre</w:t>
            </w:r>
          </w:p>
        </w:tc>
        <w:tc>
          <w:tcPr>
            <w:tcW w:w="1985" w:type="dxa"/>
          </w:tcPr>
          <w:p w:rsidR="00935FCA" w:rsidRPr="00F37057" w:rsidRDefault="00935FCA" w:rsidP="009C0233">
            <w:pPr>
              <w:jc w:val="right"/>
              <w:rPr>
                <w:sz w:val="26"/>
                <w:szCs w:val="26"/>
              </w:rPr>
            </w:pPr>
            <w:bookmarkStart w:id="8" w:name="edoc_info2"/>
            <w:r w:rsidRPr="00F37057">
              <w:rPr>
                <w:sz w:val="26"/>
                <w:szCs w:val="26"/>
              </w:rPr>
              <w:t>(paraksts*)</w:t>
            </w:r>
            <w:bookmarkEnd w:id="8"/>
          </w:p>
        </w:tc>
        <w:tc>
          <w:tcPr>
            <w:tcW w:w="3193" w:type="dxa"/>
            <w:vAlign w:val="bottom"/>
          </w:tcPr>
          <w:p w:rsidR="00935FCA" w:rsidRPr="00F37057" w:rsidRDefault="008D1B4D" w:rsidP="00935FCA">
            <w:pPr>
              <w:jc w:val="right"/>
              <w:rPr>
                <w:sz w:val="26"/>
                <w:szCs w:val="26"/>
              </w:rPr>
            </w:pPr>
            <w:r w:rsidRPr="00F37057">
              <w:rPr>
                <w:sz w:val="26"/>
                <w:szCs w:val="26"/>
              </w:rPr>
              <w:t>D.Reizniece-Ozola</w:t>
            </w:r>
          </w:p>
        </w:tc>
      </w:tr>
      <w:bookmarkEnd w:id="7"/>
      <w:tr w:rsidR="00935FCA" w:rsidRPr="00F37057" w:rsidTr="00F37057">
        <w:tc>
          <w:tcPr>
            <w:tcW w:w="4428" w:type="dxa"/>
          </w:tcPr>
          <w:p w:rsidR="00935FCA" w:rsidRPr="00F37057" w:rsidRDefault="00935FCA" w:rsidP="009C0233">
            <w:pPr>
              <w:rPr>
                <w:sz w:val="26"/>
                <w:szCs w:val="26"/>
              </w:rPr>
            </w:pPr>
          </w:p>
        </w:tc>
        <w:tc>
          <w:tcPr>
            <w:tcW w:w="1985" w:type="dxa"/>
          </w:tcPr>
          <w:p w:rsidR="00935FCA" w:rsidRPr="00F37057" w:rsidRDefault="00935FCA" w:rsidP="009C0233">
            <w:pPr>
              <w:jc w:val="right"/>
              <w:rPr>
                <w:sz w:val="26"/>
                <w:szCs w:val="26"/>
              </w:rPr>
            </w:pPr>
          </w:p>
        </w:tc>
        <w:tc>
          <w:tcPr>
            <w:tcW w:w="3193" w:type="dxa"/>
            <w:vAlign w:val="bottom"/>
          </w:tcPr>
          <w:p w:rsidR="00935FCA" w:rsidRPr="00F37057" w:rsidRDefault="00935FCA" w:rsidP="009C0233">
            <w:pPr>
              <w:jc w:val="right"/>
              <w:rPr>
                <w:sz w:val="26"/>
                <w:szCs w:val="26"/>
              </w:rPr>
            </w:pPr>
          </w:p>
        </w:tc>
      </w:tr>
    </w:tbl>
    <w:tbl>
      <w:tblPr>
        <w:tblW w:w="0" w:type="auto"/>
        <w:tblInd w:w="-142" w:type="dxa"/>
        <w:tblLook w:val="04A0" w:firstRow="1" w:lastRow="0" w:firstColumn="1" w:lastColumn="0" w:noHBand="0" w:noVBand="1"/>
      </w:tblPr>
      <w:tblGrid>
        <w:gridCol w:w="8703"/>
      </w:tblGrid>
      <w:tr w:rsidR="00935FCA" w:rsidTr="00935FCA">
        <w:trPr>
          <w:cantSplit/>
          <w:trHeight w:val="592"/>
        </w:trPr>
        <w:tc>
          <w:tcPr>
            <w:tcW w:w="8703" w:type="dxa"/>
          </w:tcPr>
          <w:p w:rsidR="00935FCA" w:rsidRDefault="00935FCA" w:rsidP="009C0233">
            <w:pPr>
              <w:pStyle w:val="BodyTextIndent"/>
              <w:ind w:left="0"/>
            </w:pPr>
            <w:bookmarkStart w:id="9" w:name="edoc_info" w:colFirst="0" w:colLast="0"/>
            <w:r w:rsidRPr="00AA6DC1">
              <w:rPr>
                <w:sz w:val="24"/>
                <w:szCs w:val="24"/>
              </w:rPr>
              <w:t>*Dokuments ir parakstīts ar drošu elektronisko parakstu</w:t>
            </w:r>
          </w:p>
        </w:tc>
      </w:tr>
      <w:bookmarkEnd w:id="9"/>
    </w:tbl>
    <w:p w:rsidR="00935FCA" w:rsidRDefault="00935FCA" w:rsidP="00935FCA">
      <w:pPr>
        <w:rPr>
          <w:sz w:val="20"/>
        </w:rPr>
      </w:pPr>
    </w:p>
    <w:p w:rsidR="00F37057" w:rsidRPr="009B251F" w:rsidRDefault="00F37057" w:rsidP="00F37057">
      <w:pPr>
        <w:rPr>
          <w:szCs w:val="24"/>
        </w:rPr>
      </w:pPr>
    </w:p>
    <w:p w:rsidR="00F37057" w:rsidRPr="002327D7" w:rsidRDefault="00F37057" w:rsidP="00F37057">
      <w:pPr>
        <w:rPr>
          <w:u w:val="single"/>
        </w:rPr>
      </w:pPr>
      <w:r w:rsidRPr="002327D7">
        <w:rPr>
          <w:u w:val="single"/>
        </w:rPr>
        <w:t>Nosūtīšanas uzdevums:</w:t>
      </w:r>
    </w:p>
    <w:p w:rsidR="00F37057" w:rsidRPr="002327D7" w:rsidRDefault="00F37057" w:rsidP="00F37057">
      <w:r w:rsidRPr="002327D7">
        <w:t>Oriģināls: Dokumentu pārvaldības departamentā</w:t>
      </w:r>
    </w:p>
    <w:p w:rsidR="00F37057" w:rsidRPr="002327D7" w:rsidRDefault="00F37057" w:rsidP="00F37057">
      <w:pPr>
        <w:rPr>
          <w:color w:val="FF0000"/>
          <w:u w:val="single"/>
        </w:rPr>
      </w:pPr>
      <w:r w:rsidRPr="002327D7">
        <w:lastRenderedPageBreak/>
        <w:t xml:space="preserve">Kopija: ministra birojam, visiem valsts sekretāra vietniekiem, administrācijas vadītājam, visiem ministrijas departamentiem, Valsts kasei, Valsts prezidenta kancelejai, </w:t>
      </w:r>
      <w:r w:rsidRPr="002327D7">
        <w:rPr>
          <w:bCs/>
        </w:rPr>
        <w:t>Saeimai</w:t>
      </w:r>
      <w:r w:rsidRPr="002327D7">
        <w:t xml:space="preserve">, </w:t>
      </w:r>
      <w:r w:rsidRPr="002327D7">
        <w:rPr>
          <w:bCs/>
        </w:rPr>
        <w:t>Valsts kancelejai</w:t>
      </w:r>
      <w:r w:rsidRPr="002327D7">
        <w:t xml:space="preserve">, Korupcijas novēršanas un apkarošanas birojam, Tiesībsarga birojam, Sabiedrības integrācijas fondam, Sabiedrisko pakalpojumu regulēšanas komisijai, </w:t>
      </w:r>
      <w:r w:rsidRPr="002327D7">
        <w:rPr>
          <w:bCs/>
        </w:rPr>
        <w:t>Aizsardzības ministrijai, Ārlietu ministrijai, Ekonomikas ministrijai, Iekšlietu ministrijai, Izglītības un zinātnes ministrijai, Zemkopības ministrijai, Satiksmes ministrijai, Labklājības ministrijai</w:t>
      </w:r>
      <w:r w:rsidRPr="002327D7">
        <w:t xml:space="preserve">, </w:t>
      </w:r>
      <w:r w:rsidRPr="002327D7">
        <w:rPr>
          <w:bCs/>
        </w:rPr>
        <w:t>Tieslietu ministrijai</w:t>
      </w:r>
      <w:r w:rsidRPr="002327D7">
        <w:t xml:space="preserve">, </w:t>
      </w:r>
      <w:r w:rsidRPr="002327D7">
        <w:rPr>
          <w:bCs/>
        </w:rPr>
        <w:t>Vides aizsardzības un reģionālās attīstības ministrijai</w:t>
      </w:r>
      <w:r w:rsidRPr="002327D7">
        <w:t xml:space="preserve">, Kultūras ministrijai, Valsts kontrolei, Pārresoru koordinācijas centram, Augstākajai tiesai, </w:t>
      </w:r>
      <w:r w:rsidRPr="002327D7">
        <w:rPr>
          <w:bCs/>
        </w:rPr>
        <w:t>Veselības ministrijai</w:t>
      </w:r>
      <w:r w:rsidRPr="002327D7">
        <w:t xml:space="preserve">, Satversmes tiesai, Prokuratūrai, </w:t>
      </w:r>
      <w:r w:rsidRPr="002327D7">
        <w:rPr>
          <w:bCs/>
        </w:rPr>
        <w:t>Centrālajai vēlēšanu komisijai</w:t>
      </w:r>
      <w:r w:rsidRPr="002327D7">
        <w:t>, Centrālajai zemes komisijai, Nacionālajai elektronisko plašsaziņas līdzekļu padomei</w:t>
      </w:r>
    </w:p>
    <w:p w:rsidR="00F37057" w:rsidRDefault="00F37057" w:rsidP="00935FCA">
      <w:pPr>
        <w:rPr>
          <w:szCs w:val="24"/>
        </w:rPr>
      </w:pPr>
    </w:p>
    <w:p w:rsidR="00935FCA" w:rsidRDefault="00935FCA" w:rsidP="00935FCA">
      <w:pPr>
        <w:rPr>
          <w:sz w:val="20"/>
        </w:rPr>
      </w:pPr>
    </w:p>
    <w:p w:rsidR="00155C92" w:rsidRDefault="00155C92" w:rsidP="00935FCA">
      <w:pPr>
        <w:rPr>
          <w:sz w:val="20"/>
        </w:rPr>
      </w:pPr>
    </w:p>
    <w:p w:rsidR="00935FCA" w:rsidRDefault="00935FCA" w:rsidP="00935FCA">
      <w:pPr>
        <w:rPr>
          <w:sz w:val="20"/>
        </w:rPr>
      </w:pPr>
    </w:p>
    <w:p w:rsidR="008D1B4D" w:rsidRDefault="008D1B4D" w:rsidP="00935FCA">
      <w:pPr>
        <w:rPr>
          <w:sz w:val="20"/>
        </w:rPr>
      </w:pPr>
      <w:r>
        <w:rPr>
          <w:sz w:val="20"/>
        </w:rPr>
        <w:t xml:space="preserve">Adijāne 67-095-437 </w:t>
      </w:r>
    </w:p>
    <w:p w:rsidR="00935FCA" w:rsidRDefault="008D1B4D" w:rsidP="00935FCA">
      <w:pPr>
        <w:rPr>
          <w:sz w:val="20"/>
        </w:rPr>
      </w:pPr>
      <w:r>
        <w:rPr>
          <w:sz w:val="20"/>
        </w:rPr>
        <w:t>Zane.Adijane@fm.gov.lv</w:t>
      </w:r>
    </w:p>
    <w:p w:rsidR="00935FCA" w:rsidRPr="006D6710" w:rsidRDefault="00935FCA" w:rsidP="00935FCA">
      <w:pPr>
        <w:rPr>
          <w:sz w:val="20"/>
        </w:rPr>
      </w:pPr>
    </w:p>
    <w:p w:rsidR="0015384D" w:rsidRDefault="0015384D" w:rsidP="007F3771">
      <w:pPr>
        <w:rPr>
          <w:szCs w:val="24"/>
        </w:rPr>
      </w:pPr>
    </w:p>
    <w:sectPr w:rsidR="0015384D" w:rsidSect="00730117">
      <w:headerReference w:type="even" r:id="rId7"/>
      <w:headerReference w:type="default" r:id="rId8"/>
      <w:footerReference w:type="default" r:id="rId9"/>
      <w:headerReference w:type="first" r:id="rId10"/>
      <w:footerReference w:type="first" r:id="rId11"/>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59C" w:rsidRDefault="00E1659C">
      <w:r>
        <w:separator/>
      </w:r>
    </w:p>
  </w:endnote>
  <w:endnote w:type="continuationSeparator" w:id="0">
    <w:p w:rsidR="00E1659C" w:rsidRDefault="00E1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2951"/>
      <w:docPartObj>
        <w:docPartGallery w:val="Page Numbers (Bottom of Page)"/>
        <w:docPartUnique/>
      </w:docPartObj>
    </w:sdtPr>
    <w:sdtEndPr/>
    <w:sdtContent>
      <w:p w:rsidR="0015384D" w:rsidRDefault="004157D9">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384DCF">
          <w:rPr>
            <w:noProof/>
            <w:sz w:val="24"/>
            <w:szCs w:val="24"/>
          </w:rPr>
          <w:t>2</w:t>
        </w:r>
        <w:r w:rsidRPr="00557B49">
          <w:rPr>
            <w:sz w:val="24"/>
            <w:szCs w:val="24"/>
          </w:rPr>
          <w:fldChar w:fldCharType="end"/>
        </w:r>
      </w:p>
    </w:sdtContent>
  </w:sdt>
  <w:p w:rsidR="0015384D" w:rsidRDefault="0015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D" w:rsidRDefault="0015384D">
    <w:pPr>
      <w:pStyle w:val="Footer"/>
      <w:jc w:val="center"/>
    </w:pPr>
  </w:p>
  <w:p w:rsidR="0015384D" w:rsidRDefault="0015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59C" w:rsidRDefault="00E1659C">
      <w:r>
        <w:separator/>
      </w:r>
    </w:p>
  </w:footnote>
  <w:footnote w:type="continuationSeparator" w:id="0">
    <w:p w:rsidR="00E1659C" w:rsidRDefault="00E1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BE" w:rsidRDefault="004157D9">
    <w:pPr>
      <w:pStyle w:val="Header"/>
      <w:framePr w:wrap="around" w:vAnchor="text" w:hAnchor="margin" w:xAlign="center" w:y="1"/>
      <w:rPr>
        <w:rStyle w:val="PageNumber"/>
      </w:rPr>
    </w:pPr>
    <w:r>
      <w:rPr>
        <w:rStyle w:val="PageNumber"/>
      </w:rPr>
      <w:fldChar w:fldCharType="begin"/>
    </w:r>
    <w:r w:rsidR="00F33DBE">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rsidR="00F33DBE" w:rsidRDefault="00F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BE" w:rsidRDefault="00F33DBE" w:rsidP="008C508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45" w:rsidRDefault="007C3745">
    <w:pPr>
      <w:pStyle w:val="Header"/>
    </w:pPr>
  </w:p>
  <w:p w:rsidR="00730117" w:rsidRDefault="00730117">
    <w:pPr>
      <w:pStyle w:val="Header"/>
    </w:pPr>
    <w:r w:rsidRPr="00730117">
      <w:rPr>
        <w:noProof/>
        <w:lang w:eastAsia="lv-LV"/>
      </w:rPr>
      <w:drawing>
        <wp:anchor distT="0" distB="0" distL="114300" distR="114300" simplePos="0" relativeHeight="251661312" behindDoc="1" locked="0" layoutInCell="1" allowOverlap="1">
          <wp:simplePos x="0" y="0"/>
          <wp:positionH relativeFrom="margin">
            <wp:posOffset>47625</wp:posOffset>
          </wp:positionH>
          <wp:positionV relativeFrom="page">
            <wp:posOffset>702310</wp:posOffset>
          </wp:positionV>
          <wp:extent cx="5914390" cy="1065530"/>
          <wp:effectExtent l="0" t="0" r="0" b="0"/>
          <wp:wrapNone/>
          <wp:docPr id="6" name="Picture 6"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krod\Desktop\veidlapas_jaunas\paraugi\vienkrasu_header_veidlapa_22.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contrast="100000"/>
                            </a14:imgEffect>
                          </a14:imgLayer>
                        </a14:imgProps>
                      </a:ext>
                      <a:ext uri="{28A0092B-C50C-407E-A947-70E740481C1C}">
                        <a14:useLocalDpi xmlns:a14="http://schemas.microsoft.com/office/drawing/2010/main" val="0"/>
                      </a:ext>
                    </a:extLst>
                  </a:blip>
                  <a:srcRect l="35" t="182" r="-36" b="-190"/>
                  <a:stretch/>
                </pic:blipFill>
                <pic:spPr bwMode="auto">
                  <a:xfrm>
                    <a:off x="0" y="0"/>
                    <a:ext cx="5914390" cy="1065530"/>
                  </a:xfrm>
                  <a:prstGeom prst="rect">
                    <a:avLst/>
                  </a:prstGeom>
                  <a:noFill/>
                  <a:ln>
                    <a:noFill/>
                  </a:ln>
                  <a:extLst>
                    <a:ext uri="{53640926-AAD7-44D8-BBD7-CCE9431645EC}">
                      <a14:shadowObscured xmlns:a14="http://schemas.microsoft.com/office/drawing/2010/main"/>
                    </a:ext>
                  </a:extLst>
                </pic:spPr>
              </pic:pic>
            </a:graphicData>
          </a:graphic>
        </wp:anchor>
      </w:drawing>
    </w:r>
  </w:p>
  <w:p w:rsidR="00730117" w:rsidRDefault="00730117">
    <w:pPr>
      <w:pStyle w:val="Header"/>
    </w:pPr>
  </w:p>
  <w:p w:rsidR="00730117" w:rsidRDefault="00730117">
    <w:pPr>
      <w:pStyle w:val="Header"/>
    </w:pPr>
  </w:p>
  <w:p w:rsidR="00730117" w:rsidRDefault="00730117">
    <w:pPr>
      <w:pStyle w:val="Header"/>
    </w:pPr>
  </w:p>
  <w:p w:rsidR="00730117" w:rsidRDefault="00730117">
    <w:pPr>
      <w:pStyle w:val="Header"/>
    </w:pPr>
  </w:p>
  <w:p w:rsidR="00730117" w:rsidRDefault="00730117">
    <w:pPr>
      <w:pStyle w:val="Header"/>
    </w:pPr>
  </w:p>
  <w:p w:rsidR="00730117" w:rsidRDefault="00730117">
    <w:pPr>
      <w:pStyle w:val="Header"/>
    </w:pPr>
  </w:p>
  <w:p w:rsidR="00730117" w:rsidRDefault="00730117">
    <w:pPr>
      <w:pStyle w:val="Header"/>
    </w:pPr>
  </w:p>
  <w:p w:rsidR="00730117" w:rsidRDefault="00730117">
    <w:pPr>
      <w:pStyle w:val="Header"/>
    </w:pPr>
  </w:p>
  <w:p w:rsidR="00730117" w:rsidRDefault="00384DCF">
    <w:pPr>
      <w:pStyle w:val="Header"/>
    </w:pPr>
    <w:r>
      <w:rPr>
        <w:noProof/>
        <w:lang w:eastAsia="lv-LV"/>
      </w:rPr>
      <mc:AlternateContent>
        <mc:Choice Requires="wpg">
          <w:drawing>
            <wp:anchor distT="0" distB="0" distL="114300" distR="114300" simplePos="0" relativeHeight="251659264" behindDoc="1" locked="0" layoutInCell="1" allowOverlap="1">
              <wp:simplePos x="0" y="0"/>
              <wp:positionH relativeFrom="margin">
                <wp:posOffset>13335</wp:posOffset>
              </wp:positionH>
              <wp:positionV relativeFrom="page">
                <wp:posOffset>1889125</wp:posOffset>
              </wp:positionV>
              <wp:extent cx="5918835" cy="68580"/>
              <wp:effectExtent l="0" t="0" r="571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835" cy="6858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AFC87" id="Group 41" o:spid="_x0000_s1026" style="position:absolute;margin-left:1.05pt;margin-top:148.75pt;width:466.05pt;height:5.4pt;z-index:-251657216;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margin" anchory="page"/>
            </v:group>
          </w:pict>
        </mc:Fallback>
      </mc:AlternateContent>
    </w:r>
  </w:p>
  <w:p w:rsidR="00730117" w:rsidRDefault="00384DCF">
    <w:pPr>
      <w:pStyle w:val="Header"/>
    </w:pP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1080135</wp:posOffset>
              </wp:positionH>
              <wp:positionV relativeFrom="page">
                <wp:posOffset>2017395</wp:posOffset>
              </wp:positionV>
              <wp:extent cx="5943600"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17" w:rsidRPr="00B81ED0" w:rsidRDefault="00730117" w:rsidP="00730117">
                          <w:pPr>
                            <w:spacing w:line="194" w:lineRule="exact"/>
                            <w:ind w:left="20" w:right="-45"/>
                            <w:jc w:val="center"/>
                            <w:rPr>
                              <w:color w:val="000000"/>
                              <w:sz w:val="17"/>
                              <w:szCs w:val="17"/>
                            </w:rPr>
                          </w:pPr>
                          <w:r w:rsidRPr="00B81ED0">
                            <w:rPr>
                              <w:color w:val="000000"/>
                              <w:sz w:val="17"/>
                              <w:szCs w:val="17"/>
                            </w:rPr>
                            <w:t>Smilšu iela 1, Rīga, LV-1919, tālr. 67095689, 67095578, fakss 67095503, e-pasts pasts@fm.gov.lv, www.fm.gov.lv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85.05pt;margin-top:158.85pt;width:468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" filled="f" stroked="f">
              <v:textbox inset="0,0,0,0">
                <w:txbxContent>
                  <w:p w:rsidR="00730117" w:rsidRPr="00B81ED0" w:rsidRDefault="00730117" w:rsidP="00730117">
                    <w:pPr>
                      <w:spacing w:line="194" w:lineRule="exact"/>
                      <w:ind w:left="20" w:right="-45"/>
                      <w:jc w:val="center"/>
                      <w:rPr>
                        <w:color w:val="000000"/>
                        <w:sz w:val="17"/>
                        <w:szCs w:val="17"/>
                      </w:rPr>
                    </w:pPr>
                    <w:r w:rsidRPr="00B81ED0">
                      <w:rPr>
                        <w:color w:val="000000"/>
                        <w:sz w:val="17"/>
                        <w:szCs w:val="17"/>
                      </w:rPr>
                      <w:t>Smilšu iela 1, Rīga, LV-1919, tālr. 67095689, 67095578, fakss 67095503, e-pasts pasts@fm.gov.lv, www.fm.gov.lv</w:t>
                    </w:r>
                  </w:p>
                </w:txbxContent>
              </v:textbox>
              <w10:wrap anchorx="page" anchory="page"/>
            </v:shape>
          </w:pict>
        </mc:Fallback>
      </mc:AlternateContent>
    </w:r>
  </w:p>
  <w:p w:rsidR="00730117" w:rsidRDefault="00730117">
    <w:pPr>
      <w:pStyle w:val="Header"/>
    </w:pPr>
  </w:p>
  <w:p w:rsidR="00730117" w:rsidRDefault="00730117">
    <w:pPr>
      <w:pStyle w:val="Header"/>
    </w:pPr>
  </w:p>
  <w:p w:rsidR="00730117" w:rsidRDefault="00730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51"/>
    <w:rsid w:val="0002005E"/>
    <w:rsid w:val="00025906"/>
    <w:rsid w:val="00054277"/>
    <w:rsid w:val="00062D32"/>
    <w:rsid w:val="000704C8"/>
    <w:rsid w:val="00072A98"/>
    <w:rsid w:val="000778F0"/>
    <w:rsid w:val="0008360A"/>
    <w:rsid w:val="000848CD"/>
    <w:rsid w:val="000859B0"/>
    <w:rsid w:val="00086189"/>
    <w:rsid w:val="000A0A49"/>
    <w:rsid w:val="000A1A94"/>
    <w:rsid w:val="000A2273"/>
    <w:rsid w:val="000A4A49"/>
    <w:rsid w:val="000B5E98"/>
    <w:rsid w:val="000B75CE"/>
    <w:rsid w:val="000C1481"/>
    <w:rsid w:val="000E05A4"/>
    <w:rsid w:val="000E7902"/>
    <w:rsid w:val="00101EF2"/>
    <w:rsid w:val="001042A3"/>
    <w:rsid w:val="00114955"/>
    <w:rsid w:val="00130802"/>
    <w:rsid w:val="001421E1"/>
    <w:rsid w:val="001428D4"/>
    <w:rsid w:val="001459C6"/>
    <w:rsid w:val="00146475"/>
    <w:rsid w:val="00146FE3"/>
    <w:rsid w:val="0015384D"/>
    <w:rsid w:val="00155C92"/>
    <w:rsid w:val="00155FEA"/>
    <w:rsid w:val="00156874"/>
    <w:rsid w:val="00160F55"/>
    <w:rsid w:val="00170B1F"/>
    <w:rsid w:val="0017402C"/>
    <w:rsid w:val="00176F63"/>
    <w:rsid w:val="00184AB5"/>
    <w:rsid w:val="001943EE"/>
    <w:rsid w:val="001D78A7"/>
    <w:rsid w:val="00203705"/>
    <w:rsid w:val="0021300E"/>
    <w:rsid w:val="00220CEE"/>
    <w:rsid w:val="00224396"/>
    <w:rsid w:val="00227D91"/>
    <w:rsid w:val="0023013F"/>
    <w:rsid w:val="00235349"/>
    <w:rsid w:val="00244390"/>
    <w:rsid w:val="00261352"/>
    <w:rsid w:val="002644F0"/>
    <w:rsid w:val="00266CF2"/>
    <w:rsid w:val="00267E3D"/>
    <w:rsid w:val="00292E11"/>
    <w:rsid w:val="0029448D"/>
    <w:rsid w:val="002A20A3"/>
    <w:rsid w:val="002B2B9A"/>
    <w:rsid w:val="002D6CB4"/>
    <w:rsid w:val="002E06CD"/>
    <w:rsid w:val="002E288C"/>
    <w:rsid w:val="002F5D59"/>
    <w:rsid w:val="003026CE"/>
    <w:rsid w:val="00302D28"/>
    <w:rsid w:val="00304112"/>
    <w:rsid w:val="003043C9"/>
    <w:rsid w:val="00314B6D"/>
    <w:rsid w:val="0031519D"/>
    <w:rsid w:val="00325CE2"/>
    <w:rsid w:val="00330C2A"/>
    <w:rsid w:val="00332AF9"/>
    <w:rsid w:val="00341839"/>
    <w:rsid w:val="00380855"/>
    <w:rsid w:val="00383D87"/>
    <w:rsid w:val="00384DCF"/>
    <w:rsid w:val="00386F28"/>
    <w:rsid w:val="00392EBE"/>
    <w:rsid w:val="00393EB9"/>
    <w:rsid w:val="00396BF4"/>
    <w:rsid w:val="003A324A"/>
    <w:rsid w:val="003B4764"/>
    <w:rsid w:val="003D09AE"/>
    <w:rsid w:val="003D179D"/>
    <w:rsid w:val="003E052B"/>
    <w:rsid w:val="003F2252"/>
    <w:rsid w:val="003F2673"/>
    <w:rsid w:val="003F4635"/>
    <w:rsid w:val="003F79A5"/>
    <w:rsid w:val="004059A7"/>
    <w:rsid w:val="004157D9"/>
    <w:rsid w:val="004241B4"/>
    <w:rsid w:val="00434A02"/>
    <w:rsid w:val="0043643E"/>
    <w:rsid w:val="004478B9"/>
    <w:rsid w:val="00474D18"/>
    <w:rsid w:val="004B1F5D"/>
    <w:rsid w:val="004B7EC3"/>
    <w:rsid w:val="004C05F3"/>
    <w:rsid w:val="004E45F2"/>
    <w:rsid w:val="004F221F"/>
    <w:rsid w:val="004F671B"/>
    <w:rsid w:val="004F7DFD"/>
    <w:rsid w:val="005053F3"/>
    <w:rsid w:val="00513B65"/>
    <w:rsid w:val="0053353D"/>
    <w:rsid w:val="00546FDE"/>
    <w:rsid w:val="00550841"/>
    <w:rsid w:val="00554947"/>
    <w:rsid w:val="00557B49"/>
    <w:rsid w:val="0056044A"/>
    <w:rsid w:val="00566B07"/>
    <w:rsid w:val="00573995"/>
    <w:rsid w:val="00583887"/>
    <w:rsid w:val="00583F38"/>
    <w:rsid w:val="00584ED6"/>
    <w:rsid w:val="005910E7"/>
    <w:rsid w:val="005A0BBB"/>
    <w:rsid w:val="005A4F63"/>
    <w:rsid w:val="005C00B9"/>
    <w:rsid w:val="005D7171"/>
    <w:rsid w:val="005E3D1E"/>
    <w:rsid w:val="005F3139"/>
    <w:rsid w:val="00622CFD"/>
    <w:rsid w:val="006240D2"/>
    <w:rsid w:val="00642EE6"/>
    <w:rsid w:val="00643F3C"/>
    <w:rsid w:val="00647EB0"/>
    <w:rsid w:val="006610B8"/>
    <w:rsid w:val="00667635"/>
    <w:rsid w:val="00683E8B"/>
    <w:rsid w:val="00697AB8"/>
    <w:rsid w:val="006A05F7"/>
    <w:rsid w:val="006A0A19"/>
    <w:rsid w:val="006A1B5F"/>
    <w:rsid w:val="006A3594"/>
    <w:rsid w:val="006A707B"/>
    <w:rsid w:val="006B22AA"/>
    <w:rsid w:val="006B33CB"/>
    <w:rsid w:val="006B42A2"/>
    <w:rsid w:val="006D24EC"/>
    <w:rsid w:val="006D6710"/>
    <w:rsid w:val="006E45DD"/>
    <w:rsid w:val="006E689E"/>
    <w:rsid w:val="006E6DBE"/>
    <w:rsid w:val="00701105"/>
    <w:rsid w:val="0070258A"/>
    <w:rsid w:val="00706C69"/>
    <w:rsid w:val="0070718E"/>
    <w:rsid w:val="0071276C"/>
    <w:rsid w:val="00730117"/>
    <w:rsid w:val="00730E2D"/>
    <w:rsid w:val="00733696"/>
    <w:rsid w:val="007523B6"/>
    <w:rsid w:val="00765592"/>
    <w:rsid w:val="00792DE6"/>
    <w:rsid w:val="007A5BA9"/>
    <w:rsid w:val="007A73EC"/>
    <w:rsid w:val="007C3745"/>
    <w:rsid w:val="007C5B7E"/>
    <w:rsid w:val="007E021E"/>
    <w:rsid w:val="007E7EA0"/>
    <w:rsid w:val="007F3771"/>
    <w:rsid w:val="007F6888"/>
    <w:rsid w:val="00812E64"/>
    <w:rsid w:val="008237C6"/>
    <w:rsid w:val="00826D51"/>
    <w:rsid w:val="008360BD"/>
    <w:rsid w:val="00837277"/>
    <w:rsid w:val="00866595"/>
    <w:rsid w:val="00875AF7"/>
    <w:rsid w:val="00875EF1"/>
    <w:rsid w:val="00884446"/>
    <w:rsid w:val="008A5EC1"/>
    <w:rsid w:val="008C508E"/>
    <w:rsid w:val="008D1B4D"/>
    <w:rsid w:val="008D22AE"/>
    <w:rsid w:val="008E12C4"/>
    <w:rsid w:val="008E4EA4"/>
    <w:rsid w:val="008E4FE5"/>
    <w:rsid w:val="008F1369"/>
    <w:rsid w:val="008F15DF"/>
    <w:rsid w:val="008F2376"/>
    <w:rsid w:val="00903B9C"/>
    <w:rsid w:val="00910C88"/>
    <w:rsid w:val="00911470"/>
    <w:rsid w:val="00920076"/>
    <w:rsid w:val="009212D8"/>
    <w:rsid w:val="009328EF"/>
    <w:rsid w:val="00935FCA"/>
    <w:rsid w:val="00963ACC"/>
    <w:rsid w:val="00973529"/>
    <w:rsid w:val="0098433C"/>
    <w:rsid w:val="00996DC8"/>
    <w:rsid w:val="009B2296"/>
    <w:rsid w:val="009B7929"/>
    <w:rsid w:val="009C643F"/>
    <w:rsid w:val="009E200C"/>
    <w:rsid w:val="009F3293"/>
    <w:rsid w:val="00A03231"/>
    <w:rsid w:val="00A17946"/>
    <w:rsid w:val="00A21D44"/>
    <w:rsid w:val="00A318B0"/>
    <w:rsid w:val="00A4004D"/>
    <w:rsid w:val="00A7747B"/>
    <w:rsid w:val="00A87DFA"/>
    <w:rsid w:val="00AA21A4"/>
    <w:rsid w:val="00AA74E7"/>
    <w:rsid w:val="00AB2288"/>
    <w:rsid w:val="00AB278E"/>
    <w:rsid w:val="00AC60C1"/>
    <w:rsid w:val="00AD576B"/>
    <w:rsid w:val="00AE2200"/>
    <w:rsid w:val="00AF21C7"/>
    <w:rsid w:val="00B26E48"/>
    <w:rsid w:val="00B30E51"/>
    <w:rsid w:val="00B45C16"/>
    <w:rsid w:val="00B47F85"/>
    <w:rsid w:val="00B677F2"/>
    <w:rsid w:val="00B9570C"/>
    <w:rsid w:val="00BB4400"/>
    <w:rsid w:val="00BD24E4"/>
    <w:rsid w:val="00BE3E7A"/>
    <w:rsid w:val="00BE5011"/>
    <w:rsid w:val="00BE78C7"/>
    <w:rsid w:val="00BF11EB"/>
    <w:rsid w:val="00BF233C"/>
    <w:rsid w:val="00C038B7"/>
    <w:rsid w:val="00C041F7"/>
    <w:rsid w:val="00C06861"/>
    <w:rsid w:val="00C21975"/>
    <w:rsid w:val="00C345B8"/>
    <w:rsid w:val="00C36BE4"/>
    <w:rsid w:val="00C375DF"/>
    <w:rsid w:val="00C44804"/>
    <w:rsid w:val="00C45100"/>
    <w:rsid w:val="00C50C30"/>
    <w:rsid w:val="00C53A90"/>
    <w:rsid w:val="00C54CFF"/>
    <w:rsid w:val="00C5615C"/>
    <w:rsid w:val="00C56C1D"/>
    <w:rsid w:val="00C6145F"/>
    <w:rsid w:val="00C640B7"/>
    <w:rsid w:val="00C81055"/>
    <w:rsid w:val="00C82EC3"/>
    <w:rsid w:val="00C87CD4"/>
    <w:rsid w:val="00CA0768"/>
    <w:rsid w:val="00CD3BB8"/>
    <w:rsid w:val="00CE0655"/>
    <w:rsid w:val="00D06A60"/>
    <w:rsid w:val="00D1142D"/>
    <w:rsid w:val="00D3049B"/>
    <w:rsid w:val="00D3393E"/>
    <w:rsid w:val="00D4070C"/>
    <w:rsid w:val="00D462B6"/>
    <w:rsid w:val="00D51CC7"/>
    <w:rsid w:val="00D57801"/>
    <w:rsid w:val="00D65123"/>
    <w:rsid w:val="00D70A7C"/>
    <w:rsid w:val="00D72B3F"/>
    <w:rsid w:val="00D73652"/>
    <w:rsid w:val="00D873B0"/>
    <w:rsid w:val="00DA3EAF"/>
    <w:rsid w:val="00DA7256"/>
    <w:rsid w:val="00DA7D9E"/>
    <w:rsid w:val="00DB1E3A"/>
    <w:rsid w:val="00DB5AB6"/>
    <w:rsid w:val="00DC1600"/>
    <w:rsid w:val="00DC461E"/>
    <w:rsid w:val="00DD4524"/>
    <w:rsid w:val="00DD56CC"/>
    <w:rsid w:val="00DD5E25"/>
    <w:rsid w:val="00DE7EC9"/>
    <w:rsid w:val="00DF1EC1"/>
    <w:rsid w:val="00DF75CE"/>
    <w:rsid w:val="00E04F00"/>
    <w:rsid w:val="00E0527A"/>
    <w:rsid w:val="00E13483"/>
    <w:rsid w:val="00E15F9B"/>
    <w:rsid w:val="00E1659C"/>
    <w:rsid w:val="00E25982"/>
    <w:rsid w:val="00E3743F"/>
    <w:rsid w:val="00E44ADB"/>
    <w:rsid w:val="00E71316"/>
    <w:rsid w:val="00E840B7"/>
    <w:rsid w:val="00EA7310"/>
    <w:rsid w:val="00EB1825"/>
    <w:rsid w:val="00EB2C30"/>
    <w:rsid w:val="00EE1908"/>
    <w:rsid w:val="00EF2339"/>
    <w:rsid w:val="00F220D5"/>
    <w:rsid w:val="00F33DBE"/>
    <w:rsid w:val="00F33E54"/>
    <w:rsid w:val="00F35615"/>
    <w:rsid w:val="00F365B1"/>
    <w:rsid w:val="00F37057"/>
    <w:rsid w:val="00F37820"/>
    <w:rsid w:val="00F462A6"/>
    <w:rsid w:val="00F62E54"/>
    <w:rsid w:val="00F84ADE"/>
    <w:rsid w:val="00F949B7"/>
    <w:rsid w:val="00F952BC"/>
    <w:rsid w:val="00FB1DB2"/>
    <w:rsid w:val="00FB225E"/>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F932E9-F6EC-4CAC-9E80-7A92C2A3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semiHidden/>
    <w:rsid w:val="00903B9C"/>
    <w:rPr>
      <w:sz w:val="20"/>
    </w:rPr>
  </w:style>
  <w:style w:type="character" w:styleId="FootnoteReference">
    <w:name w:val="footnote reference"/>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A7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37057"/>
    <w:pPr>
      <w:spacing w:after="120" w:line="480" w:lineRule="auto"/>
    </w:pPr>
  </w:style>
  <w:style w:type="character" w:customStyle="1" w:styleId="BodyText2Char">
    <w:name w:val="Body Text 2 Char"/>
    <w:basedOn w:val="DefaultParagraphFont"/>
    <w:link w:val="BodyText2"/>
    <w:uiPriority w:val="99"/>
    <w:semiHidden/>
    <w:rsid w:val="00F37057"/>
    <w:rPr>
      <w:sz w:val="24"/>
      <w:lang w:eastAsia="en-US"/>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F37057"/>
    <w:pPr>
      <w:widowControl w:val="0"/>
      <w:spacing w:after="200" w:line="276" w:lineRule="auto"/>
      <w:ind w:left="720"/>
      <w:contextualSpacing/>
      <w:jc w:val="left"/>
    </w:pPr>
    <w:rPr>
      <w:rFonts w:ascii="Calibri" w:eastAsia="Calibri" w:hAnsi="Calibri"/>
      <w:sz w:val="22"/>
      <w:szCs w:val="22"/>
    </w:rPr>
  </w:style>
  <w:style w:type="paragraph" w:customStyle="1" w:styleId="naisf">
    <w:name w:val="naisf"/>
    <w:basedOn w:val="Normal"/>
    <w:rsid w:val="00F37057"/>
    <w:pPr>
      <w:spacing w:before="100" w:beforeAutospacing="1" w:after="100" w:afterAutospacing="1"/>
      <w:jc w:val="left"/>
    </w:pPr>
    <w:rPr>
      <w:szCs w:val="24"/>
      <w:lang w:val="en-US"/>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F3705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217">
      <w:bodyDiv w:val="1"/>
      <w:marLeft w:val="0"/>
      <w:marRight w:val="0"/>
      <w:marTop w:val="0"/>
      <w:marBottom w:val="0"/>
      <w:divBdr>
        <w:top w:val="none" w:sz="0" w:space="0" w:color="auto"/>
        <w:left w:val="none" w:sz="0" w:space="0" w:color="auto"/>
        <w:bottom w:val="none" w:sz="0" w:space="0" w:color="auto"/>
        <w:right w:val="none" w:sz="0" w:space="0" w:color="auto"/>
      </w:divBdr>
    </w:div>
    <w:div w:id="163015375">
      <w:bodyDiv w:val="1"/>
      <w:marLeft w:val="0"/>
      <w:marRight w:val="0"/>
      <w:marTop w:val="0"/>
      <w:marBottom w:val="0"/>
      <w:divBdr>
        <w:top w:val="none" w:sz="0" w:space="0" w:color="auto"/>
        <w:left w:val="none" w:sz="0" w:space="0" w:color="auto"/>
        <w:bottom w:val="none" w:sz="0" w:space="0" w:color="auto"/>
        <w:right w:val="none" w:sz="0" w:space="0" w:color="auto"/>
      </w:divBdr>
    </w:div>
    <w:div w:id="253784472">
      <w:bodyDiv w:val="1"/>
      <w:marLeft w:val="0"/>
      <w:marRight w:val="0"/>
      <w:marTop w:val="0"/>
      <w:marBottom w:val="0"/>
      <w:divBdr>
        <w:top w:val="none" w:sz="0" w:space="0" w:color="auto"/>
        <w:left w:val="none" w:sz="0" w:space="0" w:color="auto"/>
        <w:bottom w:val="none" w:sz="0" w:space="0" w:color="auto"/>
        <w:right w:val="none" w:sz="0" w:space="0" w:color="auto"/>
      </w:divBdr>
    </w:div>
    <w:div w:id="557320575">
      <w:bodyDiv w:val="1"/>
      <w:marLeft w:val="0"/>
      <w:marRight w:val="0"/>
      <w:marTop w:val="0"/>
      <w:marBottom w:val="0"/>
      <w:divBdr>
        <w:top w:val="none" w:sz="0" w:space="0" w:color="auto"/>
        <w:left w:val="none" w:sz="0" w:space="0" w:color="auto"/>
        <w:bottom w:val="none" w:sz="0" w:space="0" w:color="auto"/>
        <w:right w:val="none" w:sz="0" w:space="0" w:color="auto"/>
      </w:divBdr>
    </w:div>
    <w:div w:id="566110072">
      <w:bodyDiv w:val="1"/>
      <w:marLeft w:val="0"/>
      <w:marRight w:val="0"/>
      <w:marTop w:val="0"/>
      <w:marBottom w:val="0"/>
      <w:divBdr>
        <w:top w:val="none" w:sz="0" w:space="0" w:color="auto"/>
        <w:left w:val="none" w:sz="0" w:space="0" w:color="auto"/>
        <w:bottom w:val="none" w:sz="0" w:space="0" w:color="auto"/>
        <w:right w:val="none" w:sz="0" w:space="0" w:color="auto"/>
      </w:divBdr>
    </w:div>
    <w:div w:id="844393798">
      <w:bodyDiv w:val="1"/>
      <w:marLeft w:val="0"/>
      <w:marRight w:val="0"/>
      <w:marTop w:val="0"/>
      <w:marBottom w:val="0"/>
      <w:divBdr>
        <w:top w:val="none" w:sz="0" w:space="0" w:color="auto"/>
        <w:left w:val="none" w:sz="0" w:space="0" w:color="auto"/>
        <w:bottom w:val="none" w:sz="0" w:space="0" w:color="auto"/>
        <w:right w:val="none" w:sz="0" w:space="0" w:color="auto"/>
      </w:divBdr>
    </w:div>
    <w:div w:id="960914943">
      <w:bodyDiv w:val="1"/>
      <w:marLeft w:val="0"/>
      <w:marRight w:val="0"/>
      <w:marTop w:val="0"/>
      <w:marBottom w:val="0"/>
      <w:divBdr>
        <w:top w:val="none" w:sz="0" w:space="0" w:color="auto"/>
        <w:left w:val="none" w:sz="0" w:space="0" w:color="auto"/>
        <w:bottom w:val="none" w:sz="0" w:space="0" w:color="auto"/>
        <w:right w:val="none" w:sz="0" w:space="0" w:color="auto"/>
      </w:divBdr>
    </w:div>
    <w:div w:id="982393156">
      <w:bodyDiv w:val="1"/>
      <w:marLeft w:val="0"/>
      <w:marRight w:val="0"/>
      <w:marTop w:val="0"/>
      <w:marBottom w:val="0"/>
      <w:divBdr>
        <w:top w:val="none" w:sz="0" w:space="0" w:color="auto"/>
        <w:left w:val="none" w:sz="0" w:space="0" w:color="auto"/>
        <w:bottom w:val="none" w:sz="0" w:space="0" w:color="auto"/>
        <w:right w:val="none" w:sz="0" w:space="0" w:color="auto"/>
      </w:divBdr>
    </w:div>
    <w:div w:id="1021977085">
      <w:bodyDiv w:val="1"/>
      <w:marLeft w:val="0"/>
      <w:marRight w:val="0"/>
      <w:marTop w:val="0"/>
      <w:marBottom w:val="0"/>
      <w:divBdr>
        <w:top w:val="none" w:sz="0" w:space="0" w:color="auto"/>
        <w:left w:val="none" w:sz="0" w:space="0" w:color="auto"/>
        <w:bottom w:val="none" w:sz="0" w:space="0" w:color="auto"/>
        <w:right w:val="none" w:sz="0" w:space="0" w:color="auto"/>
      </w:divBdr>
    </w:div>
    <w:div w:id="1057512489">
      <w:bodyDiv w:val="1"/>
      <w:marLeft w:val="0"/>
      <w:marRight w:val="0"/>
      <w:marTop w:val="0"/>
      <w:marBottom w:val="0"/>
      <w:divBdr>
        <w:top w:val="none" w:sz="0" w:space="0" w:color="auto"/>
        <w:left w:val="none" w:sz="0" w:space="0" w:color="auto"/>
        <w:bottom w:val="none" w:sz="0" w:space="0" w:color="auto"/>
        <w:right w:val="none" w:sz="0" w:space="0" w:color="auto"/>
      </w:divBdr>
    </w:div>
    <w:div w:id="1175221815">
      <w:bodyDiv w:val="1"/>
      <w:marLeft w:val="0"/>
      <w:marRight w:val="0"/>
      <w:marTop w:val="0"/>
      <w:marBottom w:val="0"/>
      <w:divBdr>
        <w:top w:val="none" w:sz="0" w:space="0" w:color="auto"/>
        <w:left w:val="none" w:sz="0" w:space="0" w:color="auto"/>
        <w:bottom w:val="none" w:sz="0" w:space="0" w:color="auto"/>
        <w:right w:val="none" w:sz="0" w:space="0" w:color="auto"/>
      </w:divBdr>
    </w:div>
    <w:div w:id="1204176316">
      <w:bodyDiv w:val="1"/>
      <w:marLeft w:val="0"/>
      <w:marRight w:val="0"/>
      <w:marTop w:val="0"/>
      <w:marBottom w:val="0"/>
      <w:divBdr>
        <w:top w:val="none" w:sz="0" w:space="0" w:color="auto"/>
        <w:left w:val="none" w:sz="0" w:space="0" w:color="auto"/>
        <w:bottom w:val="none" w:sz="0" w:space="0" w:color="auto"/>
        <w:right w:val="none" w:sz="0" w:space="0" w:color="auto"/>
      </w:divBdr>
    </w:div>
    <w:div w:id="1238594022">
      <w:bodyDiv w:val="1"/>
      <w:marLeft w:val="0"/>
      <w:marRight w:val="0"/>
      <w:marTop w:val="0"/>
      <w:marBottom w:val="0"/>
      <w:divBdr>
        <w:top w:val="none" w:sz="0" w:space="0" w:color="auto"/>
        <w:left w:val="none" w:sz="0" w:space="0" w:color="auto"/>
        <w:bottom w:val="none" w:sz="0" w:space="0" w:color="auto"/>
        <w:right w:val="none" w:sz="0" w:space="0" w:color="auto"/>
      </w:divBdr>
    </w:div>
    <w:div w:id="1246501274">
      <w:bodyDiv w:val="1"/>
      <w:marLeft w:val="0"/>
      <w:marRight w:val="0"/>
      <w:marTop w:val="0"/>
      <w:marBottom w:val="0"/>
      <w:divBdr>
        <w:top w:val="none" w:sz="0" w:space="0" w:color="auto"/>
        <w:left w:val="none" w:sz="0" w:space="0" w:color="auto"/>
        <w:bottom w:val="none" w:sz="0" w:space="0" w:color="auto"/>
        <w:right w:val="none" w:sz="0" w:space="0" w:color="auto"/>
      </w:divBdr>
    </w:div>
    <w:div w:id="1285967147">
      <w:bodyDiv w:val="1"/>
      <w:marLeft w:val="0"/>
      <w:marRight w:val="0"/>
      <w:marTop w:val="0"/>
      <w:marBottom w:val="0"/>
      <w:divBdr>
        <w:top w:val="none" w:sz="0" w:space="0" w:color="auto"/>
        <w:left w:val="none" w:sz="0" w:space="0" w:color="auto"/>
        <w:bottom w:val="none" w:sz="0" w:space="0" w:color="auto"/>
        <w:right w:val="none" w:sz="0" w:space="0" w:color="auto"/>
      </w:divBdr>
    </w:div>
    <w:div w:id="1457871076">
      <w:bodyDiv w:val="1"/>
      <w:marLeft w:val="0"/>
      <w:marRight w:val="0"/>
      <w:marTop w:val="0"/>
      <w:marBottom w:val="0"/>
      <w:divBdr>
        <w:top w:val="none" w:sz="0" w:space="0" w:color="auto"/>
        <w:left w:val="none" w:sz="0" w:space="0" w:color="auto"/>
        <w:bottom w:val="none" w:sz="0" w:space="0" w:color="auto"/>
        <w:right w:val="none" w:sz="0" w:space="0" w:color="auto"/>
      </w:divBdr>
    </w:div>
    <w:div w:id="1486314849">
      <w:bodyDiv w:val="1"/>
      <w:marLeft w:val="0"/>
      <w:marRight w:val="0"/>
      <w:marTop w:val="0"/>
      <w:marBottom w:val="0"/>
      <w:divBdr>
        <w:top w:val="none" w:sz="0" w:space="0" w:color="auto"/>
        <w:left w:val="none" w:sz="0" w:space="0" w:color="auto"/>
        <w:bottom w:val="none" w:sz="0" w:space="0" w:color="auto"/>
        <w:right w:val="none" w:sz="0" w:space="0" w:color="auto"/>
      </w:divBdr>
    </w:div>
    <w:div w:id="1535315218">
      <w:bodyDiv w:val="1"/>
      <w:marLeft w:val="0"/>
      <w:marRight w:val="0"/>
      <w:marTop w:val="0"/>
      <w:marBottom w:val="0"/>
      <w:divBdr>
        <w:top w:val="none" w:sz="0" w:space="0" w:color="auto"/>
        <w:left w:val="none" w:sz="0" w:space="0" w:color="auto"/>
        <w:bottom w:val="none" w:sz="0" w:space="0" w:color="auto"/>
        <w:right w:val="none" w:sz="0" w:space="0" w:color="auto"/>
      </w:divBdr>
    </w:div>
    <w:div w:id="1540359254">
      <w:bodyDiv w:val="1"/>
      <w:marLeft w:val="0"/>
      <w:marRight w:val="0"/>
      <w:marTop w:val="0"/>
      <w:marBottom w:val="0"/>
      <w:divBdr>
        <w:top w:val="none" w:sz="0" w:space="0" w:color="auto"/>
        <w:left w:val="none" w:sz="0" w:space="0" w:color="auto"/>
        <w:bottom w:val="none" w:sz="0" w:space="0" w:color="auto"/>
        <w:right w:val="none" w:sz="0" w:space="0" w:color="auto"/>
      </w:divBdr>
    </w:div>
    <w:div w:id="1555892873">
      <w:bodyDiv w:val="1"/>
      <w:marLeft w:val="0"/>
      <w:marRight w:val="0"/>
      <w:marTop w:val="0"/>
      <w:marBottom w:val="0"/>
      <w:divBdr>
        <w:top w:val="none" w:sz="0" w:space="0" w:color="auto"/>
        <w:left w:val="none" w:sz="0" w:space="0" w:color="auto"/>
        <w:bottom w:val="none" w:sz="0" w:space="0" w:color="auto"/>
        <w:right w:val="none" w:sz="0" w:space="0" w:color="auto"/>
      </w:divBdr>
    </w:div>
    <w:div w:id="1643736012">
      <w:bodyDiv w:val="1"/>
      <w:marLeft w:val="0"/>
      <w:marRight w:val="0"/>
      <w:marTop w:val="0"/>
      <w:marBottom w:val="0"/>
      <w:divBdr>
        <w:top w:val="none" w:sz="0" w:space="0" w:color="auto"/>
        <w:left w:val="none" w:sz="0" w:space="0" w:color="auto"/>
        <w:bottom w:val="none" w:sz="0" w:space="0" w:color="auto"/>
        <w:right w:val="none" w:sz="0" w:space="0" w:color="auto"/>
      </w:divBdr>
    </w:div>
    <w:div w:id="1921406743">
      <w:bodyDiv w:val="1"/>
      <w:marLeft w:val="0"/>
      <w:marRight w:val="0"/>
      <w:marTop w:val="0"/>
      <w:marBottom w:val="0"/>
      <w:divBdr>
        <w:top w:val="none" w:sz="0" w:space="0" w:color="auto"/>
        <w:left w:val="none" w:sz="0" w:space="0" w:color="auto"/>
        <w:bottom w:val="none" w:sz="0" w:space="0" w:color="auto"/>
        <w:right w:val="none" w:sz="0" w:space="0" w:color="auto"/>
      </w:divBdr>
    </w:div>
    <w:div w:id="1926528303">
      <w:bodyDiv w:val="1"/>
      <w:marLeft w:val="0"/>
      <w:marRight w:val="0"/>
      <w:marTop w:val="0"/>
      <w:marBottom w:val="0"/>
      <w:divBdr>
        <w:top w:val="none" w:sz="0" w:space="0" w:color="auto"/>
        <w:left w:val="none" w:sz="0" w:space="0" w:color="auto"/>
        <w:bottom w:val="none" w:sz="0" w:space="0" w:color="auto"/>
        <w:right w:val="none" w:sz="0" w:space="0" w:color="auto"/>
      </w:divBdr>
    </w:div>
    <w:div w:id="2068872610">
      <w:bodyDiv w:val="1"/>
      <w:marLeft w:val="0"/>
      <w:marRight w:val="0"/>
      <w:marTop w:val="0"/>
      <w:marBottom w:val="0"/>
      <w:divBdr>
        <w:top w:val="none" w:sz="0" w:space="0" w:color="auto"/>
        <w:left w:val="none" w:sz="0" w:space="0" w:color="auto"/>
        <w:bottom w:val="none" w:sz="0" w:space="0" w:color="auto"/>
        <w:right w:val="none" w:sz="0" w:space="0" w:color="auto"/>
      </w:divBdr>
    </w:div>
    <w:div w:id="21376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B484D-1FF8-442C-8834-9E3C0595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5798</Words>
  <Characters>3306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Finanšu ministrija</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subject>Par valsts pagaidu budžetu 2019.gadam</dc:subject>
  <dc:creator>Adijāne Z.</dc:creator>
  <dc:description>Sagatavots ALS E-aprites vidē.</dc:description>
  <cp:lastModifiedBy>Dace Siņkovska</cp:lastModifiedBy>
  <cp:revision>2</cp:revision>
  <cp:lastPrinted>2007-06-25T10:49:00Z</cp:lastPrinted>
  <dcterms:created xsi:type="dcterms:W3CDTF">2018-12-19T07:11:00Z</dcterms:created>
  <dcterms:modified xsi:type="dcterms:W3CDTF">2018-12-19T07:11:00Z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