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08" w:rsidRPr="00DB1C08" w:rsidRDefault="00DB1C08" w:rsidP="00DB1C08">
      <w:pPr>
        <w:jc w:val="right"/>
        <w:rPr>
          <w:rFonts w:eastAsiaTheme="minorHAnsi" w:cstheme="minorBidi"/>
          <w:i/>
          <w:sz w:val="21"/>
          <w:szCs w:val="21"/>
          <w:lang w:eastAsia="en-US"/>
        </w:rPr>
      </w:pPr>
      <w:r>
        <w:rPr>
          <w:rFonts w:eastAsiaTheme="minorHAnsi" w:cstheme="minorBidi"/>
          <w:i/>
          <w:sz w:val="21"/>
          <w:szCs w:val="21"/>
          <w:lang w:eastAsia="en-US"/>
        </w:rPr>
        <w:t>3</w:t>
      </w:r>
      <w:r w:rsidRPr="00DB1C08">
        <w:rPr>
          <w:rFonts w:eastAsiaTheme="minorHAnsi" w:cstheme="minorBidi"/>
          <w:i/>
          <w:sz w:val="21"/>
          <w:szCs w:val="21"/>
          <w:lang w:eastAsia="en-US"/>
        </w:rPr>
        <w:t>.pielikums informatīvajam ziņojumam</w:t>
      </w:r>
    </w:p>
    <w:p w:rsidR="00DB1C08" w:rsidRPr="00DB1C08" w:rsidRDefault="00DB1C08" w:rsidP="00DB1C08">
      <w:pPr>
        <w:jc w:val="right"/>
        <w:rPr>
          <w:rFonts w:eastAsiaTheme="minorHAnsi" w:cstheme="minorBidi"/>
          <w:i/>
          <w:sz w:val="21"/>
          <w:szCs w:val="21"/>
          <w:lang w:eastAsia="en-US"/>
        </w:rPr>
      </w:pPr>
      <w:r w:rsidRPr="00DB1C08">
        <w:rPr>
          <w:rFonts w:eastAsiaTheme="minorHAnsi" w:cstheme="minorBidi"/>
          <w:i/>
          <w:sz w:val="21"/>
          <w:szCs w:val="21"/>
          <w:lang w:eastAsia="en-US"/>
        </w:rPr>
        <w:t>“Par valsts budžeta izdevumu pārskatīšanas 2019., 2020. un 2021.gadam</w:t>
      </w:r>
    </w:p>
    <w:p w:rsidR="00DB1C08" w:rsidRPr="00DB1C08" w:rsidRDefault="00DB1C08" w:rsidP="00DB1C08">
      <w:pPr>
        <w:jc w:val="right"/>
        <w:rPr>
          <w:rFonts w:eastAsiaTheme="minorHAnsi" w:cstheme="minorBidi"/>
          <w:i/>
          <w:sz w:val="21"/>
          <w:szCs w:val="21"/>
          <w:lang w:eastAsia="en-US"/>
        </w:rPr>
      </w:pPr>
      <w:r w:rsidRPr="00DB1C08">
        <w:rPr>
          <w:rFonts w:eastAsiaTheme="minorHAnsi" w:cstheme="minorBidi"/>
          <w:i/>
          <w:sz w:val="21"/>
          <w:szCs w:val="21"/>
          <w:lang w:eastAsia="en-US"/>
        </w:rPr>
        <w:t xml:space="preserve"> rezultātiem un priekšlikumi par šo rezultātu izmantošanu likumprojekta</w:t>
      </w:r>
    </w:p>
    <w:p w:rsidR="00DB1C08" w:rsidRPr="00DB1C08" w:rsidRDefault="00DB1C08" w:rsidP="00DB1C08">
      <w:pPr>
        <w:jc w:val="right"/>
        <w:rPr>
          <w:rFonts w:eastAsiaTheme="minorHAnsi" w:cstheme="minorBidi"/>
          <w:i/>
          <w:sz w:val="21"/>
          <w:szCs w:val="21"/>
          <w:lang w:eastAsia="en-US"/>
        </w:rPr>
      </w:pPr>
      <w:r w:rsidRPr="00DB1C08">
        <w:rPr>
          <w:rFonts w:eastAsiaTheme="minorHAnsi" w:cstheme="minorBidi"/>
          <w:i/>
          <w:sz w:val="21"/>
          <w:szCs w:val="21"/>
          <w:lang w:eastAsia="en-US"/>
        </w:rPr>
        <w:t xml:space="preserve"> “Par vidēja termiņa budžeta 2019., 2020. un 2021.gadam” un likumprojekta</w:t>
      </w:r>
    </w:p>
    <w:p w:rsidR="00DB1C08" w:rsidRPr="00DB1C08" w:rsidRDefault="00DB1C08" w:rsidP="00DB1C08">
      <w:pPr>
        <w:jc w:val="right"/>
        <w:rPr>
          <w:rFonts w:eastAsiaTheme="minorHAnsi" w:cstheme="minorBidi"/>
          <w:i/>
          <w:sz w:val="21"/>
          <w:szCs w:val="21"/>
          <w:lang w:eastAsia="en-US"/>
        </w:rPr>
      </w:pPr>
      <w:r w:rsidRPr="00DB1C08">
        <w:rPr>
          <w:rFonts w:eastAsiaTheme="minorHAnsi" w:cstheme="minorBidi"/>
          <w:i/>
          <w:sz w:val="21"/>
          <w:szCs w:val="21"/>
          <w:lang w:eastAsia="en-US"/>
        </w:rPr>
        <w:t>“Par valsts budžetu 2019.gadam” izstrādes procesā</w:t>
      </w:r>
    </w:p>
    <w:p w:rsidR="00DB1C08" w:rsidRDefault="00DB1C08" w:rsidP="00DB1C08">
      <w:pPr>
        <w:tabs>
          <w:tab w:val="left" w:pos="567"/>
        </w:tabs>
        <w:rPr>
          <w:b/>
        </w:rPr>
      </w:pPr>
    </w:p>
    <w:p w:rsidR="00D554B9" w:rsidRPr="00930E09" w:rsidRDefault="00D554B9" w:rsidP="00D554B9">
      <w:pPr>
        <w:tabs>
          <w:tab w:val="left" w:pos="567"/>
        </w:tabs>
        <w:jc w:val="center"/>
        <w:rPr>
          <w:b/>
          <w:bCs/>
        </w:rPr>
      </w:pPr>
      <w:r>
        <w:rPr>
          <w:b/>
        </w:rPr>
        <w:t xml:space="preserve">Informācija par uzdevumu izpildi </w:t>
      </w:r>
      <w:r w:rsidRPr="00930E09">
        <w:rPr>
          <w:b/>
        </w:rPr>
        <w:t>darbības plān</w:t>
      </w:r>
      <w:r>
        <w:rPr>
          <w:b/>
        </w:rPr>
        <w:t>am</w:t>
      </w:r>
      <w:r w:rsidRPr="00930E09">
        <w:rPr>
          <w:b/>
        </w:rPr>
        <w:t xml:space="preserve"> valsts budžeta iestāžu </w:t>
      </w:r>
      <w:r w:rsidRPr="00930E09">
        <w:rPr>
          <w:b/>
          <w:bCs/>
        </w:rPr>
        <w:t>publisko pakalpojumu piegādes un informācijas un komunikācijas tehnoloģiju jomas optimizācijai</w:t>
      </w:r>
    </w:p>
    <w:p w:rsidR="00D554B9" w:rsidRPr="00930E09" w:rsidRDefault="00D554B9" w:rsidP="00D554B9">
      <w:pPr>
        <w:tabs>
          <w:tab w:val="left" w:pos="567"/>
        </w:tabs>
        <w:ind w:firstLine="567"/>
        <w:jc w:val="both"/>
        <w:rPr>
          <w:bCs/>
        </w:rPr>
      </w:pPr>
    </w:p>
    <w:p w:rsidR="00D554B9" w:rsidRDefault="00D554B9" w:rsidP="00D554B9">
      <w:pPr>
        <w:spacing w:after="120"/>
        <w:jc w:val="both"/>
        <w:rPr>
          <w:b/>
        </w:rPr>
      </w:pPr>
      <w:r>
        <w:rPr>
          <w:b/>
        </w:rPr>
        <w:t>Prioritārie uzdevumi, kas īstenojami līdz 2018.gada 1.augustam</w:t>
      </w:r>
    </w:p>
    <w:tbl>
      <w:tblPr>
        <w:tblStyle w:val="TableGrid"/>
        <w:tblW w:w="4963" w:type="pct"/>
        <w:tblLook w:val="04A0" w:firstRow="1" w:lastRow="0" w:firstColumn="1" w:lastColumn="0" w:noHBand="0" w:noVBand="1"/>
      </w:tblPr>
      <w:tblGrid>
        <w:gridCol w:w="576"/>
        <w:gridCol w:w="723"/>
        <w:gridCol w:w="3657"/>
        <w:gridCol w:w="1561"/>
        <w:gridCol w:w="7372"/>
      </w:tblGrid>
      <w:tr w:rsidR="00D554B9" w:rsidRPr="00D554B9" w:rsidTr="00434A7A">
        <w:trPr>
          <w:tblHeader/>
        </w:trPr>
        <w:tc>
          <w:tcPr>
            <w:tcW w:w="207" w:type="pct"/>
            <w:shd w:val="clear" w:color="auto" w:fill="BFBFBF" w:themeFill="background1" w:themeFillShade="BF"/>
            <w:vAlign w:val="center"/>
          </w:tcPr>
          <w:p w:rsidR="00D554B9" w:rsidRPr="00D554B9" w:rsidRDefault="00D554B9" w:rsidP="007731EB">
            <w:pPr>
              <w:jc w:val="center"/>
              <w:rPr>
                <w:b/>
                <w:sz w:val="24"/>
              </w:rPr>
            </w:pPr>
            <w:r w:rsidRPr="00D554B9">
              <w:rPr>
                <w:sz w:val="24"/>
              </w:rPr>
              <w:t>Nr. p.k.</w:t>
            </w:r>
          </w:p>
        </w:tc>
        <w:tc>
          <w:tcPr>
            <w:tcW w:w="260" w:type="pct"/>
            <w:shd w:val="clear" w:color="auto" w:fill="BFBFBF" w:themeFill="background1" w:themeFillShade="BF"/>
            <w:vAlign w:val="center"/>
          </w:tcPr>
          <w:p w:rsidR="00D554B9" w:rsidRPr="00D554B9" w:rsidRDefault="00D554B9" w:rsidP="007731EB">
            <w:pPr>
              <w:jc w:val="center"/>
              <w:rPr>
                <w:b/>
                <w:sz w:val="24"/>
              </w:rPr>
            </w:pPr>
            <w:r w:rsidRPr="00D554B9">
              <w:rPr>
                <w:sz w:val="24"/>
              </w:rPr>
              <w:t>Joma</w:t>
            </w:r>
          </w:p>
        </w:tc>
        <w:tc>
          <w:tcPr>
            <w:tcW w:w="1317" w:type="pct"/>
            <w:shd w:val="clear" w:color="auto" w:fill="BFBFBF" w:themeFill="background1" w:themeFillShade="BF"/>
            <w:vAlign w:val="center"/>
          </w:tcPr>
          <w:p w:rsidR="00D554B9" w:rsidRPr="00D554B9" w:rsidRDefault="00D554B9" w:rsidP="007731EB">
            <w:pPr>
              <w:jc w:val="center"/>
              <w:rPr>
                <w:b/>
                <w:sz w:val="24"/>
              </w:rPr>
            </w:pPr>
            <w:r w:rsidRPr="00D554B9">
              <w:rPr>
                <w:sz w:val="24"/>
              </w:rPr>
              <w:t>Uzdevums</w:t>
            </w:r>
          </w:p>
        </w:tc>
        <w:tc>
          <w:tcPr>
            <w:tcW w:w="562" w:type="pct"/>
            <w:shd w:val="clear" w:color="auto" w:fill="BFBFBF" w:themeFill="background1" w:themeFillShade="BF"/>
            <w:vAlign w:val="center"/>
          </w:tcPr>
          <w:p w:rsidR="00D554B9" w:rsidRPr="00D554B9" w:rsidRDefault="00D554B9" w:rsidP="007731EB">
            <w:pPr>
              <w:jc w:val="center"/>
              <w:rPr>
                <w:b/>
                <w:sz w:val="24"/>
              </w:rPr>
            </w:pPr>
            <w:r w:rsidRPr="00D554B9">
              <w:rPr>
                <w:sz w:val="24"/>
              </w:rPr>
              <w:t>Atbildīgā/ līdzatbildīgā institūcija</w:t>
            </w:r>
          </w:p>
        </w:tc>
        <w:tc>
          <w:tcPr>
            <w:tcW w:w="2654" w:type="pct"/>
            <w:shd w:val="clear" w:color="auto" w:fill="BFBFBF" w:themeFill="background1" w:themeFillShade="BF"/>
            <w:vAlign w:val="center"/>
          </w:tcPr>
          <w:p w:rsidR="00D554B9" w:rsidRPr="00D554B9" w:rsidRDefault="00D554B9" w:rsidP="007731EB">
            <w:pPr>
              <w:jc w:val="center"/>
              <w:rPr>
                <w:b/>
                <w:sz w:val="24"/>
              </w:rPr>
            </w:pPr>
            <w:r w:rsidRPr="00D554B9">
              <w:rPr>
                <w:sz w:val="24"/>
              </w:rPr>
              <w:t>Informācija par izpildi</w:t>
            </w:r>
          </w:p>
        </w:tc>
      </w:tr>
      <w:tr w:rsidR="00D554B9" w:rsidRPr="00D554B9" w:rsidTr="00434A7A">
        <w:trPr>
          <w:trHeight w:val="713"/>
        </w:trPr>
        <w:tc>
          <w:tcPr>
            <w:tcW w:w="207" w:type="pct"/>
          </w:tcPr>
          <w:p w:rsidR="00D554B9" w:rsidRPr="00D554B9" w:rsidRDefault="00D554B9" w:rsidP="007731EB">
            <w:pPr>
              <w:jc w:val="center"/>
              <w:rPr>
                <w:b/>
                <w:sz w:val="24"/>
              </w:rPr>
            </w:pPr>
            <w:r w:rsidRPr="00D554B9">
              <w:rPr>
                <w:sz w:val="24"/>
              </w:rPr>
              <w:t>1.</w:t>
            </w:r>
          </w:p>
        </w:tc>
        <w:tc>
          <w:tcPr>
            <w:tcW w:w="260" w:type="pct"/>
          </w:tcPr>
          <w:p w:rsidR="00D554B9" w:rsidRPr="00D554B9" w:rsidRDefault="00D554B9" w:rsidP="007731EB">
            <w:pPr>
              <w:jc w:val="center"/>
              <w:rPr>
                <w:b/>
                <w:sz w:val="24"/>
              </w:rPr>
            </w:pPr>
            <w:r w:rsidRPr="00D554B9">
              <w:rPr>
                <w:sz w:val="24"/>
              </w:rPr>
              <w:t>A</w:t>
            </w:r>
          </w:p>
        </w:tc>
        <w:tc>
          <w:tcPr>
            <w:tcW w:w="1317" w:type="pct"/>
          </w:tcPr>
          <w:p w:rsidR="00D554B9" w:rsidRPr="00D554B9" w:rsidRDefault="00D554B9" w:rsidP="007D1C0A">
            <w:pPr>
              <w:jc w:val="both"/>
              <w:rPr>
                <w:sz w:val="24"/>
              </w:rPr>
            </w:pPr>
            <w:r w:rsidRPr="00D554B9">
              <w:rPr>
                <w:sz w:val="24"/>
              </w:rPr>
              <w:t xml:space="preserve">Apkopot datus par informācijas sistēmu uzturēšanu, analizēt informācijas sistēmu uzturēšanas procesus un sagatavot </w:t>
            </w:r>
            <w:proofErr w:type="spellStart"/>
            <w:r w:rsidRPr="00D554B9">
              <w:rPr>
                <w:sz w:val="24"/>
              </w:rPr>
              <w:t>izvērtējumu</w:t>
            </w:r>
            <w:proofErr w:type="spellEnd"/>
            <w:r w:rsidRPr="00D554B9">
              <w:rPr>
                <w:sz w:val="24"/>
              </w:rPr>
              <w:t>:</w:t>
            </w:r>
          </w:p>
          <w:p w:rsidR="00D554B9" w:rsidRPr="00D554B9" w:rsidRDefault="00D554B9" w:rsidP="007D1C0A">
            <w:pPr>
              <w:pStyle w:val="ListParagraph"/>
              <w:numPr>
                <w:ilvl w:val="0"/>
                <w:numId w:val="1"/>
              </w:numPr>
              <w:ind w:left="357" w:hanging="357"/>
              <w:contextualSpacing w:val="0"/>
              <w:jc w:val="both"/>
              <w:rPr>
                <w:sz w:val="24"/>
              </w:rPr>
            </w:pPr>
            <w:r w:rsidRPr="00D554B9">
              <w:rPr>
                <w:sz w:val="24"/>
              </w:rPr>
              <w:t>Informācijas pieprasījuma formas definēšana</w:t>
            </w:r>
            <w:r w:rsidR="001A250C">
              <w:rPr>
                <w:sz w:val="24"/>
              </w:rPr>
              <w:t>;</w:t>
            </w:r>
          </w:p>
          <w:p w:rsidR="00D554B9" w:rsidRPr="00D554B9" w:rsidRDefault="00D554B9" w:rsidP="007D1C0A">
            <w:pPr>
              <w:pStyle w:val="ListParagraph"/>
              <w:numPr>
                <w:ilvl w:val="0"/>
                <w:numId w:val="1"/>
              </w:numPr>
              <w:ind w:left="357" w:hanging="357"/>
              <w:contextualSpacing w:val="0"/>
              <w:jc w:val="both"/>
              <w:rPr>
                <w:sz w:val="24"/>
              </w:rPr>
            </w:pPr>
            <w:r w:rsidRPr="00D554B9">
              <w:rPr>
                <w:sz w:val="24"/>
              </w:rPr>
              <w:t>Informāciju apkopošana</w:t>
            </w:r>
            <w:r w:rsidR="001A250C">
              <w:rPr>
                <w:sz w:val="24"/>
              </w:rPr>
              <w:t>;</w:t>
            </w:r>
          </w:p>
          <w:p w:rsidR="00D554B9" w:rsidRPr="00D554B9" w:rsidRDefault="00D554B9" w:rsidP="007D1C0A">
            <w:pPr>
              <w:pStyle w:val="ListParagraph"/>
              <w:numPr>
                <w:ilvl w:val="0"/>
                <w:numId w:val="1"/>
              </w:numPr>
              <w:ind w:left="357" w:hanging="357"/>
              <w:contextualSpacing w:val="0"/>
              <w:jc w:val="both"/>
              <w:rPr>
                <w:sz w:val="24"/>
              </w:rPr>
            </w:pPr>
            <w:r w:rsidRPr="00D554B9">
              <w:rPr>
                <w:sz w:val="24"/>
              </w:rPr>
              <w:t>Informācijas analīze</w:t>
            </w:r>
            <w:r w:rsidR="001A250C">
              <w:rPr>
                <w:sz w:val="24"/>
              </w:rPr>
              <w:t>;</w:t>
            </w:r>
          </w:p>
          <w:p w:rsidR="00D554B9" w:rsidRPr="00D554B9" w:rsidRDefault="00D554B9" w:rsidP="007D1C0A">
            <w:pPr>
              <w:pStyle w:val="ListParagraph"/>
              <w:numPr>
                <w:ilvl w:val="0"/>
                <w:numId w:val="1"/>
              </w:numPr>
              <w:ind w:left="357" w:hanging="357"/>
              <w:contextualSpacing w:val="0"/>
              <w:jc w:val="both"/>
              <w:rPr>
                <w:sz w:val="24"/>
              </w:rPr>
            </w:pPr>
            <w:proofErr w:type="spellStart"/>
            <w:r w:rsidRPr="00D554B9">
              <w:rPr>
                <w:sz w:val="24"/>
              </w:rPr>
              <w:t>Izvērtējuma</w:t>
            </w:r>
            <w:proofErr w:type="spellEnd"/>
            <w:r w:rsidRPr="00D554B9">
              <w:rPr>
                <w:sz w:val="24"/>
              </w:rPr>
              <w:t xml:space="preserve"> sagatavošana (t.sk. to monetārais novērtējums)</w:t>
            </w:r>
            <w:r w:rsidR="001A250C">
              <w:rPr>
                <w:sz w:val="24"/>
              </w:rPr>
              <w:t>.</w:t>
            </w:r>
          </w:p>
        </w:tc>
        <w:tc>
          <w:tcPr>
            <w:tcW w:w="562" w:type="pct"/>
          </w:tcPr>
          <w:p w:rsidR="00D554B9" w:rsidRPr="00D554B9" w:rsidRDefault="00D554B9" w:rsidP="007731EB">
            <w:pPr>
              <w:jc w:val="both"/>
              <w:rPr>
                <w:b/>
                <w:sz w:val="24"/>
              </w:rPr>
            </w:pPr>
            <w:r w:rsidRPr="00D554B9">
              <w:rPr>
                <w:sz w:val="24"/>
              </w:rPr>
              <w:t>VARAM/ visas ministrijas</w:t>
            </w:r>
            <w:r w:rsidRPr="00D554B9">
              <w:rPr>
                <w:rStyle w:val="FootnoteReference"/>
                <w:sz w:val="24"/>
              </w:rPr>
              <w:footnoteReference w:id="1"/>
            </w:r>
            <w:r w:rsidRPr="00D554B9">
              <w:rPr>
                <w:sz w:val="24"/>
              </w:rPr>
              <w:t xml:space="preserve"> </w:t>
            </w:r>
          </w:p>
        </w:tc>
        <w:tc>
          <w:tcPr>
            <w:tcW w:w="2654" w:type="pct"/>
          </w:tcPr>
          <w:p w:rsidR="00D554B9" w:rsidRPr="00D554B9" w:rsidRDefault="00D554B9" w:rsidP="007731EB">
            <w:pPr>
              <w:tabs>
                <w:tab w:val="left" w:pos="567"/>
              </w:tabs>
              <w:jc w:val="both"/>
              <w:rPr>
                <w:b/>
                <w:sz w:val="24"/>
              </w:rPr>
            </w:pPr>
            <w:r w:rsidRPr="00D554B9">
              <w:rPr>
                <w:b/>
                <w:sz w:val="24"/>
              </w:rPr>
              <w:t>Izpildīts</w:t>
            </w:r>
          </w:p>
          <w:p w:rsidR="00D554B9" w:rsidRPr="00D554B9" w:rsidRDefault="00D554B9" w:rsidP="007731EB">
            <w:pPr>
              <w:tabs>
                <w:tab w:val="left" w:pos="567"/>
              </w:tabs>
              <w:jc w:val="both"/>
              <w:rPr>
                <w:sz w:val="24"/>
              </w:rPr>
            </w:pPr>
            <w:r w:rsidRPr="00D554B9">
              <w:rPr>
                <w:sz w:val="24"/>
              </w:rPr>
              <w:t>Lai noņemtu papildus slogu no nozaru ministrijām un iestādēm</w:t>
            </w:r>
            <w:r w:rsidR="00434A7A">
              <w:rPr>
                <w:sz w:val="24"/>
              </w:rPr>
              <w:t xml:space="preserve"> informācijas pieprasīšanā</w:t>
            </w:r>
            <w:r w:rsidRPr="00D554B9">
              <w:rPr>
                <w:sz w:val="24"/>
              </w:rPr>
              <w:t xml:space="preserve">, izpildes veids atšķīrās no sākotnēji plānotā. Tika analizēta centralizēti pieejamā informācija – reālo maksājumu dati 2015. – 2017. gados un cita VARAM rīcībā jau esoša informācija.  </w:t>
            </w:r>
          </w:p>
          <w:p w:rsidR="00D554B9" w:rsidRPr="00D554B9" w:rsidRDefault="00D554B9" w:rsidP="00776799">
            <w:pPr>
              <w:tabs>
                <w:tab w:val="left" w:pos="567"/>
              </w:tabs>
              <w:jc w:val="both"/>
              <w:rPr>
                <w:sz w:val="24"/>
              </w:rPr>
            </w:pPr>
            <w:r w:rsidRPr="00D554B9">
              <w:rPr>
                <w:sz w:val="24"/>
              </w:rPr>
              <w:t>Veikta IKT jomas izdevumu (reālo maksājumu datu par pēdējiem 3 gadiem) apkopošana un analīze</w:t>
            </w:r>
            <w:r w:rsidR="00776799">
              <w:rPr>
                <w:sz w:val="24"/>
              </w:rPr>
              <w:t>.</w:t>
            </w:r>
            <w:r w:rsidRPr="00D554B9">
              <w:rPr>
                <w:sz w:val="24"/>
              </w:rPr>
              <w:t xml:space="preserve"> </w:t>
            </w:r>
            <w:r w:rsidR="00776799">
              <w:rPr>
                <w:sz w:val="24"/>
              </w:rPr>
              <w:t>B</w:t>
            </w:r>
            <w:r w:rsidRPr="00D554B9">
              <w:rPr>
                <w:sz w:val="24"/>
              </w:rPr>
              <w:t xml:space="preserve">alstoties uz </w:t>
            </w:r>
            <w:r w:rsidR="00776799">
              <w:rPr>
                <w:sz w:val="24"/>
              </w:rPr>
              <w:t>šo analīzi</w:t>
            </w:r>
            <w:r w:rsidR="00776799" w:rsidRPr="00D554B9">
              <w:rPr>
                <w:sz w:val="24"/>
              </w:rPr>
              <w:t xml:space="preserve"> </w:t>
            </w:r>
            <w:r w:rsidRPr="00D554B9">
              <w:rPr>
                <w:sz w:val="24"/>
              </w:rPr>
              <w:t>un citu VARAM rīcībā esošo informāciju</w:t>
            </w:r>
            <w:r w:rsidR="00776799">
              <w:rPr>
                <w:sz w:val="24"/>
              </w:rPr>
              <w:t>,</w:t>
            </w:r>
            <w:r w:rsidRPr="00D554B9">
              <w:rPr>
                <w:sz w:val="24"/>
              </w:rPr>
              <w:t xml:space="preserve"> ir sagatavot</w:t>
            </w:r>
            <w:r w:rsidR="00434A7A">
              <w:rPr>
                <w:sz w:val="24"/>
              </w:rPr>
              <w:t xml:space="preserve">i priekšlikumi </w:t>
            </w:r>
            <w:r w:rsidRPr="00D554B9">
              <w:rPr>
                <w:sz w:val="24"/>
              </w:rPr>
              <w:t>valsts pārvaldes IKT pārvaldības un atsevišķu būtisku IKT izmaksu pozīciju optimizācijai</w:t>
            </w:r>
            <w:r w:rsidR="00434A7A">
              <w:rPr>
                <w:sz w:val="24"/>
              </w:rPr>
              <w:t>, kas sniegti ziņojumā</w:t>
            </w:r>
            <w:r w:rsidRPr="00D554B9">
              <w:rPr>
                <w:sz w:val="24"/>
              </w:rPr>
              <w:t>. Reālo maksājumu datu analīze deva iespēja identificēt būtiskākās un augošās izmaksu pozīcijas, konkrētos priekšlikumus par optimizācijas iespējām tajās balstot uz elektroniskās iepirkumu sistēmas datiem, kā arī pieņēmumiem, kas iegūti</w:t>
            </w:r>
            <w:r w:rsidR="00776799">
              <w:rPr>
                <w:sz w:val="24"/>
              </w:rPr>
              <w:t>,</w:t>
            </w:r>
            <w:r w:rsidRPr="00D554B9">
              <w:rPr>
                <w:sz w:val="24"/>
              </w:rPr>
              <w:t xml:space="preserve"> </w:t>
            </w:r>
            <w:r w:rsidR="00434A7A">
              <w:rPr>
                <w:sz w:val="24"/>
              </w:rPr>
              <w:t xml:space="preserve">attiecinot </w:t>
            </w:r>
            <w:r w:rsidRPr="00D554B9">
              <w:rPr>
                <w:sz w:val="24"/>
              </w:rPr>
              <w:t>VARAM resora IKT pārvaldības ietvaros iegūtu informāciju</w:t>
            </w:r>
            <w:r w:rsidR="001F2A2D">
              <w:rPr>
                <w:sz w:val="24"/>
              </w:rPr>
              <w:t xml:space="preserve"> uz pārējiem resoriem</w:t>
            </w:r>
            <w:r w:rsidRPr="00D554B9">
              <w:rPr>
                <w:sz w:val="24"/>
              </w:rPr>
              <w:t xml:space="preserve">.  </w:t>
            </w:r>
          </w:p>
        </w:tc>
      </w:tr>
      <w:tr w:rsidR="00D554B9" w:rsidRPr="00D554B9" w:rsidTr="00434A7A">
        <w:trPr>
          <w:trHeight w:val="1967"/>
        </w:trPr>
        <w:tc>
          <w:tcPr>
            <w:tcW w:w="207" w:type="pct"/>
          </w:tcPr>
          <w:p w:rsidR="00D554B9" w:rsidRPr="00D554B9" w:rsidRDefault="00D554B9" w:rsidP="002C129B">
            <w:pPr>
              <w:jc w:val="center"/>
              <w:rPr>
                <w:sz w:val="24"/>
              </w:rPr>
            </w:pPr>
            <w:r w:rsidRPr="00D554B9">
              <w:rPr>
                <w:sz w:val="24"/>
              </w:rPr>
              <w:lastRenderedPageBreak/>
              <w:t>2.</w:t>
            </w:r>
          </w:p>
        </w:tc>
        <w:tc>
          <w:tcPr>
            <w:tcW w:w="260" w:type="pct"/>
          </w:tcPr>
          <w:p w:rsidR="00D554B9" w:rsidRPr="00D554B9" w:rsidRDefault="00D554B9" w:rsidP="007731EB">
            <w:pPr>
              <w:jc w:val="center"/>
              <w:rPr>
                <w:sz w:val="24"/>
              </w:rPr>
            </w:pPr>
            <w:r w:rsidRPr="00D554B9">
              <w:rPr>
                <w:sz w:val="24"/>
              </w:rPr>
              <w:t>A</w:t>
            </w:r>
          </w:p>
        </w:tc>
        <w:tc>
          <w:tcPr>
            <w:tcW w:w="1317" w:type="pct"/>
            <w:tcBorders>
              <w:top w:val="single" w:sz="4" w:space="0" w:color="auto"/>
            </w:tcBorders>
          </w:tcPr>
          <w:p w:rsidR="00D554B9" w:rsidRPr="00D554B9" w:rsidRDefault="00D554B9" w:rsidP="007731EB">
            <w:pPr>
              <w:jc w:val="both"/>
              <w:rPr>
                <w:sz w:val="24"/>
              </w:rPr>
            </w:pPr>
            <w:r w:rsidRPr="00D554B9">
              <w:rPr>
                <w:sz w:val="24"/>
              </w:rPr>
              <w:t>Izvērtēt iespēju nodrošināt centralizētu IKT attīstības projektu portfeļa plānošanu, vērtēšanu un uzraudzību:</w:t>
            </w:r>
          </w:p>
          <w:p w:rsidR="00D554B9" w:rsidRPr="00D554B9" w:rsidRDefault="00D554B9" w:rsidP="00D554B9">
            <w:pPr>
              <w:pStyle w:val="ListParagraph"/>
              <w:numPr>
                <w:ilvl w:val="0"/>
                <w:numId w:val="2"/>
              </w:numPr>
              <w:ind w:left="357" w:hanging="357"/>
              <w:contextualSpacing w:val="0"/>
              <w:jc w:val="both"/>
              <w:rPr>
                <w:sz w:val="24"/>
              </w:rPr>
            </w:pPr>
            <w:r w:rsidRPr="00D554B9">
              <w:rPr>
                <w:sz w:val="24"/>
              </w:rPr>
              <w:t>Faktiskās situācijas novērtējums (līdzšinējie resursu (t.sk. cilvēkresursu) laika un monetārais novērtējums IKT investīciju projektu vērtēšanā), kā arī plānotās noslodzes novērtējums</w:t>
            </w:r>
            <w:r w:rsidR="001A250C">
              <w:rPr>
                <w:sz w:val="24"/>
              </w:rPr>
              <w:t>;</w:t>
            </w:r>
            <w:r w:rsidRPr="00D554B9">
              <w:rPr>
                <w:sz w:val="24"/>
              </w:rPr>
              <w:t xml:space="preserve"> </w:t>
            </w:r>
          </w:p>
          <w:p w:rsidR="00D554B9" w:rsidRPr="00D554B9" w:rsidRDefault="00D554B9" w:rsidP="00D554B9">
            <w:pPr>
              <w:pStyle w:val="ListParagraph"/>
              <w:numPr>
                <w:ilvl w:val="0"/>
                <w:numId w:val="2"/>
              </w:numPr>
              <w:ind w:left="357" w:hanging="357"/>
              <w:contextualSpacing w:val="0"/>
              <w:jc w:val="both"/>
              <w:rPr>
                <w:sz w:val="24"/>
              </w:rPr>
            </w:pPr>
            <w:r w:rsidRPr="00D554B9">
              <w:rPr>
                <w:sz w:val="24"/>
              </w:rPr>
              <w:t>Faktiskās un plānotās situācijas analīze</w:t>
            </w:r>
            <w:r w:rsidR="001A250C">
              <w:rPr>
                <w:sz w:val="24"/>
              </w:rPr>
              <w:t>;</w:t>
            </w:r>
          </w:p>
          <w:p w:rsidR="00D554B9" w:rsidRPr="00D554B9" w:rsidRDefault="00D554B9" w:rsidP="00D554B9">
            <w:pPr>
              <w:pStyle w:val="ListParagraph"/>
              <w:numPr>
                <w:ilvl w:val="0"/>
                <w:numId w:val="2"/>
              </w:numPr>
              <w:ind w:left="357" w:hanging="357"/>
              <w:contextualSpacing w:val="0"/>
              <w:jc w:val="both"/>
              <w:rPr>
                <w:sz w:val="24"/>
              </w:rPr>
            </w:pPr>
            <w:r w:rsidRPr="00D554B9">
              <w:rPr>
                <w:sz w:val="24"/>
              </w:rPr>
              <w:t>Priekšlikumu izstrāde (t.sk. to monetārais novērtējums)</w:t>
            </w:r>
            <w:r w:rsidR="001A250C">
              <w:rPr>
                <w:sz w:val="24"/>
              </w:rPr>
              <w:t>.</w:t>
            </w:r>
          </w:p>
        </w:tc>
        <w:tc>
          <w:tcPr>
            <w:tcW w:w="562" w:type="pct"/>
          </w:tcPr>
          <w:p w:rsidR="00D554B9" w:rsidRPr="00D554B9" w:rsidRDefault="00D554B9" w:rsidP="007731EB">
            <w:pPr>
              <w:jc w:val="both"/>
              <w:rPr>
                <w:sz w:val="24"/>
              </w:rPr>
            </w:pPr>
            <w:r w:rsidRPr="00D554B9">
              <w:rPr>
                <w:sz w:val="24"/>
              </w:rPr>
              <w:t>VARAM/ FM</w:t>
            </w:r>
          </w:p>
        </w:tc>
        <w:tc>
          <w:tcPr>
            <w:tcW w:w="2654" w:type="pct"/>
          </w:tcPr>
          <w:p w:rsidR="00D554B9" w:rsidRPr="00D554B9" w:rsidRDefault="00D554B9" w:rsidP="007731EB">
            <w:pPr>
              <w:jc w:val="both"/>
              <w:rPr>
                <w:b/>
                <w:sz w:val="24"/>
              </w:rPr>
            </w:pPr>
            <w:r w:rsidRPr="00D554B9">
              <w:rPr>
                <w:b/>
                <w:sz w:val="24"/>
              </w:rPr>
              <w:t>Daļēji izpildīts</w:t>
            </w:r>
          </w:p>
          <w:p w:rsidR="00D554B9" w:rsidRPr="00D554B9" w:rsidRDefault="00D554B9" w:rsidP="007731EB">
            <w:pPr>
              <w:jc w:val="both"/>
              <w:rPr>
                <w:sz w:val="24"/>
              </w:rPr>
            </w:pPr>
            <w:r w:rsidRPr="00D554B9">
              <w:rPr>
                <w:sz w:val="24"/>
              </w:rPr>
              <w:t xml:space="preserve">Līdztekus tam, ka VARAM turpina izvērtēt un saskaņot IKT attīstības projektus, kas tiek līdzfinansēti no ERAF </w:t>
            </w:r>
            <w:r w:rsidR="00827D0E">
              <w:rPr>
                <w:sz w:val="24"/>
              </w:rPr>
              <w:t>d</w:t>
            </w:r>
            <w:r w:rsidR="00827D0E" w:rsidRPr="00827D0E">
              <w:rPr>
                <w:sz w:val="24"/>
              </w:rPr>
              <w:t xml:space="preserve">arbības programmas </w:t>
            </w:r>
            <w:r w:rsidR="00827D0E">
              <w:rPr>
                <w:sz w:val="24"/>
              </w:rPr>
              <w:t>“</w:t>
            </w:r>
            <w:r w:rsidR="00827D0E" w:rsidRPr="00827D0E">
              <w:rPr>
                <w:sz w:val="24"/>
              </w:rPr>
              <w:t>Izaugsme un nodarbinātība</w:t>
            </w:r>
            <w:r w:rsidR="00827D0E">
              <w:rPr>
                <w:sz w:val="24"/>
              </w:rPr>
              <w:t>”</w:t>
            </w:r>
            <w:r w:rsidR="00827D0E" w:rsidRPr="00827D0E">
              <w:rPr>
                <w:sz w:val="24"/>
              </w:rPr>
              <w:t xml:space="preserve"> 2.2.1. specifiskā atbalsta mērķa </w:t>
            </w:r>
            <w:r w:rsidR="00827D0E">
              <w:rPr>
                <w:sz w:val="24"/>
              </w:rPr>
              <w:t>“</w:t>
            </w:r>
            <w:r w:rsidR="00827D0E" w:rsidRPr="00827D0E">
              <w:rPr>
                <w:sz w:val="24"/>
              </w:rPr>
              <w:t xml:space="preserve">Nodrošināt publisko datu </w:t>
            </w:r>
            <w:proofErr w:type="spellStart"/>
            <w:r w:rsidR="00827D0E" w:rsidRPr="00827D0E">
              <w:rPr>
                <w:sz w:val="24"/>
              </w:rPr>
              <w:t>atkalizmantošanas</w:t>
            </w:r>
            <w:proofErr w:type="spellEnd"/>
            <w:r w:rsidR="00827D0E" w:rsidRPr="00827D0E">
              <w:rPr>
                <w:sz w:val="24"/>
              </w:rPr>
              <w:t xml:space="preserve"> pieaugumu un efektīvu publiskās pārvaldes un privātā sektora mijiedarbību</w:t>
            </w:r>
            <w:r w:rsidR="00827D0E">
              <w:rPr>
                <w:sz w:val="24"/>
              </w:rPr>
              <w:t>”</w:t>
            </w:r>
            <w:r w:rsidR="00827D0E" w:rsidRPr="00827D0E">
              <w:rPr>
                <w:sz w:val="24"/>
              </w:rPr>
              <w:t xml:space="preserve"> </w:t>
            </w:r>
            <w:r w:rsidR="00827D0E">
              <w:rPr>
                <w:sz w:val="24"/>
              </w:rPr>
              <w:t xml:space="preserve">(turpmāk – </w:t>
            </w:r>
            <w:r w:rsidRPr="00D554B9">
              <w:rPr>
                <w:sz w:val="24"/>
              </w:rPr>
              <w:t>SAM 2.2.1.</w:t>
            </w:r>
            <w:r w:rsidR="00827D0E">
              <w:rPr>
                <w:sz w:val="24"/>
              </w:rPr>
              <w:t>)</w:t>
            </w:r>
            <w:r w:rsidRPr="00D554B9">
              <w:rPr>
                <w:sz w:val="24"/>
              </w:rPr>
              <w:t xml:space="preserve">, izvērtējamo IKT arhitektūras izmaiņu (t.i. attīstības projektu) tvērums tiek pakāpeniski paplašināts, ietverot tajā arī no citiem avotiem finansētus projektus un risinājumu uzturēšanas ietvaros veicamās izmaiņas. </w:t>
            </w:r>
          </w:p>
          <w:p w:rsidR="00D554B9" w:rsidRPr="00D554B9" w:rsidRDefault="00D554B9" w:rsidP="007731EB">
            <w:pPr>
              <w:jc w:val="both"/>
              <w:rPr>
                <w:sz w:val="24"/>
              </w:rPr>
            </w:pPr>
            <w:r w:rsidRPr="00D554B9">
              <w:rPr>
                <w:sz w:val="24"/>
              </w:rPr>
              <w:t xml:space="preserve">Projektu izvērtēšanas un īstenošanas uzraudzības no vienotās IKT arhitektūras viedokļa metodika tiek attīstīta, “mācoties darot”, t.i. mācoties izvērtēt un no arhitektūras viedokļa pietiekami efektīvi uzraudzīt arvien lielāku projektu apjomu ar ierobežotiem ekspertu resursiem. Uz šo brīdi izvērtēšanas un uzraudzības tvērumu veido 55 SAM 2.2.1. abu kārtu projekti un atsevišķi citu SAM projekti, kas satur būtiskas IKT attīstības komponentes, kā arī attīstības projekti, kas ir pieteikti VARAM saskaņošanai Valsts informācijas sistēmu likuma noteiktajā kārtībā. </w:t>
            </w:r>
          </w:p>
          <w:p w:rsidR="00D554B9" w:rsidRPr="00D554B9" w:rsidRDefault="00D554B9" w:rsidP="007731EB">
            <w:pPr>
              <w:jc w:val="both"/>
              <w:rPr>
                <w:sz w:val="24"/>
              </w:rPr>
            </w:pPr>
            <w:r w:rsidRPr="00D554B9">
              <w:rPr>
                <w:sz w:val="24"/>
              </w:rPr>
              <w:t xml:space="preserve">VARAM ir saskaņojis MK līmenī un iesniedzis Saeimā IKT pārvaldības likuma projektu, kas cita starpā dos deleģējumu MK noteikumu izstrādei visa veida IKT attīstības aktivitāšu centralizētai saskaņošanai un uzraudzībai no vienotas IKT arhitektūras viedokļa. </w:t>
            </w:r>
          </w:p>
          <w:p w:rsidR="00D554B9" w:rsidRPr="00D554B9" w:rsidRDefault="00D554B9" w:rsidP="007731EB">
            <w:pPr>
              <w:jc w:val="both"/>
              <w:rPr>
                <w:sz w:val="24"/>
              </w:rPr>
            </w:pPr>
            <w:r w:rsidRPr="00D554B9">
              <w:rPr>
                <w:sz w:val="24"/>
              </w:rPr>
              <w:t xml:space="preserve">VARAM plāno attīstīt projektu vērtēšanas un uzraudzības metodiku, balstoties uz reālo praksi, rēķinoties ar to, ka tā būs jāveic ar resursiem, kuru apjomu ierobežo VARAM IKT bloka esošo struktūrvienību kapacitāte un papildus resursi, ko VARAM var piesaistīt uz SAM 2.2.1. projekta PIKTAPS. </w:t>
            </w:r>
          </w:p>
          <w:p w:rsidR="00D554B9" w:rsidRPr="00D554B9" w:rsidRDefault="00D554B9" w:rsidP="007731EB">
            <w:pPr>
              <w:jc w:val="both"/>
              <w:rPr>
                <w:sz w:val="24"/>
              </w:rPr>
            </w:pPr>
            <w:r w:rsidRPr="00D554B9">
              <w:rPr>
                <w:sz w:val="24"/>
              </w:rPr>
              <w:t xml:space="preserve">IKT optimizācijas </w:t>
            </w:r>
            <w:r w:rsidR="00EC744F">
              <w:rPr>
                <w:sz w:val="24"/>
              </w:rPr>
              <w:t xml:space="preserve">priekšlikumu </w:t>
            </w:r>
            <w:r w:rsidRPr="00D554B9">
              <w:rPr>
                <w:sz w:val="24"/>
              </w:rPr>
              <w:t xml:space="preserve">izstrādes ietvaros tika analizēta iespēja apvienot projektu centralizētas izvērtēšanas un uzraudzības aktivitātes ar uz uzkrātās zināšanu bāzes balstītu iekšējo konsultāciju pakalpojumu, kas, veicinot valsts pārvaldes rīcībā jau esošo zināšanu, labākās prakses un </w:t>
            </w:r>
            <w:r w:rsidRPr="00D554B9">
              <w:rPr>
                <w:sz w:val="24"/>
              </w:rPr>
              <w:lastRenderedPageBreak/>
              <w:t xml:space="preserve">konkrētu nodevumu (piemēram, specifikāciju) atkārtotu izmantošanu, ļautu gūt ietaupījumus komerciāli IKT vadības konsultāciju jomā. </w:t>
            </w:r>
          </w:p>
          <w:p w:rsidR="00D554B9" w:rsidRPr="00D554B9" w:rsidRDefault="00D554B9">
            <w:pPr>
              <w:jc w:val="both"/>
              <w:rPr>
                <w:sz w:val="24"/>
              </w:rPr>
            </w:pPr>
            <w:r w:rsidRPr="00D554B9">
              <w:rPr>
                <w:sz w:val="24"/>
              </w:rPr>
              <w:t>VARAM neuzskata par lietderīgu papildus analīzes par “teorētiski nepieciešamo resursu” veikšanu, uzskatot, ka faktiskajā situācijā ar ierobežotu finansiālo resursu un arī konkrēto profesionālo kompetenču piesaistes iespējām, labākais iespējamais rezultāts ir sasniedzams, efektīvi izmantojot šobrīd pieejamos resursus un kompetences un pakāpeniski, darbu izpildes gaitā uzlabojot projektu vērtēšanas un uzraudzības metodiku un darba organizāciju</w:t>
            </w:r>
            <w:r w:rsidR="00776799" w:rsidRPr="00D554B9">
              <w:rPr>
                <w:sz w:val="24"/>
              </w:rPr>
              <w:t xml:space="preserve"> no IKT arhitektūras viedokļa</w:t>
            </w:r>
            <w:r w:rsidRPr="00D554B9">
              <w:rPr>
                <w:sz w:val="24"/>
              </w:rPr>
              <w:t xml:space="preserve">.    </w:t>
            </w:r>
          </w:p>
        </w:tc>
      </w:tr>
      <w:tr w:rsidR="00D554B9" w:rsidRPr="00D554B9" w:rsidTr="00434A7A">
        <w:trPr>
          <w:trHeight w:val="1139"/>
        </w:trPr>
        <w:tc>
          <w:tcPr>
            <w:tcW w:w="207" w:type="pct"/>
          </w:tcPr>
          <w:p w:rsidR="00D554B9" w:rsidRPr="00D554B9" w:rsidRDefault="00D554B9" w:rsidP="002C129B">
            <w:pPr>
              <w:jc w:val="center"/>
              <w:rPr>
                <w:sz w:val="24"/>
              </w:rPr>
            </w:pPr>
            <w:r w:rsidRPr="00D554B9">
              <w:rPr>
                <w:sz w:val="24"/>
              </w:rPr>
              <w:lastRenderedPageBreak/>
              <w:t>3.</w:t>
            </w:r>
          </w:p>
        </w:tc>
        <w:tc>
          <w:tcPr>
            <w:tcW w:w="260" w:type="pct"/>
          </w:tcPr>
          <w:p w:rsidR="00D554B9" w:rsidRPr="00D554B9" w:rsidRDefault="00D554B9" w:rsidP="007731EB">
            <w:pPr>
              <w:jc w:val="center"/>
              <w:rPr>
                <w:sz w:val="24"/>
              </w:rPr>
            </w:pPr>
            <w:r w:rsidRPr="00D554B9">
              <w:rPr>
                <w:sz w:val="24"/>
              </w:rPr>
              <w:t>B</w:t>
            </w:r>
          </w:p>
        </w:tc>
        <w:tc>
          <w:tcPr>
            <w:tcW w:w="1317" w:type="pct"/>
          </w:tcPr>
          <w:p w:rsidR="00D554B9" w:rsidRPr="00D554B9" w:rsidRDefault="00D554B9" w:rsidP="007731EB">
            <w:pPr>
              <w:jc w:val="both"/>
              <w:rPr>
                <w:sz w:val="24"/>
              </w:rPr>
            </w:pPr>
            <w:r w:rsidRPr="00D554B9">
              <w:rPr>
                <w:sz w:val="24"/>
              </w:rPr>
              <w:t>Izvērtēt iepirkumu funkcijas konsolidācijas un iepirkumu atbalsta funkcijas centralizācijas potenciālu un piedāvāt iespējamos centralizācijas risinājumus:</w:t>
            </w:r>
          </w:p>
          <w:p w:rsidR="00D554B9" w:rsidRPr="00D554B9" w:rsidRDefault="00D554B9" w:rsidP="00D554B9">
            <w:pPr>
              <w:pStyle w:val="ListParagraph"/>
              <w:numPr>
                <w:ilvl w:val="0"/>
                <w:numId w:val="3"/>
              </w:numPr>
              <w:ind w:left="357" w:hanging="357"/>
              <w:contextualSpacing w:val="0"/>
              <w:jc w:val="both"/>
              <w:rPr>
                <w:sz w:val="24"/>
              </w:rPr>
            </w:pPr>
            <w:r w:rsidRPr="00D554B9">
              <w:rPr>
                <w:sz w:val="24"/>
              </w:rPr>
              <w:t>Datu analīze attiecībā uz faktisko situāciju (informācijas pieprasīšana no Valsts kancelejas, kas ir apkopojusi datus par iepirkuma funkcijas cilvēkresursiem)</w:t>
            </w:r>
            <w:r w:rsidR="001A250C">
              <w:rPr>
                <w:sz w:val="24"/>
              </w:rPr>
              <w:t>;</w:t>
            </w:r>
          </w:p>
          <w:p w:rsidR="00D554B9" w:rsidRPr="00D554B9" w:rsidRDefault="00D554B9" w:rsidP="00D554B9">
            <w:pPr>
              <w:pStyle w:val="ListParagraph"/>
              <w:numPr>
                <w:ilvl w:val="0"/>
                <w:numId w:val="3"/>
              </w:numPr>
              <w:ind w:left="357" w:hanging="357"/>
              <w:contextualSpacing w:val="0"/>
              <w:jc w:val="both"/>
              <w:rPr>
                <w:sz w:val="24"/>
              </w:rPr>
            </w:pPr>
            <w:r w:rsidRPr="00D554B9">
              <w:rPr>
                <w:sz w:val="24"/>
              </w:rPr>
              <w:t>Ministriju sniegtās informācijas par EIS pakalpojumu paplašināšanu izvērtēšana</w:t>
            </w:r>
            <w:r w:rsidR="001A250C">
              <w:rPr>
                <w:sz w:val="24"/>
              </w:rPr>
              <w:t>;</w:t>
            </w:r>
          </w:p>
          <w:p w:rsidR="00D554B9" w:rsidRPr="00D554B9" w:rsidRDefault="00D554B9" w:rsidP="00D554B9">
            <w:pPr>
              <w:pStyle w:val="ListParagraph"/>
              <w:numPr>
                <w:ilvl w:val="0"/>
                <w:numId w:val="3"/>
              </w:numPr>
              <w:ind w:left="357" w:hanging="357"/>
              <w:contextualSpacing w:val="0"/>
              <w:jc w:val="both"/>
              <w:rPr>
                <w:sz w:val="24"/>
              </w:rPr>
            </w:pPr>
            <w:r w:rsidRPr="00D554B9">
              <w:rPr>
                <w:sz w:val="24"/>
              </w:rPr>
              <w:t xml:space="preserve">Papildu nepieciešamās informācijas pieprasīšana </w:t>
            </w:r>
            <w:proofErr w:type="spellStart"/>
            <w:r w:rsidRPr="00D554B9">
              <w:rPr>
                <w:sz w:val="24"/>
              </w:rPr>
              <w:t>izvērtējuma</w:t>
            </w:r>
            <w:proofErr w:type="spellEnd"/>
            <w:r w:rsidRPr="00D554B9">
              <w:rPr>
                <w:sz w:val="24"/>
              </w:rPr>
              <w:t xml:space="preserve"> un priekšlikumu sagatavošanai</w:t>
            </w:r>
            <w:r w:rsidR="001A250C">
              <w:rPr>
                <w:sz w:val="24"/>
              </w:rPr>
              <w:t>;</w:t>
            </w:r>
          </w:p>
          <w:p w:rsidR="00D554B9" w:rsidRPr="00D554B9" w:rsidRDefault="00D554B9" w:rsidP="00D554B9">
            <w:pPr>
              <w:pStyle w:val="ListParagraph"/>
              <w:numPr>
                <w:ilvl w:val="0"/>
                <w:numId w:val="4"/>
              </w:numPr>
              <w:contextualSpacing w:val="0"/>
              <w:jc w:val="both"/>
              <w:rPr>
                <w:sz w:val="24"/>
              </w:rPr>
            </w:pPr>
            <w:r w:rsidRPr="00D554B9">
              <w:rPr>
                <w:sz w:val="24"/>
              </w:rPr>
              <w:t>Priekšlikumu izstrāde (t.sk. to monetārais novērtējums)</w:t>
            </w:r>
            <w:r w:rsidR="001A250C">
              <w:rPr>
                <w:sz w:val="24"/>
              </w:rPr>
              <w:t>.</w:t>
            </w:r>
          </w:p>
        </w:tc>
        <w:tc>
          <w:tcPr>
            <w:tcW w:w="562" w:type="pct"/>
          </w:tcPr>
          <w:p w:rsidR="00D554B9" w:rsidRPr="00D554B9" w:rsidRDefault="00D554B9" w:rsidP="007731EB">
            <w:pPr>
              <w:jc w:val="both"/>
              <w:rPr>
                <w:sz w:val="24"/>
              </w:rPr>
            </w:pPr>
            <w:r w:rsidRPr="00D554B9">
              <w:rPr>
                <w:sz w:val="24"/>
              </w:rPr>
              <w:t>VARAM (VRAA)/ FM, Valsts kanceleja</w:t>
            </w:r>
          </w:p>
        </w:tc>
        <w:tc>
          <w:tcPr>
            <w:tcW w:w="2654" w:type="pct"/>
          </w:tcPr>
          <w:p w:rsidR="00D554B9" w:rsidRPr="00D554B9" w:rsidRDefault="00D554B9" w:rsidP="007731EB">
            <w:pPr>
              <w:jc w:val="both"/>
              <w:rPr>
                <w:b/>
                <w:sz w:val="24"/>
              </w:rPr>
            </w:pPr>
            <w:r w:rsidRPr="00D554B9">
              <w:rPr>
                <w:b/>
                <w:sz w:val="24"/>
              </w:rPr>
              <w:t>Izpildīts</w:t>
            </w:r>
          </w:p>
          <w:p w:rsidR="001F488E" w:rsidRDefault="00D554B9" w:rsidP="001F488E">
            <w:pPr>
              <w:pStyle w:val="CommentText"/>
              <w:numPr>
                <w:ilvl w:val="0"/>
                <w:numId w:val="4"/>
              </w:numPr>
              <w:jc w:val="both"/>
              <w:rPr>
                <w:sz w:val="24"/>
                <w:szCs w:val="24"/>
              </w:rPr>
            </w:pPr>
            <w:r w:rsidRPr="00D554B9">
              <w:rPr>
                <w:sz w:val="24"/>
                <w:szCs w:val="24"/>
              </w:rPr>
              <w:t xml:space="preserve">Iepirkumu uzraudzības birojs (IUB), pētot IUB Publikāciju vadības sistēmā, kā arī Elektronisko iepirkumu sistēmā uzkrātus datus, ir sagatavojis analītiska rakstura prezentāciju par centralizēto iepirkumu sasniegumiem, kuras sagatavošanai tika izmantoti arī VRAA dati. </w:t>
            </w:r>
            <w:r w:rsidRPr="001F488E">
              <w:rPr>
                <w:sz w:val="24"/>
                <w:szCs w:val="24"/>
              </w:rPr>
              <w:t>Prezentācija ir plānota prezentēšanai MK vai VSS līmenī</w:t>
            </w:r>
            <w:r w:rsidR="00776799">
              <w:rPr>
                <w:sz w:val="24"/>
                <w:szCs w:val="24"/>
              </w:rPr>
              <w:t>.</w:t>
            </w:r>
            <w:r w:rsidR="001F488E">
              <w:rPr>
                <w:sz w:val="24"/>
                <w:szCs w:val="24"/>
              </w:rPr>
              <w:t xml:space="preserve"> </w:t>
            </w:r>
            <w:r w:rsidR="00776799">
              <w:rPr>
                <w:sz w:val="24"/>
                <w:szCs w:val="24"/>
              </w:rPr>
              <w:t>K</w:t>
            </w:r>
            <w:r w:rsidRPr="001F488E">
              <w:rPr>
                <w:sz w:val="24"/>
                <w:szCs w:val="24"/>
              </w:rPr>
              <w:t xml:space="preserve">onkrētais </w:t>
            </w:r>
            <w:r w:rsidR="001F488E">
              <w:rPr>
                <w:sz w:val="24"/>
                <w:szCs w:val="24"/>
              </w:rPr>
              <w:t xml:space="preserve">prezentācijas </w:t>
            </w:r>
            <w:r w:rsidRPr="001F488E">
              <w:rPr>
                <w:sz w:val="24"/>
                <w:szCs w:val="24"/>
              </w:rPr>
              <w:t>laiks ir atkarīgs no FM/IUB un VK vienošanās, jo saturs jau ir sagatavots.</w:t>
            </w:r>
          </w:p>
          <w:p w:rsidR="001B545A" w:rsidRDefault="00D554B9" w:rsidP="001B545A">
            <w:pPr>
              <w:pStyle w:val="CommentText"/>
              <w:numPr>
                <w:ilvl w:val="0"/>
                <w:numId w:val="4"/>
              </w:numPr>
              <w:jc w:val="both"/>
              <w:rPr>
                <w:sz w:val="24"/>
                <w:szCs w:val="24"/>
              </w:rPr>
            </w:pPr>
            <w:r w:rsidRPr="001F488E">
              <w:rPr>
                <w:sz w:val="24"/>
                <w:szCs w:val="24"/>
              </w:rPr>
              <w:t>VRAA ietvaros katram centralizētam iepirkumam pirms tā uzsākšanas tiek veikta aktuālā preču vai pakalpojumu kataloga analīze (dati par pirkto/nepirkto preču daudzumu)</w:t>
            </w:r>
            <w:r w:rsidR="00776799">
              <w:rPr>
                <w:sz w:val="24"/>
                <w:szCs w:val="24"/>
              </w:rPr>
              <w:t>,</w:t>
            </w:r>
            <w:r w:rsidRPr="001F488E">
              <w:rPr>
                <w:sz w:val="24"/>
                <w:szCs w:val="24"/>
              </w:rPr>
              <w:t xml:space="preserve"> nozares tendenču analīze</w:t>
            </w:r>
            <w:r w:rsidR="00776799">
              <w:rPr>
                <w:sz w:val="24"/>
                <w:szCs w:val="24"/>
              </w:rPr>
              <w:t xml:space="preserve"> un</w:t>
            </w:r>
            <w:r w:rsidRPr="001F488E">
              <w:rPr>
                <w:sz w:val="24"/>
                <w:szCs w:val="24"/>
              </w:rPr>
              <w:t xml:space="preserve"> normatīvo aktu un to izmaiņu izpēte attiecīgajā nozarē. Kad sagatavots tehniskās specifikācijas projekts, tas tiek izsūtīts visām ministrijām un LPS priekšlikumu sniegšanai par nepieciešamību papildināt tehniskajā specifikācijā iekļauto preču/pakalpojumu daudzveidību. Ministrijas un LPS šo informāciju ir lūgtas nodot tālāk organizācijām sava resora ietvaros. Pēc iesniegto priekšlikumu apkopošanas un pirms iepirkuma procedūras izsludināšanas atbilstoši PIL 18.panta otrajai daļai tiek rīkota iepriekšēja apspriede ar piegādātājiem. </w:t>
            </w:r>
          </w:p>
          <w:p w:rsidR="001B545A" w:rsidRPr="001B545A" w:rsidRDefault="00D554B9" w:rsidP="001B545A">
            <w:pPr>
              <w:pStyle w:val="CommentText"/>
              <w:numPr>
                <w:ilvl w:val="0"/>
                <w:numId w:val="4"/>
              </w:numPr>
              <w:jc w:val="both"/>
              <w:rPr>
                <w:sz w:val="24"/>
                <w:szCs w:val="24"/>
              </w:rPr>
            </w:pPr>
            <w:r w:rsidRPr="001B545A">
              <w:rPr>
                <w:sz w:val="24"/>
                <w:szCs w:val="24"/>
              </w:rPr>
              <w:t xml:space="preserve">VRAA uztur EIS e-konkursu apakšsistēmu, kurai ir ļoti liela nozīme iepirkumu procesu organizēšanā valstī, līdz ar to liela resursu daļa ir novirzīta e-konkursu attīstībai un uzturēšanai, </w:t>
            </w:r>
            <w:r w:rsidR="00070FD4">
              <w:rPr>
                <w:sz w:val="24"/>
                <w:szCs w:val="24"/>
              </w:rPr>
              <w:t>kā rezultātā</w:t>
            </w:r>
            <w:r w:rsidRPr="001B545A">
              <w:rPr>
                <w:sz w:val="24"/>
                <w:szCs w:val="24"/>
              </w:rPr>
              <w:t xml:space="preserve"> </w:t>
            </w:r>
            <w:r w:rsidRPr="001B545A">
              <w:rPr>
                <w:sz w:val="24"/>
                <w:szCs w:val="24"/>
              </w:rPr>
              <w:lastRenderedPageBreak/>
              <w:t xml:space="preserve">VRAA/VARAM nav pietiekošu resursu, lai ministriju pieprasījumi attiecībā uz e-pasūtījumu apakšsistēmā esošo e-katalogu paplašināšanu tiktu realizēti praksē. VRAA var sniegt atbalstu (kas palielina slodzi esošajiem resursiem) un piedāvāt EIS kā platformu citu </w:t>
            </w:r>
            <w:r w:rsidR="001B545A">
              <w:rPr>
                <w:sz w:val="24"/>
                <w:szCs w:val="24"/>
              </w:rPr>
              <w:t>–</w:t>
            </w:r>
            <w:r w:rsidRPr="001B545A">
              <w:rPr>
                <w:sz w:val="24"/>
                <w:szCs w:val="24"/>
              </w:rPr>
              <w:t xml:space="preserve"> attiecīgā nozarē kompetentu centralizētu iepirkumu procedūru organizētāju rīkoto iepirkumu rezultātā izveidoto centralizēto e-katalogu izvietošanai EIS preču un pakalpojumu iegādei visām EIS reģistrētajām pasūtītāju organizācijām.</w:t>
            </w:r>
          </w:p>
          <w:p w:rsidR="001B545A" w:rsidRPr="001B545A" w:rsidRDefault="00D554B9" w:rsidP="001B545A">
            <w:pPr>
              <w:pStyle w:val="CommentText"/>
              <w:numPr>
                <w:ilvl w:val="0"/>
                <w:numId w:val="4"/>
              </w:numPr>
              <w:jc w:val="both"/>
              <w:rPr>
                <w:sz w:val="24"/>
                <w:szCs w:val="24"/>
              </w:rPr>
            </w:pPr>
            <w:r w:rsidRPr="001B545A">
              <w:rPr>
                <w:sz w:val="24"/>
                <w:szCs w:val="24"/>
              </w:rPr>
              <w:t>Atbildības sadalījums jāveic pēc IUB veiktās analīzes, balstoties uz tās rezultātiem (pēc tam var tikt nozīmēti atbildīgie).</w:t>
            </w:r>
          </w:p>
          <w:p w:rsidR="001B545A" w:rsidRPr="001B545A" w:rsidRDefault="00D554B9" w:rsidP="001B545A">
            <w:pPr>
              <w:pStyle w:val="CommentText"/>
              <w:numPr>
                <w:ilvl w:val="0"/>
                <w:numId w:val="4"/>
              </w:numPr>
              <w:jc w:val="both"/>
              <w:rPr>
                <w:sz w:val="24"/>
                <w:szCs w:val="24"/>
              </w:rPr>
            </w:pPr>
            <w:r w:rsidRPr="001B545A">
              <w:rPr>
                <w:sz w:val="24"/>
                <w:szCs w:val="24"/>
              </w:rPr>
              <w:t>Centralizācija jānodrošina ne tikai e-katalogu izveidē, bet arī apvienotu pasūtījumu organizēšanā un veikšanā, piemēram, datortehnikas konsolidēta iegāde valsts mērogā.</w:t>
            </w:r>
          </w:p>
          <w:p w:rsidR="001B545A" w:rsidRPr="001B545A" w:rsidRDefault="00D554B9" w:rsidP="001B545A">
            <w:pPr>
              <w:pStyle w:val="CommentText"/>
              <w:numPr>
                <w:ilvl w:val="0"/>
                <w:numId w:val="4"/>
              </w:numPr>
              <w:jc w:val="both"/>
              <w:rPr>
                <w:sz w:val="24"/>
                <w:szCs w:val="24"/>
              </w:rPr>
            </w:pPr>
            <w:r w:rsidRPr="001B545A">
              <w:rPr>
                <w:sz w:val="24"/>
                <w:szCs w:val="24"/>
              </w:rPr>
              <w:t xml:space="preserve">Izveidots risinājums, kas nodrošinās iepirkuma datu konsolidāciju vienotā sistēmā – pircēja profila centralizācija vienuviet – EIS. Tādējādi decentralizēti pircēju profili tiek centralizēti vienuviet, kas veicina sakārtotību un administratīvā sloga samazinājumu komersantiem informācijas iegūšanai. </w:t>
            </w:r>
          </w:p>
          <w:p w:rsidR="001B545A" w:rsidRPr="001B545A" w:rsidRDefault="00D554B9" w:rsidP="001B545A">
            <w:pPr>
              <w:pStyle w:val="CommentText"/>
              <w:numPr>
                <w:ilvl w:val="0"/>
                <w:numId w:val="4"/>
              </w:numPr>
              <w:jc w:val="both"/>
              <w:rPr>
                <w:sz w:val="24"/>
                <w:szCs w:val="24"/>
              </w:rPr>
            </w:pPr>
            <w:r w:rsidRPr="001B545A">
              <w:rPr>
                <w:sz w:val="24"/>
                <w:szCs w:val="24"/>
              </w:rPr>
              <w:t xml:space="preserve">Izveidots centralizēts risinājums ārzonu jautājuma pārbaudei – paplašināta e-izziņu funkcionalitāte, nodrošinot ziņu iegūšanu vienuviet un administratīvā sloga samazinājumu komersantiem informācijas iegūšanai. </w:t>
            </w:r>
          </w:p>
          <w:p w:rsidR="00D554B9" w:rsidRPr="00D554B9" w:rsidRDefault="00D554B9" w:rsidP="001B545A">
            <w:pPr>
              <w:pStyle w:val="CommentText"/>
              <w:numPr>
                <w:ilvl w:val="0"/>
                <w:numId w:val="4"/>
              </w:numPr>
              <w:jc w:val="both"/>
              <w:rPr>
                <w:sz w:val="24"/>
                <w:szCs w:val="24"/>
              </w:rPr>
            </w:pPr>
            <w:r w:rsidRPr="001B545A">
              <w:rPr>
                <w:sz w:val="24"/>
                <w:szCs w:val="24"/>
              </w:rPr>
              <w:t>Dinamiskās iepirkumu sistēmas (DIS) izveide 2019.gada beigās, kuru paredz Ministru kabineta noteikumi Nr. 108 “Publisko elektronisko iepirkumu noteikumi” un kas nodrošinās efektīvāku centralizāciju pakalpojumu iegādei (piemēram, standarta programmatūras pakalpojumi, veselības apdrošināšanas polises, asmens serveru un datu glabātuvju pakalpojumi).</w:t>
            </w:r>
          </w:p>
        </w:tc>
      </w:tr>
    </w:tbl>
    <w:p w:rsidR="00D554B9" w:rsidRDefault="00D554B9" w:rsidP="00D554B9">
      <w:pPr>
        <w:jc w:val="both"/>
        <w:rPr>
          <w:b/>
        </w:rPr>
      </w:pPr>
    </w:p>
    <w:p w:rsidR="007A7CCD" w:rsidRDefault="007A7CCD" w:rsidP="00D554B9">
      <w:pPr>
        <w:spacing w:after="120"/>
        <w:jc w:val="both"/>
        <w:rPr>
          <w:b/>
        </w:rPr>
      </w:pPr>
    </w:p>
    <w:p w:rsidR="00D554B9" w:rsidRPr="00AA41BA" w:rsidRDefault="00D554B9" w:rsidP="00D554B9">
      <w:pPr>
        <w:spacing w:after="120"/>
        <w:jc w:val="both"/>
        <w:rPr>
          <w:b/>
        </w:rPr>
      </w:pPr>
      <w:r w:rsidRPr="00AA41BA">
        <w:rPr>
          <w:b/>
        </w:rPr>
        <w:lastRenderedPageBreak/>
        <w:t>Pārējie uzdevumi, kas īstenojami divu līdz trīs gadu periodā un ilgākā termiņā</w:t>
      </w:r>
    </w:p>
    <w:tbl>
      <w:tblPr>
        <w:tblStyle w:val="TableGrid"/>
        <w:tblpPr w:leftFromText="180" w:rightFromText="180" w:vertAnchor="text" w:tblpY="1"/>
        <w:tblOverlap w:val="never"/>
        <w:tblW w:w="13740" w:type="dxa"/>
        <w:tblLayout w:type="fixed"/>
        <w:tblLook w:val="04A0" w:firstRow="1" w:lastRow="0" w:firstColumn="1" w:lastColumn="0" w:noHBand="0" w:noVBand="1"/>
      </w:tblPr>
      <w:tblGrid>
        <w:gridCol w:w="704"/>
        <w:gridCol w:w="650"/>
        <w:gridCol w:w="3744"/>
        <w:gridCol w:w="1276"/>
        <w:gridCol w:w="7366"/>
      </w:tblGrid>
      <w:tr w:rsidR="00D554B9" w:rsidRPr="00AA41BA" w:rsidTr="002C129B">
        <w:trPr>
          <w:trHeight w:val="814"/>
          <w:tblHeader/>
        </w:trPr>
        <w:tc>
          <w:tcPr>
            <w:tcW w:w="704" w:type="dxa"/>
            <w:shd w:val="clear" w:color="auto" w:fill="D9D9D9" w:themeFill="background1" w:themeFillShade="D9"/>
            <w:vAlign w:val="center"/>
          </w:tcPr>
          <w:p w:rsidR="002C129B" w:rsidRDefault="00D554B9" w:rsidP="007A7CCD">
            <w:pPr>
              <w:tabs>
                <w:tab w:val="left" w:pos="567"/>
                <w:tab w:val="left" w:pos="993"/>
              </w:tabs>
              <w:jc w:val="center"/>
              <w:rPr>
                <w:sz w:val="24"/>
              </w:rPr>
            </w:pPr>
            <w:r w:rsidRPr="00AA41BA">
              <w:rPr>
                <w:sz w:val="24"/>
              </w:rPr>
              <w:t>Nr.</w:t>
            </w:r>
          </w:p>
          <w:p w:rsidR="00D554B9" w:rsidRPr="00AA41BA" w:rsidRDefault="00D554B9" w:rsidP="007A7CCD">
            <w:pPr>
              <w:tabs>
                <w:tab w:val="left" w:pos="567"/>
                <w:tab w:val="left" w:pos="993"/>
              </w:tabs>
              <w:jc w:val="center"/>
              <w:rPr>
                <w:sz w:val="24"/>
              </w:rPr>
            </w:pPr>
            <w:r w:rsidRPr="00AA41BA">
              <w:rPr>
                <w:sz w:val="24"/>
              </w:rPr>
              <w:t>p. k.</w:t>
            </w:r>
          </w:p>
        </w:tc>
        <w:tc>
          <w:tcPr>
            <w:tcW w:w="650" w:type="dxa"/>
            <w:shd w:val="clear" w:color="auto" w:fill="D9D9D9" w:themeFill="background1" w:themeFillShade="D9"/>
            <w:vAlign w:val="center"/>
          </w:tcPr>
          <w:p w:rsidR="00D554B9" w:rsidRPr="00AA41BA" w:rsidRDefault="00D554B9" w:rsidP="007A7CCD">
            <w:pPr>
              <w:tabs>
                <w:tab w:val="left" w:pos="714"/>
              </w:tabs>
              <w:jc w:val="center"/>
              <w:rPr>
                <w:sz w:val="24"/>
              </w:rPr>
            </w:pPr>
            <w:r w:rsidRPr="00AA41BA">
              <w:rPr>
                <w:sz w:val="24"/>
              </w:rPr>
              <w:t>Joma</w:t>
            </w:r>
          </w:p>
        </w:tc>
        <w:tc>
          <w:tcPr>
            <w:tcW w:w="3744" w:type="dxa"/>
            <w:shd w:val="clear" w:color="auto" w:fill="D9D9D9" w:themeFill="background1" w:themeFillShade="D9"/>
            <w:vAlign w:val="center"/>
          </w:tcPr>
          <w:p w:rsidR="00D554B9" w:rsidRPr="00AA41BA" w:rsidRDefault="00D554B9" w:rsidP="007A7CCD">
            <w:pPr>
              <w:tabs>
                <w:tab w:val="left" w:pos="714"/>
              </w:tabs>
              <w:jc w:val="center"/>
              <w:rPr>
                <w:sz w:val="24"/>
              </w:rPr>
            </w:pPr>
            <w:r w:rsidRPr="00AA41BA">
              <w:rPr>
                <w:sz w:val="24"/>
              </w:rPr>
              <w:t>Uzdevums</w:t>
            </w:r>
          </w:p>
        </w:tc>
        <w:tc>
          <w:tcPr>
            <w:tcW w:w="1276" w:type="dxa"/>
            <w:shd w:val="clear" w:color="auto" w:fill="D9D9D9" w:themeFill="background1" w:themeFillShade="D9"/>
            <w:vAlign w:val="center"/>
          </w:tcPr>
          <w:p w:rsidR="00D554B9" w:rsidRPr="00AA41BA" w:rsidRDefault="00D554B9" w:rsidP="007A7CCD">
            <w:pPr>
              <w:tabs>
                <w:tab w:val="left" w:pos="567"/>
                <w:tab w:val="left" w:pos="993"/>
              </w:tabs>
              <w:jc w:val="center"/>
              <w:rPr>
                <w:sz w:val="24"/>
              </w:rPr>
            </w:pPr>
            <w:r w:rsidRPr="00AA41BA">
              <w:rPr>
                <w:sz w:val="24"/>
              </w:rPr>
              <w:t>Atbildīgā/ līdzatbildīgā institūcija</w:t>
            </w:r>
          </w:p>
        </w:tc>
        <w:tc>
          <w:tcPr>
            <w:tcW w:w="7366" w:type="dxa"/>
            <w:shd w:val="clear" w:color="auto" w:fill="D9D9D9" w:themeFill="background1" w:themeFillShade="D9"/>
            <w:vAlign w:val="center"/>
          </w:tcPr>
          <w:p w:rsidR="00D554B9" w:rsidRPr="00AA41BA" w:rsidRDefault="00D554B9" w:rsidP="007A7CCD">
            <w:pPr>
              <w:tabs>
                <w:tab w:val="left" w:pos="567"/>
                <w:tab w:val="left" w:pos="993"/>
              </w:tabs>
              <w:jc w:val="center"/>
              <w:rPr>
                <w:sz w:val="24"/>
              </w:rPr>
            </w:pPr>
            <w:r w:rsidRPr="00AA41BA">
              <w:rPr>
                <w:sz w:val="24"/>
              </w:rPr>
              <w:t>Informācija par izpildi</w:t>
            </w:r>
          </w:p>
        </w:tc>
      </w:tr>
      <w:tr w:rsidR="008C0C12" w:rsidRPr="00AA41BA" w:rsidTr="007A7CCD">
        <w:trPr>
          <w:trHeight w:val="287"/>
        </w:trPr>
        <w:tc>
          <w:tcPr>
            <w:tcW w:w="13740" w:type="dxa"/>
            <w:gridSpan w:val="5"/>
            <w:shd w:val="clear" w:color="auto" w:fill="DEEAF6" w:themeFill="accent1" w:themeFillTint="33"/>
          </w:tcPr>
          <w:p w:rsidR="008C0C12" w:rsidRPr="00AA41BA" w:rsidRDefault="008C0C12" w:rsidP="007A7CCD">
            <w:pPr>
              <w:tabs>
                <w:tab w:val="left" w:pos="567"/>
                <w:tab w:val="left" w:pos="993"/>
              </w:tabs>
              <w:jc w:val="both"/>
              <w:rPr>
                <w:b/>
                <w:sz w:val="24"/>
              </w:rPr>
            </w:pPr>
            <w:r w:rsidRPr="00AA41BA">
              <w:rPr>
                <w:b/>
                <w:sz w:val="24"/>
              </w:rPr>
              <w:t>Līdz 201</w:t>
            </w:r>
            <w:r>
              <w:rPr>
                <w:b/>
                <w:sz w:val="24"/>
              </w:rPr>
              <w:t>8</w:t>
            </w:r>
            <w:r w:rsidRPr="00AA41BA">
              <w:rPr>
                <w:b/>
                <w:sz w:val="24"/>
              </w:rPr>
              <w:t>.gada 30.decembrim veicamie uzdevumi</w:t>
            </w:r>
          </w:p>
        </w:tc>
      </w:tr>
      <w:tr w:rsidR="0080473C" w:rsidRPr="00AB2E47" w:rsidTr="002C129B">
        <w:trPr>
          <w:trHeight w:val="2417"/>
          <w:tblHeader/>
        </w:trPr>
        <w:tc>
          <w:tcPr>
            <w:tcW w:w="704" w:type="dxa"/>
            <w:shd w:val="clear" w:color="auto" w:fill="auto"/>
          </w:tcPr>
          <w:p w:rsidR="0080473C" w:rsidRPr="00AB2E47" w:rsidRDefault="0080473C" w:rsidP="007A7CCD">
            <w:pPr>
              <w:tabs>
                <w:tab w:val="left" w:pos="567"/>
                <w:tab w:val="left" w:pos="993"/>
              </w:tabs>
              <w:jc w:val="center"/>
              <w:rPr>
                <w:sz w:val="24"/>
              </w:rPr>
            </w:pPr>
            <w:r w:rsidRPr="00AB2E47">
              <w:rPr>
                <w:sz w:val="24"/>
              </w:rPr>
              <w:t>1.</w:t>
            </w:r>
          </w:p>
        </w:tc>
        <w:tc>
          <w:tcPr>
            <w:tcW w:w="650" w:type="dxa"/>
            <w:shd w:val="clear" w:color="auto" w:fill="auto"/>
          </w:tcPr>
          <w:p w:rsidR="0080473C" w:rsidRPr="0080473C" w:rsidRDefault="0080473C" w:rsidP="007A7CCD">
            <w:pPr>
              <w:tabs>
                <w:tab w:val="left" w:pos="567"/>
                <w:tab w:val="left" w:pos="993"/>
              </w:tabs>
              <w:jc w:val="center"/>
              <w:rPr>
                <w:sz w:val="24"/>
              </w:rPr>
            </w:pPr>
            <w:r w:rsidRPr="0080473C">
              <w:rPr>
                <w:sz w:val="24"/>
              </w:rPr>
              <w:t>B</w:t>
            </w:r>
          </w:p>
        </w:tc>
        <w:tc>
          <w:tcPr>
            <w:tcW w:w="3744" w:type="dxa"/>
            <w:shd w:val="clear" w:color="auto" w:fill="auto"/>
          </w:tcPr>
          <w:p w:rsidR="0080473C" w:rsidRPr="0080473C" w:rsidRDefault="0080473C" w:rsidP="007A7CCD">
            <w:pPr>
              <w:tabs>
                <w:tab w:val="left" w:pos="567"/>
                <w:tab w:val="left" w:pos="993"/>
              </w:tabs>
              <w:jc w:val="both"/>
              <w:rPr>
                <w:sz w:val="24"/>
              </w:rPr>
            </w:pPr>
            <w:r w:rsidRPr="0080473C">
              <w:rPr>
                <w:sz w:val="24"/>
              </w:rPr>
              <w:t>Izvērtēt komandējumu procesu un to atbalsta risinājumu centralizācijas potenciālu:</w:t>
            </w:r>
          </w:p>
          <w:p w:rsidR="0080473C" w:rsidRPr="0080473C" w:rsidRDefault="0080473C" w:rsidP="007A7CCD">
            <w:pPr>
              <w:pStyle w:val="ListParagraph"/>
              <w:numPr>
                <w:ilvl w:val="0"/>
                <w:numId w:val="4"/>
              </w:numPr>
              <w:tabs>
                <w:tab w:val="left" w:pos="567"/>
                <w:tab w:val="left" w:pos="993"/>
              </w:tabs>
              <w:contextualSpacing w:val="0"/>
              <w:jc w:val="both"/>
              <w:rPr>
                <w:sz w:val="24"/>
              </w:rPr>
            </w:pPr>
            <w:r w:rsidRPr="0080473C">
              <w:rPr>
                <w:sz w:val="24"/>
              </w:rPr>
              <w:t>Datu apkopošana attiecībā uz faktisko situāciju (informācijas pieprasījuma formas definēšana)</w:t>
            </w:r>
            <w:r w:rsidR="001A250C">
              <w:rPr>
                <w:sz w:val="24"/>
              </w:rPr>
              <w:t>;</w:t>
            </w:r>
            <w:r w:rsidRPr="0080473C">
              <w:rPr>
                <w:sz w:val="24"/>
              </w:rPr>
              <w:t xml:space="preserve"> </w:t>
            </w:r>
          </w:p>
          <w:p w:rsidR="0080473C" w:rsidRPr="0080473C" w:rsidRDefault="0080473C" w:rsidP="007A7CCD">
            <w:pPr>
              <w:pStyle w:val="ListParagraph"/>
              <w:numPr>
                <w:ilvl w:val="0"/>
                <w:numId w:val="4"/>
              </w:numPr>
              <w:tabs>
                <w:tab w:val="left" w:pos="567"/>
                <w:tab w:val="left" w:pos="993"/>
              </w:tabs>
              <w:contextualSpacing w:val="0"/>
              <w:jc w:val="both"/>
              <w:rPr>
                <w:sz w:val="24"/>
              </w:rPr>
            </w:pPr>
            <w:r w:rsidRPr="0080473C">
              <w:rPr>
                <w:sz w:val="24"/>
              </w:rPr>
              <w:t>Apkopoto datu analīze</w:t>
            </w:r>
            <w:r w:rsidR="001A250C">
              <w:rPr>
                <w:sz w:val="24"/>
              </w:rPr>
              <w:t>;</w:t>
            </w:r>
          </w:p>
          <w:p w:rsidR="0080473C" w:rsidRPr="0080473C" w:rsidRDefault="0080473C" w:rsidP="007A7CCD">
            <w:pPr>
              <w:pStyle w:val="ListParagraph"/>
              <w:numPr>
                <w:ilvl w:val="0"/>
                <w:numId w:val="4"/>
              </w:numPr>
              <w:tabs>
                <w:tab w:val="left" w:pos="567"/>
                <w:tab w:val="left" w:pos="993"/>
              </w:tabs>
              <w:contextualSpacing w:val="0"/>
              <w:jc w:val="both"/>
              <w:rPr>
                <w:sz w:val="24"/>
              </w:rPr>
            </w:pPr>
            <w:r w:rsidRPr="0080473C">
              <w:rPr>
                <w:sz w:val="24"/>
              </w:rPr>
              <w:t>Priekšlikumu izstrāde (t.sk. to monetā</w:t>
            </w:r>
            <w:r>
              <w:rPr>
                <w:sz w:val="24"/>
              </w:rPr>
              <w:t>rais novērtējums)</w:t>
            </w:r>
            <w:r w:rsidR="001A250C">
              <w:rPr>
                <w:sz w:val="24"/>
              </w:rPr>
              <w:t>.</w:t>
            </w:r>
          </w:p>
        </w:tc>
        <w:tc>
          <w:tcPr>
            <w:tcW w:w="1276" w:type="dxa"/>
            <w:shd w:val="clear" w:color="auto" w:fill="auto"/>
          </w:tcPr>
          <w:p w:rsidR="0080473C" w:rsidRPr="0080473C" w:rsidRDefault="0080473C" w:rsidP="007A7CCD">
            <w:pPr>
              <w:tabs>
                <w:tab w:val="left" w:pos="567"/>
                <w:tab w:val="left" w:pos="993"/>
              </w:tabs>
              <w:jc w:val="both"/>
              <w:rPr>
                <w:sz w:val="24"/>
              </w:rPr>
            </w:pPr>
            <w:r w:rsidRPr="0080473C">
              <w:rPr>
                <w:sz w:val="24"/>
              </w:rPr>
              <w:t>Valsts kanceleja/ VARAM, FM</w:t>
            </w:r>
          </w:p>
        </w:tc>
        <w:tc>
          <w:tcPr>
            <w:tcW w:w="7366" w:type="dxa"/>
            <w:shd w:val="clear" w:color="auto" w:fill="auto"/>
          </w:tcPr>
          <w:p w:rsidR="0080473C" w:rsidRPr="00AB2E47" w:rsidRDefault="005152DF" w:rsidP="007A7CCD">
            <w:pPr>
              <w:tabs>
                <w:tab w:val="left" w:pos="567"/>
                <w:tab w:val="left" w:pos="993"/>
              </w:tabs>
              <w:jc w:val="both"/>
              <w:rPr>
                <w:sz w:val="24"/>
              </w:rPr>
            </w:pPr>
            <w:r w:rsidRPr="006572C9">
              <w:rPr>
                <w:i/>
                <w:sz w:val="24"/>
              </w:rPr>
              <w:t>Nav info</w:t>
            </w:r>
          </w:p>
        </w:tc>
      </w:tr>
      <w:tr w:rsidR="00D554B9" w:rsidRPr="00AA41BA" w:rsidTr="007A7CCD">
        <w:trPr>
          <w:trHeight w:val="287"/>
        </w:trPr>
        <w:tc>
          <w:tcPr>
            <w:tcW w:w="13740" w:type="dxa"/>
            <w:gridSpan w:val="5"/>
            <w:shd w:val="clear" w:color="auto" w:fill="DEEAF6" w:themeFill="accent1" w:themeFillTint="33"/>
          </w:tcPr>
          <w:p w:rsidR="00D554B9" w:rsidRPr="00AA41BA" w:rsidRDefault="00D554B9" w:rsidP="007A7CCD">
            <w:pPr>
              <w:tabs>
                <w:tab w:val="left" w:pos="567"/>
                <w:tab w:val="left" w:pos="993"/>
              </w:tabs>
              <w:jc w:val="both"/>
              <w:rPr>
                <w:b/>
                <w:sz w:val="24"/>
              </w:rPr>
            </w:pPr>
            <w:r w:rsidRPr="00AA41BA">
              <w:rPr>
                <w:b/>
                <w:sz w:val="24"/>
              </w:rPr>
              <w:t>Līdz 2019.gada 30.decembrim veicamie uzdevumi</w:t>
            </w:r>
          </w:p>
        </w:tc>
      </w:tr>
      <w:tr w:rsidR="00D554B9" w:rsidRPr="00AA41BA" w:rsidTr="002C129B">
        <w:trPr>
          <w:trHeight w:val="1973"/>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t>1.</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B</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Ieviest Oficiālo elektronisko adresi elektronisko dokumentu aprites nodrošināšanai</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VRAA</w:t>
            </w:r>
          </w:p>
        </w:tc>
        <w:tc>
          <w:tcPr>
            <w:tcW w:w="7366" w:type="dxa"/>
            <w:shd w:val="clear" w:color="auto" w:fill="auto"/>
          </w:tcPr>
          <w:p w:rsidR="00D554B9" w:rsidRPr="00AA41BA" w:rsidRDefault="00D554B9" w:rsidP="007A7CCD">
            <w:pPr>
              <w:tabs>
                <w:tab w:val="left" w:pos="567"/>
              </w:tabs>
              <w:jc w:val="both"/>
              <w:rPr>
                <w:b/>
                <w:sz w:val="24"/>
              </w:rPr>
            </w:pPr>
            <w:r w:rsidRPr="00AA41BA">
              <w:rPr>
                <w:b/>
                <w:sz w:val="24"/>
              </w:rPr>
              <w:t>Daļēji izpildīts</w:t>
            </w:r>
          </w:p>
          <w:p w:rsidR="00D554B9" w:rsidRPr="00AA41BA" w:rsidRDefault="00070FD4" w:rsidP="007A7CCD">
            <w:pPr>
              <w:tabs>
                <w:tab w:val="left" w:pos="567"/>
              </w:tabs>
              <w:jc w:val="both"/>
              <w:rPr>
                <w:sz w:val="24"/>
              </w:rPr>
            </w:pPr>
            <w:r>
              <w:rPr>
                <w:sz w:val="24"/>
              </w:rPr>
              <w:t>2016.gada 16.jūnijā p</w:t>
            </w:r>
            <w:r w:rsidR="00D554B9" w:rsidRPr="00AA41BA">
              <w:rPr>
                <w:sz w:val="24"/>
              </w:rPr>
              <w:t xml:space="preserve">ieņemts Oficiālās elektroniskās adreses likums un apstiprināti Ministru kabineta </w:t>
            </w:r>
            <w:r>
              <w:rPr>
                <w:sz w:val="24"/>
              </w:rPr>
              <w:t xml:space="preserve">2017.gada 12.septembra </w:t>
            </w:r>
            <w:r w:rsidR="00D554B9" w:rsidRPr="00AA41BA">
              <w:rPr>
                <w:sz w:val="24"/>
              </w:rPr>
              <w:t xml:space="preserve">noteikumi Nr.546 “Oficiālo elektronisko adrešu informācijas sistēmas noteikumi”. Izstrādāts e-adreses risinājums un no </w:t>
            </w:r>
            <w:r>
              <w:rPr>
                <w:sz w:val="24"/>
              </w:rPr>
              <w:t>2018.gada 1.jūnija</w:t>
            </w:r>
            <w:r w:rsidR="00D554B9" w:rsidRPr="00AA41BA">
              <w:rPr>
                <w:sz w:val="24"/>
              </w:rPr>
              <w:t xml:space="preserve"> to sāk izmantot valsts iestādes (noteikts pārejas izmantošanas termiņš pa iestāžu veidiem). Līdz </w:t>
            </w:r>
            <w:r>
              <w:rPr>
                <w:sz w:val="24"/>
              </w:rPr>
              <w:t>2018.gada 23.augustam</w:t>
            </w:r>
            <w:r w:rsidR="00D554B9" w:rsidRPr="00AA41BA">
              <w:rPr>
                <w:sz w:val="24"/>
              </w:rPr>
              <w:t xml:space="preserve"> e-adreses kontu aktivizējušas 523 iestādes, un kopējais nosūtīto dokumentu skaits e-adresē ir ap 30 000 ziņojumu. </w:t>
            </w:r>
          </w:p>
        </w:tc>
      </w:tr>
      <w:tr w:rsidR="00D554B9" w:rsidRPr="00AA41BA" w:rsidTr="002C129B">
        <w:trPr>
          <w:trHeight w:val="1160"/>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t>2.</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B</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Nodrošināt elektronisko dokumentu aprites automatizāciju publiskajā pārvaldē</w:t>
            </w:r>
            <w:r w:rsidR="001A250C">
              <w:rPr>
                <w:sz w:val="24"/>
              </w:rPr>
              <w:t>.</w:t>
            </w:r>
          </w:p>
          <w:p w:rsidR="00D554B9" w:rsidRPr="00AA41BA" w:rsidRDefault="00D554B9" w:rsidP="007A7CCD">
            <w:pPr>
              <w:tabs>
                <w:tab w:val="left" w:pos="567"/>
                <w:tab w:val="left" w:pos="993"/>
              </w:tabs>
              <w:jc w:val="both"/>
              <w:rPr>
                <w:sz w:val="24"/>
              </w:rPr>
            </w:pP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Nozaru ministrijas/ VARAM (VRAA)</w:t>
            </w:r>
          </w:p>
        </w:tc>
        <w:tc>
          <w:tcPr>
            <w:tcW w:w="7366" w:type="dxa"/>
            <w:shd w:val="clear" w:color="auto" w:fill="auto"/>
          </w:tcPr>
          <w:p w:rsidR="00D554B9" w:rsidRPr="00AA41BA" w:rsidRDefault="00D554B9" w:rsidP="007A7CCD">
            <w:pPr>
              <w:tabs>
                <w:tab w:val="left" w:pos="567"/>
              </w:tabs>
              <w:jc w:val="both"/>
              <w:rPr>
                <w:b/>
                <w:sz w:val="24"/>
              </w:rPr>
            </w:pPr>
            <w:r w:rsidRPr="00AA41BA">
              <w:rPr>
                <w:b/>
                <w:sz w:val="24"/>
              </w:rPr>
              <w:t>Daļēji izpildīts</w:t>
            </w:r>
          </w:p>
          <w:p w:rsidR="00D554B9" w:rsidRPr="00AA41BA" w:rsidRDefault="00D554B9" w:rsidP="007A7CCD">
            <w:pPr>
              <w:tabs>
                <w:tab w:val="left" w:pos="567"/>
              </w:tabs>
              <w:jc w:val="both"/>
              <w:rPr>
                <w:sz w:val="24"/>
              </w:rPr>
            </w:pPr>
            <w:r w:rsidRPr="00AA41BA">
              <w:rPr>
                <w:sz w:val="24"/>
              </w:rPr>
              <w:t xml:space="preserve">Nozaru ministriju IKT centralizācijas (ieskaitot gan no valsts budžeta (VARAM, </w:t>
            </w:r>
            <w:proofErr w:type="spellStart"/>
            <w:r w:rsidRPr="00AA41BA">
              <w:rPr>
                <w:sz w:val="24"/>
              </w:rPr>
              <w:t>IzM</w:t>
            </w:r>
            <w:proofErr w:type="spellEnd"/>
            <w:r w:rsidRPr="00AA41BA">
              <w:rPr>
                <w:sz w:val="24"/>
              </w:rPr>
              <w:t xml:space="preserve"> </w:t>
            </w:r>
            <w:proofErr w:type="spellStart"/>
            <w:r w:rsidRPr="00AA41BA">
              <w:rPr>
                <w:sz w:val="24"/>
              </w:rPr>
              <w:t>uu.c</w:t>
            </w:r>
            <w:proofErr w:type="spellEnd"/>
            <w:r w:rsidRPr="00AA41BA">
              <w:rPr>
                <w:sz w:val="24"/>
              </w:rPr>
              <w:t>.), gan no SAM 2.2.1. (piemēram, LM,VM,EM) finansētus projektus) ietvaros tiek ieviesti vienoti dokumentu pārvaldības risinājumi, to savstarpēji integrējot ar dokumentu integrācijas vides (DIV) un tās funkcionalitāti pārņemošās oficiālās e-adreses risinājuma palīdzību. VARAM organizē labākās prakses apmaiņu šajā jomā IKT vadītāju foruma IKT infrastruktūras darba grupas ietvaros.</w:t>
            </w:r>
          </w:p>
        </w:tc>
      </w:tr>
      <w:tr w:rsidR="008F5AAA" w:rsidRPr="00AA41BA" w:rsidTr="002C129B">
        <w:trPr>
          <w:trHeight w:val="439"/>
        </w:trPr>
        <w:tc>
          <w:tcPr>
            <w:tcW w:w="704" w:type="dxa"/>
            <w:shd w:val="clear" w:color="auto" w:fill="auto"/>
          </w:tcPr>
          <w:p w:rsidR="008F5AAA" w:rsidRPr="008F5AAA" w:rsidRDefault="008F5AAA" w:rsidP="002C129B">
            <w:pPr>
              <w:tabs>
                <w:tab w:val="left" w:pos="567"/>
                <w:tab w:val="left" w:pos="993"/>
              </w:tabs>
              <w:jc w:val="center"/>
              <w:rPr>
                <w:sz w:val="24"/>
              </w:rPr>
            </w:pPr>
            <w:r w:rsidRPr="008F5AAA">
              <w:rPr>
                <w:sz w:val="24"/>
              </w:rPr>
              <w:lastRenderedPageBreak/>
              <w:t>3.</w:t>
            </w:r>
          </w:p>
        </w:tc>
        <w:tc>
          <w:tcPr>
            <w:tcW w:w="650" w:type="dxa"/>
            <w:shd w:val="clear" w:color="auto" w:fill="auto"/>
          </w:tcPr>
          <w:p w:rsidR="008F5AAA" w:rsidRPr="008F5AAA" w:rsidRDefault="008F5AAA" w:rsidP="007A7CCD">
            <w:pPr>
              <w:tabs>
                <w:tab w:val="left" w:pos="567"/>
                <w:tab w:val="left" w:pos="993"/>
              </w:tabs>
              <w:jc w:val="center"/>
              <w:rPr>
                <w:sz w:val="24"/>
              </w:rPr>
            </w:pPr>
            <w:r w:rsidRPr="008F5AAA">
              <w:rPr>
                <w:sz w:val="24"/>
              </w:rPr>
              <w:t>B</w:t>
            </w:r>
          </w:p>
        </w:tc>
        <w:tc>
          <w:tcPr>
            <w:tcW w:w="3744" w:type="dxa"/>
            <w:shd w:val="clear" w:color="auto" w:fill="auto"/>
          </w:tcPr>
          <w:p w:rsidR="008F5AAA" w:rsidRPr="008F5AAA" w:rsidRDefault="008F5AAA" w:rsidP="007A7CCD">
            <w:pPr>
              <w:tabs>
                <w:tab w:val="left" w:pos="567"/>
                <w:tab w:val="left" w:pos="993"/>
              </w:tabs>
              <w:jc w:val="both"/>
              <w:rPr>
                <w:sz w:val="24"/>
              </w:rPr>
            </w:pPr>
            <w:r w:rsidRPr="008F5AAA">
              <w:rPr>
                <w:sz w:val="24"/>
              </w:rPr>
              <w:t xml:space="preserve">Izvērtēt </w:t>
            </w:r>
            <w:r w:rsidRPr="008F5AAA">
              <w:rPr>
                <w:sz w:val="24"/>
                <w:lang w:eastAsia="en-US"/>
              </w:rPr>
              <w:t xml:space="preserve">iestāžu papīra dokumentu arhīvu </w:t>
            </w:r>
            <w:proofErr w:type="spellStart"/>
            <w:r w:rsidRPr="008F5AAA">
              <w:rPr>
                <w:sz w:val="24"/>
                <w:lang w:eastAsia="en-US"/>
              </w:rPr>
              <w:t>digitalizācijas</w:t>
            </w:r>
            <w:proofErr w:type="spellEnd"/>
            <w:r w:rsidRPr="008F5AAA">
              <w:rPr>
                <w:sz w:val="24"/>
                <w:lang w:eastAsia="en-US"/>
              </w:rPr>
              <w:t>, centralizēta digitālā arhīva izveides un papīra ilgstoši glabājamo dokumentu uzglabāšanas centralizācijas</w:t>
            </w:r>
            <w:r w:rsidRPr="008F5AAA">
              <w:rPr>
                <w:sz w:val="24"/>
              </w:rPr>
              <w:t xml:space="preserve"> potenciālu un piedāvāt iespējamos centralizācijas risinājumus valsts līmenī, t.sk. novērtējot ietekmi uz budžetu</w:t>
            </w:r>
            <w:r w:rsidR="001A250C">
              <w:rPr>
                <w:sz w:val="24"/>
              </w:rPr>
              <w:t>.</w:t>
            </w:r>
          </w:p>
        </w:tc>
        <w:tc>
          <w:tcPr>
            <w:tcW w:w="1276" w:type="dxa"/>
            <w:shd w:val="clear" w:color="auto" w:fill="auto"/>
          </w:tcPr>
          <w:p w:rsidR="008F5AAA" w:rsidRPr="008F5AAA" w:rsidRDefault="008F5AAA" w:rsidP="007A7CCD">
            <w:pPr>
              <w:tabs>
                <w:tab w:val="left" w:pos="567"/>
                <w:tab w:val="left" w:pos="993"/>
              </w:tabs>
              <w:jc w:val="both"/>
              <w:rPr>
                <w:sz w:val="24"/>
              </w:rPr>
            </w:pPr>
            <w:r w:rsidRPr="008F5AAA">
              <w:rPr>
                <w:sz w:val="24"/>
              </w:rPr>
              <w:t>KM</w:t>
            </w:r>
          </w:p>
        </w:tc>
        <w:tc>
          <w:tcPr>
            <w:tcW w:w="7366" w:type="dxa"/>
            <w:shd w:val="clear" w:color="auto" w:fill="auto"/>
          </w:tcPr>
          <w:p w:rsidR="008F5AAA" w:rsidRPr="0095531A" w:rsidRDefault="005152DF" w:rsidP="007A7CCD">
            <w:pPr>
              <w:jc w:val="both"/>
              <w:rPr>
                <w:b/>
                <w:i/>
              </w:rPr>
            </w:pPr>
            <w:r w:rsidRPr="006572C9">
              <w:rPr>
                <w:i/>
                <w:sz w:val="24"/>
              </w:rPr>
              <w:t>Nav info</w:t>
            </w:r>
          </w:p>
        </w:tc>
      </w:tr>
      <w:tr w:rsidR="00D554B9" w:rsidRPr="00AA41BA" w:rsidTr="002C129B">
        <w:trPr>
          <w:trHeight w:val="1130"/>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t>4.</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C</w:t>
            </w:r>
          </w:p>
        </w:tc>
        <w:tc>
          <w:tcPr>
            <w:tcW w:w="3744" w:type="dxa"/>
            <w:shd w:val="clear" w:color="auto" w:fill="auto"/>
          </w:tcPr>
          <w:p w:rsidR="00D554B9" w:rsidRPr="00AA41BA" w:rsidRDefault="00D554B9" w:rsidP="007A7CCD">
            <w:pPr>
              <w:tabs>
                <w:tab w:val="left" w:pos="567"/>
                <w:tab w:val="left" w:pos="993"/>
              </w:tabs>
              <w:jc w:val="both"/>
              <w:rPr>
                <w:b/>
                <w:sz w:val="24"/>
              </w:rPr>
            </w:pPr>
            <w:r w:rsidRPr="00AA41BA">
              <w:rPr>
                <w:sz w:val="24"/>
              </w:rPr>
              <w:t>Izvērtēt valsts pārvaldes institūciju klientu klātienes apkalpošanas struktūru optimizācijas iespējas, ņemot vērā pieejamo VPVKAC tīklu</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shd w:val="clear" w:color="auto" w:fill="auto"/>
          </w:tcPr>
          <w:p w:rsidR="00D554B9" w:rsidRPr="00AA41BA" w:rsidRDefault="00D554B9" w:rsidP="007A7CCD">
            <w:pPr>
              <w:jc w:val="both"/>
              <w:rPr>
                <w:b/>
                <w:sz w:val="24"/>
              </w:rPr>
            </w:pPr>
            <w:r w:rsidRPr="00AA41BA">
              <w:rPr>
                <w:b/>
                <w:sz w:val="24"/>
              </w:rPr>
              <w:t>Uzsākts</w:t>
            </w:r>
          </w:p>
          <w:p w:rsidR="00D554B9" w:rsidRPr="00AA41BA" w:rsidRDefault="00D554B9" w:rsidP="007A7CCD">
            <w:pPr>
              <w:tabs>
                <w:tab w:val="left" w:pos="567"/>
              </w:tabs>
              <w:jc w:val="both"/>
              <w:rPr>
                <w:sz w:val="24"/>
              </w:rPr>
            </w:pPr>
            <w:r w:rsidRPr="00AA41BA">
              <w:rPr>
                <w:sz w:val="24"/>
              </w:rPr>
              <w:t xml:space="preserve">Atbilstoši VARAM apstiprinātajam iepirkumu plānam </w:t>
            </w:r>
            <w:r w:rsidR="002A0C9C" w:rsidRPr="00AA41BA">
              <w:rPr>
                <w:sz w:val="24"/>
              </w:rPr>
              <w:t xml:space="preserve">2018. gada septembrī </w:t>
            </w:r>
            <w:r w:rsidR="002A0C9C">
              <w:rPr>
                <w:sz w:val="24"/>
              </w:rPr>
              <w:t xml:space="preserve">plānots </w:t>
            </w:r>
            <w:r w:rsidRPr="00AA41BA">
              <w:rPr>
                <w:sz w:val="24"/>
              </w:rPr>
              <w:t xml:space="preserve">izsludināt </w:t>
            </w:r>
            <w:r w:rsidR="002A0C9C" w:rsidRPr="00AA41BA">
              <w:rPr>
                <w:sz w:val="24"/>
              </w:rPr>
              <w:t xml:space="preserve">iepirkumu </w:t>
            </w:r>
            <w:r w:rsidR="002A0C9C">
              <w:rPr>
                <w:sz w:val="24"/>
              </w:rPr>
              <w:t xml:space="preserve">par </w:t>
            </w:r>
            <w:proofErr w:type="spellStart"/>
            <w:r w:rsidRPr="00AA41BA">
              <w:rPr>
                <w:sz w:val="24"/>
              </w:rPr>
              <w:t>izvērtējuma</w:t>
            </w:r>
            <w:proofErr w:type="spellEnd"/>
            <w:r w:rsidRPr="00AA41BA">
              <w:rPr>
                <w:sz w:val="24"/>
              </w:rPr>
              <w:t xml:space="preserve"> veikšan</w:t>
            </w:r>
            <w:r w:rsidR="002A0C9C">
              <w:rPr>
                <w:sz w:val="24"/>
              </w:rPr>
              <w:t>u</w:t>
            </w:r>
            <w:r w:rsidRPr="00AA41BA">
              <w:rPr>
                <w:sz w:val="24"/>
              </w:rPr>
              <w:t xml:space="preserve"> par valsts pārvaldes institūciju klientu klātienes apkalpošanas struktūras optimizācijas iespējām, ņemot vērā pieejamo VPVKAC tīklu.</w:t>
            </w:r>
          </w:p>
        </w:tc>
      </w:tr>
      <w:tr w:rsidR="00D554B9" w:rsidRPr="00AA41BA" w:rsidTr="002C129B">
        <w:trPr>
          <w:trHeight w:val="712"/>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t>5.</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C</w:t>
            </w:r>
          </w:p>
        </w:tc>
        <w:tc>
          <w:tcPr>
            <w:tcW w:w="3744" w:type="dxa"/>
            <w:shd w:val="clear" w:color="auto" w:fill="auto"/>
          </w:tcPr>
          <w:p w:rsidR="00D554B9" w:rsidRPr="00AA41BA" w:rsidRDefault="00D554B9" w:rsidP="007A7CCD">
            <w:pPr>
              <w:tabs>
                <w:tab w:val="left" w:pos="567"/>
                <w:tab w:val="left" w:pos="993"/>
              </w:tabs>
              <w:jc w:val="both"/>
              <w:rPr>
                <w:b/>
                <w:sz w:val="24"/>
              </w:rPr>
            </w:pPr>
            <w:r w:rsidRPr="00AA41BA">
              <w:rPr>
                <w:sz w:val="24"/>
              </w:rPr>
              <w:t>Izstrādāt pasākumu plānu klientu apkalpošanas plūsmas novirzīšanai uz izmaksu ziņā efektīvākiem kanāliem – elektronisko (pašapkalpošanās) vai VPVKAC</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 xml:space="preserve">VARAM/ visas ministrijas </w:t>
            </w:r>
          </w:p>
        </w:tc>
        <w:tc>
          <w:tcPr>
            <w:tcW w:w="7366" w:type="dxa"/>
            <w:shd w:val="clear" w:color="auto" w:fill="auto"/>
          </w:tcPr>
          <w:p w:rsidR="00D554B9" w:rsidRPr="00AA41BA" w:rsidRDefault="00D554B9" w:rsidP="007A7CCD">
            <w:pPr>
              <w:jc w:val="both"/>
              <w:rPr>
                <w:b/>
                <w:sz w:val="24"/>
              </w:rPr>
            </w:pPr>
            <w:r w:rsidRPr="00AA41BA">
              <w:rPr>
                <w:b/>
                <w:sz w:val="24"/>
              </w:rPr>
              <w:t>Uzsākts</w:t>
            </w:r>
          </w:p>
          <w:p w:rsidR="00D554B9" w:rsidRPr="00AA41BA" w:rsidRDefault="00D554B9" w:rsidP="007A7CCD">
            <w:pPr>
              <w:tabs>
                <w:tab w:val="left" w:pos="567"/>
              </w:tabs>
              <w:jc w:val="both"/>
              <w:rPr>
                <w:b/>
                <w:sz w:val="24"/>
              </w:rPr>
            </w:pPr>
            <w:r w:rsidRPr="00AA41BA">
              <w:rPr>
                <w:sz w:val="24"/>
              </w:rPr>
              <w:t xml:space="preserve">Noslēdzies iepirkums par pasākumu plāna izstrādi klientu apkalpošanas plūsmas novirzīšanai uz izmaksu ziņā efektīvākiem kanāliem. Iepirkuma līgums noslēgts ar SIA </w:t>
            </w:r>
            <w:proofErr w:type="spellStart"/>
            <w:r w:rsidRPr="00AA41BA">
              <w:rPr>
                <w:sz w:val="24"/>
              </w:rPr>
              <w:t>PricewaterhouseCoopers</w:t>
            </w:r>
            <w:proofErr w:type="spellEnd"/>
            <w:r w:rsidRPr="00AA41BA">
              <w:rPr>
                <w:sz w:val="24"/>
              </w:rPr>
              <w:t>. Iepirkuma līguma izpildes termiņš</w:t>
            </w:r>
            <w:r w:rsidR="00070FD4">
              <w:rPr>
                <w:sz w:val="24"/>
              </w:rPr>
              <w:t xml:space="preserve"> ir</w:t>
            </w:r>
            <w:r w:rsidRPr="00AA41BA">
              <w:rPr>
                <w:sz w:val="24"/>
              </w:rPr>
              <w:t xml:space="preserve"> 2018. gada novembris. </w:t>
            </w:r>
          </w:p>
        </w:tc>
      </w:tr>
      <w:tr w:rsidR="00D554B9" w:rsidRPr="00AA41BA" w:rsidTr="002C129B">
        <w:trPr>
          <w:trHeight w:val="698"/>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t>6.</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C</w:t>
            </w:r>
          </w:p>
        </w:tc>
        <w:tc>
          <w:tcPr>
            <w:tcW w:w="3744" w:type="dxa"/>
            <w:shd w:val="clear" w:color="auto" w:fill="auto"/>
          </w:tcPr>
          <w:p w:rsidR="00D554B9" w:rsidRPr="00AA41BA" w:rsidRDefault="00D554B9" w:rsidP="007A7CCD">
            <w:pPr>
              <w:tabs>
                <w:tab w:val="left" w:pos="567"/>
                <w:tab w:val="left" w:pos="993"/>
              </w:tabs>
              <w:jc w:val="both"/>
              <w:rPr>
                <w:b/>
                <w:sz w:val="24"/>
              </w:rPr>
            </w:pPr>
            <w:r w:rsidRPr="00AA41BA">
              <w:rPr>
                <w:sz w:val="24"/>
              </w:rPr>
              <w:t>Izvērtēt vienota publisko pakalpojumu palīdzības dienesta izveides potenciālu</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shd w:val="clear" w:color="auto" w:fill="auto"/>
          </w:tcPr>
          <w:p w:rsidR="00D554B9" w:rsidRPr="00AA41BA" w:rsidRDefault="00D554B9" w:rsidP="007A7CCD">
            <w:pPr>
              <w:jc w:val="both"/>
              <w:rPr>
                <w:b/>
                <w:sz w:val="24"/>
              </w:rPr>
            </w:pPr>
            <w:r w:rsidRPr="00AA41BA">
              <w:rPr>
                <w:b/>
                <w:sz w:val="24"/>
              </w:rPr>
              <w:t>Uzsākts</w:t>
            </w:r>
          </w:p>
          <w:p w:rsidR="00D554B9" w:rsidRPr="00AA41BA" w:rsidRDefault="00D554B9" w:rsidP="007A7CCD">
            <w:pPr>
              <w:tabs>
                <w:tab w:val="left" w:pos="567"/>
              </w:tabs>
              <w:jc w:val="both"/>
              <w:rPr>
                <w:sz w:val="24"/>
              </w:rPr>
            </w:pPr>
            <w:r w:rsidRPr="00AA41BA">
              <w:rPr>
                <w:sz w:val="24"/>
              </w:rPr>
              <w:t>Atbilstoši VARAM apstiprinātajam iepirkumu plānam</w:t>
            </w:r>
            <w:r w:rsidR="005D7343">
              <w:rPr>
                <w:sz w:val="24"/>
              </w:rPr>
              <w:t xml:space="preserve"> </w:t>
            </w:r>
            <w:r w:rsidR="005D7343" w:rsidRPr="00AA41BA">
              <w:rPr>
                <w:sz w:val="24"/>
              </w:rPr>
              <w:t>2018. gada septembrī</w:t>
            </w:r>
            <w:r w:rsidRPr="00AA41BA">
              <w:rPr>
                <w:sz w:val="24"/>
              </w:rPr>
              <w:t xml:space="preserve">  plānots izsludināt </w:t>
            </w:r>
            <w:r w:rsidR="005D7343" w:rsidRPr="00AA41BA">
              <w:rPr>
                <w:sz w:val="24"/>
              </w:rPr>
              <w:t xml:space="preserve">iepirkumu </w:t>
            </w:r>
            <w:r w:rsidR="005D7343">
              <w:rPr>
                <w:sz w:val="24"/>
              </w:rPr>
              <w:t xml:space="preserve">par </w:t>
            </w:r>
            <w:proofErr w:type="spellStart"/>
            <w:r w:rsidRPr="00AA41BA">
              <w:rPr>
                <w:sz w:val="24"/>
              </w:rPr>
              <w:t>izvērtējuma</w:t>
            </w:r>
            <w:proofErr w:type="spellEnd"/>
            <w:r w:rsidRPr="00AA41BA">
              <w:rPr>
                <w:sz w:val="24"/>
              </w:rPr>
              <w:t xml:space="preserve"> veikšan</w:t>
            </w:r>
            <w:r w:rsidR="005D7343">
              <w:rPr>
                <w:sz w:val="24"/>
              </w:rPr>
              <w:t>u</w:t>
            </w:r>
            <w:r w:rsidRPr="00AA41BA">
              <w:rPr>
                <w:sz w:val="24"/>
              </w:rPr>
              <w:t xml:space="preserve"> par vienota publisko pakalpojumu palīdzības dienesta izveides potenciālu.</w:t>
            </w:r>
          </w:p>
        </w:tc>
      </w:tr>
      <w:tr w:rsidR="00D554B9" w:rsidRPr="00AA41BA" w:rsidTr="007A7CCD">
        <w:trPr>
          <w:trHeight w:val="171"/>
        </w:trPr>
        <w:tc>
          <w:tcPr>
            <w:tcW w:w="13740" w:type="dxa"/>
            <w:gridSpan w:val="5"/>
            <w:tcBorders>
              <w:bottom w:val="single" w:sz="4" w:space="0" w:color="auto"/>
            </w:tcBorders>
            <w:shd w:val="clear" w:color="auto" w:fill="DEEAF6" w:themeFill="accent1" w:themeFillTint="33"/>
          </w:tcPr>
          <w:p w:rsidR="00D554B9" w:rsidRPr="00AA41BA" w:rsidRDefault="00D554B9" w:rsidP="007A7CCD">
            <w:pPr>
              <w:tabs>
                <w:tab w:val="left" w:pos="567"/>
              </w:tabs>
              <w:jc w:val="both"/>
              <w:rPr>
                <w:sz w:val="24"/>
              </w:rPr>
            </w:pPr>
            <w:r w:rsidRPr="00AA41BA">
              <w:rPr>
                <w:b/>
                <w:sz w:val="24"/>
              </w:rPr>
              <w:t>Līdz 2020.gada 30.decembrim veicamie uzdevumi</w:t>
            </w:r>
          </w:p>
        </w:tc>
      </w:tr>
      <w:tr w:rsidR="00D554B9" w:rsidRPr="00AA41BA" w:rsidTr="002C129B">
        <w:trPr>
          <w:trHeight w:val="581"/>
        </w:trPr>
        <w:tc>
          <w:tcPr>
            <w:tcW w:w="704"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2C129B">
            <w:pPr>
              <w:tabs>
                <w:tab w:val="left" w:pos="567"/>
                <w:tab w:val="left" w:pos="993"/>
              </w:tabs>
              <w:jc w:val="center"/>
              <w:rPr>
                <w:sz w:val="24"/>
              </w:rPr>
            </w:pPr>
            <w:r w:rsidRPr="00AA41BA">
              <w:rPr>
                <w:sz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Attīstīt IKT infrastruktūras koplietošanas pakalpojumus (t.sk. Loģiski vienotā datu centra pamata pakalpojumu), izmantojot IKT ERAF  1. un</w:t>
            </w:r>
            <w:r w:rsidR="008F5AAA">
              <w:rPr>
                <w:sz w:val="24"/>
              </w:rPr>
              <w:t xml:space="preserve"> 2. kārtas projektu finansējumu</w:t>
            </w:r>
            <w:r w:rsidR="001A250C">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 xml:space="preserve">VARAM/ IeM IC/ LVRTC/ </w:t>
            </w:r>
            <w:r w:rsidR="00A91E7F">
              <w:rPr>
                <w:sz w:val="24"/>
              </w:rPr>
              <w:t xml:space="preserve">SM/ </w:t>
            </w:r>
            <w:r w:rsidRPr="00AA41BA">
              <w:rPr>
                <w:sz w:val="24"/>
              </w:rPr>
              <w:t xml:space="preserve">VRAA/ LM/ ZM/ EM/ VM/ </w:t>
            </w:r>
            <w:proofErr w:type="spellStart"/>
            <w:r w:rsidRPr="00AA41BA">
              <w:rPr>
                <w:sz w:val="24"/>
              </w:rPr>
              <w:t>AiM</w:t>
            </w:r>
            <w:proofErr w:type="spellEnd"/>
          </w:p>
        </w:tc>
        <w:tc>
          <w:tcPr>
            <w:tcW w:w="7366"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s>
              <w:jc w:val="both"/>
              <w:rPr>
                <w:b/>
                <w:sz w:val="24"/>
              </w:rPr>
            </w:pPr>
            <w:r w:rsidRPr="00AA41BA">
              <w:rPr>
                <w:b/>
                <w:sz w:val="24"/>
              </w:rPr>
              <w:t>Uzsākts</w:t>
            </w:r>
          </w:p>
          <w:p w:rsidR="00D554B9" w:rsidRPr="00AA41BA" w:rsidRDefault="00D554B9" w:rsidP="007A7CCD">
            <w:pPr>
              <w:tabs>
                <w:tab w:val="left" w:pos="567"/>
              </w:tabs>
              <w:jc w:val="both"/>
              <w:rPr>
                <w:sz w:val="24"/>
              </w:rPr>
            </w:pPr>
            <w:r w:rsidRPr="00AA41BA">
              <w:rPr>
                <w:sz w:val="24"/>
              </w:rPr>
              <w:t>SAM 2.2.1. attiecīgo projektu ietvaros tiek attīstīti IKT infrastruktūras koplietošanas pakalpojumi, kurus sniegs LVRTC, IeM</w:t>
            </w:r>
            <w:r w:rsidR="00EF58C2">
              <w:rPr>
                <w:sz w:val="24"/>
              </w:rPr>
              <w:t xml:space="preserve"> </w:t>
            </w:r>
            <w:r w:rsidRPr="00AA41BA">
              <w:rPr>
                <w:sz w:val="24"/>
              </w:rPr>
              <w:t>IC, VRAA, LM</w:t>
            </w:r>
            <w:r w:rsidR="00EF58C2">
              <w:rPr>
                <w:sz w:val="24"/>
              </w:rPr>
              <w:t xml:space="preserve"> (Valsts sociālās apdrošināšanas aģentūra)</w:t>
            </w:r>
            <w:r w:rsidRPr="00AA41BA">
              <w:rPr>
                <w:sz w:val="24"/>
              </w:rPr>
              <w:t>, ZM, EM un VM</w:t>
            </w:r>
            <w:r w:rsidR="00EF58C2">
              <w:rPr>
                <w:sz w:val="24"/>
              </w:rPr>
              <w:t xml:space="preserve"> (Nacionālais veselības dienests)</w:t>
            </w:r>
            <w:r w:rsidRPr="00AA41BA">
              <w:rPr>
                <w:sz w:val="24"/>
              </w:rPr>
              <w:t>. Koplietošanas pakalpojumu attīstības savstarpējā koordinācija tiek nodrošināta IKT vadītāju IKT infrastruktūras darba grupas ietvaros.</w:t>
            </w:r>
          </w:p>
        </w:tc>
      </w:tr>
      <w:tr w:rsidR="00D554B9" w:rsidRPr="00AA41BA" w:rsidTr="002C129B">
        <w:trPr>
          <w:trHeight w:val="1714"/>
        </w:trPr>
        <w:tc>
          <w:tcPr>
            <w:tcW w:w="704" w:type="dxa"/>
            <w:tcBorders>
              <w:top w:val="single" w:sz="4" w:space="0" w:color="auto"/>
            </w:tcBorders>
            <w:shd w:val="clear" w:color="auto" w:fill="auto"/>
          </w:tcPr>
          <w:p w:rsidR="00D554B9" w:rsidRPr="00AA41BA" w:rsidRDefault="00D554B9" w:rsidP="002C129B">
            <w:pPr>
              <w:tabs>
                <w:tab w:val="left" w:pos="567"/>
                <w:tab w:val="left" w:pos="993"/>
              </w:tabs>
              <w:jc w:val="center"/>
              <w:rPr>
                <w:sz w:val="24"/>
              </w:rPr>
            </w:pPr>
            <w:r w:rsidRPr="00AA41BA">
              <w:rPr>
                <w:sz w:val="24"/>
              </w:rPr>
              <w:lastRenderedPageBreak/>
              <w:t>2.</w:t>
            </w:r>
          </w:p>
        </w:tc>
        <w:tc>
          <w:tcPr>
            <w:tcW w:w="650" w:type="dxa"/>
            <w:tcBorders>
              <w:top w:val="single" w:sz="4" w:space="0" w:color="auto"/>
            </w:tcBorders>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tcBorders>
              <w:top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Izvērtējot faktisko situāciju, t.sk., pieejamos finanšu, u.c. resursus, papildināt IKT ERAF projektu ietvaros attīstītās IKT infrastruktūras pakalpojumu platformas, t.sk. attīstot un ieviešot jaunus IKT infrastruktūras un standarta IKT risinājumu koplietošanas pakalpojumus</w:t>
            </w:r>
            <w:r w:rsidR="001A250C">
              <w:rPr>
                <w:sz w:val="24"/>
              </w:rPr>
              <w:t>.</w:t>
            </w:r>
            <w:r w:rsidRPr="00AA41BA">
              <w:rPr>
                <w:sz w:val="24"/>
              </w:rPr>
              <w:t xml:space="preserve"> </w:t>
            </w:r>
          </w:p>
        </w:tc>
        <w:tc>
          <w:tcPr>
            <w:tcW w:w="1276" w:type="dxa"/>
            <w:tcBorders>
              <w:top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tcBorders>
              <w:top w:val="single" w:sz="4" w:space="0" w:color="auto"/>
            </w:tcBorders>
            <w:shd w:val="clear" w:color="auto" w:fill="auto"/>
          </w:tcPr>
          <w:p w:rsidR="00D554B9" w:rsidRPr="00AA41BA" w:rsidRDefault="00D554B9" w:rsidP="007A7CCD">
            <w:pPr>
              <w:tabs>
                <w:tab w:val="left" w:pos="567"/>
              </w:tabs>
              <w:jc w:val="both"/>
              <w:rPr>
                <w:b/>
                <w:sz w:val="24"/>
              </w:rPr>
            </w:pPr>
            <w:r w:rsidRPr="00AA41BA">
              <w:rPr>
                <w:b/>
                <w:sz w:val="24"/>
              </w:rPr>
              <w:t>Uzsākts</w:t>
            </w:r>
          </w:p>
          <w:p w:rsidR="00D554B9" w:rsidRPr="00AA41BA" w:rsidRDefault="00D554B9" w:rsidP="007A7CCD">
            <w:pPr>
              <w:tabs>
                <w:tab w:val="left" w:pos="567"/>
              </w:tabs>
              <w:jc w:val="both"/>
              <w:rPr>
                <w:sz w:val="24"/>
              </w:rPr>
            </w:pPr>
            <w:r w:rsidRPr="00AA41BA">
              <w:rPr>
                <w:sz w:val="24"/>
              </w:rPr>
              <w:t xml:space="preserve">No SAM 2.2.1. alternatīviem finansēšanas avotiem koplietošanas pakalpojumus attīsta </w:t>
            </w:r>
            <w:r w:rsidR="00135A28">
              <w:rPr>
                <w:sz w:val="24"/>
              </w:rPr>
              <w:t>TNA</w:t>
            </w:r>
            <w:r w:rsidRPr="00AA41BA">
              <w:rPr>
                <w:sz w:val="24"/>
              </w:rPr>
              <w:t xml:space="preserve">. Jau šobrīd ir identificēta nepieciešamība attīstīt datorizēto darba vietu atbalsta koplietošanas pakalpojumus. </w:t>
            </w:r>
            <w:r w:rsidR="00070FD4">
              <w:rPr>
                <w:sz w:val="24"/>
              </w:rPr>
              <w:t>Tā veikšanai</w:t>
            </w:r>
            <w:r w:rsidRPr="00AA41BA">
              <w:rPr>
                <w:sz w:val="24"/>
              </w:rPr>
              <w:t xml:space="preserve"> VARAM ir identificējis nepieciešamību īstenot papildus pasākumus, lai veicinātu specializēto kompetenču centru – IKT koplietošanas sniedzēju attīstību. </w:t>
            </w:r>
          </w:p>
          <w:p w:rsidR="00D554B9" w:rsidRPr="00AA41BA" w:rsidRDefault="00D554B9" w:rsidP="007A7CCD">
            <w:pPr>
              <w:tabs>
                <w:tab w:val="left" w:pos="567"/>
              </w:tabs>
              <w:jc w:val="both"/>
              <w:rPr>
                <w:sz w:val="24"/>
              </w:rPr>
            </w:pPr>
            <w:r w:rsidRPr="00AA41BA">
              <w:rPr>
                <w:sz w:val="24"/>
              </w:rPr>
              <w:t xml:space="preserve">Par konkrētu soli kompetences centra, kurš sniedz </w:t>
            </w:r>
            <w:proofErr w:type="spellStart"/>
            <w:r w:rsidRPr="00AA41BA">
              <w:rPr>
                <w:sz w:val="24"/>
              </w:rPr>
              <w:t>pārresoru</w:t>
            </w:r>
            <w:proofErr w:type="spellEnd"/>
            <w:r w:rsidRPr="00AA41BA">
              <w:rPr>
                <w:sz w:val="24"/>
              </w:rPr>
              <w:t xml:space="preserve"> datorizēto darba vietu sagādes un atbalsta pakalpojumu attīstībai kalpos Centrālās vēlēšanu komisijas nodrošināšana ar datoru īstermiņa īri 2019.gadā uz Eiropas Parlamenta vēlēšanu laiku, tādējādi būtiski ietaupot līdzekļus salīdzinājumā ar komerciālu risinājumu alternatīvu.</w:t>
            </w:r>
          </w:p>
          <w:p w:rsidR="00D554B9" w:rsidRPr="00AA41BA" w:rsidRDefault="00D554B9" w:rsidP="007A7CCD">
            <w:pPr>
              <w:tabs>
                <w:tab w:val="left" w:pos="567"/>
              </w:tabs>
              <w:jc w:val="both"/>
              <w:rPr>
                <w:sz w:val="24"/>
              </w:rPr>
            </w:pPr>
            <w:r w:rsidRPr="00AA41BA">
              <w:rPr>
                <w:sz w:val="24"/>
              </w:rPr>
              <w:t>Apzinot pašreizējo valsts pārvaldes IKT infrastruktūru un programmatūras nodrošinājumu, VARAM ir identificējis alternatīvu (ne tikai ar Microsoft produktiem nodrošinātu) datorizēto darba vietu atbalsta koplietošanas pakalpojumu attīstības iespēju izvērtēšanas nepieciešamību.</w:t>
            </w:r>
          </w:p>
          <w:p w:rsidR="007C1C4E" w:rsidRDefault="007C1C4E" w:rsidP="007A7CCD">
            <w:pPr>
              <w:tabs>
                <w:tab w:val="left" w:pos="567"/>
              </w:tabs>
              <w:jc w:val="both"/>
              <w:rPr>
                <w:sz w:val="24"/>
              </w:rPr>
            </w:pPr>
            <w:r>
              <w:rPr>
                <w:sz w:val="24"/>
              </w:rPr>
              <w:t>Uzdevuma turpmākai izpildei nepieciešams:</w:t>
            </w:r>
          </w:p>
          <w:p w:rsidR="00B877F5" w:rsidRPr="00F4633B" w:rsidRDefault="00A91E7F" w:rsidP="007A7CCD">
            <w:pPr>
              <w:pStyle w:val="ListParagraph"/>
              <w:numPr>
                <w:ilvl w:val="0"/>
                <w:numId w:val="5"/>
              </w:numPr>
              <w:tabs>
                <w:tab w:val="left" w:pos="567"/>
              </w:tabs>
              <w:jc w:val="both"/>
              <w:rPr>
                <w:sz w:val="24"/>
              </w:rPr>
            </w:pPr>
            <w:r>
              <w:rPr>
                <w:sz w:val="24"/>
              </w:rPr>
              <w:t xml:space="preserve">VARAM sadarbībā ar </w:t>
            </w:r>
            <w:r w:rsidR="00B877F5" w:rsidRPr="00F4633B">
              <w:rPr>
                <w:sz w:val="24"/>
              </w:rPr>
              <w:t>SM</w:t>
            </w:r>
            <w:r>
              <w:rPr>
                <w:sz w:val="24"/>
              </w:rPr>
              <w:t>,</w:t>
            </w:r>
            <w:r w:rsidR="00B877F5" w:rsidRPr="00F4633B">
              <w:rPr>
                <w:sz w:val="24"/>
              </w:rPr>
              <w:t xml:space="preserve"> TM</w:t>
            </w:r>
            <w:r w:rsidR="00C204EF" w:rsidRPr="00F4633B">
              <w:rPr>
                <w:sz w:val="24"/>
              </w:rPr>
              <w:t xml:space="preserve">, </w:t>
            </w:r>
            <w:r>
              <w:rPr>
                <w:sz w:val="24"/>
              </w:rPr>
              <w:t xml:space="preserve">IeM </w:t>
            </w:r>
            <w:r w:rsidR="00C204EF" w:rsidRPr="00F4633B">
              <w:rPr>
                <w:sz w:val="24"/>
              </w:rPr>
              <w:t xml:space="preserve">un FM </w:t>
            </w:r>
            <w:r w:rsidR="00B877F5" w:rsidRPr="00F4633B">
              <w:rPr>
                <w:sz w:val="24"/>
              </w:rPr>
              <w:t xml:space="preserve">līdz </w:t>
            </w:r>
            <w:r w:rsidR="00070FD4">
              <w:rPr>
                <w:sz w:val="24"/>
              </w:rPr>
              <w:t>2020.gada 30.decembrim</w:t>
            </w:r>
            <w:r w:rsidR="00B877F5" w:rsidRPr="00F4633B">
              <w:rPr>
                <w:sz w:val="24"/>
              </w:rPr>
              <w:t xml:space="preserve"> sagatavot priekšlikumus par specializēto IKT kompetenču centru (valsts pārvaldes iestāžu un valsts kapitālsabiedrību, kuras sniedz IKT atbalsta pakalpojumus valsts pārvaldes institūcijām) finansēšanas un pārvaldības modeļu pilnveidošanu.</w:t>
            </w:r>
          </w:p>
          <w:p w:rsidR="005E7F62" w:rsidRPr="00F4633B" w:rsidRDefault="00B877F5" w:rsidP="007A7CCD">
            <w:pPr>
              <w:pStyle w:val="ListParagraph"/>
              <w:numPr>
                <w:ilvl w:val="0"/>
                <w:numId w:val="5"/>
              </w:numPr>
              <w:tabs>
                <w:tab w:val="left" w:pos="567"/>
              </w:tabs>
              <w:jc w:val="both"/>
              <w:rPr>
                <w:sz w:val="24"/>
              </w:rPr>
            </w:pPr>
            <w:r w:rsidRPr="00F4633B">
              <w:rPr>
                <w:sz w:val="24"/>
              </w:rPr>
              <w:t xml:space="preserve">VARAM sadarbībā ar Valsts kanceleju un vadošajām IKT koplietošanas pakalpojumu sniedzēju iestādēm līdz </w:t>
            </w:r>
            <w:r w:rsidR="00BD46AB">
              <w:rPr>
                <w:sz w:val="24"/>
              </w:rPr>
              <w:t>2020.gada 30.decembrim</w:t>
            </w:r>
            <w:r w:rsidRPr="00F4633B">
              <w:rPr>
                <w:sz w:val="24"/>
              </w:rPr>
              <w:t xml:space="preserve"> sagatavot un iesniegt </w:t>
            </w:r>
            <w:r w:rsidR="005E7F62" w:rsidRPr="00F4633B">
              <w:rPr>
                <w:sz w:val="24"/>
              </w:rPr>
              <w:t xml:space="preserve">MK </w:t>
            </w:r>
            <w:r w:rsidRPr="00F4633B">
              <w:rPr>
                <w:sz w:val="24"/>
              </w:rPr>
              <w:t xml:space="preserve">grozījumus </w:t>
            </w:r>
            <w:r w:rsidR="005E7F62" w:rsidRPr="00F4633B">
              <w:rPr>
                <w:sz w:val="24"/>
              </w:rPr>
              <w:t xml:space="preserve">MK </w:t>
            </w:r>
            <w:r w:rsidR="00BD46AB">
              <w:rPr>
                <w:sz w:val="24"/>
              </w:rPr>
              <w:t>2010.gada 30.novembra</w:t>
            </w:r>
            <w:r w:rsidRPr="00F4633B">
              <w:rPr>
                <w:sz w:val="24"/>
              </w:rPr>
              <w:t xml:space="preserve"> noteikumos Nr.1075 “Valsts un pašvaldību institūciju amatu katalogs”, papildinot valsts pārvaldes amatu saimes.</w:t>
            </w:r>
          </w:p>
          <w:p w:rsidR="005E7F62" w:rsidRPr="00F4633B" w:rsidRDefault="00B877F5" w:rsidP="007A7CCD">
            <w:pPr>
              <w:pStyle w:val="ListParagraph"/>
              <w:numPr>
                <w:ilvl w:val="0"/>
                <w:numId w:val="5"/>
              </w:numPr>
              <w:tabs>
                <w:tab w:val="left" w:pos="567"/>
              </w:tabs>
              <w:jc w:val="both"/>
              <w:rPr>
                <w:sz w:val="24"/>
              </w:rPr>
            </w:pPr>
            <w:r w:rsidRPr="00F4633B">
              <w:rPr>
                <w:sz w:val="24"/>
              </w:rPr>
              <w:t>Ie</w:t>
            </w:r>
            <w:r w:rsidR="00564AAE" w:rsidRPr="00F4633B">
              <w:rPr>
                <w:sz w:val="24"/>
              </w:rPr>
              <w:t xml:space="preserve">M </w:t>
            </w:r>
            <w:r w:rsidRPr="00F4633B">
              <w:rPr>
                <w:sz w:val="24"/>
              </w:rPr>
              <w:t>(Ie</w:t>
            </w:r>
            <w:r w:rsidR="00564AAE" w:rsidRPr="00F4633B">
              <w:rPr>
                <w:sz w:val="24"/>
              </w:rPr>
              <w:t>M IC</w:t>
            </w:r>
            <w:r w:rsidRPr="00F4633B">
              <w:rPr>
                <w:sz w:val="24"/>
              </w:rPr>
              <w:t xml:space="preserve"> un P</w:t>
            </w:r>
            <w:r w:rsidR="00564AAE" w:rsidRPr="00F4633B">
              <w:rPr>
                <w:sz w:val="24"/>
              </w:rPr>
              <w:t>MLP)</w:t>
            </w:r>
            <w:r w:rsidRPr="00F4633B">
              <w:rPr>
                <w:sz w:val="24"/>
              </w:rPr>
              <w:t xml:space="preserve"> sadarbībā ar </w:t>
            </w:r>
            <w:r w:rsidR="00564AAE" w:rsidRPr="00F4633B">
              <w:rPr>
                <w:sz w:val="24"/>
              </w:rPr>
              <w:t xml:space="preserve">TM </w:t>
            </w:r>
            <w:r w:rsidRPr="00F4633B">
              <w:rPr>
                <w:sz w:val="24"/>
              </w:rPr>
              <w:t>(</w:t>
            </w:r>
            <w:r w:rsidR="00135A28" w:rsidRPr="00F4633B">
              <w:rPr>
                <w:sz w:val="24"/>
              </w:rPr>
              <w:t>TNA</w:t>
            </w:r>
            <w:r w:rsidRPr="00F4633B">
              <w:rPr>
                <w:sz w:val="24"/>
              </w:rPr>
              <w:t xml:space="preserve">) līdz </w:t>
            </w:r>
            <w:r w:rsidR="00BD46AB">
              <w:rPr>
                <w:sz w:val="24"/>
              </w:rPr>
              <w:t>2020.gada 30.decembrim</w:t>
            </w:r>
            <w:r w:rsidRPr="00F4633B">
              <w:rPr>
                <w:sz w:val="24"/>
              </w:rPr>
              <w:t xml:space="preserve"> izvērtēt iespējas nodrošināt C</w:t>
            </w:r>
            <w:r w:rsidR="00BE5ABC" w:rsidRPr="00F4633B">
              <w:rPr>
                <w:sz w:val="24"/>
              </w:rPr>
              <w:t xml:space="preserve">VK </w:t>
            </w:r>
            <w:r w:rsidRPr="00F4633B">
              <w:rPr>
                <w:sz w:val="24"/>
              </w:rPr>
              <w:t>ar datoriem un to atbalstu uz vēlēšanu laiku, paredzot šo datoru turpmāku izmantošanu Ie</w:t>
            </w:r>
            <w:r w:rsidR="00BE5ABC" w:rsidRPr="00F4633B">
              <w:rPr>
                <w:sz w:val="24"/>
              </w:rPr>
              <w:t xml:space="preserve">M </w:t>
            </w:r>
            <w:r w:rsidRPr="00F4633B">
              <w:rPr>
                <w:sz w:val="24"/>
              </w:rPr>
              <w:t xml:space="preserve">vai </w:t>
            </w:r>
            <w:r w:rsidR="00BE5ABC" w:rsidRPr="00F4633B">
              <w:rPr>
                <w:sz w:val="24"/>
              </w:rPr>
              <w:t xml:space="preserve">TM </w:t>
            </w:r>
            <w:r w:rsidRPr="00F4633B">
              <w:rPr>
                <w:sz w:val="24"/>
              </w:rPr>
              <w:t>resoru vajadzībām. Vēlēšanu nodrošināšanu ar datorizētām darba vietām plānot un īstenot kā valsts koplietošanas IKT pakalpojumu, kas būs pieejams arī turpmāk.</w:t>
            </w:r>
          </w:p>
          <w:p w:rsidR="00D554B9" w:rsidRPr="00AA41BA" w:rsidRDefault="00922B28" w:rsidP="00922B28">
            <w:pPr>
              <w:pStyle w:val="ListParagraph"/>
              <w:numPr>
                <w:ilvl w:val="0"/>
                <w:numId w:val="5"/>
              </w:numPr>
              <w:tabs>
                <w:tab w:val="left" w:pos="567"/>
              </w:tabs>
              <w:jc w:val="both"/>
              <w:rPr>
                <w:sz w:val="24"/>
              </w:rPr>
            </w:pPr>
            <w:r>
              <w:rPr>
                <w:sz w:val="24"/>
              </w:rPr>
              <w:lastRenderedPageBreak/>
              <w:t xml:space="preserve">VARAM (VRAA) sadarbībā ar </w:t>
            </w:r>
            <w:r w:rsidR="00B877F5" w:rsidRPr="00F4633B">
              <w:rPr>
                <w:sz w:val="24"/>
              </w:rPr>
              <w:t>Ie</w:t>
            </w:r>
            <w:r w:rsidR="00736813" w:rsidRPr="00F4633B">
              <w:rPr>
                <w:sz w:val="24"/>
              </w:rPr>
              <w:t xml:space="preserve">M </w:t>
            </w:r>
            <w:r w:rsidR="00B877F5" w:rsidRPr="00F4633B">
              <w:rPr>
                <w:sz w:val="24"/>
              </w:rPr>
              <w:t>(Ie</w:t>
            </w:r>
            <w:r w:rsidR="00736813" w:rsidRPr="00F4633B">
              <w:rPr>
                <w:sz w:val="24"/>
              </w:rPr>
              <w:t>M IC</w:t>
            </w:r>
            <w:r w:rsidR="00B877F5" w:rsidRPr="00F4633B">
              <w:rPr>
                <w:sz w:val="24"/>
              </w:rPr>
              <w:t xml:space="preserve">) </w:t>
            </w:r>
            <w:r>
              <w:rPr>
                <w:sz w:val="24"/>
              </w:rPr>
              <w:t>un</w:t>
            </w:r>
            <w:r w:rsidR="00B877F5" w:rsidRPr="00F4633B">
              <w:rPr>
                <w:sz w:val="24"/>
              </w:rPr>
              <w:t xml:space="preserve"> </w:t>
            </w:r>
            <w:r w:rsidR="00736813" w:rsidRPr="00F4633B">
              <w:rPr>
                <w:sz w:val="24"/>
              </w:rPr>
              <w:t xml:space="preserve">TM </w:t>
            </w:r>
            <w:r w:rsidR="00B877F5" w:rsidRPr="00F4633B">
              <w:rPr>
                <w:sz w:val="24"/>
              </w:rPr>
              <w:t>(</w:t>
            </w:r>
            <w:r w:rsidR="00736813" w:rsidRPr="00F4633B">
              <w:rPr>
                <w:sz w:val="24"/>
              </w:rPr>
              <w:t>TNA</w:t>
            </w:r>
            <w:r w:rsidR="00B877F5" w:rsidRPr="00F4633B">
              <w:rPr>
                <w:sz w:val="24"/>
              </w:rPr>
              <w:t xml:space="preserve">) līdz </w:t>
            </w:r>
            <w:r w:rsidR="00BD46AB">
              <w:rPr>
                <w:sz w:val="24"/>
              </w:rPr>
              <w:t>2020.gada 30.decembrim</w:t>
            </w:r>
            <w:r w:rsidR="00B877F5" w:rsidRPr="00F4633B">
              <w:rPr>
                <w:sz w:val="24"/>
              </w:rPr>
              <w:t xml:space="preserve"> izvērtēt iespējas kā </w:t>
            </w:r>
            <w:proofErr w:type="spellStart"/>
            <w:r w:rsidR="00B877F5" w:rsidRPr="00F4633B">
              <w:rPr>
                <w:sz w:val="24"/>
              </w:rPr>
              <w:t>pārresoru</w:t>
            </w:r>
            <w:proofErr w:type="spellEnd"/>
            <w:r w:rsidR="00B877F5" w:rsidRPr="00F4633B">
              <w:rPr>
                <w:sz w:val="24"/>
              </w:rPr>
              <w:t xml:space="preserve"> IKT koplietošanas pakalpojumu alternatīvu </w:t>
            </w:r>
            <w:r w:rsidR="00BD46AB">
              <w:rPr>
                <w:sz w:val="24"/>
              </w:rPr>
              <w:t xml:space="preserve">attīstīt </w:t>
            </w:r>
            <w:r w:rsidR="00B877F5" w:rsidRPr="00F4633B">
              <w:rPr>
                <w:sz w:val="24"/>
              </w:rPr>
              <w:t xml:space="preserve">standartizētu datorizēto darba vietu (izmantojot ne tikai Microsoft, bet arī alternatīvus programmproduktus) atbalsta pakalpojumu. </w:t>
            </w:r>
            <w:proofErr w:type="spellStart"/>
            <w:r w:rsidR="00B877F5" w:rsidRPr="00F4633B">
              <w:rPr>
                <w:sz w:val="24"/>
              </w:rPr>
              <w:t>Izvērtējuma</w:t>
            </w:r>
            <w:proofErr w:type="spellEnd"/>
            <w:r w:rsidR="00B877F5" w:rsidRPr="00F4633B">
              <w:rPr>
                <w:sz w:val="24"/>
              </w:rPr>
              <w:t xml:space="preserve"> ietvaros analizēt un ņemt vērā arī iespējas pārņemt un atkārtoti izmantot valsts rīcībā esošos alternatīvos programmatūras produktus, kuri vairs netiek izmantoti pēc pārejas uz Microsoft programmatūras produktu kompleksajiem risinājumiem.</w:t>
            </w:r>
          </w:p>
        </w:tc>
      </w:tr>
      <w:tr w:rsidR="00D554B9" w:rsidRPr="00AA41BA" w:rsidTr="002C129B">
        <w:trPr>
          <w:trHeight w:val="1413"/>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lastRenderedPageBreak/>
              <w:t>3.</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Īstenot “</w:t>
            </w:r>
            <w:proofErr w:type="spellStart"/>
            <w:r w:rsidRPr="00AA41BA">
              <w:rPr>
                <w:sz w:val="24"/>
              </w:rPr>
              <w:t>mākoņdatošanas</w:t>
            </w:r>
            <w:proofErr w:type="spellEnd"/>
            <w:r w:rsidRPr="00AA41BA">
              <w:rPr>
                <w:sz w:val="24"/>
              </w:rPr>
              <w:t xml:space="preserve"> pakalpojumu stratēģijas” ieviešanas darbības attiecībā uz pāreju uz IKT koplietošanas un komerciālo </w:t>
            </w:r>
            <w:proofErr w:type="spellStart"/>
            <w:r w:rsidRPr="00AA41BA">
              <w:rPr>
                <w:sz w:val="24"/>
              </w:rPr>
              <w:t>mākoņdatoša</w:t>
            </w:r>
            <w:r w:rsidR="008F5AAA">
              <w:rPr>
                <w:sz w:val="24"/>
              </w:rPr>
              <w:t>nas</w:t>
            </w:r>
            <w:proofErr w:type="spellEnd"/>
            <w:r w:rsidR="008F5AAA">
              <w:rPr>
                <w:sz w:val="24"/>
              </w:rPr>
              <w:t xml:space="preserve"> pakalpojumu izmantošanu</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shd w:val="clear" w:color="auto" w:fill="auto"/>
          </w:tcPr>
          <w:p w:rsidR="00B72447" w:rsidRDefault="00B72447" w:rsidP="007A7CCD">
            <w:pPr>
              <w:tabs>
                <w:tab w:val="left" w:pos="567"/>
              </w:tabs>
              <w:jc w:val="both"/>
              <w:rPr>
                <w:sz w:val="24"/>
              </w:rPr>
            </w:pPr>
            <w:r w:rsidRPr="00B72447">
              <w:rPr>
                <w:b/>
                <w:sz w:val="24"/>
              </w:rPr>
              <w:t>Uzsākts</w:t>
            </w:r>
          </w:p>
          <w:p w:rsidR="00D554B9" w:rsidRPr="00AA41BA" w:rsidRDefault="00D554B9" w:rsidP="007A7CCD">
            <w:pPr>
              <w:tabs>
                <w:tab w:val="left" w:pos="567"/>
              </w:tabs>
              <w:jc w:val="both"/>
              <w:rPr>
                <w:sz w:val="24"/>
              </w:rPr>
            </w:pPr>
            <w:r w:rsidRPr="00AA41BA">
              <w:rPr>
                <w:sz w:val="24"/>
              </w:rPr>
              <w:t xml:space="preserve">Koplietošanas pakalpojumu sniegšanas, pārvaldības un finansēšanas modelis tiek aprobēts, uzsākot VESPC darbību. Izdota MK instrukcija par VESPC un </w:t>
            </w:r>
            <w:r w:rsidR="00BD46AB">
              <w:rPr>
                <w:sz w:val="24"/>
              </w:rPr>
              <w:t xml:space="preserve">saskaņā ar to </w:t>
            </w:r>
            <w:r w:rsidRPr="00AA41BA">
              <w:rPr>
                <w:sz w:val="24"/>
              </w:rPr>
              <w:t xml:space="preserve">uzsākta VESPC darbība. </w:t>
            </w:r>
            <w:r w:rsidR="00BD46AB">
              <w:rPr>
                <w:sz w:val="24"/>
              </w:rPr>
              <w:t>Šobrīd</w:t>
            </w:r>
            <w:r w:rsidRPr="00AA41BA">
              <w:rPr>
                <w:sz w:val="24"/>
              </w:rPr>
              <w:t xml:space="preserve"> VESPC pakalpojumu izmantošanai ir pieteikušās </w:t>
            </w:r>
            <w:r w:rsidR="008C09A7">
              <w:rPr>
                <w:sz w:val="24"/>
              </w:rPr>
              <w:t>7</w:t>
            </w:r>
            <w:r w:rsidRPr="00AA41BA">
              <w:rPr>
                <w:sz w:val="24"/>
              </w:rPr>
              <w:t xml:space="preserve"> valsts pārvaldes </w:t>
            </w:r>
            <w:r w:rsidR="008C09A7">
              <w:rPr>
                <w:sz w:val="24"/>
              </w:rPr>
              <w:t xml:space="preserve"> iestādes, </w:t>
            </w:r>
            <w:r w:rsidRPr="00AA41BA">
              <w:rPr>
                <w:sz w:val="24"/>
              </w:rPr>
              <w:t xml:space="preserve"> </w:t>
            </w:r>
            <w:r w:rsidR="008C09A7" w:rsidRPr="00CF6FD6">
              <w:rPr>
                <w:sz w:val="24"/>
              </w:rPr>
              <w:t>5 no tām ir pieņemti sākotnējie lēmumi un uzsākta konkrēto pakalpojumu satura un finansējuma apjoma saskaņošana, bet vienai – VID, šie procesi jau ir pabeigti un ir pieņemts galīgais lēmums par VESPC pakalpojumu izmantošanu</w:t>
            </w:r>
            <w:r w:rsidR="008C09A7">
              <w:rPr>
                <w:sz w:val="24"/>
              </w:rPr>
              <w:t>.</w:t>
            </w:r>
            <w:r w:rsidR="008C09A7">
              <w:t xml:space="preserve"> </w:t>
            </w:r>
            <w:r w:rsidR="008C09A7" w:rsidRPr="008C09A7">
              <w:rPr>
                <w:sz w:val="24"/>
              </w:rPr>
              <w:t>Ņemot vērā minēto un veiksmīgi uzsākto  VESPC darbību, par aktualitāti zaudējušu būtu atzīstams  MK 2018.gada 20.februāra protokola Nr.11 30.§ 3.punktā dotais uzdevums.</w:t>
            </w:r>
          </w:p>
          <w:p w:rsidR="00D554B9" w:rsidRPr="00AA41BA" w:rsidRDefault="00D554B9" w:rsidP="007A7CCD">
            <w:pPr>
              <w:tabs>
                <w:tab w:val="left" w:pos="567"/>
              </w:tabs>
              <w:jc w:val="both"/>
              <w:rPr>
                <w:sz w:val="24"/>
              </w:rPr>
            </w:pPr>
            <w:r w:rsidRPr="00AA41BA">
              <w:rPr>
                <w:sz w:val="24"/>
              </w:rPr>
              <w:t xml:space="preserve">VARAM ir identificējis, ka komerciālo </w:t>
            </w:r>
            <w:r w:rsidR="00E56C50">
              <w:rPr>
                <w:sz w:val="24"/>
              </w:rPr>
              <w:t>MDP</w:t>
            </w:r>
            <w:r w:rsidRPr="00AA41BA">
              <w:rPr>
                <w:sz w:val="24"/>
              </w:rPr>
              <w:t xml:space="preserve">, kuru pieejamības līmeņi tiek garantēti to sniegšanas vietās (piemēram, Amsterdamā vai Frankfurtē), drošas izmantošanas iespējas ierobežo un apdraud datu pārraides un drošības risinājumu aspekti, kurus </w:t>
            </w:r>
            <w:r w:rsidR="00BD46AB">
              <w:rPr>
                <w:sz w:val="24"/>
              </w:rPr>
              <w:t xml:space="preserve">lietderīgāk ir </w:t>
            </w:r>
            <w:r w:rsidRPr="00AA41BA">
              <w:rPr>
                <w:sz w:val="24"/>
              </w:rPr>
              <w:t>risināt centralizēti.</w:t>
            </w:r>
          </w:p>
          <w:p w:rsidR="00D554B9" w:rsidRPr="00AA41BA" w:rsidRDefault="00D554B9" w:rsidP="007A7CCD">
            <w:pPr>
              <w:tabs>
                <w:tab w:val="left" w:pos="567"/>
              </w:tabs>
              <w:jc w:val="both"/>
              <w:rPr>
                <w:sz w:val="24"/>
              </w:rPr>
            </w:pPr>
            <w:r w:rsidRPr="00AA41BA">
              <w:rPr>
                <w:sz w:val="24"/>
              </w:rPr>
              <w:t xml:space="preserve">Gadījumos, kad ir pamatota augstas komplicētības līmeņa (un līdz ar to – izmaksu) tehnoloģisko risinājumu izmantošana (piemēram, ORACLE </w:t>
            </w:r>
            <w:proofErr w:type="spellStart"/>
            <w:r w:rsidRPr="00AA41BA">
              <w:rPr>
                <w:sz w:val="24"/>
              </w:rPr>
              <w:t>enterprise</w:t>
            </w:r>
            <w:proofErr w:type="spellEnd"/>
            <w:r w:rsidRPr="00AA41BA">
              <w:rPr>
                <w:sz w:val="24"/>
              </w:rPr>
              <w:t xml:space="preserve"> līmeņa datu bāzu vadības un datu analīzes risinājum</w:t>
            </w:r>
            <w:r w:rsidR="00BD46AB">
              <w:rPr>
                <w:sz w:val="24"/>
              </w:rPr>
              <w:t>s</w:t>
            </w:r>
            <w:r w:rsidRPr="00AA41BA">
              <w:rPr>
                <w:sz w:val="24"/>
              </w:rPr>
              <w:t>), tos ir jāizmanto maksimāli efektīvi, t.</w:t>
            </w:r>
            <w:r w:rsidR="00D64F7D">
              <w:rPr>
                <w:sz w:val="24"/>
              </w:rPr>
              <w:t> </w:t>
            </w:r>
            <w:r w:rsidRPr="00AA41BA">
              <w:rPr>
                <w:sz w:val="24"/>
              </w:rPr>
              <w:t xml:space="preserve">sk. izmantojot tiem piemērotākos IKT infrastruktūras risinājumus, kas var būt arī </w:t>
            </w:r>
            <w:proofErr w:type="spellStart"/>
            <w:r w:rsidRPr="00AA41BA">
              <w:rPr>
                <w:sz w:val="24"/>
              </w:rPr>
              <w:t>PaaS</w:t>
            </w:r>
            <w:proofErr w:type="spellEnd"/>
            <w:r w:rsidRPr="00AA41BA">
              <w:rPr>
                <w:sz w:val="24"/>
              </w:rPr>
              <w:t xml:space="preserve"> līmeņa pakalpojumi, kas</w:t>
            </w:r>
            <w:r w:rsidR="009F7BDE">
              <w:rPr>
                <w:sz w:val="24"/>
              </w:rPr>
              <w:t xml:space="preserve"> </w:t>
            </w:r>
            <w:r w:rsidR="009F7BDE" w:rsidRPr="00AA41BA">
              <w:rPr>
                <w:sz w:val="24"/>
              </w:rPr>
              <w:t>ekonomiski izdevīgi</w:t>
            </w:r>
            <w:r w:rsidRPr="00AA41BA">
              <w:rPr>
                <w:sz w:val="24"/>
              </w:rPr>
              <w:t xml:space="preserve"> izmantošanai valsts pārvaldītās infrastruktūrās var būt tikai tos koplietojot vairākām institūcijām.</w:t>
            </w:r>
          </w:p>
          <w:p w:rsidR="007C1C4E" w:rsidRDefault="007C1C4E" w:rsidP="007A7CCD">
            <w:pPr>
              <w:tabs>
                <w:tab w:val="left" w:pos="567"/>
              </w:tabs>
              <w:jc w:val="both"/>
              <w:rPr>
                <w:sz w:val="24"/>
              </w:rPr>
            </w:pPr>
            <w:r>
              <w:rPr>
                <w:sz w:val="24"/>
              </w:rPr>
              <w:t>Uzdevuma turpmākai izpildei nepieciešams:</w:t>
            </w:r>
          </w:p>
          <w:p w:rsidR="00D64F7D" w:rsidRDefault="00D64F7D" w:rsidP="007A7CCD">
            <w:pPr>
              <w:pStyle w:val="ListParagraph"/>
              <w:numPr>
                <w:ilvl w:val="0"/>
                <w:numId w:val="6"/>
              </w:numPr>
              <w:tabs>
                <w:tab w:val="left" w:pos="567"/>
              </w:tabs>
              <w:jc w:val="both"/>
              <w:rPr>
                <w:sz w:val="24"/>
              </w:rPr>
            </w:pPr>
            <w:r w:rsidRPr="00D64F7D">
              <w:rPr>
                <w:sz w:val="24"/>
              </w:rPr>
              <w:t xml:space="preserve">SM </w:t>
            </w:r>
            <w:r w:rsidR="00582DDA">
              <w:rPr>
                <w:sz w:val="24"/>
              </w:rPr>
              <w:t>(</w:t>
            </w:r>
            <w:r w:rsidRPr="00D64F7D">
              <w:rPr>
                <w:sz w:val="24"/>
              </w:rPr>
              <w:t>LVRTC) ar datu centru (</w:t>
            </w:r>
            <w:proofErr w:type="spellStart"/>
            <w:r w:rsidRPr="00D64F7D">
              <w:rPr>
                <w:sz w:val="24"/>
              </w:rPr>
              <w:t>co-location</w:t>
            </w:r>
            <w:proofErr w:type="spellEnd"/>
            <w:r w:rsidRPr="00D64F7D">
              <w:rPr>
                <w:sz w:val="24"/>
              </w:rPr>
              <w:t xml:space="preserve">), drošas datu pārraides un saistītiem IKT drošības pakalpojumiem tehniski nodrošināt konkrēto </w:t>
            </w:r>
            <w:r w:rsidRPr="00D64F7D">
              <w:rPr>
                <w:sz w:val="24"/>
              </w:rPr>
              <w:lastRenderedPageBreak/>
              <w:t xml:space="preserve">risinājumu prasībām optimāli atbilstošus piekļuves nosacījumus komerciāliem </w:t>
            </w:r>
            <w:proofErr w:type="spellStart"/>
            <w:r w:rsidRPr="00D64F7D">
              <w:rPr>
                <w:sz w:val="24"/>
              </w:rPr>
              <w:t>IaaS</w:t>
            </w:r>
            <w:proofErr w:type="spellEnd"/>
            <w:r w:rsidRPr="00D64F7D">
              <w:rPr>
                <w:sz w:val="24"/>
              </w:rPr>
              <w:t xml:space="preserve">, </w:t>
            </w:r>
            <w:proofErr w:type="spellStart"/>
            <w:r w:rsidRPr="00D64F7D">
              <w:rPr>
                <w:sz w:val="24"/>
              </w:rPr>
              <w:t>PaaS</w:t>
            </w:r>
            <w:proofErr w:type="spellEnd"/>
            <w:r w:rsidRPr="00D64F7D">
              <w:rPr>
                <w:sz w:val="24"/>
              </w:rPr>
              <w:t xml:space="preserve"> un </w:t>
            </w:r>
            <w:proofErr w:type="spellStart"/>
            <w:r w:rsidRPr="00D64F7D">
              <w:rPr>
                <w:sz w:val="24"/>
              </w:rPr>
              <w:t>SaaS</w:t>
            </w:r>
            <w:proofErr w:type="spellEnd"/>
            <w:r w:rsidRPr="00D64F7D">
              <w:rPr>
                <w:sz w:val="24"/>
              </w:rPr>
              <w:t xml:space="preserve"> līmeņa pakalpojumiem līdz </w:t>
            </w:r>
            <w:r w:rsidR="009F7BDE">
              <w:rPr>
                <w:sz w:val="24"/>
              </w:rPr>
              <w:t>2020.gada 30.decembrim.</w:t>
            </w:r>
            <w:r w:rsidR="00582DDA">
              <w:rPr>
                <w:sz w:val="24"/>
              </w:rPr>
              <w:t xml:space="preserve"> SM </w:t>
            </w:r>
            <w:r w:rsidRPr="00D64F7D">
              <w:rPr>
                <w:sz w:val="24"/>
              </w:rPr>
              <w:t>papildināt Valsts elektronisko sakaru pakalpojuma centra sniegto pakalpojumu katalogu.</w:t>
            </w:r>
          </w:p>
          <w:p w:rsidR="007A7CCD" w:rsidRPr="007A7CCD" w:rsidRDefault="00D64F7D" w:rsidP="007A7CCD">
            <w:pPr>
              <w:pStyle w:val="ListParagraph"/>
              <w:numPr>
                <w:ilvl w:val="0"/>
                <w:numId w:val="6"/>
              </w:numPr>
              <w:tabs>
                <w:tab w:val="left" w:pos="567"/>
              </w:tabs>
              <w:jc w:val="both"/>
              <w:rPr>
                <w:sz w:val="24"/>
              </w:rPr>
            </w:pPr>
            <w:r w:rsidRPr="00D64F7D">
              <w:rPr>
                <w:sz w:val="24"/>
              </w:rPr>
              <w:t>V</w:t>
            </w:r>
            <w:r w:rsidR="00491EA8">
              <w:rPr>
                <w:sz w:val="24"/>
              </w:rPr>
              <w:t xml:space="preserve">ARAM </w:t>
            </w:r>
            <w:r w:rsidRPr="00D64F7D">
              <w:rPr>
                <w:sz w:val="24"/>
              </w:rPr>
              <w:t>(</w:t>
            </w:r>
            <w:r w:rsidR="00491EA8">
              <w:rPr>
                <w:sz w:val="24"/>
              </w:rPr>
              <w:t>VRAA</w:t>
            </w:r>
            <w:r w:rsidRPr="00D64F7D">
              <w:rPr>
                <w:sz w:val="24"/>
              </w:rPr>
              <w:t xml:space="preserve">) sadarbībā ar </w:t>
            </w:r>
            <w:r w:rsidR="00491EA8">
              <w:rPr>
                <w:sz w:val="24"/>
              </w:rPr>
              <w:t xml:space="preserve">KM </w:t>
            </w:r>
            <w:r w:rsidRPr="00D64F7D">
              <w:rPr>
                <w:sz w:val="24"/>
              </w:rPr>
              <w:t xml:space="preserve">(Valsts sociālās apdrošināšanas aģentūru), </w:t>
            </w:r>
            <w:r w:rsidR="00491EA8">
              <w:rPr>
                <w:sz w:val="24"/>
              </w:rPr>
              <w:t xml:space="preserve">ZM </w:t>
            </w:r>
            <w:r w:rsidRPr="00D64F7D">
              <w:rPr>
                <w:sz w:val="24"/>
              </w:rPr>
              <w:t xml:space="preserve">(Lauku atbalsta dienestu) un </w:t>
            </w:r>
            <w:r w:rsidR="00491EA8">
              <w:rPr>
                <w:sz w:val="24"/>
              </w:rPr>
              <w:t xml:space="preserve">SM </w:t>
            </w:r>
            <w:r w:rsidRPr="00D64F7D">
              <w:rPr>
                <w:sz w:val="24"/>
              </w:rPr>
              <w:t>(</w:t>
            </w:r>
            <w:r w:rsidR="00491EA8">
              <w:rPr>
                <w:sz w:val="24"/>
              </w:rPr>
              <w:t>LVRTC</w:t>
            </w:r>
            <w:r w:rsidRPr="00D64F7D">
              <w:rPr>
                <w:sz w:val="24"/>
              </w:rPr>
              <w:t xml:space="preserve">) līdz </w:t>
            </w:r>
            <w:r w:rsidR="009F7BDE">
              <w:rPr>
                <w:sz w:val="24"/>
              </w:rPr>
              <w:t>2020.gada 30.decembrim</w:t>
            </w:r>
            <w:r w:rsidRPr="00D64F7D">
              <w:rPr>
                <w:sz w:val="24"/>
              </w:rPr>
              <w:t xml:space="preserve"> izvērtēt iespēju</w:t>
            </w:r>
            <w:r w:rsidR="009F7BDE">
              <w:rPr>
                <w:sz w:val="24"/>
              </w:rPr>
              <w:t>,</w:t>
            </w:r>
            <w:r w:rsidRPr="00D64F7D">
              <w:rPr>
                <w:sz w:val="24"/>
              </w:rPr>
              <w:t xml:space="preserve"> savstarpēji sadarbojoties</w:t>
            </w:r>
            <w:r w:rsidR="009F7BDE">
              <w:rPr>
                <w:sz w:val="24"/>
              </w:rPr>
              <w:t>,</w:t>
            </w:r>
            <w:r w:rsidRPr="00D64F7D">
              <w:rPr>
                <w:sz w:val="24"/>
              </w:rPr>
              <w:t xml:space="preserve"> izmantot specializēta </w:t>
            </w:r>
            <w:proofErr w:type="spellStart"/>
            <w:r w:rsidR="00491EA8">
              <w:rPr>
                <w:sz w:val="24"/>
              </w:rPr>
              <w:t>IaaS</w:t>
            </w:r>
            <w:proofErr w:type="spellEnd"/>
            <w:r w:rsidR="00491EA8">
              <w:rPr>
                <w:sz w:val="24"/>
              </w:rPr>
              <w:t xml:space="preserve"> un </w:t>
            </w:r>
            <w:proofErr w:type="spellStart"/>
            <w:r w:rsidRPr="00D64F7D">
              <w:rPr>
                <w:sz w:val="24"/>
              </w:rPr>
              <w:t>PaaS</w:t>
            </w:r>
            <w:proofErr w:type="spellEnd"/>
            <w:r w:rsidRPr="00D64F7D">
              <w:rPr>
                <w:sz w:val="24"/>
              </w:rPr>
              <w:t xml:space="preserve"> pakalpojumus augstas komplicētības pakalpojumu izmaksu efektīvākam nodrošinājumam.</w:t>
            </w:r>
          </w:p>
        </w:tc>
      </w:tr>
      <w:tr w:rsidR="00D554B9" w:rsidRPr="00AA41BA" w:rsidTr="002C129B">
        <w:trPr>
          <w:trHeight w:val="4815"/>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lastRenderedPageBreak/>
              <w:t>4.</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Izvērtēt turpmākas publiskās pārvaldes pamatdarbības informācijas sistēmu, t.sk. valsts informācijas sistēmu, konsolidācijas u.c. optimizācijas iespējas, t.sk. veidojot koplietošanas informācijas sistēmas</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shd w:val="clear" w:color="auto" w:fill="auto"/>
          </w:tcPr>
          <w:p w:rsidR="00D554B9" w:rsidRPr="00AA41BA" w:rsidRDefault="00B72447" w:rsidP="007A7CCD">
            <w:pPr>
              <w:tabs>
                <w:tab w:val="left" w:pos="567"/>
              </w:tabs>
              <w:jc w:val="both"/>
              <w:rPr>
                <w:b/>
                <w:sz w:val="24"/>
              </w:rPr>
            </w:pPr>
            <w:r>
              <w:rPr>
                <w:b/>
                <w:sz w:val="24"/>
              </w:rPr>
              <w:t>Uzsākts</w:t>
            </w:r>
          </w:p>
          <w:p w:rsidR="00D554B9" w:rsidRPr="00AA41BA" w:rsidRDefault="00D554B9" w:rsidP="007A7CCD">
            <w:pPr>
              <w:tabs>
                <w:tab w:val="left" w:pos="567"/>
              </w:tabs>
              <w:jc w:val="both"/>
              <w:rPr>
                <w:sz w:val="24"/>
              </w:rPr>
            </w:pPr>
            <w:r w:rsidRPr="00AA41BA">
              <w:rPr>
                <w:sz w:val="24"/>
              </w:rPr>
              <w:t xml:space="preserve">VARAM turpina uzdevuma izpildi valsts vienotās IKT arhitektūras ieviešanas un Valsts informācijas sistēmu attīstības uzraudzības funkciju izpildes ietvaros. </w:t>
            </w:r>
          </w:p>
          <w:p w:rsidR="00D554B9" w:rsidRPr="00AA41BA" w:rsidRDefault="00D554B9" w:rsidP="007A7CCD">
            <w:pPr>
              <w:tabs>
                <w:tab w:val="left" w:pos="567"/>
              </w:tabs>
              <w:jc w:val="both"/>
              <w:rPr>
                <w:sz w:val="24"/>
              </w:rPr>
            </w:pPr>
            <w:r w:rsidRPr="00AA41BA">
              <w:rPr>
                <w:sz w:val="24"/>
              </w:rPr>
              <w:t xml:space="preserve">VARAM ir identificējis, ka, lai veicinātu atkārtotu izmantošanu ne tikai valsts pārvaldes rīcībā jau esošajām tehniskajām komponentēm (koplietošanas platformas, sistēmas un IKT risinājumus), bet arī zināšanām un labākajai praksei (t.sk. specifikācijām u.c. nodevumiem) IKT attīstības projektu jomā, ir jāattīsta un ar iekšējo konsultantu palīdzību efektīvi jāizmanto koplietošanas zināšanu bāze – IKT arhitektūras bibliotēka. Papildus ieguvumiem no tehnisko risinājumu koplietošanas un atkārtotas izmantošanas var gūt ietaupījumus arī komerciālo IKT konsultāciju pakalpojumu jomā. </w:t>
            </w:r>
          </w:p>
          <w:p w:rsidR="00D554B9" w:rsidRPr="00AA41BA" w:rsidRDefault="00D554B9" w:rsidP="007A7CCD">
            <w:pPr>
              <w:tabs>
                <w:tab w:val="left" w:pos="567"/>
              </w:tabs>
              <w:jc w:val="both"/>
              <w:rPr>
                <w:sz w:val="24"/>
              </w:rPr>
            </w:pPr>
            <w:r w:rsidRPr="00AA41BA">
              <w:rPr>
                <w:sz w:val="24"/>
              </w:rPr>
              <w:t xml:space="preserve">Ja SAM 2.2.1. </w:t>
            </w:r>
            <w:r w:rsidR="00B40859">
              <w:rPr>
                <w:sz w:val="24"/>
              </w:rPr>
              <w:t>projekta</w:t>
            </w:r>
            <w:r w:rsidRPr="00AA41BA">
              <w:rPr>
                <w:sz w:val="24"/>
              </w:rPr>
              <w:t xml:space="preserve"> PIKTAPS </w:t>
            </w:r>
            <w:r w:rsidR="00B40859" w:rsidRPr="00AA41BA">
              <w:rPr>
                <w:sz w:val="24"/>
              </w:rPr>
              <w:t xml:space="preserve">otrā kārta </w:t>
            </w:r>
            <w:r w:rsidRPr="00AA41BA">
              <w:rPr>
                <w:sz w:val="24"/>
              </w:rPr>
              <w:t>tiks uzsākt</w:t>
            </w:r>
            <w:r w:rsidR="00B40859">
              <w:rPr>
                <w:sz w:val="24"/>
              </w:rPr>
              <w:t>a</w:t>
            </w:r>
            <w:r w:rsidRPr="00AA41BA">
              <w:rPr>
                <w:sz w:val="24"/>
              </w:rPr>
              <w:t xml:space="preserve"> atbilstoši plānotajam, tad līdz 2022.gada 3.ceturksnim (ieskaitot) zināšanu bāzes attīstību un iekšējo IKT konsultāciju pakalpojumu varēs nodrošināt, izmantojot projektu PIKTAPS </w:t>
            </w:r>
            <w:r w:rsidR="00B40859">
              <w:rPr>
                <w:sz w:val="24"/>
              </w:rPr>
              <w:t xml:space="preserve">pirmās un otrās kārtas </w:t>
            </w:r>
            <w:r w:rsidRPr="00AA41BA">
              <w:rPr>
                <w:sz w:val="24"/>
              </w:rPr>
              <w:t xml:space="preserve">finansējumu. </w:t>
            </w:r>
          </w:p>
          <w:p w:rsidR="00D554B9" w:rsidRPr="00AA41BA" w:rsidRDefault="00D554B9" w:rsidP="007A7CCD">
            <w:pPr>
              <w:tabs>
                <w:tab w:val="left" w:pos="567"/>
              </w:tabs>
              <w:jc w:val="both"/>
              <w:rPr>
                <w:sz w:val="24"/>
              </w:rPr>
            </w:pPr>
            <w:r w:rsidRPr="00AA41BA">
              <w:rPr>
                <w:sz w:val="24"/>
              </w:rPr>
              <w:t>Piemēru konkrētam informācijas sistēmu konsolidācijas un procesu optimizācijas, izmantojot koplietošanas risinājumu skat. 11. punktā (informācijā par izpildi).</w:t>
            </w:r>
          </w:p>
          <w:p w:rsidR="00D554B9" w:rsidRPr="00AA41BA" w:rsidRDefault="007C1C4E" w:rsidP="007A7CCD">
            <w:pPr>
              <w:tabs>
                <w:tab w:val="left" w:pos="567"/>
              </w:tabs>
              <w:jc w:val="both"/>
              <w:rPr>
                <w:sz w:val="24"/>
              </w:rPr>
            </w:pPr>
            <w:r>
              <w:rPr>
                <w:sz w:val="24"/>
              </w:rPr>
              <w:t>Uzdevuma turpmākai izpildei nepieciešams</w:t>
            </w:r>
            <w:r w:rsidR="005A6647">
              <w:rPr>
                <w:sz w:val="24"/>
              </w:rPr>
              <w:t xml:space="preserve"> – VARAM </w:t>
            </w:r>
            <w:r w:rsidRPr="007C1C4E">
              <w:rPr>
                <w:sz w:val="24"/>
              </w:rPr>
              <w:t xml:space="preserve">SAM 2.2.1. publiskās pārvaldes IKT arhitektūras pārvaldības sistēmas </w:t>
            </w:r>
            <w:r w:rsidR="00B40859">
              <w:rPr>
                <w:sz w:val="24"/>
              </w:rPr>
              <w:t xml:space="preserve">projekta </w:t>
            </w:r>
            <w:r w:rsidRPr="007C1C4E">
              <w:rPr>
                <w:sz w:val="24"/>
              </w:rPr>
              <w:t>PIKTAPS pirmās un otrās kārtas ietvaros radīt valsts IKT attīstības projektiem kopīgi izmantojamu zināšanu bāzi (IKT arhitektūras bibliotēku) un iekšējo konsultāciju pakalpojumu tās efektīvas izmantošanas atbalstam.</w:t>
            </w:r>
          </w:p>
        </w:tc>
      </w:tr>
      <w:tr w:rsidR="007E7C82" w:rsidRPr="00AA41BA" w:rsidTr="002C129B">
        <w:trPr>
          <w:trHeight w:val="1707"/>
        </w:trPr>
        <w:tc>
          <w:tcPr>
            <w:tcW w:w="704" w:type="dxa"/>
            <w:shd w:val="clear" w:color="auto" w:fill="auto"/>
          </w:tcPr>
          <w:p w:rsidR="007E7C82" w:rsidRPr="007E7C82" w:rsidRDefault="007E7C82" w:rsidP="002C129B">
            <w:pPr>
              <w:tabs>
                <w:tab w:val="left" w:pos="567"/>
                <w:tab w:val="left" w:pos="993"/>
              </w:tabs>
              <w:jc w:val="center"/>
              <w:rPr>
                <w:sz w:val="24"/>
              </w:rPr>
            </w:pPr>
            <w:r w:rsidRPr="007E7C82">
              <w:rPr>
                <w:sz w:val="24"/>
              </w:rPr>
              <w:lastRenderedPageBreak/>
              <w:t>5.</w:t>
            </w:r>
          </w:p>
        </w:tc>
        <w:tc>
          <w:tcPr>
            <w:tcW w:w="650" w:type="dxa"/>
            <w:shd w:val="clear" w:color="auto" w:fill="auto"/>
          </w:tcPr>
          <w:p w:rsidR="007E7C82" w:rsidRPr="007E7C82" w:rsidRDefault="007E7C82" w:rsidP="007A7CCD">
            <w:pPr>
              <w:tabs>
                <w:tab w:val="left" w:pos="567"/>
                <w:tab w:val="left" w:pos="993"/>
              </w:tabs>
              <w:jc w:val="center"/>
              <w:rPr>
                <w:sz w:val="24"/>
              </w:rPr>
            </w:pPr>
            <w:r w:rsidRPr="007E7C82">
              <w:rPr>
                <w:sz w:val="24"/>
              </w:rPr>
              <w:t>B</w:t>
            </w:r>
          </w:p>
        </w:tc>
        <w:tc>
          <w:tcPr>
            <w:tcW w:w="3744" w:type="dxa"/>
            <w:shd w:val="clear" w:color="auto" w:fill="auto"/>
          </w:tcPr>
          <w:p w:rsidR="007E7C82" w:rsidRPr="007E7C82" w:rsidRDefault="007E7C82" w:rsidP="007A7CCD">
            <w:pPr>
              <w:tabs>
                <w:tab w:val="left" w:pos="567"/>
                <w:tab w:val="left" w:pos="993"/>
              </w:tabs>
              <w:jc w:val="both"/>
              <w:rPr>
                <w:sz w:val="24"/>
              </w:rPr>
            </w:pPr>
            <w:r w:rsidRPr="007E7C82">
              <w:rPr>
                <w:sz w:val="24"/>
              </w:rPr>
              <w:t>Īstenot grāmatvedības funkcijas centralizācijas pilotprojektu</w:t>
            </w:r>
            <w:r w:rsidR="001A250C">
              <w:rPr>
                <w:sz w:val="24"/>
              </w:rPr>
              <w:t>.</w:t>
            </w:r>
          </w:p>
          <w:p w:rsidR="007E7C82" w:rsidRPr="007E7C82" w:rsidRDefault="007E7C82" w:rsidP="007A7CCD">
            <w:pPr>
              <w:tabs>
                <w:tab w:val="left" w:pos="567"/>
                <w:tab w:val="left" w:pos="993"/>
              </w:tabs>
              <w:jc w:val="both"/>
              <w:rPr>
                <w:b/>
                <w:sz w:val="24"/>
              </w:rPr>
            </w:pPr>
            <w:r w:rsidRPr="007E7C82">
              <w:rPr>
                <w:sz w:val="24"/>
              </w:rPr>
              <w:t>Izvērtēt grāmatvedības procesu funkcijas centralizācijas potenciālu un piedāvāt iespējamos centralizācijas risinājumus, t.sk. novērtējot ietekmi uz budžetu</w:t>
            </w:r>
            <w:r w:rsidR="001A250C">
              <w:rPr>
                <w:sz w:val="24"/>
              </w:rPr>
              <w:t>.</w:t>
            </w:r>
          </w:p>
        </w:tc>
        <w:tc>
          <w:tcPr>
            <w:tcW w:w="1276" w:type="dxa"/>
            <w:shd w:val="clear" w:color="auto" w:fill="auto"/>
          </w:tcPr>
          <w:p w:rsidR="007E7C82" w:rsidRPr="007E7C82" w:rsidRDefault="007E7C82" w:rsidP="007A7CCD">
            <w:pPr>
              <w:tabs>
                <w:tab w:val="left" w:pos="567"/>
                <w:tab w:val="left" w:pos="993"/>
              </w:tabs>
              <w:jc w:val="both"/>
              <w:rPr>
                <w:sz w:val="24"/>
              </w:rPr>
            </w:pPr>
            <w:r w:rsidRPr="007E7C82">
              <w:rPr>
                <w:sz w:val="24"/>
              </w:rPr>
              <w:t>FM (Valsts kase)</w:t>
            </w:r>
          </w:p>
        </w:tc>
        <w:tc>
          <w:tcPr>
            <w:tcW w:w="7366" w:type="dxa"/>
            <w:shd w:val="clear" w:color="auto" w:fill="auto"/>
          </w:tcPr>
          <w:p w:rsidR="007E7C82" w:rsidRPr="00921127" w:rsidRDefault="00921127" w:rsidP="00921127">
            <w:pPr>
              <w:tabs>
                <w:tab w:val="left" w:pos="567"/>
              </w:tabs>
              <w:jc w:val="both"/>
              <w:rPr>
                <w:b/>
                <w:sz w:val="24"/>
              </w:rPr>
            </w:pPr>
            <w:r w:rsidRPr="00921127">
              <w:rPr>
                <w:b/>
                <w:sz w:val="24"/>
              </w:rPr>
              <w:t>Izpildīts</w:t>
            </w:r>
          </w:p>
          <w:p w:rsidR="00921127" w:rsidRPr="00921127" w:rsidRDefault="00921127" w:rsidP="00921127">
            <w:pPr>
              <w:jc w:val="both"/>
              <w:rPr>
                <w:rFonts w:eastAsiaTheme="minorHAnsi"/>
                <w:sz w:val="24"/>
              </w:rPr>
            </w:pPr>
            <w:r w:rsidRPr="00921127">
              <w:rPr>
                <w:sz w:val="24"/>
              </w:rPr>
              <w:t>2018.gadā ir realizēts grāmatvedības funkcijas centralizācijas pilotproj</w:t>
            </w:r>
            <w:r>
              <w:rPr>
                <w:sz w:val="24"/>
              </w:rPr>
              <w:t>ek</w:t>
            </w:r>
            <w:r w:rsidRPr="00921127">
              <w:rPr>
                <w:sz w:val="24"/>
              </w:rPr>
              <w:t>ts, kura ietvaros izveidots sadarbības modelis, kas gan juridiski gan organizatoriski ļauj organizēt grāmatvedības uzskaites funkciju valsts pārvaldes iestādē pakalpojuma modelī.</w:t>
            </w:r>
          </w:p>
          <w:p w:rsidR="00921127" w:rsidRPr="00921127" w:rsidRDefault="00921127" w:rsidP="00921127">
            <w:pPr>
              <w:jc w:val="both"/>
              <w:rPr>
                <w:sz w:val="24"/>
              </w:rPr>
            </w:pPr>
            <w:r w:rsidRPr="00921127">
              <w:rPr>
                <w:sz w:val="24"/>
              </w:rPr>
              <w:t xml:space="preserve">Valsts kase no 2019.gada 1.janvāra nodrošina grāmatvedības uzskaites pakalpojuma sniegšanu (turpmāk GUP) Valsts kancelejai, </w:t>
            </w:r>
            <w:proofErr w:type="spellStart"/>
            <w:r w:rsidRPr="00921127">
              <w:rPr>
                <w:sz w:val="24"/>
              </w:rPr>
              <w:t>Pārresoru</w:t>
            </w:r>
            <w:proofErr w:type="spellEnd"/>
            <w:r w:rsidRPr="00921127">
              <w:rPr>
                <w:sz w:val="24"/>
              </w:rPr>
              <w:t xml:space="preserve"> koordinācijas centram, Valsts administrācijas skolai un Nacionālajai elektronisko plašsaziņas līdzekļu padomei. </w:t>
            </w:r>
          </w:p>
          <w:p w:rsidR="00921127" w:rsidRPr="00921127" w:rsidRDefault="00921127" w:rsidP="00921127">
            <w:pPr>
              <w:jc w:val="both"/>
              <w:rPr>
                <w:sz w:val="24"/>
              </w:rPr>
            </w:pPr>
            <w:r w:rsidRPr="00921127">
              <w:rPr>
                <w:sz w:val="24"/>
              </w:rPr>
              <w:t xml:space="preserve">Pakalpojuma sniegšanas procesā tiek uzraudzīta procesa efektivitāte un izvērtēti iespējamie pilnveides pasākumi, tam ir potenciāls turpmākai funkcijas centralizācijai. Sadarbībā ar  Valsts kanceleju secināts, ka pakalpojums būtu efektīvāks, ja tiktu  ieviests standartizēts centralizēts </w:t>
            </w:r>
            <w:proofErr w:type="spellStart"/>
            <w:r w:rsidRPr="00921127">
              <w:rPr>
                <w:sz w:val="24"/>
              </w:rPr>
              <w:t>personālvadības</w:t>
            </w:r>
            <w:proofErr w:type="spellEnd"/>
            <w:r w:rsidRPr="00921127">
              <w:rPr>
                <w:sz w:val="24"/>
              </w:rPr>
              <w:t xml:space="preserve"> uzskaites funkcijas tehniskais risinājums, kas atbalstītu vienotus </w:t>
            </w:r>
            <w:proofErr w:type="spellStart"/>
            <w:r w:rsidRPr="00921127">
              <w:rPr>
                <w:sz w:val="24"/>
              </w:rPr>
              <w:t>personāluzskaites</w:t>
            </w:r>
            <w:proofErr w:type="spellEnd"/>
            <w:r w:rsidRPr="00921127">
              <w:rPr>
                <w:sz w:val="24"/>
              </w:rPr>
              <w:t xml:space="preserve"> procesus un nodrošinātu </w:t>
            </w:r>
            <w:proofErr w:type="spellStart"/>
            <w:r w:rsidRPr="00921127">
              <w:rPr>
                <w:sz w:val="24"/>
              </w:rPr>
              <w:t>saskarni</w:t>
            </w:r>
            <w:proofErr w:type="spellEnd"/>
            <w:r w:rsidRPr="00921127">
              <w:rPr>
                <w:sz w:val="24"/>
              </w:rPr>
              <w:t xml:space="preserve"> ar GUP ietvaros izmantoto grāmatvedības uzskaites sistēmu. </w:t>
            </w:r>
          </w:p>
          <w:p w:rsidR="00921127" w:rsidRPr="00921127" w:rsidRDefault="00921127" w:rsidP="00921127">
            <w:pPr>
              <w:jc w:val="both"/>
              <w:rPr>
                <w:sz w:val="24"/>
              </w:rPr>
            </w:pPr>
          </w:p>
          <w:p w:rsidR="00921127" w:rsidRPr="00921127" w:rsidRDefault="00921127" w:rsidP="00921127">
            <w:pPr>
              <w:jc w:val="both"/>
              <w:rPr>
                <w:i/>
                <w:iCs/>
                <w:sz w:val="22"/>
                <w:szCs w:val="22"/>
              </w:rPr>
            </w:pPr>
            <w:r w:rsidRPr="00921127">
              <w:rPr>
                <w:i/>
                <w:iCs/>
                <w:sz w:val="22"/>
                <w:szCs w:val="22"/>
              </w:rPr>
              <w:t xml:space="preserve">(papildus informācija: Valsts kanceleja izstrādā tehnisko specifikāciju Valsts pārvaldes cilvēkresursu vadības informācijas sistēmas (CIVIS) iepirkumam, kurā iekļaus arī personāla lietvedību un kas kopā ar </w:t>
            </w:r>
          </w:p>
          <w:p w:rsidR="00921127" w:rsidRPr="00921127" w:rsidRDefault="00921127" w:rsidP="00921127">
            <w:pPr>
              <w:jc w:val="both"/>
              <w:rPr>
                <w:i/>
                <w:iCs/>
                <w:sz w:val="22"/>
                <w:szCs w:val="22"/>
              </w:rPr>
            </w:pPr>
            <w:r w:rsidRPr="00921127">
              <w:rPr>
                <w:i/>
                <w:iCs/>
                <w:sz w:val="22"/>
                <w:szCs w:val="22"/>
              </w:rPr>
              <w:t xml:space="preserve">Valsts kases sniegto grāmatvedības uzskaites pakalpojuma atbalsta informācijas sistēma plānota kā grāmatvedības un personāla uzskaites pakalpojuma </w:t>
            </w:r>
            <w:proofErr w:type="spellStart"/>
            <w:r w:rsidRPr="00921127">
              <w:rPr>
                <w:i/>
                <w:iCs/>
                <w:sz w:val="22"/>
                <w:szCs w:val="22"/>
              </w:rPr>
              <w:t>sistēmatbalsts</w:t>
            </w:r>
            <w:proofErr w:type="spellEnd"/>
            <w:r w:rsidRPr="00921127">
              <w:rPr>
                <w:i/>
                <w:iCs/>
                <w:sz w:val="22"/>
                <w:szCs w:val="22"/>
              </w:rPr>
              <w:t>)</w:t>
            </w:r>
          </w:p>
        </w:tc>
      </w:tr>
      <w:tr w:rsidR="007E7C82" w:rsidRPr="00AA41BA" w:rsidTr="002C129B">
        <w:trPr>
          <w:trHeight w:val="899"/>
        </w:trPr>
        <w:tc>
          <w:tcPr>
            <w:tcW w:w="704" w:type="dxa"/>
            <w:shd w:val="clear" w:color="auto" w:fill="auto"/>
          </w:tcPr>
          <w:p w:rsidR="007E7C82" w:rsidRPr="007E7C82" w:rsidRDefault="007E7C82" w:rsidP="002C129B">
            <w:pPr>
              <w:tabs>
                <w:tab w:val="left" w:pos="567"/>
                <w:tab w:val="left" w:pos="993"/>
              </w:tabs>
              <w:jc w:val="center"/>
              <w:rPr>
                <w:sz w:val="24"/>
              </w:rPr>
            </w:pPr>
            <w:r w:rsidRPr="007E7C82">
              <w:rPr>
                <w:sz w:val="24"/>
              </w:rPr>
              <w:t>6.</w:t>
            </w:r>
          </w:p>
        </w:tc>
        <w:tc>
          <w:tcPr>
            <w:tcW w:w="650" w:type="dxa"/>
            <w:shd w:val="clear" w:color="auto" w:fill="auto"/>
          </w:tcPr>
          <w:p w:rsidR="007E7C82" w:rsidRPr="007E7C82" w:rsidRDefault="007E7C82" w:rsidP="007A7CCD">
            <w:pPr>
              <w:jc w:val="center"/>
              <w:rPr>
                <w:sz w:val="24"/>
              </w:rPr>
            </w:pPr>
            <w:r w:rsidRPr="007E7C82">
              <w:rPr>
                <w:sz w:val="24"/>
              </w:rPr>
              <w:t>B</w:t>
            </w:r>
          </w:p>
        </w:tc>
        <w:tc>
          <w:tcPr>
            <w:tcW w:w="3744" w:type="dxa"/>
            <w:shd w:val="clear" w:color="auto" w:fill="auto"/>
          </w:tcPr>
          <w:p w:rsidR="007E7C82" w:rsidRPr="007E7C82" w:rsidRDefault="007E7C82" w:rsidP="007A7CCD">
            <w:pPr>
              <w:jc w:val="both"/>
              <w:rPr>
                <w:i/>
                <w:sz w:val="24"/>
              </w:rPr>
            </w:pPr>
            <w:r w:rsidRPr="007E7C82">
              <w:rPr>
                <w:sz w:val="24"/>
              </w:rPr>
              <w:t>Noteikt elektronisko rēķinu tehniskās prasības elektronisko rēķinu ieviešanai publiskajā pārvaldē</w:t>
            </w:r>
            <w:r w:rsidR="001A250C">
              <w:rPr>
                <w:sz w:val="24"/>
              </w:rPr>
              <w:t>.</w:t>
            </w:r>
          </w:p>
        </w:tc>
        <w:tc>
          <w:tcPr>
            <w:tcW w:w="1276" w:type="dxa"/>
            <w:shd w:val="clear" w:color="auto" w:fill="auto"/>
          </w:tcPr>
          <w:p w:rsidR="007E7C82" w:rsidRPr="007E7C82" w:rsidRDefault="007E7C82" w:rsidP="005A0C61">
            <w:pPr>
              <w:tabs>
                <w:tab w:val="left" w:pos="567"/>
                <w:tab w:val="left" w:pos="993"/>
              </w:tabs>
              <w:jc w:val="both"/>
              <w:rPr>
                <w:sz w:val="24"/>
              </w:rPr>
            </w:pPr>
            <w:r w:rsidRPr="007E7C82">
              <w:rPr>
                <w:sz w:val="24"/>
              </w:rPr>
              <w:t>FM/</w:t>
            </w:r>
            <w:r w:rsidR="00E10E7C">
              <w:rPr>
                <w:sz w:val="24"/>
              </w:rPr>
              <w:t xml:space="preserve">Valsts kase/ </w:t>
            </w:r>
            <w:r w:rsidRPr="007E7C82">
              <w:rPr>
                <w:sz w:val="24"/>
              </w:rPr>
              <w:t>VARAM</w:t>
            </w:r>
          </w:p>
        </w:tc>
        <w:tc>
          <w:tcPr>
            <w:tcW w:w="7366" w:type="dxa"/>
            <w:shd w:val="clear" w:color="auto" w:fill="auto"/>
          </w:tcPr>
          <w:p w:rsidR="007E7C82" w:rsidRDefault="00335EFA" w:rsidP="007A7CCD">
            <w:pPr>
              <w:tabs>
                <w:tab w:val="left" w:pos="567"/>
              </w:tabs>
              <w:jc w:val="both"/>
              <w:rPr>
                <w:b/>
                <w:sz w:val="24"/>
              </w:rPr>
            </w:pPr>
            <w:r>
              <w:rPr>
                <w:b/>
                <w:sz w:val="24"/>
              </w:rPr>
              <w:t>Uzsākts</w:t>
            </w:r>
          </w:p>
          <w:p w:rsidR="00335EFA" w:rsidRDefault="00335EFA" w:rsidP="00335EFA">
            <w:pPr>
              <w:tabs>
                <w:tab w:val="left" w:pos="567"/>
              </w:tabs>
              <w:jc w:val="both"/>
              <w:rPr>
                <w:sz w:val="24"/>
              </w:rPr>
            </w:pPr>
            <w:r w:rsidRPr="00335EFA">
              <w:rPr>
                <w:sz w:val="24"/>
              </w:rPr>
              <w:t xml:space="preserve">Sadarbojoties FM, VARAM no NVO pārstāvjiem apzināts optimālais risinājums elektronisko rēķinu ieviešanai publiskajā pārvaldē. Elektronisko rēķinu apriti publiskajā pārvaldē ir paredzēts organizēt saskaņā ar  ISO/IEC 19845 (UBL 2.1) standartu un PAN-EUROPEAN PUBLIC PROCUREMENT ONLINE (PEPPOL) BIS </w:t>
            </w:r>
            <w:proofErr w:type="spellStart"/>
            <w:r w:rsidRPr="00335EFA">
              <w:rPr>
                <w:sz w:val="24"/>
              </w:rPr>
              <w:t>Billing</w:t>
            </w:r>
            <w:proofErr w:type="spellEnd"/>
            <w:r w:rsidRPr="00335EFA">
              <w:rPr>
                <w:sz w:val="24"/>
              </w:rPr>
              <w:t xml:space="preserve"> 3.0 rēķinu pamatelementu izmantošanas specifikāciju (</w:t>
            </w:r>
            <w:proofErr w:type="spellStart"/>
            <w:r w:rsidRPr="00335EFA">
              <w:rPr>
                <w:sz w:val="24"/>
              </w:rPr>
              <w:t>core</w:t>
            </w:r>
            <w:proofErr w:type="spellEnd"/>
            <w:r w:rsidRPr="00335EFA">
              <w:rPr>
                <w:sz w:val="24"/>
              </w:rPr>
              <w:t xml:space="preserve"> </w:t>
            </w:r>
            <w:proofErr w:type="spellStart"/>
            <w:r w:rsidRPr="00335EFA">
              <w:rPr>
                <w:sz w:val="24"/>
              </w:rPr>
              <w:t>Invoice</w:t>
            </w:r>
            <w:proofErr w:type="spellEnd"/>
            <w:r w:rsidRPr="00335EFA">
              <w:rPr>
                <w:sz w:val="24"/>
              </w:rPr>
              <w:t xml:space="preserve"> </w:t>
            </w:r>
            <w:proofErr w:type="spellStart"/>
            <w:r w:rsidRPr="00335EFA">
              <w:rPr>
                <w:sz w:val="24"/>
              </w:rPr>
              <w:t>Usage</w:t>
            </w:r>
            <w:proofErr w:type="spellEnd"/>
            <w:r w:rsidRPr="00335EFA">
              <w:rPr>
                <w:sz w:val="24"/>
              </w:rPr>
              <w:t xml:space="preserve"> </w:t>
            </w:r>
            <w:proofErr w:type="spellStart"/>
            <w:r w:rsidRPr="00335EFA">
              <w:rPr>
                <w:sz w:val="24"/>
              </w:rPr>
              <w:t>Specification</w:t>
            </w:r>
            <w:proofErr w:type="spellEnd"/>
            <w:r w:rsidRPr="00335EFA">
              <w:rPr>
                <w:sz w:val="24"/>
              </w:rPr>
              <w:t xml:space="preserve"> (CIUS)). Sagatavots un Ministru kabinetam iesniegts likumprojek</w:t>
            </w:r>
            <w:r>
              <w:rPr>
                <w:sz w:val="24"/>
              </w:rPr>
              <w:t>ts “</w:t>
            </w:r>
            <w:r w:rsidRPr="00335EFA">
              <w:rPr>
                <w:sz w:val="24"/>
              </w:rPr>
              <w:t xml:space="preserve">Grozījumi Publisko iepirkumu likumā”, kurā reglamentēti elektronisko rēķinu nosacījumi un dots deleģējums izstrādāt Ministru kabineta noteikumus piemērojamo elektroniskā rēķina standartu un tā </w:t>
            </w:r>
            <w:r w:rsidRPr="00335EFA">
              <w:rPr>
                <w:sz w:val="24"/>
              </w:rPr>
              <w:lastRenderedPageBreak/>
              <w:t>pamatelementu izmantošanas specifikācijas un nosūtīšanas kārtības noteikšanai.</w:t>
            </w:r>
          </w:p>
          <w:p w:rsidR="00335EFA" w:rsidRPr="00335EFA" w:rsidRDefault="00335EFA" w:rsidP="00335EFA">
            <w:pPr>
              <w:rPr>
                <w:sz w:val="24"/>
              </w:rPr>
            </w:pPr>
          </w:p>
        </w:tc>
      </w:tr>
      <w:tr w:rsidR="00D554B9" w:rsidRPr="00AA41BA" w:rsidTr="002C129B">
        <w:trPr>
          <w:trHeight w:val="143"/>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lastRenderedPageBreak/>
              <w:t>7.</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B</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Izstrādāt sistēmu, kas dod iespēju privātpersonām un uzņēmumiem sagatavot un nosūtīt elektronisko rēķinu publiskām personām, izmantojot oficiālo elektronisko adresi</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w:t>
            </w:r>
          </w:p>
        </w:tc>
        <w:tc>
          <w:tcPr>
            <w:tcW w:w="7366" w:type="dxa"/>
            <w:shd w:val="clear" w:color="auto" w:fill="auto"/>
          </w:tcPr>
          <w:p w:rsidR="00D554B9" w:rsidRPr="00AA41BA" w:rsidRDefault="00B72447" w:rsidP="007A7CCD">
            <w:pPr>
              <w:tabs>
                <w:tab w:val="left" w:pos="567"/>
              </w:tabs>
              <w:jc w:val="both"/>
              <w:rPr>
                <w:b/>
                <w:sz w:val="24"/>
              </w:rPr>
            </w:pPr>
            <w:r>
              <w:rPr>
                <w:b/>
                <w:sz w:val="24"/>
              </w:rPr>
              <w:t>Uzsākts</w:t>
            </w:r>
          </w:p>
          <w:p w:rsidR="00D554B9" w:rsidRPr="00AA41BA" w:rsidRDefault="00D554B9" w:rsidP="007A7CCD">
            <w:pPr>
              <w:tabs>
                <w:tab w:val="left" w:pos="567"/>
              </w:tabs>
              <w:jc w:val="both"/>
              <w:rPr>
                <w:sz w:val="24"/>
              </w:rPr>
            </w:pPr>
            <w:r w:rsidRPr="00AA41BA">
              <w:rPr>
                <w:sz w:val="24"/>
              </w:rPr>
              <w:t xml:space="preserve">Minētās funkcionalitātes izstrāde ir paredzēta Rīgas pašvaldības īstenotā SAM 2.2.1. projekta ietvaros. Papildus tam VRAA līdz </w:t>
            </w:r>
            <w:r w:rsidR="00B40859">
              <w:rPr>
                <w:sz w:val="24"/>
              </w:rPr>
              <w:t xml:space="preserve">2018.gada </w:t>
            </w:r>
            <w:r w:rsidRPr="00AA41BA">
              <w:rPr>
                <w:sz w:val="24"/>
              </w:rPr>
              <w:t xml:space="preserve">novembrim CEF finansējuma saņemšanai </w:t>
            </w:r>
            <w:r w:rsidR="009F7BDE">
              <w:rPr>
                <w:sz w:val="24"/>
              </w:rPr>
              <w:t xml:space="preserve">pieteiks </w:t>
            </w:r>
            <w:r w:rsidRPr="00AA41BA">
              <w:rPr>
                <w:sz w:val="24"/>
              </w:rPr>
              <w:t>projektu, kura ietvaros oficiālās e-adreses funkcionalitāte tiks papildināta</w:t>
            </w:r>
            <w:r w:rsidR="009F7BDE">
              <w:rPr>
                <w:sz w:val="24"/>
              </w:rPr>
              <w:t>, lai nodrošinātu</w:t>
            </w:r>
            <w:r w:rsidRPr="00AA41BA">
              <w:rPr>
                <w:sz w:val="24"/>
              </w:rPr>
              <w:t xml:space="preserve"> efektīvāk</w:t>
            </w:r>
            <w:r w:rsidR="009F7BDE">
              <w:rPr>
                <w:sz w:val="24"/>
              </w:rPr>
              <w:t>u</w:t>
            </w:r>
            <w:r w:rsidRPr="00AA41BA">
              <w:rPr>
                <w:sz w:val="24"/>
              </w:rPr>
              <w:t xml:space="preserve"> e-rēķinu apstrādi. </w:t>
            </w:r>
          </w:p>
        </w:tc>
      </w:tr>
      <w:tr w:rsidR="0095531A" w:rsidRPr="00AA41BA" w:rsidTr="002C129B">
        <w:trPr>
          <w:trHeight w:val="1168"/>
        </w:trPr>
        <w:tc>
          <w:tcPr>
            <w:tcW w:w="704" w:type="dxa"/>
            <w:shd w:val="clear" w:color="auto" w:fill="auto"/>
          </w:tcPr>
          <w:p w:rsidR="0095531A" w:rsidRPr="0095531A" w:rsidRDefault="0095531A" w:rsidP="002C129B">
            <w:pPr>
              <w:tabs>
                <w:tab w:val="left" w:pos="567"/>
                <w:tab w:val="left" w:pos="993"/>
              </w:tabs>
              <w:jc w:val="center"/>
              <w:rPr>
                <w:sz w:val="24"/>
              </w:rPr>
            </w:pPr>
            <w:r w:rsidRPr="0095531A">
              <w:rPr>
                <w:sz w:val="24"/>
              </w:rPr>
              <w:t>8.</w:t>
            </w:r>
          </w:p>
        </w:tc>
        <w:tc>
          <w:tcPr>
            <w:tcW w:w="650" w:type="dxa"/>
            <w:shd w:val="clear" w:color="auto" w:fill="auto"/>
          </w:tcPr>
          <w:p w:rsidR="0095531A" w:rsidRPr="0095531A" w:rsidRDefault="0095531A" w:rsidP="007A7CCD">
            <w:pPr>
              <w:tabs>
                <w:tab w:val="left" w:pos="567"/>
                <w:tab w:val="left" w:pos="993"/>
              </w:tabs>
              <w:jc w:val="center"/>
              <w:rPr>
                <w:sz w:val="24"/>
              </w:rPr>
            </w:pPr>
            <w:r w:rsidRPr="0095531A">
              <w:rPr>
                <w:sz w:val="24"/>
              </w:rPr>
              <w:t>B</w:t>
            </w:r>
          </w:p>
        </w:tc>
        <w:tc>
          <w:tcPr>
            <w:tcW w:w="3744" w:type="dxa"/>
            <w:shd w:val="clear" w:color="auto" w:fill="auto"/>
          </w:tcPr>
          <w:p w:rsidR="0095531A" w:rsidRPr="0095531A" w:rsidRDefault="0095531A" w:rsidP="007A7CCD">
            <w:pPr>
              <w:tabs>
                <w:tab w:val="left" w:pos="567"/>
                <w:tab w:val="left" w:pos="993"/>
              </w:tabs>
              <w:jc w:val="both"/>
              <w:rPr>
                <w:sz w:val="24"/>
              </w:rPr>
            </w:pPr>
            <w:r w:rsidRPr="0095531A">
              <w:rPr>
                <w:sz w:val="24"/>
              </w:rPr>
              <w:t>Definēt centralizējamos personāla vadības procesus un publiskās pārvaldes iestādēm personāla vadībā izmatojamā IKT nodrošinājuma izmantošanas stratēģiju.</w:t>
            </w:r>
          </w:p>
          <w:p w:rsidR="0095531A" w:rsidRPr="0095531A" w:rsidRDefault="0095531A" w:rsidP="007A7CCD">
            <w:pPr>
              <w:tabs>
                <w:tab w:val="left" w:pos="567"/>
                <w:tab w:val="left" w:pos="993"/>
              </w:tabs>
              <w:jc w:val="both"/>
              <w:rPr>
                <w:sz w:val="24"/>
              </w:rPr>
            </w:pPr>
            <w:r w:rsidRPr="0095531A">
              <w:rPr>
                <w:sz w:val="24"/>
              </w:rPr>
              <w:t>Izstrādāt un ieviest CIVIS informācijas sistēmu.</w:t>
            </w:r>
          </w:p>
        </w:tc>
        <w:tc>
          <w:tcPr>
            <w:tcW w:w="1276" w:type="dxa"/>
            <w:shd w:val="clear" w:color="auto" w:fill="auto"/>
          </w:tcPr>
          <w:p w:rsidR="0095531A" w:rsidRPr="0095531A" w:rsidRDefault="0095531A" w:rsidP="007A7CCD">
            <w:pPr>
              <w:tabs>
                <w:tab w:val="left" w:pos="567"/>
                <w:tab w:val="left" w:pos="993"/>
              </w:tabs>
              <w:jc w:val="both"/>
              <w:rPr>
                <w:sz w:val="24"/>
              </w:rPr>
            </w:pPr>
            <w:r w:rsidRPr="0095531A">
              <w:rPr>
                <w:sz w:val="24"/>
              </w:rPr>
              <w:t>Valsts kanceleja/ VARAM/  FM (Valsts kase)</w:t>
            </w:r>
          </w:p>
        </w:tc>
        <w:tc>
          <w:tcPr>
            <w:tcW w:w="7366" w:type="dxa"/>
            <w:shd w:val="clear" w:color="auto" w:fill="auto"/>
          </w:tcPr>
          <w:p w:rsidR="0095531A" w:rsidRDefault="00311EDC" w:rsidP="007A7CCD">
            <w:pPr>
              <w:tabs>
                <w:tab w:val="left" w:pos="567"/>
              </w:tabs>
              <w:jc w:val="both"/>
              <w:rPr>
                <w:b/>
                <w:sz w:val="24"/>
              </w:rPr>
            </w:pPr>
            <w:r>
              <w:rPr>
                <w:b/>
                <w:sz w:val="24"/>
              </w:rPr>
              <w:t>Uzsākts</w:t>
            </w:r>
          </w:p>
          <w:p w:rsidR="00311EDC" w:rsidRPr="00311EDC" w:rsidRDefault="00311EDC" w:rsidP="00311EDC">
            <w:pPr>
              <w:tabs>
                <w:tab w:val="left" w:pos="567"/>
              </w:tabs>
              <w:jc w:val="both"/>
              <w:rPr>
                <w:sz w:val="24"/>
              </w:rPr>
            </w:pPr>
            <w:r w:rsidRPr="00311EDC">
              <w:rPr>
                <w:sz w:val="24"/>
              </w:rPr>
              <w:t>Plānotais CIVIS projekta ieviešanas termiņš ir 04.07.2020. (izvērtēšanā grozījumi, kas pagarina projekta ieviešanu līdz 04.01.2021.). Ar 13.09.2017. Ministru kabineta rīkojumu "Par informācijas sabiedrības attīstības pamatnostādņu ieviešanu publiskās pārvaldes informācijas sistēmu jomā (</w:t>
            </w:r>
            <w:proofErr w:type="spellStart"/>
            <w:r w:rsidRPr="00311EDC">
              <w:rPr>
                <w:sz w:val="24"/>
              </w:rPr>
              <w:t>mērķarhitektūras</w:t>
            </w:r>
            <w:proofErr w:type="spellEnd"/>
            <w:r w:rsidRPr="00311EDC">
              <w:rPr>
                <w:sz w:val="24"/>
              </w:rPr>
              <w:t xml:space="preserve"> 29.0 versija), Personāla vadības platformas projekts apstiprināts un iekļauts informācijas un komunikācijas tehnoloģiju </w:t>
            </w:r>
            <w:proofErr w:type="spellStart"/>
            <w:r w:rsidRPr="00311EDC">
              <w:rPr>
                <w:sz w:val="24"/>
              </w:rPr>
              <w:t>mērķarhitektūrā</w:t>
            </w:r>
            <w:proofErr w:type="spellEnd"/>
            <w:r w:rsidRPr="00311EDC">
              <w:rPr>
                <w:sz w:val="24"/>
              </w:rPr>
              <w:t>. 04.01.2018. Valsts kanceleja ar CFLA noslēdza Vienošanos Nr.2.2.1.1./17/I/018 par CIVIS projekta īstenošanu. 06.07.2018. noslēgts līgums “Konsultāciju pakalpojumi informācijas un komunikāciju tehnoloģiju risinājumu ieviešanai Valsts kancelejas īstenoto Eiropas Reģionālās attīstības fonda projektu ietvaros”, kura ietvaros tiek gatavota dokumentācija, piemēram, biznesa prasību specifikācija un tehniskā specifikācija, tālāko projekta darbību īstenošanai.</w:t>
            </w:r>
          </w:p>
          <w:p w:rsidR="00311EDC" w:rsidRPr="00311EDC" w:rsidRDefault="00311EDC" w:rsidP="00311EDC">
            <w:pPr>
              <w:tabs>
                <w:tab w:val="left" w:pos="567"/>
              </w:tabs>
              <w:jc w:val="both"/>
              <w:rPr>
                <w:b/>
              </w:rPr>
            </w:pPr>
            <w:r w:rsidRPr="00311EDC">
              <w:rPr>
                <w:sz w:val="24"/>
              </w:rPr>
              <w:t xml:space="preserve">CIVIS sistēmā tiks iekļauti šādi </w:t>
            </w:r>
            <w:proofErr w:type="spellStart"/>
            <w:r w:rsidRPr="00311EDC">
              <w:rPr>
                <w:sz w:val="24"/>
              </w:rPr>
              <w:t>personālvadības</w:t>
            </w:r>
            <w:proofErr w:type="spellEnd"/>
            <w:r w:rsidRPr="00311EDC">
              <w:rPr>
                <w:sz w:val="24"/>
              </w:rPr>
              <w:t xml:space="preserve"> procesi – atlīdzības vadība un analīze, novērtējuma vadība, vakanču pārvaldība, mobilitāte, talantu vadība, darba laika uzskaite.</w:t>
            </w:r>
          </w:p>
        </w:tc>
      </w:tr>
      <w:tr w:rsidR="0095531A" w:rsidRPr="00AA41BA" w:rsidTr="002C129B">
        <w:trPr>
          <w:trHeight w:val="1275"/>
        </w:trPr>
        <w:tc>
          <w:tcPr>
            <w:tcW w:w="704" w:type="dxa"/>
            <w:shd w:val="clear" w:color="auto" w:fill="auto"/>
          </w:tcPr>
          <w:p w:rsidR="0095531A" w:rsidRPr="0095531A" w:rsidRDefault="0095531A" w:rsidP="002C129B">
            <w:pPr>
              <w:tabs>
                <w:tab w:val="left" w:pos="567"/>
                <w:tab w:val="left" w:pos="993"/>
              </w:tabs>
              <w:jc w:val="center"/>
              <w:rPr>
                <w:sz w:val="24"/>
              </w:rPr>
            </w:pPr>
            <w:r w:rsidRPr="0095531A">
              <w:rPr>
                <w:sz w:val="24"/>
              </w:rPr>
              <w:t>9.</w:t>
            </w:r>
          </w:p>
        </w:tc>
        <w:tc>
          <w:tcPr>
            <w:tcW w:w="650" w:type="dxa"/>
            <w:shd w:val="clear" w:color="auto" w:fill="auto"/>
          </w:tcPr>
          <w:p w:rsidR="0095531A" w:rsidRPr="0095531A" w:rsidRDefault="0095531A" w:rsidP="007A7CCD">
            <w:pPr>
              <w:tabs>
                <w:tab w:val="left" w:pos="567"/>
                <w:tab w:val="left" w:pos="993"/>
              </w:tabs>
              <w:jc w:val="center"/>
              <w:rPr>
                <w:sz w:val="24"/>
              </w:rPr>
            </w:pPr>
            <w:r w:rsidRPr="0095531A">
              <w:rPr>
                <w:sz w:val="24"/>
              </w:rPr>
              <w:t>B</w:t>
            </w:r>
          </w:p>
        </w:tc>
        <w:tc>
          <w:tcPr>
            <w:tcW w:w="3744" w:type="dxa"/>
            <w:shd w:val="clear" w:color="auto" w:fill="auto"/>
          </w:tcPr>
          <w:p w:rsidR="0095531A" w:rsidRPr="0095531A" w:rsidRDefault="0095531A" w:rsidP="007A7CCD">
            <w:pPr>
              <w:tabs>
                <w:tab w:val="left" w:pos="567"/>
                <w:tab w:val="left" w:pos="993"/>
              </w:tabs>
              <w:jc w:val="both"/>
              <w:rPr>
                <w:b/>
                <w:sz w:val="24"/>
              </w:rPr>
            </w:pPr>
            <w:r w:rsidRPr="0095531A">
              <w:rPr>
                <w:sz w:val="24"/>
              </w:rPr>
              <w:t>Izstrādāt un ieviest vienoto publiskās pārvaldes iestāžu tīmekļa vietņu platformu (Vienotais mājaslapu portāls) īstenojot ERAF IKT projektu, kā arī izstrādāt platformas visaptverošas ieviešanas pasākumu plānu, t.sk. identificējot ietekmi uz budžetu.</w:t>
            </w:r>
          </w:p>
        </w:tc>
        <w:tc>
          <w:tcPr>
            <w:tcW w:w="1276" w:type="dxa"/>
            <w:shd w:val="clear" w:color="auto" w:fill="auto"/>
          </w:tcPr>
          <w:p w:rsidR="0095531A" w:rsidRPr="0095531A" w:rsidRDefault="0095531A" w:rsidP="007A7CCD">
            <w:pPr>
              <w:tabs>
                <w:tab w:val="left" w:pos="567"/>
                <w:tab w:val="left" w:pos="993"/>
              </w:tabs>
              <w:jc w:val="both"/>
              <w:rPr>
                <w:sz w:val="24"/>
              </w:rPr>
            </w:pPr>
            <w:r w:rsidRPr="0095531A">
              <w:rPr>
                <w:sz w:val="24"/>
              </w:rPr>
              <w:t>Valsts kanceleja</w:t>
            </w:r>
          </w:p>
        </w:tc>
        <w:tc>
          <w:tcPr>
            <w:tcW w:w="7366" w:type="dxa"/>
            <w:shd w:val="clear" w:color="auto" w:fill="auto"/>
          </w:tcPr>
          <w:p w:rsidR="0095531A" w:rsidRDefault="00311EDC" w:rsidP="007A7CCD">
            <w:pPr>
              <w:tabs>
                <w:tab w:val="left" w:pos="567"/>
              </w:tabs>
              <w:jc w:val="both"/>
              <w:rPr>
                <w:b/>
                <w:sz w:val="24"/>
              </w:rPr>
            </w:pPr>
            <w:r w:rsidRPr="00311EDC">
              <w:rPr>
                <w:b/>
                <w:sz w:val="24"/>
              </w:rPr>
              <w:t>Uzsākts</w:t>
            </w:r>
          </w:p>
          <w:p w:rsidR="00311EDC" w:rsidRPr="00311EDC" w:rsidRDefault="00311EDC" w:rsidP="007A7CCD">
            <w:pPr>
              <w:tabs>
                <w:tab w:val="left" w:pos="567"/>
              </w:tabs>
              <w:jc w:val="both"/>
              <w:rPr>
                <w:sz w:val="24"/>
              </w:rPr>
            </w:pPr>
            <w:r w:rsidRPr="00311EDC">
              <w:rPr>
                <w:sz w:val="24"/>
              </w:rPr>
              <w:t>Plānotais Valsts un pašvaldību iestāžu tīmekļvietņu vienotā platformas projekta ieviešanas termiņš ir 04.01.2021. Ar 31.08.2017. Ministru kabineta rīkojumu "Par informācijas sabiedrības attīstības pamatnostādņu ieviešanu publiskās pārvaldes informācijas sistēmu jomā (</w:t>
            </w:r>
            <w:proofErr w:type="spellStart"/>
            <w:r w:rsidRPr="00311EDC">
              <w:rPr>
                <w:sz w:val="24"/>
              </w:rPr>
              <w:t>mērķarhitektūras</w:t>
            </w:r>
            <w:proofErr w:type="spellEnd"/>
            <w:r w:rsidRPr="00311EDC">
              <w:rPr>
                <w:sz w:val="24"/>
              </w:rPr>
              <w:t xml:space="preserve"> 31.0 versija), Valsts un pašvaldību iestāžu tīmekļvietņu vienotās platformas projekts apstiprināts un iekļauts informācijas un komunikācijas tehnoloģiju </w:t>
            </w:r>
            <w:proofErr w:type="spellStart"/>
            <w:r w:rsidRPr="00311EDC">
              <w:rPr>
                <w:sz w:val="24"/>
              </w:rPr>
              <w:t>mērķarhitektūrā</w:t>
            </w:r>
            <w:proofErr w:type="spellEnd"/>
            <w:r w:rsidRPr="00311EDC">
              <w:rPr>
                <w:sz w:val="24"/>
              </w:rPr>
              <w:t xml:space="preserve">. 04.01.2018. Valsts kanceleja ar CFLA noslēdza </w:t>
            </w:r>
            <w:r w:rsidRPr="00311EDC">
              <w:rPr>
                <w:sz w:val="24"/>
              </w:rPr>
              <w:lastRenderedPageBreak/>
              <w:t>Vienošanos Nr.2.2.1.1./17/I/016 par Valsts un pašvaldību iestāžu tīmekļvietņu vienotā platformas projekta īstenošanu. 06.07.2018. noslēgts līgums “Konsultāciju pakalpojumi informācijas un komunikāciju tehnoloģiju risinājumu ieviešanai Valsts kancelejas īstenoto Eiropas Reģionālās attīstības fonda projektu ietvaros”, kura ietvaros tiek gatavota dokumentācija, piemēram, biznesa prasību specifikācija un tehniskā specifikācija, tālāko projekta darbību īstenošanai.</w:t>
            </w:r>
          </w:p>
        </w:tc>
      </w:tr>
      <w:tr w:rsidR="0095531A" w:rsidRPr="00AA41BA" w:rsidTr="002C129B">
        <w:trPr>
          <w:trHeight w:val="872"/>
        </w:trPr>
        <w:tc>
          <w:tcPr>
            <w:tcW w:w="704" w:type="dxa"/>
            <w:shd w:val="clear" w:color="auto" w:fill="auto"/>
          </w:tcPr>
          <w:p w:rsidR="0095531A" w:rsidRPr="0095531A" w:rsidRDefault="0095531A" w:rsidP="002C129B">
            <w:pPr>
              <w:tabs>
                <w:tab w:val="left" w:pos="567"/>
                <w:tab w:val="left" w:pos="993"/>
              </w:tabs>
              <w:jc w:val="center"/>
              <w:rPr>
                <w:sz w:val="24"/>
              </w:rPr>
            </w:pPr>
            <w:r w:rsidRPr="0095531A">
              <w:rPr>
                <w:sz w:val="24"/>
              </w:rPr>
              <w:lastRenderedPageBreak/>
              <w:t>10.</w:t>
            </w:r>
          </w:p>
        </w:tc>
        <w:tc>
          <w:tcPr>
            <w:tcW w:w="650" w:type="dxa"/>
            <w:shd w:val="clear" w:color="auto" w:fill="auto"/>
          </w:tcPr>
          <w:p w:rsidR="0095531A" w:rsidRPr="0095531A" w:rsidRDefault="0095531A" w:rsidP="007A7CCD">
            <w:pPr>
              <w:tabs>
                <w:tab w:val="left" w:pos="567"/>
                <w:tab w:val="left" w:pos="993"/>
              </w:tabs>
              <w:jc w:val="center"/>
              <w:rPr>
                <w:sz w:val="24"/>
              </w:rPr>
            </w:pPr>
            <w:r w:rsidRPr="0095531A">
              <w:rPr>
                <w:sz w:val="24"/>
              </w:rPr>
              <w:t>B</w:t>
            </w:r>
          </w:p>
        </w:tc>
        <w:tc>
          <w:tcPr>
            <w:tcW w:w="3744" w:type="dxa"/>
            <w:shd w:val="clear" w:color="auto" w:fill="auto"/>
          </w:tcPr>
          <w:p w:rsidR="0095531A" w:rsidRPr="0095531A" w:rsidRDefault="0095531A" w:rsidP="007A7CCD">
            <w:pPr>
              <w:tabs>
                <w:tab w:val="left" w:pos="567"/>
                <w:tab w:val="left" w:pos="993"/>
              </w:tabs>
              <w:jc w:val="both"/>
              <w:rPr>
                <w:b/>
                <w:sz w:val="24"/>
              </w:rPr>
            </w:pPr>
            <w:r w:rsidRPr="0095531A">
              <w:rPr>
                <w:sz w:val="24"/>
              </w:rPr>
              <w:t>Izstrādāt un ieviest Tiesību aktu portālu īstenojot ERAF IKT projektu.</w:t>
            </w:r>
          </w:p>
        </w:tc>
        <w:tc>
          <w:tcPr>
            <w:tcW w:w="1276" w:type="dxa"/>
            <w:shd w:val="clear" w:color="auto" w:fill="auto"/>
          </w:tcPr>
          <w:p w:rsidR="0095531A" w:rsidRPr="0095531A" w:rsidRDefault="0095531A" w:rsidP="007A7CCD">
            <w:pPr>
              <w:tabs>
                <w:tab w:val="left" w:pos="567"/>
                <w:tab w:val="left" w:pos="993"/>
              </w:tabs>
              <w:jc w:val="both"/>
              <w:rPr>
                <w:sz w:val="24"/>
              </w:rPr>
            </w:pPr>
            <w:r w:rsidRPr="0095531A">
              <w:rPr>
                <w:sz w:val="24"/>
              </w:rPr>
              <w:t>Valsts kanceleja</w:t>
            </w:r>
          </w:p>
        </w:tc>
        <w:tc>
          <w:tcPr>
            <w:tcW w:w="7366" w:type="dxa"/>
            <w:shd w:val="clear" w:color="auto" w:fill="auto"/>
          </w:tcPr>
          <w:p w:rsidR="0095531A" w:rsidRPr="00311EDC" w:rsidRDefault="00311EDC" w:rsidP="007A7CCD">
            <w:pPr>
              <w:tabs>
                <w:tab w:val="left" w:pos="567"/>
              </w:tabs>
              <w:jc w:val="both"/>
              <w:rPr>
                <w:b/>
                <w:sz w:val="24"/>
              </w:rPr>
            </w:pPr>
            <w:r w:rsidRPr="00311EDC">
              <w:rPr>
                <w:b/>
                <w:sz w:val="24"/>
              </w:rPr>
              <w:t>Uzsākts</w:t>
            </w:r>
          </w:p>
          <w:p w:rsidR="00311EDC" w:rsidRPr="00311EDC" w:rsidRDefault="00311EDC" w:rsidP="00311EDC">
            <w:pPr>
              <w:tabs>
                <w:tab w:val="left" w:pos="567"/>
              </w:tabs>
              <w:jc w:val="both"/>
              <w:rPr>
                <w:sz w:val="24"/>
              </w:rPr>
            </w:pPr>
            <w:r w:rsidRPr="00311EDC">
              <w:rPr>
                <w:sz w:val="24"/>
              </w:rPr>
              <w:t xml:space="preserve">Plānotais TAP projekta ieviešanas termiņš ir 07.01.2021. TAP projektā 10.02.2017. notikusi tikšanās ar VSIA "Latvijas Vēstnesis", 21.03.2017. tikšanās ar Saeimas administrāciju par datu apmaiņas jautājumiem. Atbilstoši MK 10.08.2017. rīkojumam Nr.422 Valsts kancelejai papildus novirzīti 450 000 </w:t>
            </w:r>
            <w:proofErr w:type="spellStart"/>
            <w:r w:rsidRPr="00311EDC">
              <w:rPr>
                <w:sz w:val="24"/>
              </w:rPr>
              <w:t>euro</w:t>
            </w:r>
            <w:proofErr w:type="spellEnd"/>
            <w:r w:rsidRPr="00311EDC">
              <w:rPr>
                <w:sz w:val="24"/>
              </w:rPr>
              <w:t xml:space="preserve">  TAP projekta īstenošanai. Ar 29.08.2017. MK rīkojumu "Par informācijas sabiedrības attīstības pamatnostādņu ieviešanu publiskās pārvaldes informācijas sistēmu jomā (</w:t>
            </w:r>
            <w:proofErr w:type="spellStart"/>
            <w:r w:rsidRPr="00311EDC">
              <w:rPr>
                <w:sz w:val="24"/>
              </w:rPr>
              <w:t>mērķarhitektūras</w:t>
            </w:r>
            <w:proofErr w:type="spellEnd"/>
            <w:r w:rsidRPr="00311EDC">
              <w:rPr>
                <w:sz w:val="24"/>
              </w:rPr>
              <w:t xml:space="preserve"> 10.0 versija), Vienotā tiesību aktu projektu izstrādes un saskaņošanas portāla projekts apstiprināts un iekļauts informācijas un komunikācijas tehnoloģiju </w:t>
            </w:r>
            <w:proofErr w:type="spellStart"/>
            <w:r w:rsidRPr="00311EDC">
              <w:rPr>
                <w:sz w:val="24"/>
              </w:rPr>
              <w:t>mērķarhitektūrā</w:t>
            </w:r>
            <w:proofErr w:type="spellEnd"/>
            <w:r w:rsidRPr="00311EDC">
              <w:rPr>
                <w:sz w:val="24"/>
              </w:rPr>
              <w:t xml:space="preserve">. 08.01.2018. Valsts kanceleja ar CFLA noslēdza Vienošanos Nr.2.2.1.1./17/I/014 par TAP projekta īstenošanu. 13.12.2017. Valsts kanceleja noslēdza Vienošanos ar EIS izvēlētu konsultantu par TAP projekta konsultāciju pakalpojumu sniegšanu, noris darbs pie TAP portāla tehniskās specifikācijas izstrādes. 24.10.2017. Valsts kanceleja prezentēja TAP projektu Valsts Prezidenta birojā, bet 10.01.2018. </w:t>
            </w:r>
            <w:proofErr w:type="spellStart"/>
            <w:r w:rsidRPr="00311EDC">
              <w:rPr>
                <w:sz w:val="24"/>
              </w:rPr>
              <w:t>starpministriju</w:t>
            </w:r>
            <w:proofErr w:type="spellEnd"/>
            <w:r w:rsidRPr="00311EDC">
              <w:rPr>
                <w:sz w:val="24"/>
              </w:rPr>
              <w:t xml:space="preserve"> sanāksmē. Valsts kanceleja 2017. gadā turpināja projekta “Vienotais tiesību aktu projektu izstrādes un saskaņošanas portāls” (turpmāk – TAP projekts) īstenošanu. </w:t>
            </w:r>
          </w:p>
          <w:p w:rsidR="00311EDC" w:rsidRPr="00311EDC" w:rsidRDefault="00311EDC" w:rsidP="00311EDC">
            <w:pPr>
              <w:tabs>
                <w:tab w:val="left" w:pos="567"/>
              </w:tabs>
              <w:jc w:val="both"/>
              <w:rPr>
                <w:sz w:val="24"/>
              </w:rPr>
            </w:pPr>
            <w:r w:rsidRPr="00311EDC">
              <w:rPr>
                <w:sz w:val="24"/>
              </w:rPr>
              <w:t>2018. gada 26. aprīlī Valsts kanceleja noslēdza Sadarbības līgumu ar Latvijas Vēstnesi par sadarbību “Vienotais tiesību aktu projektu izstrādes un saskaņošanas portāls” projekta ietvaros.</w:t>
            </w:r>
          </w:p>
          <w:p w:rsidR="00311EDC" w:rsidRPr="00311EDC" w:rsidRDefault="00311EDC" w:rsidP="00311EDC">
            <w:pPr>
              <w:tabs>
                <w:tab w:val="left" w:pos="567"/>
              </w:tabs>
              <w:jc w:val="both"/>
              <w:rPr>
                <w:sz w:val="24"/>
              </w:rPr>
            </w:pPr>
            <w:r w:rsidRPr="00311EDC">
              <w:rPr>
                <w:sz w:val="24"/>
              </w:rPr>
              <w:t xml:space="preserve">2018. gada 26. aprīlī Valsts kanceleja Projektu uzraudzības padomē tika apstiprināts un vēlāk arī no Valsts kancelejas puses pieņemts Vienošanās par TAP projekta konsultāciju pakalpojumu sniegšanu 2.posma nodevums (Tehniskā specifikācija; Portāla uzturēšanas prasības; Portāla ieviešanas un </w:t>
            </w:r>
            <w:r w:rsidRPr="00311EDC">
              <w:rPr>
                <w:sz w:val="24"/>
              </w:rPr>
              <w:lastRenderedPageBreak/>
              <w:t>pārejas prasības; Biznesa procesu un prasību specifikācija; Datu arhitektūras prasības”.</w:t>
            </w:r>
          </w:p>
          <w:p w:rsidR="00311EDC" w:rsidRPr="00311EDC" w:rsidRDefault="00311EDC" w:rsidP="00311EDC">
            <w:pPr>
              <w:tabs>
                <w:tab w:val="left" w:pos="567"/>
              </w:tabs>
              <w:jc w:val="both"/>
              <w:rPr>
                <w:sz w:val="24"/>
              </w:rPr>
            </w:pPr>
            <w:r>
              <w:rPr>
                <w:sz w:val="24"/>
              </w:rPr>
              <w:t>2018. gada 5.</w:t>
            </w:r>
            <w:r w:rsidRPr="00311EDC">
              <w:rPr>
                <w:sz w:val="24"/>
              </w:rPr>
              <w:t xml:space="preserve">jūnijā Valsts kanceleja noslēdza Sadarbības līgumu ar </w:t>
            </w:r>
            <w:proofErr w:type="spellStart"/>
            <w:r w:rsidRPr="00311EDC">
              <w:rPr>
                <w:sz w:val="24"/>
              </w:rPr>
              <w:t>Iekšlietu</w:t>
            </w:r>
            <w:proofErr w:type="spellEnd"/>
            <w:r w:rsidRPr="00311EDC">
              <w:rPr>
                <w:sz w:val="24"/>
              </w:rPr>
              <w:t xml:space="preserve"> ministrijas informācijas centru par sadarbību “Vienotais tiesību aktu projektu izstrādes un saskaņošanas portāls” projekta ietvaros.</w:t>
            </w:r>
          </w:p>
          <w:p w:rsidR="00311EDC" w:rsidRPr="00311EDC" w:rsidRDefault="00311EDC" w:rsidP="00311EDC">
            <w:pPr>
              <w:tabs>
                <w:tab w:val="left" w:pos="567"/>
              </w:tabs>
              <w:jc w:val="both"/>
              <w:rPr>
                <w:sz w:val="24"/>
              </w:rPr>
            </w:pPr>
            <w:r w:rsidRPr="00311EDC">
              <w:rPr>
                <w:sz w:val="24"/>
              </w:rPr>
              <w:t>2018. gada 12. jūnijā Valsts kanceleja noslēdza Sadarbības līgumu ar Tieslietu ministriju par sadarbību “Vienotais tiesību aktu projektu izstrādes un saskaņošanas portāls” projekta ietvaros.</w:t>
            </w:r>
          </w:p>
          <w:p w:rsidR="00311EDC" w:rsidRPr="00311EDC" w:rsidRDefault="00311EDC" w:rsidP="00311EDC">
            <w:pPr>
              <w:tabs>
                <w:tab w:val="left" w:pos="567"/>
              </w:tabs>
              <w:jc w:val="both"/>
              <w:rPr>
                <w:sz w:val="24"/>
              </w:rPr>
            </w:pPr>
            <w:r w:rsidRPr="00311EDC">
              <w:rPr>
                <w:sz w:val="24"/>
              </w:rPr>
              <w:t>2018.gada 18.jūnijā Valsts kanceleja nosūtīja pretendentiem uzaicinājumu (Sarunu procedūras nolikums ar Tehnisko specifikāciju) piedalīties sarunu procedūrā un iesniegt savus piedāvājumus līdz 18.07.2018. Plānotais TAP projekta ieviešanas termiņš ir 2021. gada 7. janvāris. Šobrīd noris izstrādātāju piedāvājumu vērtēšana sarunu procedūras ietvaros.</w:t>
            </w:r>
          </w:p>
        </w:tc>
      </w:tr>
      <w:tr w:rsidR="00D554B9" w:rsidRPr="00AA41BA" w:rsidTr="002C129B">
        <w:trPr>
          <w:trHeight w:val="5666"/>
        </w:trPr>
        <w:tc>
          <w:tcPr>
            <w:tcW w:w="704" w:type="dxa"/>
            <w:shd w:val="clear" w:color="auto" w:fill="auto"/>
          </w:tcPr>
          <w:p w:rsidR="00D554B9" w:rsidRPr="00AA41BA" w:rsidRDefault="00D554B9" w:rsidP="002C129B">
            <w:pPr>
              <w:tabs>
                <w:tab w:val="left" w:pos="567"/>
                <w:tab w:val="left" w:pos="993"/>
              </w:tabs>
              <w:jc w:val="center"/>
              <w:rPr>
                <w:sz w:val="24"/>
              </w:rPr>
            </w:pPr>
            <w:r w:rsidRPr="00AA41BA">
              <w:rPr>
                <w:sz w:val="24"/>
              </w:rPr>
              <w:lastRenderedPageBreak/>
              <w:t>11.</w:t>
            </w:r>
          </w:p>
        </w:tc>
        <w:tc>
          <w:tcPr>
            <w:tcW w:w="650" w:type="dxa"/>
            <w:shd w:val="clear" w:color="auto" w:fill="auto"/>
          </w:tcPr>
          <w:p w:rsidR="00D554B9" w:rsidRPr="00AA41BA" w:rsidRDefault="00D554B9" w:rsidP="007A7CCD">
            <w:pPr>
              <w:tabs>
                <w:tab w:val="left" w:pos="567"/>
                <w:tab w:val="left" w:pos="993"/>
              </w:tabs>
              <w:jc w:val="center"/>
              <w:rPr>
                <w:sz w:val="24"/>
              </w:rPr>
            </w:pPr>
            <w:r w:rsidRPr="00AA41BA">
              <w:rPr>
                <w:sz w:val="24"/>
              </w:rPr>
              <w:t>B</w:t>
            </w:r>
          </w:p>
        </w:tc>
        <w:tc>
          <w:tcPr>
            <w:tcW w:w="3744" w:type="dxa"/>
            <w:shd w:val="clear" w:color="auto" w:fill="auto"/>
          </w:tcPr>
          <w:p w:rsidR="00D554B9" w:rsidRPr="00AA41BA" w:rsidRDefault="00D554B9" w:rsidP="007A7CCD">
            <w:pPr>
              <w:tabs>
                <w:tab w:val="left" w:pos="567"/>
                <w:tab w:val="left" w:pos="993"/>
              </w:tabs>
              <w:jc w:val="both"/>
              <w:rPr>
                <w:sz w:val="24"/>
              </w:rPr>
            </w:pPr>
            <w:r w:rsidRPr="00AA41BA">
              <w:rPr>
                <w:sz w:val="24"/>
              </w:rPr>
              <w:t>Izvērtēt dokumentu piegādes centralizācijas potenciālu un piedāvāt iespējamos centralizācijas risinājumus, t.sk. novērtējot ietekmi uz budžetu</w:t>
            </w:r>
            <w:r w:rsidR="001A250C">
              <w:rPr>
                <w:sz w:val="24"/>
              </w:rPr>
              <w:t>.</w:t>
            </w:r>
          </w:p>
        </w:tc>
        <w:tc>
          <w:tcPr>
            <w:tcW w:w="1276" w:type="dxa"/>
            <w:shd w:val="clear" w:color="auto" w:fill="auto"/>
          </w:tcPr>
          <w:p w:rsidR="00D554B9" w:rsidRPr="00AA41BA" w:rsidRDefault="00D554B9" w:rsidP="007A7CCD">
            <w:pPr>
              <w:tabs>
                <w:tab w:val="left" w:pos="567"/>
                <w:tab w:val="left" w:pos="993"/>
              </w:tabs>
              <w:jc w:val="both"/>
              <w:rPr>
                <w:sz w:val="24"/>
              </w:rPr>
            </w:pPr>
            <w:r w:rsidRPr="00AA41BA">
              <w:rPr>
                <w:sz w:val="24"/>
              </w:rPr>
              <w:t>VARAM/ VRAA</w:t>
            </w:r>
          </w:p>
        </w:tc>
        <w:tc>
          <w:tcPr>
            <w:tcW w:w="7366" w:type="dxa"/>
            <w:shd w:val="clear" w:color="auto" w:fill="auto"/>
          </w:tcPr>
          <w:p w:rsidR="00D554B9" w:rsidRPr="00AA41BA" w:rsidRDefault="00B72447" w:rsidP="007A7CCD">
            <w:pPr>
              <w:tabs>
                <w:tab w:val="left" w:pos="567"/>
              </w:tabs>
              <w:jc w:val="both"/>
              <w:rPr>
                <w:b/>
                <w:sz w:val="24"/>
              </w:rPr>
            </w:pPr>
            <w:r>
              <w:rPr>
                <w:b/>
                <w:sz w:val="24"/>
              </w:rPr>
              <w:t>Uzsākts</w:t>
            </w:r>
          </w:p>
          <w:p w:rsidR="00D554B9" w:rsidRPr="00AA41BA" w:rsidRDefault="00D554B9" w:rsidP="007A7CCD">
            <w:pPr>
              <w:jc w:val="both"/>
              <w:rPr>
                <w:sz w:val="24"/>
              </w:rPr>
            </w:pPr>
            <w:r w:rsidRPr="00AA41BA">
              <w:rPr>
                <w:sz w:val="24"/>
              </w:rPr>
              <w:t>VARAM ir identificējis iespēju dokumentu (u.c. oficiālas korespondences) piegādi adresātiem – Latvijas iedzīvotājiem</w:t>
            </w:r>
            <w:r w:rsidR="009F7BDE">
              <w:rPr>
                <w:sz w:val="24"/>
              </w:rPr>
              <w:t xml:space="preserve"> –</w:t>
            </w:r>
            <w:r w:rsidRPr="00AA41BA">
              <w:rPr>
                <w:sz w:val="24"/>
              </w:rPr>
              <w:t xml:space="preserve"> efektīvi risināt tālāk attīstot “oficiālās e-adreses” konceptu, t.i. no iestāžu viedokļa nododot izejošo korespondenci uz tehniskiem kontiem</w:t>
            </w:r>
            <w:r w:rsidR="009F7BDE">
              <w:rPr>
                <w:sz w:val="24"/>
              </w:rPr>
              <w:t xml:space="preserve">, proti, </w:t>
            </w:r>
            <w:r w:rsidRPr="00AA41BA">
              <w:rPr>
                <w:sz w:val="24"/>
              </w:rPr>
              <w:t>“oficiālās e-adreses” tehnisku ekvivalentu arī personām, kas nav “oficiālās e-adreses” lietotāji, šīm personām no tehniskajiem kontiem korespondenci izdrukājot un nosūtot vai pa citiem alternatīviem kanāliem piegādājot centralizēti. Šāda pieeja ne tikai dotu apjoma ietaupījumus izdrukai un pasta piegādei, bet dotu iespēju pakāpeniski atbrīvoties no personu kontaktu informācijas uzkrāšanas atsevišķās iestādēs, tādējādi visai būtiski vienkāršojot valsts pārvaldes datu arhitektūru un atbilstoši samazinot tās uzturēšanas izmaksas.</w:t>
            </w:r>
          </w:p>
          <w:p w:rsidR="000B7474" w:rsidRPr="000B7474" w:rsidRDefault="000B7474" w:rsidP="007A7CCD">
            <w:pPr>
              <w:tabs>
                <w:tab w:val="left" w:pos="567"/>
              </w:tabs>
              <w:jc w:val="both"/>
              <w:rPr>
                <w:sz w:val="24"/>
              </w:rPr>
            </w:pPr>
            <w:r w:rsidRPr="000B7474">
              <w:rPr>
                <w:sz w:val="24"/>
              </w:rPr>
              <w:t>Uzdevuma turpmākai izpildei nepieciešams:</w:t>
            </w:r>
          </w:p>
          <w:p w:rsidR="000B7474" w:rsidRPr="000B7474" w:rsidRDefault="000B7474" w:rsidP="007A7CCD">
            <w:pPr>
              <w:pStyle w:val="ListParagraph"/>
              <w:numPr>
                <w:ilvl w:val="0"/>
                <w:numId w:val="7"/>
              </w:numPr>
              <w:tabs>
                <w:tab w:val="left" w:pos="567"/>
              </w:tabs>
              <w:jc w:val="both"/>
              <w:rPr>
                <w:sz w:val="24"/>
              </w:rPr>
            </w:pPr>
            <w:r w:rsidRPr="000B7474">
              <w:rPr>
                <w:sz w:val="24"/>
              </w:rPr>
              <w:t>V</w:t>
            </w:r>
            <w:r w:rsidR="00B03A34">
              <w:rPr>
                <w:sz w:val="24"/>
              </w:rPr>
              <w:t xml:space="preserve">ARAM </w:t>
            </w:r>
            <w:r w:rsidRPr="000B7474">
              <w:rPr>
                <w:sz w:val="24"/>
              </w:rPr>
              <w:t>sadarbībā ar Ie</w:t>
            </w:r>
            <w:r w:rsidR="00B03A34">
              <w:rPr>
                <w:sz w:val="24"/>
              </w:rPr>
              <w:t xml:space="preserve">M </w:t>
            </w:r>
            <w:r w:rsidRPr="000B7474">
              <w:rPr>
                <w:sz w:val="24"/>
              </w:rPr>
              <w:t>un T</w:t>
            </w:r>
            <w:r w:rsidR="00B03A34">
              <w:rPr>
                <w:sz w:val="24"/>
              </w:rPr>
              <w:t xml:space="preserve">M </w:t>
            </w:r>
            <w:r w:rsidRPr="000B7474">
              <w:rPr>
                <w:sz w:val="24"/>
              </w:rPr>
              <w:t xml:space="preserve">līdz </w:t>
            </w:r>
            <w:r w:rsidR="009F7BDE">
              <w:rPr>
                <w:sz w:val="24"/>
              </w:rPr>
              <w:t>2020.gada 30.decembrim</w:t>
            </w:r>
            <w:r w:rsidRPr="000B7474">
              <w:rPr>
                <w:sz w:val="24"/>
              </w:rPr>
              <w:t xml:space="preserve"> sagatavot priekšlikumu un ieviešanas plānu centralizēta personu kontaktu reģistra attīstībai un personu kontaktu datu pakāpeniskai izņemšanai no citām valsts pārvaldes informācijas sistēmām.</w:t>
            </w:r>
          </w:p>
          <w:p w:rsidR="00D554B9" w:rsidRPr="00AA41BA" w:rsidRDefault="00B03A34" w:rsidP="007A7CCD">
            <w:pPr>
              <w:pStyle w:val="ListParagraph"/>
              <w:numPr>
                <w:ilvl w:val="0"/>
                <w:numId w:val="7"/>
              </w:numPr>
              <w:tabs>
                <w:tab w:val="left" w:pos="567"/>
              </w:tabs>
              <w:jc w:val="both"/>
              <w:rPr>
                <w:sz w:val="24"/>
              </w:rPr>
            </w:pPr>
            <w:r>
              <w:rPr>
                <w:sz w:val="24"/>
              </w:rPr>
              <w:t xml:space="preserve">VARAM </w:t>
            </w:r>
            <w:r w:rsidR="000B7474" w:rsidRPr="000B7474">
              <w:rPr>
                <w:sz w:val="24"/>
              </w:rPr>
              <w:t>(</w:t>
            </w:r>
            <w:r>
              <w:rPr>
                <w:sz w:val="24"/>
              </w:rPr>
              <w:t>VRAA</w:t>
            </w:r>
            <w:r w:rsidR="000B7474" w:rsidRPr="000B7474">
              <w:rPr>
                <w:sz w:val="24"/>
              </w:rPr>
              <w:t>) sadarbībā ar Ie</w:t>
            </w:r>
            <w:r>
              <w:rPr>
                <w:sz w:val="24"/>
              </w:rPr>
              <w:t xml:space="preserve">M </w:t>
            </w:r>
            <w:r w:rsidR="000B7474" w:rsidRPr="000B7474">
              <w:rPr>
                <w:sz w:val="24"/>
              </w:rPr>
              <w:t>un T</w:t>
            </w:r>
            <w:r>
              <w:rPr>
                <w:sz w:val="24"/>
              </w:rPr>
              <w:t xml:space="preserve">M </w:t>
            </w:r>
            <w:r w:rsidR="000B7474" w:rsidRPr="000B7474">
              <w:rPr>
                <w:sz w:val="24"/>
              </w:rPr>
              <w:t xml:space="preserve">līdz </w:t>
            </w:r>
            <w:r w:rsidR="009F7BDE">
              <w:rPr>
                <w:sz w:val="24"/>
              </w:rPr>
              <w:t>2020.gada 30.decembrim</w:t>
            </w:r>
            <w:r w:rsidR="000B7474" w:rsidRPr="000B7474">
              <w:rPr>
                <w:sz w:val="24"/>
              </w:rPr>
              <w:t xml:space="preserve"> sagatavot priekšlikumu par oficiālās e-adreses risinājuma tālāku attīstību un “vienotās drukas” pakalpojuma attīstību un ieviešanu.</w:t>
            </w:r>
            <w:r w:rsidR="00D554B9" w:rsidRPr="00AA41BA">
              <w:rPr>
                <w:sz w:val="24"/>
              </w:rPr>
              <w:t xml:space="preserve"> </w:t>
            </w:r>
          </w:p>
        </w:tc>
      </w:tr>
      <w:tr w:rsidR="00D554B9" w:rsidRPr="00AA41BA" w:rsidTr="007A7CCD">
        <w:trPr>
          <w:trHeight w:val="279"/>
        </w:trPr>
        <w:tc>
          <w:tcPr>
            <w:tcW w:w="13740" w:type="dxa"/>
            <w:gridSpan w:val="5"/>
            <w:tcBorders>
              <w:bottom w:val="single" w:sz="4" w:space="0" w:color="auto"/>
            </w:tcBorders>
            <w:shd w:val="clear" w:color="auto" w:fill="DEEAF6" w:themeFill="accent1" w:themeFillTint="33"/>
          </w:tcPr>
          <w:p w:rsidR="00D554B9" w:rsidRPr="00AA41BA" w:rsidRDefault="00D554B9" w:rsidP="007A7CCD">
            <w:pPr>
              <w:tabs>
                <w:tab w:val="left" w:pos="567"/>
              </w:tabs>
              <w:jc w:val="both"/>
              <w:rPr>
                <w:sz w:val="24"/>
              </w:rPr>
            </w:pPr>
            <w:r w:rsidRPr="00AA41BA">
              <w:rPr>
                <w:b/>
                <w:sz w:val="24"/>
              </w:rPr>
              <w:lastRenderedPageBreak/>
              <w:t>Pēc 2020. gada veicamie uzdevumi</w:t>
            </w:r>
          </w:p>
        </w:tc>
      </w:tr>
      <w:tr w:rsidR="00D554B9" w:rsidRPr="00AA41BA" w:rsidTr="002C129B">
        <w:trPr>
          <w:trHeight w:val="581"/>
        </w:trPr>
        <w:tc>
          <w:tcPr>
            <w:tcW w:w="704"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2C129B">
            <w:pPr>
              <w:tabs>
                <w:tab w:val="left" w:pos="567"/>
                <w:tab w:val="left" w:pos="993"/>
              </w:tabs>
              <w:jc w:val="center"/>
              <w:rPr>
                <w:sz w:val="24"/>
              </w:rPr>
            </w:pPr>
            <w:r w:rsidRPr="00AA41BA">
              <w:rPr>
                <w:sz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Izvērtējot faktisko situāciju, t.sk., pieejamos fin</w:t>
            </w:r>
            <w:r w:rsidR="007A7CCD">
              <w:rPr>
                <w:sz w:val="24"/>
              </w:rPr>
              <w:t xml:space="preserve">anšu u.c. resursus, identificēt </w:t>
            </w:r>
            <w:r w:rsidRPr="00AA41BA">
              <w:rPr>
                <w:sz w:val="24"/>
              </w:rPr>
              <w:t>nepieciešamos pasākumus izveidoto centralizēto IKT koplietošanas platformu pakalpojumu mērķtiecīgai ieviešanai visās iestāžu pārziņā esošajās informācijas sistēmās, t.sk. izvērtējot ieviešanas tvērumu, ietekmi uz budžetu un vienoto IKT arhitektūru</w:t>
            </w:r>
            <w:r w:rsidR="001A250C">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VARAM, Finanšu ministrija,  Ministrijas</w:t>
            </w:r>
          </w:p>
        </w:tc>
        <w:tc>
          <w:tcPr>
            <w:tcW w:w="7366" w:type="dxa"/>
            <w:tcBorders>
              <w:top w:val="single" w:sz="4" w:space="0" w:color="auto"/>
              <w:left w:val="single" w:sz="4" w:space="0" w:color="auto"/>
              <w:bottom w:val="single" w:sz="4" w:space="0" w:color="auto"/>
              <w:right w:val="single" w:sz="4" w:space="0" w:color="auto"/>
            </w:tcBorders>
            <w:shd w:val="clear" w:color="auto" w:fill="auto"/>
          </w:tcPr>
          <w:p w:rsidR="00D554B9" w:rsidRPr="00AA41BA" w:rsidRDefault="001303B1" w:rsidP="007A7CCD">
            <w:pPr>
              <w:tabs>
                <w:tab w:val="left" w:pos="567"/>
              </w:tabs>
              <w:jc w:val="both"/>
              <w:rPr>
                <w:b/>
                <w:sz w:val="24"/>
              </w:rPr>
            </w:pPr>
            <w:r>
              <w:rPr>
                <w:b/>
                <w:sz w:val="24"/>
              </w:rPr>
              <w:t>Uzsākts</w:t>
            </w:r>
          </w:p>
          <w:p w:rsidR="00C212DA" w:rsidRDefault="00D554B9" w:rsidP="007A7CCD">
            <w:pPr>
              <w:jc w:val="both"/>
              <w:rPr>
                <w:sz w:val="24"/>
              </w:rPr>
            </w:pPr>
            <w:r w:rsidRPr="00AA41BA">
              <w:rPr>
                <w:sz w:val="24"/>
              </w:rPr>
              <w:t xml:space="preserve">Par pašreizējo izpildes gaitu skat. sadaļas “Prioritārie uzdevumi, kas īstenojami līdz 2018.gada 1.augustam” 2. punktā. Identificēta rīcība, kas uzdevuma turpmākai izpildei ir nepieciešama 2020.un turpmākajos gados. </w:t>
            </w:r>
          </w:p>
          <w:p w:rsidR="00D554B9" w:rsidRPr="00AA41BA" w:rsidRDefault="00003F1A" w:rsidP="007A7CCD">
            <w:pPr>
              <w:jc w:val="both"/>
              <w:rPr>
                <w:sz w:val="24"/>
              </w:rPr>
            </w:pPr>
            <w:r w:rsidRPr="000B7474">
              <w:rPr>
                <w:sz w:val="24"/>
              </w:rPr>
              <w:t>Uzdevuma turpmākai izpildei nepieciešams</w:t>
            </w:r>
            <w:r w:rsidRPr="00003F1A">
              <w:rPr>
                <w:sz w:val="24"/>
              </w:rPr>
              <w:t xml:space="preserve"> </w:t>
            </w:r>
            <w:r>
              <w:rPr>
                <w:sz w:val="24"/>
              </w:rPr>
              <w:t xml:space="preserve">– VARAM </w:t>
            </w:r>
            <w:r w:rsidRPr="00003F1A">
              <w:rPr>
                <w:sz w:val="24"/>
              </w:rPr>
              <w:t xml:space="preserve">sadarbībā ar </w:t>
            </w:r>
            <w:r>
              <w:rPr>
                <w:sz w:val="24"/>
              </w:rPr>
              <w:t xml:space="preserve">FM </w:t>
            </w:r>
            <w:r w:rsidRPr="00003F1A">
              <w:rPr>
                <w:sz w:val="24"/>
              </w:rPr>
              <w:t>un pārējām ministrijām sākot ar 2021.gad</w:t>
            </w:r>
            <w:r>
              <w:rPr>
                <w:sz w:val="24"/>
              </w:rPr>
              <w:t>u</w:t>
            </w:r>
            <w:r w:rsidRPr="00003F1A">
              <w:rPr>
                <w:sz w:val="24"/>
              </w:rPr>
              <w:t xml:space="preserve"> izvērtēt jau sasniegtos rezultātus un sagatavot priekšlikumus par IKT arhitektūras pārvaldības un iekšējo IKT konsultāciju funkcijas turpmākā finansējuma avotiem.</w:t>
            </w:r>
          </w:p>
        </w:tc>
      </w:tr>
      <w:tr w:rsidR="00D554B9" w:rsidRPr="00AA41BA" w:rsidTr="002C129B">
        <w:trPr>
          <w:trHeight w:val="2895"/>
        </w:trPr>
        <w:tc>
          <w:tcPr>
            <w:tcW w:w="704" w:type="dxa"/>
            <w:tcBorders>
              <w:top w:val="single" w:sz="4" w:space="0" w:color="auto"/>
            </w:tcBorders>
            <w:shd w:val="clear" w:color="auto" w:fill="auto"/>
          </w:tcPr>
          <w:p w:rsidR="00D554B9" w:rsidRPr="00AA41BA" w:rsidRDefault="00D554B9" w:rsidP="002C129B">
            <w:pPr>
              <w:tabs>
                <w:tab w:val="left" w:pos="567"/>
                <w:tab w:val="left" w:pos="993"/>
              </w:tabs>
              <w:jc w:val="center"/>
              <w:rPr>
                <w:sz w:val="24"/>
              </w:rPr>
            </w:pPr>
            <w:r w:rsidRPr="00AA41BA">
              <w:rPr>
                <w:sz w:val="24"/>
              </w:rPr>
              <w:t>2.</w:t>
            </w:r>
          </w:p>
        </w:tc>
        <w:tc>
          <w:tcPr>
            <w:tcW w:w="650" w:type="dxa"/>
            <w:tcBorders>
              <w:top w:val="single" w:sz="4" w:space="0" w:color="auto"/>
            </w:tcBorders>
            <w:shd w:val="clear" w:color="auto" w:fill="auto"/>
          </w:tcPr>
          <w:p w:rsidR="00D554B9" w:rsidRPr="00AA41BA" w:rsidRDefault="00D554B9" w:rsidP="007A7CCD">
            <w:pPr>
              <w:tabs>
                <w:tab w:val="left" w:pos="567"/>
                <w:tab w:val="left" w:pos="993"/>
              </w:tabs>
              <w:jc w:val="center"/>
              <w:rPr>
                <w:sz w:val="24"/>
              </w:rPr>
            </w:pPr>
            <w:r w:rsidRPr="00AA41BA">
              <w:rPr>
                <w:sz w:val="24"/>
              </w:rPr>
              <w:t>A</w:t>
            </w:r>
          </w:p>
        </w:tc>
        <w:tc>
          <w:tcPr>
            <w:tcW w:w="3744" w:type="dxa"/>
            <w:tcBorders>
              <w:top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Turpināt īstenot “</w:t>
            </w:r>
            <w:proofErr w:type="spellStart"/>
            <w:r w:rsidRPr="00AA41BA">
              <w:rPr>
                <w:sz w:val="24"/>
              </w:rPr>
              <w:t>mākoņdatošanas</w:t>
            </w:r>
            <w:proofErr w:type="spellEnd"/>
            <w:r w:rsidRPr="00AA41BA">
              <w:rPr>
                <w:sz w:val="24"/>
              </w:rPr>
              <w:t xml:space="preserve"> pakalpojumu stratēģijas” ieviešanas darbības attiecībā uz pāreju uz IKT koplietošanas un komerciālo </w:t>
            </w:r>
            <w:proofErr w:type="spellStart"/>
            <w:r w:rsidRPr="00AA41BA">
              <w:rPr>
                <w:sz w:val="24"/>
              </w:rPr>
              <w:t>mākoņda</w:t>
            </w:r>
            <w:r w:rsidR="008F5AAA">
              <w:rPr>
                <w:sz w:val="24"/>
              </w:rPr>
              <w:t>tošanas</w:t>
            </w:r>
            <w:proofErr w:type="spellEnd"/>
            <w:r w:rsidR="008F5AAA">
              <w:rPr>
                <w:sz w:val="24"/>
              </w:rPr>
              <w:t xml:space="preserve"> pakalpojumu izmantošanu</w:t>
            </w:r>
            <w:r w:rsidR="004F2A58">
              <w:rPr>
                <w:sz w:val="24"/>
              </w:rPr>
              <w:t>.</w:t>
            </w:r>
          </w:p>
        </w:tc>
        <w:tc>
          <w:tcPr>
            <w:tcW w:w="1276" w:type="dxa"/>
            <w:tcBorders>
              <w:top w:val="single" w:sz="4" w:space="0" w:color="auto"/>
            </w:tcBorders>
            <w:shd w:val="clear" w:color="auto" w:fill="auto"/>
          </w:tcPr>
          <w:p w:rsidR="00D554B9" w:rsidRPr="00AA41BA" w:rsidRDefault="00D554B9" w:rsidP="007A7CCD">
            <w:pPr>
              <w:tabs>
                <w:tab w:val="left" w:pos="567"/>
                <w:tab w:val="left" w:pos="993"/>
              </w:tabs>
              <w:jc w:val="both"/>
              <w:rPr>
                <w:sz w:val="24"/>
              </w:rPr>
            </w:pPr>
            <w:r w:rsidRPr="00AA41BA">
              <w:rPr>
                <w:sz w:val="24"/>
              </w:rPr>
              <w:t>VARAM/ visas ministrijas</w:t>
            </w:r>
          </w:p>
        </w:tc>
        <w:tc>
          <w:tcPr>
            <w:tcW w:w="7366" w:type="dxa"/>
            <w:tcBorders>
              <w:top w:val="single" w:sz="4" w:space="0" w:color="auto"/>
            </w:tcBorders>
            <w:shd w:val="clear" w:color="auto" w:fill="auto"/>
          </w:tcPr>
          <w:p w:rsidR="00D554B9" w:rsidRPr="00AA41BA" w:rsidRDefault="001303B1" w:rsidP="007A7CCD">
            <w:pPr>
              <w:tabs>
                <w:tab w:val="left" w:pos="567"/>
              </w:tabs>
              <w:jc w:val="both"/>
              <w:rPr>
                <w:b/>
                <w:sz w:val="24"/>
              </w:rPr>
            </w:pPr>
            <w:r>
              <w:rPr>
                <w:b/>
                <w:sz w:val="24"/>
              </w:rPr>
              <w:t>Uzsākts</w:t>
            </w:r>
          </w:p>
          <w:p w:rsidR="00D554B9" w:rsidRPr="00AA41BA" w:rsidRDefault="00D554B9" w:rsidP="007A7CCD">
            <w:pPr>
              <w:tabs>
                <w:tab w:val="left" w:pos="567"/>
              </w:tabs>
              <w:jc w:val="both"/>
              <w:rPr>
                <w:sz w:val="24"/>
              </w:rPr>
            </w:pPr>
            <w:r w:rsidRPr="00AA41BA">
              <w:rPr>
                <w:sz w:val="24"/>
              </w:rPr>
              <w:t xml:space="preserve">VARAM ir identificējis valsts pārvaldes informācijas sistēmu tehnoloģisko risinājumu neatbilstību efektīvai </w:t>
            </w:r>
            <w:r w:rsidR="00E56C50">
              <w:rPr>
                <w:sz w:val="24"/>
              </w:rPr>
              <w:t xml:space="preserve">MDP </w:t>
            </w:r>
            <w:r w:rsidRPr="00AA41BA">
              <w:rPr>
                <w:sz w:val="24"/>
              </w:rPr>
              <w:t xml:space="preserve">izmantošanai par vienu no </w:t>
            </w:r>
            <w:r w:rsidR="00E56C50">
              <w:rPr>
                <w:sz w:val="24"/>
              </w:rPr>
              <w:t xml:space="preserve">MDP </w:t>
            </w:r>
            <w:r w:rsidRPr="00AA41BA">
              <w:rPr>
                <w:sz w:val="24"/>
              </w:rPr>
              <w:t>stratēģijas īstenošanu ierobežojošiem apstākļiem. Tāpēc vienlaicīgi ar to, ka “</w:t>
            </w:r>
            <w:proofErr w:type="spellStart"/>
            <w:r w:rsidRPr="00AA41BA">
              <w:rPr>
                <w:sz w:val="24"/>
              </w:rPr>
              <w:t>mākoņgatavības</w:t>
            </w:r>
            <w:proofErr w:type="spellEnd"/>
            <w:r w:rsidRPr="00AA41BA">
              <w:rPr>
                <w:sz w:val="24"/>
              </w:rPr>
              <w:t>” aspekts tiek ņemts vērā š</w:t>
            </w:r>
            <w:r w:rsidR="00912970">
              <w:rPr>
                <w:sz w:val="24"/>
              </w:rPr>
              <w:t>ī</w:t>
            </w:r>
            <w:r w:rsidRPr="00AA41BA">
              <w:rPr>
                <w:sz w:val="24"/>
              </w:rPr>
              <w:t xml:space="preserve"> plānošanas perioda ietvaros īstenojamos informācijas sistēmu izstrādes un pārbūves projektos, ir jāplāno ieguldījumus informācijas sistēmu “</w:t>
            </w:r>
            <w:proofErr w:type="spellStart"/>
            <w:r w:rsidRPr="00AA41BA">
              <w:rPr>
                <w:sz w:val="24"/>
              </w:rPr>
              <w:t>mākoņgatavībā</w:t>
            </w:r>
            <w:proofErr w:type="spellEnd"/>
            <w:r w:rsidRPr="00AA41BA">
              <w:rPr>
                <w:sz w:val="24"/>
              </w:rPr>
              <w:t xml:space="preserve">” arī nākošajā plānošanas periodā. </w:t>
            </w:r>
          </w:p>
          <w:p w:rsidR="00D554B9" w:rsidRPr="00AA41BA" w:rsidRDefault="00300FFA" w:rsidP="007A7CCD">
            <w:pPr>
              <w:tabs>
                <w:tab w:val="left" w:pos="567"/>
              </w:tabs>
              <w:jc w:val="both"/>
              <w:rPr>
                <w:sz w:val="24"/>
              </w:rPr>
            </w:pPr>
            <w:r w:rsidRPr="000B7474">
              <w:rPr>
                <w:sz w:val="24"/>
              </w:rPr>
              <w:t>Uzdevuma turpmākai izpildei nepieciešams</w:t>
            </w:r>
            <w:r w:rsidRPr="00003F1A">
              <w:rPr>
                <w:sz w:val="24"/>
              </w:rPr>
              <w:t xml:space="preserve"> </w:t>
            </w:r>
            <w:r>
              <w:rPr>
                <w:sz w:val="24"/>
              </w:rPr>
              <w:t xml:space="preserve">– VARAM </w:t>
            </w:r>
            <w:r w:rsidRPr="00300FFA">
              <w:rPr>
                <w:sz w:val="24"/>
              </w:rPr>
              <w:t xml:space="preserve">līdz </w:t>
            </w:r>
            <w:r w:rsidR="00912970">
              <w:rPr>
                <w:sz w:val="24"/>
              </w:rPr>
              <w:t>2020.gada 30.decembrim</w:t>
            </w:r>
            <w:r w:rsidRPr="00300FFA">
              <w:rPr>
                <w:sz w:val="24"/>
              </w:rPr>
              <w:t xml:space="preserve"> sagatavot un nākamā struktūrfondu plānošanas perioda ietvaros </w:t>
            </w:r>
            <w:r w:rsidR="00912970">
              <w:rPr>
                <w:sz w:val="24"/>
              </w:rPr>
              <w:t xml:space="preserve">virzīt </w:t>
            </w:r>
            <w:r w:rsidRPr="00300FFA">
              <w:rPr>
                <w:sz w:val="24"/>
              </w:rPr>
              <w:t xml:space="preserve">priekšlikumu par publiskās pārvaldes informācijas sistēmu </w:t>
            </w:r>
            <w:proofErr w:type="spellStart"/>
            <w:r w:rsidRPr="00300FFA">
              <w:rPr>
                <w:sz w:val="24"/>
              </w:rPr>
              <w:t>mākoņgatavības</w:t>
            </w:r>
            <w:proofErr w:type="spellEnd"/>
            <w:r w:rsidRPr="00300FFA">
              <w:rPr>
                <w:sz w:val="24"/>
              </w:rPr>
              <w:t xml:space="preserve"> veicināšanu kā horizontālo pasākumu plānojamā </w:t>
            </w:r>
            <w:r>
              <w:rPr>
                <w:sz w:val="24"/>
              </w:rPr>
              <w:t xml:space="preserve">ERAF </w:t>
            </w:r>
            <w:r w:rsidRPr="00300FFA">
              <w:rPr>
                <w:sz w:val="24"/>
              </w:rPr>
              <w:t>IKT specifiskā atbalsta mērķa ietvaros.</w:t>
            </w:r>
            <w:r w:rsidR="00D554B9" w:rsidRPr="00AA41BA">
              <w:rPr>
                <w:sz w:val="24"/>
              </w:rPr>
              <w:t xml:space="preserve"> </w:t>
            </w:r>
          </w:p>
        </w:tc>
      </w:tr>
    </w:tbl>
    <w:p w:rsidR="00E209CD" w:rsidRDefault="00E209CD" w:rsidP="007A7CCD">
      <w:pPr>
        <w:rPr>
          <w:rFonts w:eastAsia="Calibri"/>
          <w:sz w:val="26"/>
          <w:szCs w:val="26"/>
        </w:rPr>
      </w:pPr>
    </w:p>
    <w:p w:rsidR="00E209CD" w:rsidRDefault="00E209CD" w:rsidP="007A7CCD">
      <w:pPr>
        <w:rPr>
          <w:rFonts w:eastAsia="Calibri"/>
          <w:sz w:val="26"/>
          <w:szCs w:val="26"/>
        </w:rPr>
      </w:pPr>
    </w:p>
    <w:p w:rsidR="00DB1C08" w:rsidRDefault="007A7CCD" w:rsidP="007A7CCD">
      <w:pPr>
        <w:rPr>
          <w:rFonts w:eastAsia="Calibri"/>
          <w:sz w:val="26"/>
          <w:szCs w:val="26"/>
        </w:rPr>
      </w:pPr>
      <w:r>
        <w:rPr>
          <w:rFonts w:eastAsia="Calibri"/>
          <w:sz w:val="26"/>
          <w:szCs w:val="26"/>
        </w:rPr>
        <w:br w:type="textWrapping" w:clear="all"/>
      </w:r>
    </w:p>
    <w:p w:rsidR="00DB1C08" w:rsidRDefault="00DB1C08" w:rsidP="00DB1C08">
      <w:pPr>
        <w:spacing w:before="60"/>
        <w:rPr>
          <w:rFonts w:eastAsia="Calibri"/>
          <w:sz w:val="16"/>
          <w:szCs w:val="16"/>
        </w:rPr>
      </w:pPr>
      <w:bookmarkStart w:id="0" w:name="_GoBack"/>
      <w:bookmarkEnd w:id="0"/>
    </w:p>
    <w:p w:rsidR="00DB1C08" w:rsidRDefault="00DB1C08" w:rsidP="00DB1C08">
      <w:pPr>
        <w:spacing w:before="60"/>
        <w:rPr>
          <w:rFonts w:eastAsia="Calibri"/>
          <w:sz w:val="16"/>
          <w:szCs w:val="16"/>
        </w:rPr>
      </w:pPr>
    </w:p>
    <w:p w:rsidR="00DB1C08" w:rsidRDefault="00DB1C08" w:rsidP="00DB1C08">
      <w:pPr>
        <w:spacing w:before="60"/>
        <w:rPr>
          <w:rFonts w:eastAsia="Calibri"/>
          <w:sz w:val="16"/>
          <w:szCs w:val="16"/>
        </w:rPr>
      </w:pPr>
    </w:p>
    <w:p w:rsidR="001B6D46" w:rsidRPr="00AA41BA" w:rsidRDefault="001B6D46" w:rsidP="007A7CCD"/>
    <w:sectPr w:rsidR="001B6D46" w:rsidRPr="00AA41BA" w:rsidSect="00B814F1">
      <w:headerReference w:type="default" r:id="rId8"/>
      <w:footerReference w:type="default" r:id="rId9"/>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F7" w:rsidRDefault="00010FF7" w:rsidP="00E921B6">
      <w:r>
        <w:separator/>
      </w:r>
    </w:p>
  </w:endnote>
  <w:endnote w:type="continuationSeparator" w:id="0">
    <w:p w:rsidR="00010FF7" w:rsidRDefault="00010FF7" w:rsidP="00E9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08" w:rsidRPr="003B58A1" w:rsidRDefault="003B58A1" w:rsidP="003B58A1">
    <w:pPr>
      <w:pStyle w:val="Footer"/>
      <w:rPr>
        <w:sz w:val="20"/>
      </w:rPr>
    </w:pPr>
    <w:r w:rsidRPr="003B58A1">
      <w:rPr>
        <w:sz w:val="20"/>
      </w:rPr>
      <w:t>FMzinp3_1</w:t>
    </w:r>
    <w:r w:rsidR="00F80DF7">
      <w:rPr>
        <w:sz w:val="20"/>
      </w:rPr>
      <w:t>5</w:t>
    </w:r>
    <w:r w:rsidRPr="003B58A1">
      <w:rPr>
        <w:sz w:val="20"/>
      </w:rPr>
      <w:t>1018_parsk.docx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F7" w:rsidRDefault="00010FF7" w:rsidP="00E921B6">
      <w:r>
        <w:separator/>
      </w:r>
    </w:p>
  </w:footnote>
  <w:footnote w:type="continuationSeparator" w:id="0">
    <w:p w:rsidR="00010FF7" w:rsidRDefault="00010FF7" w:rsidP="00E921B6">
      <w:r>
        <w:continuationSeparator/>
      </w:r>
    </w:p>
  </w:footnote>
  <w:footnote w:id="1">
    <w:p w:rsidR="00D554B9" w:rsidRDefault="00D554B9" w:rsidP="00D554B9">
      <w:pPr>
        <w:pStyle w:val="FootnoteText"/>
      </w:pPr>
      <w:r>
        <w:rPr>
          <w:rStyle w:val="FootnoteReference"/>
        </w:rPr>
        <w:footnoteRef/>
      </w:r>
      <w:r>
        <w:t xml:space="preserve"> Šeit un turpmāk tekstā ar “visas ministrijas” saprot ministrijas un citas centrālās valsts iestādes.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359612"/>
      <w:docPartObj>
        <w:docPartGallery w:val="Page Numbers (Top of Page)"/>
        <w:docPartUnique/>
      </w:docPartObj>
    </w:sdtPr>
    <w:sdtEndPr>
      <w:rPr>
        <w:noProof/>
      </w:rPr>
    </w:sdtEndPr>
    <w:sdtContent>
      <w:p w:rsidR="00E209CD" w:rsidRDefault="00E209CD">
        <w:pPr>
          <w:pStyle w:val="Header"/>
          <w:jc w:val="center"/>
        </w:pPr>
        <w:r>
          <w:fldChar w:fldCharType="begin"/>
        </w:r>
        <w:r>
          <w:instrText xml:space="preserve"> PAGE   \* MERGEFORMAT </w:instrText>
        </w:r>
        <w:r>
          <w:fldChar w:fldCharType="separate"/>
        </w:r>
        <w:r w:rsidR="005C4CC1">
          <w:rPr>
            <w:noProof/>
          </w:rPr>
          <w:t>13</w:t>
        </w:r>
        <w:r>
          <w:rPr>
            <w:noProof/>
          </w:rPr>
          <w:fldChar w:fldCharType="end"/>
        </w:r>
      </w:p>
    </w:sdtContent>
  </w:sdt>
  <w:p w:rsidR="00E209CD" w:rsidRDefault="00E20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817"/>
    <w:multiLevelType w:val="hybridMultilevel"/>
    <w:tmpl w:val="FA96EC72"/>
    <w:lvl w:ilvl="0" w:tplc="AB5A3134">
      <w:start w:val="1"/>
      <w:numFmt w:val="bullet"/>
      <w:lvlText w:val=""/>
      <w:lvlJc w:val="left"/>
      <w:pPr>
        <w:ind w:left="357" w:hanging="357"/>
      </w:pPr>
      <w:rPr>
        <w:rFonts w:ascii="Symbol" w:hAnsi="Symbol" w:hint="default"/>
      </w:rPr>
    </w:lvl>
    <w:lvl w:ilvl="1" w:tplc="04260003" w:tentative="1">
      <w:start w:val="1"/>
      <w:numFmt w:val="bullet"/>
      <w:lvlText w:val="o"/>
      <w:lvlJc w:val="left"/>
      <w:pPr>
        <w:ind w:left="3348" w:hanging="360"/>
      </w:pPr>
      <w:rPr>
        <w:rFonts w:ascii="Courier New" w:hAnsi="Courier New" w:cs="Courier New" w:hint="default"/>
      </w:rPr>
    </w:lvl>
    <w:lvl w:ilvl="2" w:tplc="04260005" w:tentative="1">
      <w:start w:val="1"/>
      <w:numFmt w:val="bullet"/>
      <w:lvlText w:val=""/>
      <w:lvlJc w:val="left"/>
      <w:pPr>
        <w:ind w:left="4068" w:hanging="360"/>
      </w:pPr>
      <w:rPr>
        <w:rFonts w:ascii="Wingdings" w:hAnsi="Wingdings" w:hint="default"/>
      </w:rPr>
    </w:lvl>
    <w:lvl w:ilvl="3" w:tplc="04260001" w:tentative="1">
      <w:start w:val="1"/>
      <w:numFmt w:val="bullet"/>
      <w:lvlText w:val=""/>
      <w:lvlJc w:val="left"/>
      <w:pPr>
        <w:ind w:left="4788" w:hanging="360"/>
      </w:pPr>
      <w:rPr>
        <w:rFonts w:ascii="Symbol" w:hAnsi="Symbol" w:hint="default"/>
      </w:rPr>
    </w:lvl>
    <w:lvl w:ilvl="4" w:tplc="04260003" w:tentative="1">
      <w:start w:val="1"/>
      <w:numFmt w:val="bullet"/>
      <w:lvlText w:val="o"/>
      <w:lvlJc w:val="left"/>
      <w:pPr>
        <w:ind w:left="5508" w:hanging="360"/>
      </w:pPr>
      <w:rPr>
        <w:rFonts w:ascii="Courier New" w:hAnsi="Courier New" w:cs="Courier New" w:hint="default"/>
      </w:rPr>
    </w:lvl>
    <w:lvl w:ilvl="5" w:tplc="04260005" w:tentative="1">
      <w:start w:val="1"/>
      <w:numFmt w:val="bullet"/>
      <w:lvlText w:val=""/>
      <w:lvlJc w:val="left"/>
      <w:pPr>
        <w:ind w:left="6228" w:hanging="360"/>
      </w:pPr>
      <w:rPr>
        <w:rFonts w:ascii="Wingdings" w:hAnsi="Wingdings" w:hint="default"/>
      </w:rPr>
    </w:lvl>
    <w:lvl w:ilvl="6" w:tplc="04260001" w:tentative="1">
      <w:start w:val="1"/>
      <w:numFmt w:val="bullet"/>
      <w:lvlText w:val=""/>
      <w:lvlJc w:val="left"/>
      <w:pPr>
        <w:ind w:left="6948" w:hanging="360"/>
      </w:pPr>
      <w:rPr>
        <w:rFonts w:ascii="Symbol" w:hAnsi="Symbol" w:hint="default"/>
      </w:rPr>
    </w:lvl>
    <w:lvl w:ilvl="7" w:tplc="04260003" w:tentative="1">
      <w:start w:val="1"/>
      <w:numFmt w:val="bullet"/>
      <w:lvlText w:val="o"/>
      <w:lvlJc w:val="left"/>
      <w:pPr>
        <w:ind w:left="7668" w:hanging="360"/>
      </w:pPr>
      <w:rPr>
        <w:rFonts w:ascii="Courier New" w:hAnsi="Courier New" w:cs="Courier New" w:hint="default"/>
      </w:rPr>
    </w:lvl>
    <w:lvl w:ilvl="8" w:tplc="04260005" w:tentative="1">
      <w:start w:val="1"/>
      <w:numFmt w:val="bullet"/>
      <w:lvlText w:val=""/>
      <w:lvlJc w:val="left"/>
      <w:pPr>
        <w:ind w:left="8388" w:hanging="360"/>
      </w:pPr>
      <w:rPr>
        <w:rFonts w:ascii="Wingdings" w:hAnsi="Wingdings" w:hint="default"/>
      </w:rPr>
    </w:lvl>
  </w:abstractNum>
  <w:abstractNum w:abstractNumId="1" w15:restartNumberingAfterBreak="0">
    <w:nsid w:val="02312E60"/>
    <w:multiLevelType w:val="hybridMultilevel"/>
    <w:tmpl w:val="9DFA032E"/>
    <w:lvl w:ilvl="0" w:tplc="AB5A3134">
      <w:start w:val="1"/>
      <w:numFmt w:val="bullet"/>
      <w:lvlText w:val=""/>
      <w:lvlJc w:val="left"/>
      <w:pPr>
        <w:ind w:left="417" w:hanging="357"/>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2A226F4"/>
    <w:multiLevelType w:val="hybridMultilevel"/>
    <w:tmpl w:val="1174F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AD47F0"/>
    <w:multiLevelType w:val="hybridMultilevel"/>
    <w:tmpl w:val="002E59D4"/>
    <w:lvl w:ilvl="0" w:tplc="AB5A3134">
      <w:start w:val="1"/>
      <w:numFmt w:val="bullet"/>
      <w:lvlText w:val=""/>
      <w:lvlJc w:val="left"/>
      <w:pPr>
        <w:ind w:left="357" w:hanging="357"/>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D72DAF"/>
    <w:multiLevelType w:val="hybridMultilevel"/>
    <w:tmpl w:val="15D4BD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A922668"/>
    <w:multiLevelType w:val="hybridMultilevel"/>
    <w:tmpl w:val="0A1AD088"/>
    <w:lvl w:ilvl="0" w:tplc="04260001">
      <w:start w:val="1"/>
      <w:numFmt w:val="bullet"/>
      <w:lvlText w:val=""/>
      <w:lvlJc w:val="left"/>
      <w:pPr>
        <w:ind w:left="26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6C6856"/>
    <w:multiLevelType w:val="hybridMultilevel"/>
    <w:tmpl w:val="F5205AC2"/>
    <w:lvl w:ilvl="0" w:tplc="AB5A3134">
      <w:start w:val="1"/>
      <w:numFmt w:val="bullet"/>
      <w:lvlText w:val=""/>
      <w:lvlJc w:val="left"/>
      <w:pPr>
        <w:ind w:left="357" w:hanging="357"/>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81"/>
    <w:rsid w:val="00003F1A"/>
    <w:rsid w:val="00010FF7"/>
    <w:rsid w:val="000379C2"/>
    <w:rsid w:val="00070FD4"/>
    <w:rsid w:val="000B7474"/>
    <w:rsid w:val="000D4686"/>
    <w:rsid w:val="000E0588"/>
    <w:rsid w:val="00112FF0"/>
    <w:rsid w:val="001303B1"/>
    <w:rsid w:val="00130AA5"/>
    <w:rsid w:val="00135A28"/>
    <w:rsid w:val="00173351"/>
    <w:rsid w:val="00174C37"/>
    <w:rsid w:val="001A250C"/>
    <w:rsid w:val="001B545A"/>
    <w:rsid w:val="001B6D46"/>
    <w:rsid w:val="001C187D"/>
    <w:rsid w:val="001F2A2D"/>
    <w:rsid w:val="001F488E"/>
    <w:rsid w:val="001F5996"/>
    <w:rsid w:val="002534D8"/>
    <w:rsid w:val="002A0C9C"/>
    <w:rsid w:val="002C129B"/>
    <w:rsid w:val="002C217F"/>
    <w:rsid w:val="002F0D21"/>
    <w:rsid w:val="00300FFA"/>
    <w:rsid w:val="00311EDC"/>
    <w:rsid w:val="00335EFA"/>
    <w:rsid w:val="003B0E81"/>
    <w:rsid w:val="003B58A1"/>
    <w:rsid w:val="003D5445"/>
    <w:rsid w:val="003F765F"/>
    <w:rsid w:val="00434A7A"/>
    <w:rsid w:val="0049153F"/>
    <w:rsid w:val="00491EA8"/>
    <w:rsid w:val="00492D20"/>
    <w:rsid w:val="004F2A58"/>
    <w:rsid w:val="004F5B9C"/>
    <w:rsid w:val="005152DF"/>
    <w:rsid w:val="0055370B"/>
    <w:rsid w:val="0056234B"/>
    <w:rsid w:val="00564AAE"/>
    <w:rsid w:val="00582DDA"/>
    <w:rsid w:val="005A0C61"/>
    <w:rsid w:val="005A6647"/>
    <w:rsid w:val="005C4CC1"/>
    <w:rsid w:val="005D7343"/>
    <w:rsid w:val="005E7F62"/>
    <w:rsid w:val="006371F4"/>
    <w:rsid w:val="00640D69"/>
    <w:rsid w:val="006572C9"/>
    <w:rsid w:val="00736813"/>
    <w:rsid w:val="00775A75"/>
    <w:rsid w:val="00776799"/>
    <w:rsid w:val="007A7CCD"/>
    <w:rsid w:val="007C1C4E"/>
    <w:rsid w:val="007D1C0A"/>
    <w:rsid w:val="007E7C82"/>
    <w:rsid w:val="007F70C4"/>
    <w:rsid w:val="0080473C"/>
    <w:rsid w:val="00827D0E"/>
    <w:rsid w:val="008C09A7"/>
    <w:rsid w:val="008C0C12"/>
    <w:rsid w:val="008C474B"/>
    <w:rsid w:val="008E7211"/>
    <w:rsid w:val="008F5AAA"/>
    <w:rsid w:val="009045DB"/>
    <w:rsid w:val="00912970"/>
    <w:rsid w:val="00921127"/>
    <w:rsid w:val="00922B28"/>
    <w:rsid w:val="00932C8F"/>
    <w:rsid w:val="009439D0"/>
    <w:rsid w:val="0095531A"/>
    <w:rsid w:val="00977882"/>
    <w:rsid w:val="009D29A9"/>
    <w:rsid w:val="009F7BDE"/>
    <w:rsid w:val="00A37061"/>
    <w:rsid w:val="00A91E7F"/>
    <w:rsid w:val="00AA22CC"/>
    <w:rsid w:val="00AA41BA"/>
    <w:rsid w:val="00AB2E47"/>
    <w:rsid w:val="00B03A34"/>
    <w:rsid w:val="00B40859"/>
    <w:rsid w:val="00B72447"/>
    <w:rsid w:val="00B77A8C"/>
    <w:rsid w:val="00B814F1"/>
    <w:rsid w:val="00B877F5"/>
    <w:rsid w:val="00BD46AB"/>
    <w:rsid w:val="00BE5ABC"/>
    <w:rsid w:val="00C026BB"/>
    <w:rsid w:val="00C204EF"/>
    <w:rsid w:val="00C212DA"/>
    <w:rsid w:val="00C716C7"/>
    <w:rsid w:val="00CB31B4"/>
    <w:rsid w:val="00CE3BFE"/>
    <w:rsid w:val="00D44EF9"/>
    <w:rsid w:val="00D554B9"/>
    <w:rsid w:val="00D64F7D"/>
    <w:rsid w:val="00DB1C08"/>
    <w:rsid w:val="00DC637E"/>
    <w:rsid w:val="00E10E7C"/>
    <w:rsid w:val="00E209CD"/>
    <w:rsid w:val="00E473B8"/>
    <w:rsid w:val="00E56C50"/>
    <w:rsid w:val="00E72216"/>
    <w:rsid w:val="00E921B6"/>
    <w:rsid w:val="00EC744F"/>
    <w:rsid w:val="00ED692C"/>
    <w:rsid w:val="00EE4D4A"/>
    <w:rsid w:val="00EF58C2"/>
    <w:rsid w:val="00F02662"/>
    <w:rsid w:val="00F461D4"/>
    <w:rsid w:val="00F4633B"/>
    <w:rsid w:val="00F80D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7BACB5-8C1E-4F1E-8416-63B09C0B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4B9"/>
    <w:rPr>
      <w:rFonts w:eastAsiaTheme="minorEastAsia" w:cs="Times New Roman"/>
      <w:szCs w:val="24"/>
      <w:lang w:eastAsia="lv-LV"/>
    </w:rPr>
  </w:style>
  <w:style w:type="paragraph" w:styleId="Heading1">
    <w:name w:val="heading 1"/>
    <w:basedOn w:val="Normal"/>
    <w:link w:val="Heading1Char"/>
    <w:qFormat/>
    <w:rsid w:val="00D554B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B6"/>
    <w:pPr>
      <w:tabs>
        <w:tab w:val="center" w:pos="4153"/>
        <w:tab w:val="right" w:pos="8306"/>
      </w:tabs>
    </w:pPr>
  </w:style>
  <w:style w:type="character" w:customStyle="1" w:styleId="HeaderChar">
    <w:name w:val="Header Char"/>
    <w:basedOn w:val="DefaultParagraphFont"/>
    <w:link w:val="Header"/>
    <w:uiPriority w:val="99"/>
    <w:rsid w:val="00E921B6"/>
  </w:style>
  <w:style w:type="paragraph" w:styleId="Footer">
    <w:name w:val="footer"/>
    <w:basedOn w:val="Normal"/>
    <w:link w:val="FooterChar"/>
    <w:uiPriority w:val="99"/>
    <w:unhideWhenUsed/>
    <w:rsid w:val="00E921B6"/>
    <w:pPr>
      <w:tabs>
        <w:tab w:val="center" w:pos="4153"/>
        <w:tab w:val="right" w:pos="8306"/>
      </w:tabs>
    </w:pPr>
  </w:style>
  <w:style w:type="character" w:customStyle="1" w:styleId="FooterChar">
    <w:name w:val="Footer Char"/>
    <w:basedOn w:val="DefaultParagraphFont"/>
    <w:link w:val="Footer"/>
    <w:uiPriority w:val="99"/>
    <w:rsid w:val="00E921B6"/>
  </w:style>
  <w:style w:type="character" w:customStyle="1" w:styleId="Heading1Char">
    <w:name w:val="Heading 1 Char"/>
    <w:basedOn w:val="DefaultParagraphFont"/>
    <w:link w:val="Heading1"/>
    <w:rsid w:val="00D554B9"/>
    <w:rPr>
      <w:rFonts w:eastAsiaTheme="minorEastAsia" w:cs="Times New Roman"/>
      <w:b/>
      <w:bCs/>
      <w:kern w:val="36"/>
      <w:sz w:val="48"/>
      <w:szCs w:val="48"/>
      <w:lang w:eastAsia="lv-LV"/>
    </w:rPr>
  </w:style>
  <w:style w:type="table" w:styleId="TableGrid">
    <w:name w:val="Table Grid"/>
    <w:basedOn w:val="TableNormal"/>
    <w:uiPriority w:val="39"/>
    <w:rsid w:val="00D554B9"/>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4B9"/>
    <w:pPr>
      <w:ind w:left="720"/>
      <w:contextualSpacing/>
    </w:pPr>
  </w:style>
  <w:style w:type="paragraph" w:styleId="FootnoteText">
    <w:name w:val="footnote text"/>
    <w:basedOn w:val="Normal"/>
    <w:link w:val="FootnoteTextChar"/>
    <w:uiPriority w:val="99"/>
    <w:semiHidden/>
    <w:unhideWhenUsed/>
    <w:rsid w:val="00D554B9"/>
    <w:rPr>
      <w:sz w:val="20"/>
      <w:szCs w:val="20"/>
    </w:rPr>
  </w:style>
  <w:style w:type="character" w:customStyle="1" w:styleId="FootnoteTextChar">
    <w:name w:val="Footnote Text Char"/>
    <w:basedOn w:val="DefaultParagraphFont"/>
    <w:link w:val="FootnoteText"/>
    <w:uiPriority w:val="99"/>
    <w:semiHidden/>
    <w:rsid w:val="00D554B9"/>
    <w:rPr>
      <w:rFonts w:eastAsiaTheme="minorEastAsia" w:cs="Times New Roman"/>
      <w:sz w:val="20"/>
      <w:szCs w:val="20"/>
      <w:lang w:eastAsia="lv-LV"/>
    </w:rPr>
  </w:style>
  <w:style w:type="character" w:styleId="FootnoteReference">
    <w:name w:val="footnote reference"/>
    <w:basedOn w:val="DefaultParagraphFont"/>
    <w:uiPriority w:val="99"/>
    <w:semiHidden/>
    <w:unhideWhenUsed/>
    <w:rsid w:val="00D554B9"/>
    <w:rPr>
      <w:vertAlign w:val="superscript"/>
    </w:rPr>
  </w:style>
  <w:style w:type="paragraph" w:styleId="CommentText">
    <w:name w:val="annotation text"/>
    <w:basedOn w:val="Normal"/>
    <w:link w:val="CommentTextChar"/>
    <w:uiPriority w:val="99"/>
    <w:unhideWhenUsed/>
    <w:rsid w:val="00D554B9"/>
    <w:rPr>
      <w:sz w:val="20"/>
      <w:szCs w:val="20"/>
    </w:rPr>
  </w:style>
  <w:style w:type="character" w:customStyle="1" w:styleId="CommentTextChar">
    <w:name w:val="Comment Text Char"/>
    <w:basedOn w:val="DefaultParagraphFont"/>
    <w:link w:val="CommentText"/>
    <w:uiPriority w:val="99"/>
    <w:rsid w:val="00D554B9"/>
    <w:rPr>
      <w:rFonts w:eastAsiaTheme="minorEastAsia" w:cs="Times New Roman"/>
      <w:sz w:val="20"/>
      <w:szCs w:val="20"/>
      <w:lang w:eastAsia="lv-LV"/>
    </w:rPr>
  </w:style>
  <w:style w:type="character" w:styleId="Hyperlink">
    <w:name w:val="Hyperlink"/>
    <w:basedOn w:val="DefaultParagraphFont"/>
    <w:uiPriority w:val="99"/>
    <w:unhideWhenUsed/>
    <w:rsid w:val="00DB1C08"/>
    <w:rPr>
      <w:color w:val="0563C1" w:themeColor="hyperlink"/>
      <w:u w:val="single"/>
    </w:rPr>
  </w:style>
  <w:style w:type="paragraph" w:styleId="BalloonText">
    <w:name w:val="Balloon Text"/>
    <w:basedOn w:val="Normal"/>
    <w:link w:val="BalloonTextChar"/>
    <w:uiPriority w:val="99"/>
    <w:semiHidden/>
    <w:unhideWhenUsed/>
    <w:rsid w:val="00C02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BB"/>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46A7-7EE0-48E5-86E5-74713BA1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19638</Words>
  <Characters>11195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3.pielikums informatīvajam ziņojumam  “Par valsts budžeta izdevumu pārskatīšanas 2019., 2020. un 2021.gadam rezultātiem un priekšlikumi par šo rezultātu izmantošanu likumprojekta “Par vidēja termiņa budžeta 2019., 2020. un 2021.gadam” un likumprojekta “Pa</vt:lpstr>
    </vt:vector>
  </TitlesOfParts>
  <Company>FM</Company>
  <LinksUpToDate>false</LinksUpToDate>
  <CharactersWithSpaces>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3.pielikums informatīvajam ziņojumam  “Par valsts budžeta izdevumu pārskatīšanas 2019., 2020. un 2021.gadam rezultātiem un priekšlikumi par šo rezultātu izmantošanu likumprojekta “Par vidēja termiņa budžeta 2019., 2020. un 2021.gadam” un likumprojekta “Par valsts budžetu 2019.gadam” izstrādes procesā”</dc:title>
  <dc:subject>Pielikums</dc:subject>
  <dc:creator>Dace Hildebrante</dc:creator>
  <cp:keywords/>
  <dc:description>67095454, Dace.hildebrante@fm.gov.lv</dc:description>
  <cp:lastModifiedBy>Klinta Stafecka</cp:lastModifiedBy>
  <cp:revision>3</cp:revision>
  <cp:lastPrinted>2018-09-21T10:35:00Z</cp:lastPrinted>
  <dcterms:created xsi:type="dcterms:W3CDTF">2018-10-17T07:05:00Z</dcterms:created>
  <dcterms:modified xsi:type="dcterms:W3CDTF">2019-02-12T11:56:00Z</dcterms:modified>
</cp:coreProperties>
</file>