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21F7F" w14:textId="77777777" w:rsidR="00E55CE1" w:rsidRPr="006B1251" w:rsidRDefault="006C0FCA" w:rsidP="00E55CE1">
      <w:pPr>
        <w:jc w:val="right"/>
        <w:rPr>
          <w:i/>
          <w:sz w:val="21"/>
          <w:szCs w:val="21"/>
        </w:rPr>
      </w:pPr>
      <w:bookmarkStart w:id="0" w:name="_GoBack"/>
      <w:bookmarkEnd w:id="0"/>
      <w:r w:rsidRPr="006C0FCA">
        <w:rPr>
          <w:i/>
          <w:sz w:val="21"/>
          <w:szCs w:val="21"/>
        </w:rPr>
        <w:t>1.</w:t>
      </w:r>
      <w:r w:rsidR="00E55CE1" w:rsidRPr="006C0FCA">
        <w:rPr>
          <w:i/>
          <w:sz w:val="21"/>
          <w:szCs w:val="21"/>
        </w:rPr>
        <w:t>pielikums</w:t>
      </w:r>
      <w:r w:rsidR="00E55CE1" w:rsidRPr="006B1251">
        <w:rPr>
          <w:i/>
          <w:sz w:val="21"/>
          <w:szCs w:val="21"/>
        </w:rPr>
        <w:t xml:space="preserve"> informatīvajam ziņojumam</w:t>
      </w:r>
    </w:p>
    <w:p w14:paraId="761F2BDE" w14:textId="77777777" w:rsidR="00E55CE1" w:rsidRPr="006B1251" w:rsidRDefault="00E55CE1" w:rsidP="00E55CE1">
      <w:pPr>
        <w:jc w:val="right"/>
        <w:rPr>
          <w:i/>
          <w:sz w:val="21"/>
          <w:szCs w:val="21"/>
        </w:rPr>
      </w:pPr>
      <w:r w:rsidRPr="006B1251">
        <w:rPr>
          <w:i/>
          <w:sz w:val="21"/>
          <w:szCs w:val="21"/>
        </w:rPr>
        <w:t>“Par valsts bud</w:t>
      </w:r>
      <w:r>
        <w:rPr>
          <w:i/>
          <w:sz w:val="21"/>
          <w:szCs w:val="21"/>
        </w:rPr>
        <w:t>žeta izdevumu pārskatīšanas 2019., 2020</w:t>
      </w:r>
      <w:r w:rsidRPr="006B1251">
        <w:rPr>
          <w:i/>
          <w:sz w:val="21"/>
          <w:szCs w:val="21"/>
        </w:rPr>
        <w:t>. un 202</w:t>
      </w:r>
      <w:r>
        <w:rPr>
          <w:i/>
          <w:sz w:val="21"/>
          <w:szCs w:val="21"/>
        </w:rPr>
        <w:t>1</w:t>
      </w:r>
      <w:r w:rsidRPr="006B1251">
        <w:rPr>
          <w:i/>
          <w:sz w:val="21"/>
          <w:szCs w:val="21"/>
        </w:rPr>
        <w:t>.gadam</w:t>
      </w:r>
    </w:p>
    <w:p w14:paraId="24E2D099" w14:textId="77777777" w:rsidR="00E55CE1" w:rsidRPr="006B1251" w:rsidRDefault="00E55CE1" w:rsidP="00E55CE1">
      <w:pPr>
        <w:jc w:val="right"/>
        <w:rPr>
          <w:i/>
          <w:sz w:val="21"/>
          <w:szCs w:val="21"/>
        </w:rPr>
      </w:pPr>
      <w:r w:rsidRPr="006B1251">
        <w:rPr>
          <w:i/>
          <w:sz w:val="21"/>
          <w:szCs w:val="21"/>
        </w:rPr>
        <w:t xml:space="preserve"> rezultātiem un priekšlikumi par šo rezultātu izmantošanu likumprojekta</w:t>
      </w:r>
    </w:p>
    <w:p w14:paraId="2C693541" w14:textId="77777777" w:rsidR="00E55CE1" w:rsidRPr="006B1251" w:rsidRDefault="00E55CE1" w:rsidP="00E55CE1">
      <w:pPr>
        <w:jc w:val="right"/>
        <w:rPr>
          <w:i/>
          <w:sz w:val="21"/>
          <w:szCs w:val="21"/>
        </w:rPr>
      </w:pPr>
      <w:r w:rsidRPr="006B1251">
        <w:rPr>
          <w:i/>
          <w:sz w:val="21"/>
          <w:szCs w:val="21"/>
        </w:rPr>
        <w:t xml:space="preserve"> “Par vidēja termiņa budžeta 201</w:t>
      </w:r>
      <w:r>
        <w:rPr>
          <w:i/>
          <w:sz w:val="21"/>
          <w:szCs w:val="21"/>
        </w:rPr>
        <w:t>9</w:t>
      </w:r>
      <w:r w:rsidRPr="006B1251">
        <w:rPr>
          <w:i/>
          <w:sz w:val="21"/>
          <w:szCs w:val="21"/>
        </w:rPr>
        <w:t>., 20</w:t>
      </w:r>
      <w:r>
        <w:rPr>
          <w:i/>
          <w:sz w:val="21"/>
          <w:szCs w:val="21"/>
        </w:rPr>
        <w:t>20</w:t>
      </w:r>
      <w:r w:rsidRPr="006B1251">
        <w:rPr>
          <w:i/>
          <w:sz w:val="21"/>
          <w:szCs w:val="21"/>
        </w:rPr>
        <w:t>. un 202</w:t>
      </w:r>
      <w:r>
        <w:rPr>
          <w:i/>
          <w:sz w:val="21"/>
          <w:szCs w:val="21"/>
        </w:rPr>
        <w:t>1</w:t>
      </w:r>
      <w:r w:rsidRPr="006B1251">
        <w:rPr>
          <w:i/>
          <w:sz w:val="21"/>
          <w:szCs w:val="21"/>
        </w:rPr>
        <w:t>.gadam” un likumprojekta</w:t>
      </w:r>
    </w:p>
    <w:p w14:paraId="5B2CD6E1" w14:textId="77777777" w:rsidR="00E55CE1" w:rsidRDefault="00E55CE1" w:rsidP="00E55CE1">
      <w:pPr>
        <w:jc w:val="right"/>
        <w:rPr>
          <w:i/>
          <w:sz w:val="21"/>
          <w:szCs w:val="21"/>
        </w:rPr>
      </w:pPr>
      <w:r w:rsidRPr="006B1251">
        <w:rPr>
          <w:i/>
          <w:sz w:val="21"/>
          <w:szCs w:val="21"/>
        </w:rPr>
        <w:t>“Par valsts budžetu 201</w:t>
      </w:r>
      <w:r>
        <w:rPr>
          <w:i/>
          <w:sz w:val="21"/>
          <w:szCs w:val="21"/>
        </w:rPr>
        <w:t>9</w:t>
      </w:r>
      <w:r w:rsidRPr="006B1251">
        <w:rPr>
          <w:i/>
          <w:sz w:val="21"/>
          <w:szCs w:val="21"/>
        </w:rPr>
        <w:t>.gadam” izstrādes procesā”</w:t>
      </w:r>
    </w:p>
    <w:p w14:paraId="623C4E87" w14:textId="77777777" w:rsidR="0027116E" w:rsidRDefault="0027116E" w:rsidP="00E55CE1">
      <w:pPr>
        <w:jc w:val="right"/>
        <w:rPr>
          <w:i/>
          <w:sz w:val="21"/>
          <w:szCs w:val="21"/>
        </w:rPr>
      </w:pPr>
    </w:p>
    <w:p w14:paraId="3E9D7440" w14:textId="77777777" w:rsidR="0027116E" w:rsidRPr="007517A3" w:rsidRDefault="0027116E" w:rsidP="0027116E">
      <w:pPr>
        <w:jc w:val="center"/>
        <w:rPr>
          <w:b/>
          <w:szCs w:val="24"/>
        </w:rPr>
      </w:pPr>
      <w:r w:rsidRPr="007517A3">
        <w:rPr>
          <w:b/>
          <w:iCs/>
          <w:szCs w:val="24"/>
          <w:lang w:eastAsia="lv-LV"/>
        </w:rPr>
        <w:t xml:space="preserve">Ministriju </w:t>
      </w:r>
      <w:r w:rsidR="009B546F" w:rsidRPr="007517A3">
        <w:rPr>
          <w:b/>
          <w:iCs/>
          <w:szCs w:val="24"/>
          <w:lang w:eastAsia="lv-LV"/>
        </w:rPr>
        <w:t>komentāri</w:t>
      </w:r>
      <w:r w:rsidRPr="007517A3">
        <w:rPr>
          <w:b/>
          <w:iCs/>
          <w:szCs w:val="24"/>
          <w:lang w:eastAsia="lv-LV"/>
        </w:rPr>
        <w:t xml:space="preserve"> par centralizētas tāmju sistēmas/ moduļa (eTāmes) izveidi </w:t>
      </w:r>
    </w:p>
    <w:p w14:paraId="3981819C" w14:textId="77777777" w:rsidR="00E55CE1" w:rsidRPr="0027116E" w:rsidRDefault="00E55CE1" w:rsidP="0027116E">
      <w:pPr>
        <w:jc w:val="center"/>
        <w:rPr>
          <w:b/>
        </w:rPr>
      </w:pPr>
    </w:p>
    <w:tbl>
      <w:tblPr>
        <w:tblStyle w:val="TableGrid"/>
        <w:tblW w:w="14312" w:type="dxa"/>
        <w:tblLook w:val="04A0" w:firstRow="1" w:lastRow="0" w:firstColumn="1" w:lastColumn="0" w:noHBand="0" w:noVBand="1"/>
      </w:tblPr>
      <w:tblGrid>
        <w:gridCol w:w="1256"/>
        <w:gridCol w:w="1818"/>
        <w:gridCol w:w="11238"/>
      </w:tblGrid>
      <w:tr w:rsidR="00E55CE1" w:rsidRPr="00E55CE1" w14:paraId="51208B89" w14:textId="77777777" w:rsidTr="00C635F8">
        <w:trPr>
          <w:trHeight w:val="630"/>
          <w:tblHeader/>
        </w:trPr>
        <w:tc>
          <w:tcPr>
            <w:tcW w:w="1256" w:type="dxa"/>
            <w:shd w:val="clear" w:color="auto" w:fill="E2EFD9" w:themeFill="accent6" w:themeFillTint="33"/>
            <w:noWrap/>
            <w:vAlign w:val="center"/>
            <w:hideMark/>
          </w:tcPr>
          <w:p w14:paraId="385606A7" w14:textId="77777777" w:rsidR="00E55CE1" w:rsidRPr="00E55CE1" w:rsidRDefault="00E55CE1" w:rsidP="00E55CE1">
            <w:pPr>
              <w:jc w:val="center"/>
              <w:rPr>
                <w:b/>
              </w:rPr>
            </w:pPr>
            <w:r w:rsidRPr="00E55CE1">
              <w:rPr>
                <w:b/>
              </w:rPr>
              <w:t>Ministrija</w:t>
            </w:r>
          </w:p>
        </w:tc>
        <w:tc>
          <w:tcPr>
            <w:tcW w:w="1818" w:type="dxa"/>
            <w:shd w:val="clear" w:color="auto" w:fill="E2EFD9" w:themeFill="accent6" w:themeFillTint="33"/>
            <w:vAlign w:val="center"/>
            <w:hideMark/>
          </w:tcPr>
          <w:p w14:paraId="574A0B5C" w14:textId="77777777" w:rsidR="00E55CE1" w:rsidRPr="00E55CE1" w:rsidRDefault="00E55CE1" w:rsidP="00E55CE1">
            <w:pPr>
              <w:jc w:val="center"/>
              <w:rPr>
                <w:b/>
              </w:rPr>
            </w:pPr>
            <w:r w:rsidRPr="00E55CE1">
              <w:rPr>
                <w:b/>
              </w:rPr>
              <w:t>Tāmju apstrādes sistēma</w:t>
            </w:r>
          </w:p>
        </w:tc>
        <w:tc>
          <w:tcPr>
            <w:tcW w:w="11238" w:type="dxa"/>
            <w:shd w:val="clear" w:color="auto" w:fill="E2EFD9" w:themeFill="accent6" w:themeFillTint="33"/>
            <w:noWrap/>
            <w:vAlign w:val="center"/>
            <w:hideMark/>
          </w:tcPr>
          <w:p w14:paraId="4EA2A854" w14:textId="77777777" w:rsidR="00E55CE1" w:rsidRPr="00E55CE1" w:rsidRDefault="00E55CE1" w:rsidP="00E55CE1">
            <w:pPr>
              <w:jc w:val="center"/>
              <w:rPr>
                <w:b/>
              </w:rPr>
            </w:pPr>
            <w:r w:rsidRPr="00E55CE1">
              <w:rPr>
                <w:b/>
              </w:rPr>
              <w:t>Komentārs</w:t>
            </w:r>
          </w:p>
        </w:tc>
      </w:tr>
      <w:tr w:rsidR="00E55CE1" w:rsidRPr="00E55CE1" w14:paraId="1FEB1D4D" w14:textId="77777777" w:rsidTr="00C635F8">
        <w:tc>
          <w:tcPr>
            <w:tcW w:w="1256" w:type="dxa"/>
            <w:noWrap/>
            <w:hideMark/>
          </w:tcPr>
          <w:p w14:paraId="6895EB9F" w14:textId="77777777" w:rsidR="00E55CE1" w:rsidRPr="00E55CE1" w:rsidRDefault="00E55CE1" w:rsidP="00A3139D">
            <w:r w:rsidRPr="00E55CE1">
              <w:t>VPK</w:t>
            </w:r>
          </w:p>
        </w:tc>
        <w:tc>
          <w:tcPr>
            <w:tcW w:w="1818" w:type="dxa"/>
            <w:noWrap/>
            <w:hideMark/>
          </w:tcPr>
          <w:p w14:paraId="5A7D1F55" w14:textId="77777777" w:rsidR="00E55CE1" w:rsidRPr="00E55CE1" w:rsidRDefault="00E55CE1" w:rsidP="00A3139D">
            <w:r w:rsidRPr="00E55CE1">
              <w:t>Excel</w:t>
            </w:r>
          </w:p>
        </w:tc>
        <w:tc>
          <w:tcPr>
            <w:tcW w:w="11238" w:type="dxa"/>
            <w:hideMark/>
          </w:tcPr>
          <w:p w14:paraId="0D27E14A" w14:textId="77777777" w:rsidR="00907BD8" w:rsidRDefault="00E55CE1" w:rsidP="00907BD8">
            <w:pPr>
              <w:spacing w:before="120" w:after="120"/>
              <w:jc w:val="both"/>
            </w:pPr>
            <w:r w:rsidRPr="00E55CE1">
              <w:t xml:space="preserve">Atbalsta FM ieceri no 2019.gada 1.janvāra ieviest </w:t>
            </w:r>
            <w:r w:rsidR="0028766C" w:rsidRPr="00E55CE1">
              <w:t>centralizētu</w:t>
            </w:r>
            <w:r w:rsidRPr="00E55CE1">
              <w:t xml:space="preserve"> informācijas sistēmu tāmju sagatavošanai, saskaņošanai un uzglabāšanai.</w:t>
            </w:r>
          </w:p>
          <w:p w14:paraId="4DFA8C74" w14:textId="77777777" w:rsidR="00E55CE1" w:rsidRPr="00E55CE1" w:rsidRDefault="00E55CE1" w:rsidP="00907BD8">
            <w:pPr>
              <w:spacing w:before="120" w:after="120"/>
              <w:jc w:val="both"/>
            </w:pPr>
            <w:r w:rsidRPr="00E55CE1">
              <w:t>Uzskat</w:t>
            </w:r>
            <w:r w:rsidR="00907BD8">
              <w:t>a</w:t>
            </w:r>
            <w:r w:rsidRPr="00E55CE1">
              <w:t xml:space="preserve">, ka vienota tāmju ievadīšanas, saskaņošanas un koriģēšanas sistēma </w:t>
            </w:r>
            <w:r w:rsidR="0028766C" w:rsidRPr="00E55CE1">
              <w:t>atvieglos</w:t>
            </w:r>
            <w:r w:rsidRPr="00E55CE1">
              <w:t xml:space="preserve"> darbu un efektīvi samazinās administratīvo slogu un veicamo darbību skaitu budžeta pieprasījumu iesniegšanas laikā. </w:t>
            </w:r>
            <w:r w:rsidRPr="00E55CE1">
              <w:br/>
              <w:t>Pašlaik Kancelejai nav faktisku vai plānotu izdevumu, ko radītu tāmju izveide un apstrāde, jo Kancelejas finanšu plānošanai un pārvaldīšanai netiek izmantotas specifiskas tāmju apstrādes sistēmas.</w:t>
            </w:r>
          </w:p>
        </w:tc>
      </w:tr>
      <w:tr w:rsidR="00E55CE1" w:rsidRPr="00E55CE1" w14:paraId="21649AD1" w14:textId="77777777" w:rsidTr="00C635F8">
        <w:tc>
          <w:tcPr>
            <w:tcW w:w="1256" w:type="dxa"/>
            <w:noWrap/>
            <w:hideMark/>
          </w:tcPr>
          <w:p w14:paraId="19CFE0AD" w14:textId="77777777" w:rsidR="00E55CE1" w:rsidRPr="00E55CE1" w:rsidRDefault="00E55CE1" w:rsidP="00A3139D">
            <w:r w:rsidRPr="00E55CE1">
              <w:t>Saeima</w:t>
            </w:r>
          </w:p>
        </w:tc>
        <w:tc>
          <w:tcPr>
            <w:tcW w:w="1818" w:type="dxa"/>
            <w:noWrap/>
            <w:hideMark/>
          </w:tcPr>
          <w:p w14:paraId="56EB0E2F" w14:textId="77777777" w:rsidR="00E55CE1" w:rsidRPr="00E55CE1" w:rsidRDefault="00E55CE1" w:rsidP="00A3139D">
            <w:r w:rsidRPr="00E55CE1">
              <w:t>Excel</w:t>
            </w:r>
          </w:p>
        </w:tc>
        <w:tc>
          <w:tcPr>
            <w:tcW w:w="11238" w:type="dxa"/>
            <w:hideMark/>
          </w:tcPr>
          <w:p w14:paraId="128C09E7" w14:textId="77777777" w:rsidR="00E55CE1" w:rsidRPr="00E55CE1" w:rsidRDefault="00E55CE1" w:rsidP="00907BD8">
            <w:pPr>
              <w:spacing w:before="120" w:after="120"/>
              <w:jc w:val="both"/>
            </w:pPr>
            <w:r w:rsidRPr="00E55CE1">
              <w:t>LR Saeima tāmju sagatavošanai izmanto Excel programmatūru, tādēļ budžeta izdevumu tāmju apstrādes sistēmu uzturēšanas izmaksas nav paredzētas.</w:t>
            </w:r>
          </w:p>
        </w:tc>
      </w:tr>
      <w:tr w:rsidR="00E55CE1" w:rsidRPr="00E55CE1" w14:paraId="5A275CED" w14:textId="77777777" w:rsidTr="00C635F8">
        <w:tc>
          <w:tcPr>
            <w:tcW w:w="1256" w:type="dxa"/>
            <w:noWrap/>
            <w:hideMark/>
          </w:tcPr>
          <w:p w14:paraId="2B940ABC" w14:textId="77777777" w:rsidR="00E55CE1" w:rsidRPr="00E55CE1" w:rsidRDefault="00E55CE1" w:rsidP="00A3139D">
            <w:r w:rsidRPr="00E55CE1">
              <w:t>MK</w:t>
            </w:r>
          </w:p>
        </w:tc>
        <w:tc>
          <w:tcPr>
            <w:tcW w:w="1818" w:type="dxa"/>
            <w:noWrap/>
            <w:hideMark/>
          </w:tcPr>
          <w:p w14:paraId="696C9AB9" w14:textId="77777777" w:rsidR="00E55CE1" w:rsidRPr="00E55CE1" w:rsidRDefault="00E55CE1" w:rsidP="00A3139D">
            <w:r w:rsidRPr="00E55CE1">
              <w:t>Excel</w:t>
            </w:r>
          </w:p>
        </w:tc>
        <w:tc>
          <w:tcPr>
            <w:tcW w:w="11238" w:type="dxa"/>
            <w:noWrap/>
            <w:hideMark/>
          </w:tcPr>
          <w:p w14:paraId="06788F8A" w14:textId="77777777" w:rsidR="00E55CE1" w:rsidRPr="00E55CE1" w:rsidRDefault="004F4D45" w:rsidP="00907BD8">
            <w:pPr>
              <w:spacing w:before="120" w:after="120"/>
              <w:jc w:val="both"/>
            </w:pPr>
            <w:r>
              <w:t>VK</w:t>
            </w:r>
            <w:r w:rsidR="00E55CE1" w:rsidRPr="00E55CE1">
              <w:t>, gan tās padotībā esošā Valsts administrācijas skola līdz šim nav izmantojusi tāmju apstrādes sistēmu, bet piemēro standarta programmatūru Excel. Līdz ar to valsts budžeta līdzekļi tāmju apstrādes sistēmu ieviešanai un  uzturēšanai netiek plānoti un lietoti.</w:t>
            </w:r>
          </w:p>
        </w:tc>
      </w:tr>
      <w:tr w:rsidR="00E55CE1" w:rsidRPr="00E55CE1" w14:paraId="6EB88803" w14:textId="77777777" w:rsidTr="00C635F8">
        <w:tc>
          <w:tcPr>
            <w:tcW w:w="1256" w:type="dxa"/>
            <w:noWrap/>
            <w:hideMark/>
          </w:tcPr>
          <w:p w14:paraId="3324C7FD" w14:textId="77777777" w:rsidR="00E55CE1" w:rsidRPr="00E55CE1" w:rsidRDefault="00E55CE1" w:rsidP="00A3139D">
            <w:r w:rsidRPr="00E55CE1">
              <w:t>KNAB</w:t>
            </w:r>
          </w:p>
        </w:tc>
        <w:tc>
          <w:tcPr>
            <w:tcW w:w="1818" w:type="dxa"/>
            <w:noWrap/>
            <w:hideMark/>
          </w:tcPr>
          <w:p w14:paraId="25191139" w14:textId="77777777" w:rsidR="00E55CE1" w:rsidRPr="00E55CE1" w:rsidRDefault="00E55CE1" w:rsidP="00A3139D">
            <w:r w:rsidRPr="00E55CE1">
              <w:t>Excel</w:t>
            </w:r>
          </w:p>
        </w:tc>
        <w:tc>
          <w:tcPr>
            <w:tcW w:w="11238" w:type="dxa"/>
            <w:noWrap/>
            <w:hideMark/>
          </w:tcPr>
          <w:p w14:paraId="4DB68927" w14:textId="77777777" w:rsidR="00E55CE1" w:rsidRPr="00E55CE1" w:rsidRDefault="0082162B" w:rsidP="00907BD8">
            <w:pPr>
              <w:spacing w:before="120" w:after="120"/>
              <w:jc w:val="both"/>
            </w:pPr>
            <w:r>
              <w:t>N</w:t>
            </w:r>
            <w:r w:rsidR="00E55CE1" w:rsidRPr="00E55CE1">
              <w:t xml:space="preserve">av papildus izmaksas tāmju apstrādes sistēmu uzturēšanai, kā arī nav bijušas šo sistēmu ieviešanas izmaksas. </w:t>
            </w:r>
          </w:p>
        </w:tc>
      </w:tr>
      <w:tr w:rsidR="00E55CE1" w:rsidRPr="00E55CE1" w14:paraId="1CF4A7FC" w14:textId="77777777" w:rsidTr="00C635F8">
        <w:tc>
          <w:tcPr>
            <w:tcW w:w="1256" w:type="dxa"/>
            <w:noWrap/>
            <w:hideMark/>
          </w:tcPr>
          <w:p w14:paraId="3846DC0B" w14:textId="77777777" w:rsidR="00E55CE1" w:rsidRPr="00E55CE1" w:rsidRDefault="00E55CE1" w:rsidP="00A3139D">
            <w:r w:rsidRPr="00E55CE1">
              <w:t>TB</w:t>
            </w:r>
          </w:p>
        </w:tc>
        <w:tc>
          <w:tcPr>
            <w:tcW w:w="1818" w:type="dxa"/>
            <w:noWrap/>
            <w:hideMark/>
          </w:tcPr>
          <w:p w14:paraId="11745CB4" w14:textId="77777777" w:rsidR="00E55CE1" w:rsidRPr="00E55CE1" w:rsidRDefault="00E55CE1" w:rsidP="00A3139D">
            <w:r w:rsidRPr="00E55CE1">
              <w:t>Excel</w:t>
            </w:r>
          </w:p>
        </w:tc>
        <w:tc>
          <w:tcPr>
            <w:tcW w:w="11238" w:type="dxa"/>
            <w:hideMark/>
          </w:tcPr>
          <w:p w14:paraId="38151C8A" w14:textId="77777777" w:rsidR="00E55CE1" w:rsidRPr="00E55CE1" w:rsidRDefault="00E55CE1" w:rsidP="00907BD8">
            <w:pPr>
              <w:spacing w:before="120" w:after="120"/>
              <w:jc w:val="both"/>
            </w:pPr>
            <w:r w:rsidRPr="00E55CE1">
              <w:t>Tāmju apstrādei birojs izmanto standarta programmatūru un no centralizētas eTāmju sistēmas ieviešanas būtisku izmaiņu ietekmes nebūs.</w:t>
            </w:r>
          </w:p>
        </w:tc>
      </w:tr>
      <w:tr w:rsidR="00E55CE1" w:rsidRPr="00E55CE1" w14:paraId="67A0B0E3" w14:textId="77777777" w:rsidTr="00C635F8">
        <w:tc>
          <w:tcPr>
            <w:tcW w:w="1256" w:type="dxa"/>
            <w:noWrap/>
            <w:hideMark/>
          </w:tcPr>
          <w:p w14:paraId="70DD3DD1" w14:textId="1E8C9377" w:rsidR="007065F0" w:rsidRDefault="00E55CE1" w:rsidP="00A3139D">
            <w:r w:rsidRPr="00E55CE1">
              <w:t>SIF</w:t>
            </w:r>
          </w:p>
          <w:p w14:paraId="674A1FED" w14:textId="77777777" w:rsidR="007065F0" w:rsidRPr="007065F0" w:rsidRDefault="007065F0" w:rsidP="007065F0"/>
          <w:p w14:paraId="1201F362" w14:textId="21B7A895" w:rsidR="00E55CE1" w:rsidRPr="007065F0" w:rsidRDefault="007065F0" w:rsidP="007065F0">
            <w:pPr>
              <w:tabs>
                <w:tab w:val="left" w:pos="880"/>
              </w:tabs>
            </w:pPr>
            <w:r>
              <w:tab/>
            </w:r>
          </w:p>
        </w:tc>
        <w:tc>
          <w:tcPr>
            <w:tcW w:w="1818" w:type="dxa"/>
            <w:noWrap/>
            <w:hideMark/>
          </w:tcPr>
          <w:p w14:paraId="729981DE" w14:textId="7B6ED47F" w:rsidR="004F1DC2" w:rsidRDefault="00E55CE1" w:rsidP="00A3139D">
            <w:r w:rsidRPr="00E55CE1">
              <w:t>Excel</w:t>
            </w:r>
          </w:p>
          <w:p w14:paraId="104962FA" w14:textId="77777777" w:rsidR="004F1DC2" w:rsidRPr="004F1DC2" w:rsidRDefault="004F1DC2" w:rsidP="004F1DC2"/>
          <w:p w14:paraId="65DB0E5C" w14:textId="1FC2D3F0" w:rsidR="00E55CE1" w:rsidRPr="004F1DC2" w:rsidRDefault="00E55CE1" w:rsidP="004F1DC2">
            <w:pPr>
              <w:jc w:val="center"/>
            </w:pPr>
          </w:p>
        </w:tc>
        <w:tc>
          <w:tcPr>
            <w:tcW w:w="11238" w:type="dxa"/>
            <w:hideMark/>
          </w:tcPr>
          <w:p w14:paraId="06182719" w14:textId="77777777" w:rsidR="00E55CE1" w:rsidRPr="00E55CE1" w:rsidRDefault="00E55CE1" w:rsidP="00907BD8">
            <w:pPr>
              <w:spacing w:before="120" w:after="120"/>
              <w:jc w:val="both"/>
            </w:pPr>
            <w:r w:rsidRPr="00E55CE1">
              <w:t>Iestādē tāmju apstrādei tiek izmantota standarta programmatūra Excel, līdz ar to ne pārskata gadā, ne arī nākamajos periodos nav un neradīsies izmaksas tāmju apstrādes sistēmu uzturēšanai.</w:t>
            </w:r>
          </w:p>
        </w:tc>
      </w:tr>
      <w:tr w:rsidR="00E55CE1" w:rsidRPr="00E55CE1" w14:paraId="1E044441" w14:textId="77777777" w:rsidTr="00C635F8">
        <w:tc>
          <w:tcPr>
            <w:tcW w:w="1256" w:type="dxa"/>
            <w:noWrap/>
            <w:hideMark/>
          </w:tcPr>
          <w:p w14:paraId="1AAEE742" w14:textId="77777777" w:rsidR="00E55CE1" w:rsidRPr="00E55CE1" w:rsidRDefault="00E55CE1" w:rsidP="00A3139D">
            <w:r w:rsidRPr="00E55CE1">
              <w:lastRenderedPageBreak/>
              <w:t>SPRK</w:t>
            </w:r>
          </w:p>
        </w:tc>
        <w:tc>
          <w:tcPr>
            <w:tcW w:w="1818" w:type="dxa"/>
            <w:noWrap/>
            <w:hideMark/>
          </w:tcPr>
          <w:p w14:paraId="42EA8CF1" w14:textId="77777777" w:rsidR="00E55CE1" w:rsidRPr="00E55CE1" w:rsidRDefault="00E55CE1" w:rsidP="00A3139D">
            <w:r w:rsidRPr="00E55CE1">
              <w:t>Excel</w:t>
            </w:r>
          </w:p>
        </w:tc>
        <w:tc>
          <w:tcPr>
            <w:tcW w:w="11238" w:type="dxa"/>
            <w:hideMark/>
          </w:tcPr>
          <w:p w14:paraId="3B2DDBB5" w14:textId="77777777" w:rsidR="004F4D45" w:rsidRDefault="00E55CE1" w:rsidP="00907BD8">
            <w:pPr>
              <w:spacing w:before="120" w:after="120"/>
              <w:jc w:val="both"/>
            </w:pPr>
            <w:r w:rsidRPr="00E55CE1">
              <w:t>Regulatoram nav šī gada faktisko un nākamo periodu plānoto tāmju apstrādes sistēmu uzturēšanas izmaksu, jo tāmes tiek sagatavotas un uzturētas Excel programmā.</w:t>
            </w:r>
          </w:p>
          <w:p w14:paraId="695286A5" w14:textId="77777777" w:rsidR="00E55CE1" w:rsidRPr="00E55CE1" w:rsidRDefault="00E55CE1" w:rsidP="00907BD8">
            <w:pPr>
              <w:spacing w:before="120" w:after="120"/>
              <w:jc w:val="both"/>
            </w:pPr>
            <w:r w:rsidRPr="00E55CE1">
              <w:t>Tāpat Regulators informē, ka centralizētas informācijas sistēmas tāmju sagatavošanai, saskaņošanai un uzglabāšanai ieviešana neietekmēs administratīvo slogu un darba apjomu budžeta pieprasījuma iesniegšanas laikā Regulatorā, jo plānoto ieņēmumu un izdevumu tāmes Regulators gatavo un uztur tikai vienai budžeta programmai.</w:t>
            </w:r>
          </w:p>
        </w:tc>
      </w:tr>
      <w:tr w:rsidR="00E55CE1" w:rsidRPr="00E55CE1" w14:paraId="10013E29" w14:textId="77777777" w:rsidTr="00C635F8">
        <w:tc>
          <w:tcPr>
            <w:tcW w:w="1256" w:type="dxa"/>
            <w:noWrap/>
            <w:hideMark/>
          </w:tcPr>
          <w:p w14:paraId="24BB4310" w14:textId="77777777" w:rsidR="00E55CE1" w:rsidRPr="00E55CE1" w:rsidRDefault="00E55CE1" w:rsidP="00A3139D">
            <w:r w:rsidRPr="00E55CE1">
              <w:t>AiM</w:t>
            </w:r>
          </w:p>
        </w:tc>
        <w:tc>
          <w:tcPr>
            <w:tcW w:w="1818" w:type="dxa"/>
            <w:noWrap/>
            <w:hideMark/>
          </w:tcPr>
          <w:p w14:paraId="3F08814C" w14:textId="77777777" w:rsidR="00E55CE1" w:rsidRPr="00E55CE1" w:rsidRDefault="00E55CE1" w:rsidP="00A3139D">
            <w:r w:rsidRPr="00E55CE1">
              <w:t>Excel</w:t>
            </w:r>
          </w:p>
        </w:tc>
        <w:tc>
          <w:tcPr>
            <w:tcW w:w="11238" w:type="dxa"/>
            <w:hideMark/>
          </w:tcPr>
          <w:p w14:paraId="44551B33" w14:textId="77777777" w:rsidR="00E55CE1" w:rsidRPr="00E55CE1" w:rsidRDefault="00C7065D" w:rsidP="00907BD8">
            <w:pPr>
              <w:spacing w:before="120" w:after="120"/>
              <w:jc w:val="both"/>
            </w:pPr>
            <w:r>
              <w:t>AiM t</w:t>
            </w:r>
            <w:r w:rsidR="00E55CE1" w:rsidRPr="00E55CE1">
              <w:t>āmes veido un uztur Excel programmā. A</w:t>
            </w:r>
            <w:r>
              <w:t>i</w:t>
            </w:r>
            <w:r w:rsidR="00E55CE1" w:rsidRPr="00E55CE1">
              <w:t>M nav atsevišķas programmas tāmēm.</w:t>
            </w:r>
          </w:p>
        </w:tc>
      </w:tr>
      <w:tr w:rsidR="00E55CE1" w:rsidRPr="00E55CE1" w14:paraId="4BC9B8EE" w14:textId="77777777" w:rsidTr="00C635F8">
        <w:tc>
          <w:tcPr>
            <w:tcW w:w="1256" w:type="dxa"/>
            <w:noWrap/>
            <w:hideMark/>
          </w:tcPr>
          <w:p w14:paraId="1ABA5B13" w14:textId="77777777" w:rsidR="00E55CE1" w:rsidRPr="00E55CE1" w:rsidRDefault="00E55CE1" w:rsidP="00A3139D">
            <w:r w:rsidRPr="00E55CE1">
              <w:t>ĀM</w:t>
            </w:r>
          </w:p>
        </w:tc>
        <w:tc>
          <w:tcPr>
            <w:tcW w:w="1818" w:type="dxa"/>
            <w:noWrap/>
            <w:hideMark/>
          </w:tcPr>
          <w:p w14:paraId="7A44B9DF" w14:textId="085E5403" w:rsidR="004F1DC2" w:rsidRDefault="00E55CE1" w:rsidP="00A3139D">
            <w:r w:rsidRPr="00E55CE1">
              <w:t>Excel ar 2019.gadu Horizon Microstrategy</w:t>
            </w:r>
          </w:p>
          <w:p w14:paraId="24EBD290" w14:textId="77777777" w:rsidR="004F1DC2" w:rsidRPr="004F1DC2" w:rsidRDefault="004F1DC2" w:rsidP="004F1DC2"/>
          <w:p w14:paraId="53775740" w14:textId="77777777" w:rsidR="004F1DC2" w:rsidRPr="004F1DC2" w:rsidRDefault="004F1DC2" w:rsidP="004F1DC2"/>
          <w:p w14:paraId="55F3E89E" w14:textId="77777777" w:rsidR="004F1DC2" w:rsidRPr="004F1DC2" w:rsidRDefault="004F1DC2" w:rsidP="004F1DC2"/>
          <w:p w14:paraId="0D5024C1" w14:textId="77777777" w:rsidR="004F1DC2" w:rsidRPr="004F1DC2" w:rsidRDefault="004F1DC2" w:rsidP="004F1DC2"/>
          <w:p w14:paraId="2176585E" w14:textId="77777777" w:rsidR="004F1DC2" w:rsidRPr="004F1DC2" w:rsidRDefault="004F1DC2" w:rsidP="004F1DC2"/>
          <w:p w14:paraId="3AB88760" w14:textId="77777777" w:rsidR="004F1DC2" w:rsidRPr="004F1DC2" w:rsidRDefault="004F1DC2" w:rsidP="004F1DC2"/>
          <w:p w14:paraId="0D6575F5" w14:textId="77777777" w:rsidR="004F1DC2" w:rsidRPr="004F1DC2" w:rsidRDefault="004F1DC2" w:rsidP="004F1DC2"/>
          <w:p w14:paraId="0C6D961B" w14:textId="77777777" w:rsidR="004F1DC2" w:rsidRPr="004F1DC2" w:rsidRDefault="004F1DC2" w:rsidP="004F1DC2"/>
          <w:p w14:paraId="7EB4DDAE" w14:textId="77777777" w:rsidR="004F1DC2" w:rsidRPr="004F1DC2" w:rsidRDefault="004F1DC2" w:rsidP="004F1DC2"/>
          <w:p w14:paraId="2D4DA92F" w14:textId="77777777" w:rsidR="004F1DC2" w:rsidRPr="004F1DC2" w:rsidRDefault="004F1DC2" w:rsidP="004F1DC2"/>
          <w:p w14:paraId="5EF8A19E" w14:textId="77777777" w:rsidR="004F1DC2" w:rsidRPr="004F1DC2" w:rsidRDefault="004F1DC2" w:rsidP="004F1DC2"/>
          <w:p w14:paraId="231F2255" w14:textId="77777777" w:rsidR="004F1DC2" w:rsidRPr="004F1DC2" w:rsidRDefault="004F1DC2" w:rsidP="004F1DC2"/>
          <w:p w14:paraId="2BDF248E" w14:textId="77777777" w:rsidR="004F1DC2" w:rsidRPr="004F1DC2" w:rsidRDefault="004F1DC2" w:rsidP="004F1DC2"/>
          <w:p w14:paraId="0F3C95CC" w14:textId="77777777" w:rsidR="004F1DC2" w:rsidRPr="004F1DC2" w:rsidRDefault="004F1DC2" w:rsidP="004F1DC2"/>
          <w:p w14:paraId="4086275B" w14:textId="77777777" w:rsidR="004F1DC2" w:rsidRPr="004F1DC2" w:rsidRDefault="004F1DC2" w:rsidP="004F1DC2"/>
          <w:p w14:paraId="25C99F07" w14:textId="224B5EF2" w:rsidR="00E55CE1" w:rsidRPr="004F1DC2" w:rsidRDefault="00E55CE1" w:rsidP="004F1DC2">
            <w:pPr>
              <w:jc w:val="center"/>
            </w:pPr>
          </w:p>
        </w:tc>
        <w:tc>
          <w:tcPr>
            <w:tcW w:w="11238" w:type="dxa"/>
            <w:hideMark/>
          </w:tcPr>
          <w:p w14:paraId="399B9546" w14:textId="77777777" w:rsidR="004F4D45" w:rsidRDefault="004F4D45" w:rsidP="00907BD8">
            <w:pPr>
              <w:spacing w:before="120" w:after="120"/>
              <w:jc w:val="both"/>
            </w:pPr>
            <w:r>
              <w:t>Augsti vērtē</w:t>
            </w:r>
            <w:r w:rsidR="00E55CE1" w:rsidRPr="00E55CE1">
              <w:t xml:space="preserve"> FM jau līdz šim paveikto administratīvā sloga mazināšanai valsts pārvaldes iestādēs un vēl plānotos pasākumus, t.sk., paredzot iespējas izmantot informācijas tehnoloģiju sistēmu piedāvātās iespējas automātiskai budžeta plānošanas un izdevumu uzskaites datu apkopošanai tālāka</w:t>
            </w:r>
            <w:r w:rsidR="00D07D0D">
              <w:t>s</w:t>
            </w:r>
            <w:r w:rsidR="00E55CE1" w:rsidRPr="00E55CE1">
              <w:t xml:space="preserve"> analīze</w:t>
            </w:r>
            <w:r w:rsidR="00D07D0D">
              <w:t>s veikšanai</w:t>
            </w:r>
            <w:r w:rsidR="00E55CE1" w:rsidRPr="00E55CE1">
              <w:t>.</w:t>
            </w:r>
          </w:p>
          <w:p w14:paraId="20BA829C" w14:textId="77777777" w:rsidR="004F4D45" w:rsidRDefault="00E55CE1" w:rsidP="00907BD8">
            <w:pPr>
              <w:spacing w:before="120" w:after="120"/>
              <w:jc w:val="both"/>
            </w:pPr>
            <w:r w:rsidRPr="00E55CE1">
              <w:t>Tāmju sagatavošanai un apkopotās informācijas uzglabāšanai ĀM izmanto standarta Excel programmatūru. Savukārt no nākošā gada tiek plānots ieviest jaunu finanšu uzskaites programmu pārstāvniecību ārvalstīs veikto izdevumu uzskaitei, kā arī to paredzēts izmantot pārstāvniecību budžeta tāmju saskaņošanai un uzglabāšanai.</w:t>
            </w:r>
          </w:p>
          <w:p w14:paraId="2E316EE5" w14:textId="77777777" w:rsidR="004F4D45" w:rsidRDefault="00E55CE1" w:rsidP="004F4D45">
            <w:pPr>
              <w:spacing w:before="120" w:after="120"/>
              <w:jc w:val="both"/>
            </w:pPr>
            <w:r w:rsidRPr="00E55CE1">
              <w:t xml:space="preserve">Papildus </w:t>
            </w:r>
            <w:r w:rsidR="004F4D45">
              <w:t>vērš</w:t>
            </w:r>
            <w:r w:rsidRPr="00E55CE1">
              <w:t xml:space="preserve"> uzmanību, ka ĀM budžeta tāmes tiek sagatavotas ne tikai atbilstoši attiecīgās programmas, apakšprogrammas izdevumiem, bet arī pa atsevišķiem pasākumiem, piemēram, ĀM budžeta apakšprogrammas 01.04.00 “Diplomātiskās misijas ārvalstīs” ietvaros tiek sagatavotas 53 atsevišķas tāmes. Turklāt ĀM papildus pastāvošajai izdevumu uzskaitei četru zīmju ekonomiskās klasifikācijas kodu griezumā, papildus ir ieviesti piecu zīmju izdevumu ekonomiskās klasifikācijas kodi.</w:t>
            </w:r>
          </w:p>
          <w:p w14:paraId="397800F6" w14:textId="77777777" w:rsidR="00E55CE1" w:rsidRPr="00E55CE1" w:rsidRDefault="00E55CE1" w:rsidP="004F4D45">
            <w:pPr>
              <w:spacing w:before="120" w:after="120"/>
              <w:jc w:val="both"/>
            </w:pPr>
            <w:r w:rsidRPr="00E55CE1">
              <w:t>Ņemot vērā iepriekš minēto, uzskat</w:t>
            </w:r>
            <w:r w:rsidR="004F4D45">
              <w:t>a</w:t>
            </w:r>
            <w:r w:rsidRPr="00E55CE1">
              <w:t>, ka gadījumā, ja netiks nodrošināta eTāmes sistēmas savienojamība ar jau lietotajām programmām un datu ievade nepieciešamajā detalizācijas pakāpē, līdz ar jaunās sistēmas ieviešanu, veicamais darbu apjoms ministrijā dubultosies, turpinot gatavot tāmes ministrijas iekšējai lietošanai un paralēli datus ievadot arī eTāmes sistēmā, kā rezultātā netiks sasniegts izvirzītais mērķis un netiks samazināts administratīvais slogs.</w:t>
            </w:r>
          </w:p>
        </w:tc>
      </w:tr>
      <w:tr w:rsidR="00E55CE1" w:rsidRPr="00E55CE1" w14:paraId="17415A2F" w14:textId="77777777" w:rsidTr="00C635F8">
        <w:tc>
          <w:tcPr>
            <w:tcW w:w="1256" w:type="dxa"/>
            <w:noWrap/>
            <w:hideMark/>
          </w:tcPr>
          <w:p w14:paraId="14C85AF4" w14:textId="77777777" w:rsidR="00E55CE1" w:rsidRPr="00E55CE1" w:rsidRDefault="00E55CE1" w:rsidP="00A3139D">
            <w:r w:rsidRPr="00E55CE1">
              <w:lastRenderedPageBreak/>
              <w:t>EM</w:t>
            </w:r>
          </w:p>
        </w:tc>
        <w:tc>
          <w:tcPr>
            <w:tcW w:w="1818" w:type="dxa"/>
            <w:noWrap/>
            <w:hideMark/>
          </w:tcPr>
          <w:p w14:paraId="655609F8" w14:textId="77777777" w:rsidR="00E55CE1" w:rsidRPr="00E55CE1" w:rsidRDefault="00E55CE1" w:rsidP="00A3139D">
            <w:r w:rsidRPr="00E55CE1">
              <w:t>FIBU</w:t>
            </w:r>
          </w:p>
        </w:tc>
        <w:tc>
          <w:tcPr>
            <w:tcW w:w="11238" w:type="dxa"/>
            <w:hideMark/>
          </w:tcPr>
          <w:p w14:paraId="30C96C4D" w14:textId="77777777" w:rsidR="004F4D45" w:rsidRDefault="00E55CE1" w:rsidP="00907BD8">
            <w:pPr>
              <w:spacing w:before="120" w:after="120"/>
              <w:jc w:val="both"/>
            </w:pPr>
            <w:r w:rsidRPr="00E55CE1">
              <w:t>Sākot ar 2007.gadu izmanto SIA “DIVI grupa” budžeta kopsavilkumu sistēmu (FIBU), kurā informāciju ievieto ministrija un tās padotības iestādes.</w:t>
            </w:r>
          </w:p>
          <w:p w14:paraId="3A4C8D74" w14:textId="77777777" w:rsidR="004F4D45" w:rsidRDefault="00E55CE1" w:rsidP="00907BD8">
            <w:pPr>
              <w:spacing w:before="120" w:after="120"/>
              <w:jc w:val="both"/>
            </w:pPr>
            <w:r w:rsidRPr="00E55CE1">
              <w:t xml:space="preserve">2018.gadā atbilstoši līguma nosacījumiem SIA “DIVI grupa” par FIBU aktualizēšanu un uzturēšanu ir samaksāts 1 089 </w:t>
            </w:r>
            <w:r w:rsidRPr="006C0FCA">
              <w:rPr>
                <w:i/>
              </w:rPr>
              <w:t>euro</w:t>
            </w:r>
            <w:r w:rsidRPr="00E55CE1">
              <w:t>.</w:t>
            </w:r>
          </w:p>
          <w:p w14:paraId="25DB7FEC" w14:textId="77777777" w:rsidR="004F4D45" w:rsidRDefault="00E55CE1" w:rsidP="00907BD8">
            <w:pPr>
              <w:spacing w:before="120" w:after="120"/>
              <w:jc w:val="both"/>
            </w:pPr>
            <w:r w:rsidRPr="00E55CE1">
              <w:t xml:space="preserve">Resora budžeta kopsavilkumu sistēmu (FIBU) uzturēšanas izmaksas gadā ir 2 250,60 </w:t>
            </w:r>
            <w:r w:rsidRPr="006C0FCA">
              <w:rPr>
                <w:i/>
              </w:rPr>
              <w:t>euro</w:t>
            </w:r>
            <w:r w:rsidRPr="00E55CE1">
              <w:t>.</w:t>
            </w:r>
          </w:p>
          <w:p w14:paraId="70C73FF9" w14:textId="77777777" w:rsidR="004F4D45" w:rsidRDefault="00E55CE1" w:rsidP="00907BD8">
            <w:pPr>
              <w:spacing w:before="120" w:after="120"/>
              <w:jc w:val="both"/>
            </w:pPr>
            <w:r w:rsidRPr="00E55CE1">
              <w:t xml:space="preserve">Ieviešot </w:t>
            </w:r>
            <w:r w:rsidR="00C7065D">
              <w:t>FM</w:t>
            </w:r>
            <w:r w:rsidRPr="00E55CE1">
              <w:t xml:space="preserve"> plānoto jaunu centralizētu informācijas sistēmu tāmju sagatavošanai, būs nepieciešams pārtraukt līgumu ar SIA “DIVI grupa”, kā rezultātā var rasties problēma ar vēsturisko datu lietošanu. Sākotnēji šo sistēmu ministrijas un tās padotības iestādes izmantoja ne tikai tāmju sagatavošanai, bet arī gada pārskata veidlapu apkopošanai.</w:t>
            </w:r>
          </w:p>
          <w:p w14:paraId="26EE18FD" w14:textId="6ACD3A02" w:rsidR="00E55CE1" w:rsidRPr="00E55CE1" w:rsidRDefault="00E55CE1" w:rsidP="004F4D45">
            <w:pPr>
              <w:spacing w:before="120" w:after="120"/>
              <w:jc w:val="both"/>
            </w:pPr>
            <w:r w:rsidRPr="00E55CE1">
              <w:t xml:space="preserve">Šobrīd līgums ar SIA “DIVI grupa” ir noslēgts uz trim gadiem. Atbilstoši līgumam par vienpusēju līguma izbeigšanu nepieciešams paziņot par to otrai pusei rakstiski 30 kalendārās dienas iepriekš, attiecīgi veicot savstarpējus norēķinus. Sakarā ar to, ka līgumā norādīts, ka FIBU aktualizēšanas darbi SIA “DIVI grupa” jāveic līdz 2019.gada 16.janvārim, </w:t>
            </w:r>
            <w:r w:rsidR="004F4D45">
              <w:t>EM</w:t>
            </w:r>
            <w:r w:rsidRPr="00E55CE1">
              <w:t xml:space="preserve"> vajadzētu paziņot par līguma pārtraukšanu š.g. decembra sākumā. Lai šo līgumu pārtrauktu, š.g. novembrī </w:t>
            </w:r>
            <w:r w:rsidR="004F4D45">
              <w:t>EM</w:t>
            </w:r>
            <w:r w:rsidRPr="00E55CE1">
              <w:t xml:space="preserve"> būtu nepieciešams saņemt </w:t>
            </w:r>
            <w:r w:rsidR="00C7065D">
              <w:t>FM</w:t>
            </w:r>
            <w:r w:rsidRPr="00E55CE1">
              <w:t xml:space="preserve"> apliecinājumu, ka jaunā centralizētā informācijas sistēma tāmju sagatavošanai, saskaņošanai un apkopošanai viennozīmīgi sāks darboties 2019.gada 1.janvārī.</w:t>
            </w:r>
          </w:p>
        </w:tc>
      </w:tr>
      <w:tr w:rsidR="00E55CE1" w:rsidRPr="00E55CE1" w14:paraId="3C10F69B" w14:textId="77777777" w:rsidTr="00C635F8">
        <w:tc>
          <w:tcPr>
            <w:tcW w:w="1256" w:type="dxa"/>
            <w:noWrap/>
            <w:hideMark/>
          </w:tcPr>
          <w:p w14:paraId="412D805C" w14:textId="77777777" w:rsidR="00E55CE1" w:rsidRPr="00E55CE1" w:rsidRDefault="00E55CE1" w:rsidP="00A3139D">
            <w:r w:rsidRPr="00E55CE1">
              <w:t>FM</w:t>
            </w:r>
          </w:p>
        </w:tc>
        <w:tc>
          <w:tcPr>
            <w:tcW w:w="1818" w:type="dxa"/>
            <w:noWrap/>
            <w:hideMark/>
          </w:tcPr>
          <w:p w14:paraId="09A2279C" w14:textId="77777777" w:rsidR="00E55CE1" w:rsidRPr="00E55CE1" w:rsidRDefault="00E55CE1" w:rsidP="00A3139D">
            <w:r w:rsidRPr="00E55CE1">
              <w:t>FIBU</w:t>
            </w:r>
          </w:p>
        </w:tc>
        <w:tc>
          <w:tcPr>
            <w:tcW w:w="11238" w:type="dxa"/>
            <w:hideMark/>
          </w:tcPr>
          <w:p w14:paraId="2CD64B83" w14:textId="77777777" w:rsidR="009A0E3E" w:rsidRDefault="00C7065D" w:rsidP="009A0E3E">
            <w:pPr>
              <w:spacing w:before="120" w:after="120"/>
              <w:jc w:val="both"/>
            </w:pPr>
            <w:r>
              <w:t>M</w:t>
            </w:r>
            <w:r w:rsidR="00E55CE1" w:rsidRPr="00E55CE1">
              <w:t xml:space="preserve">inistrijas resorā budžeta programmu, apakšprogrammu un pasākumu tāmju izveidei, apstrādei un parakstīšanai izmanto finanšu vadības un budžeta pārskatu sistēmas FIBU Tāmju moduli (FIBU), kura uzturēšanu un papildināšanu nodrošina SIA “DIVI grupa”. FIBU sistēmas uzturēšanas izmaksas gadā ir 2 178 </w:t>
            </w:r>
            <w:r w:rsidR="00E55CE1" w:rsidRPr="00C7065D">
              <w:rPr>
                <w:i/>
              </w:rPr>
              <w:t>euro</w:t>
            </w:r>
            <w:r w:rsidR="00E55CE1" w:rsidRPr="00E55CE1">
              <w:t xml:space="preserve"> ar pievienotās vērtības nodokli. Noslēgtais līgums par FIBU sistēmas ikgadēju aktualizēšanu atbilstoši ministrijas resora gadskārtējā budžeta programmu (apakšprogrammu) struktūrai un sistēmas uzturēšanu ir spē</w:t>
            </w:r>
            <w:r>
              <w:t>kā līdz 2020.gada 25.februārim.</w:t>
            </w:r>
          </w:p>
          <w:p w14:paraId="341BB124" w14:textId="77777777" w:rsidR="009A0E3E" w:rsidRDefault="00E55CE1" w:rsidP="009A0E3E">
            <w:pPr>
              <w:spacing w:before="120" w:after="120"/>
              <w:jc w:val="both"/>
            </w:pPr>
            <w:r w:rsidRPr="00E55CE1">
              <w:t>Resorā FIBU sistēma tika ieviesta vairākās kārtās (etapos). Sākotnēji no 2015.gada tāmju izveide un apstrāde notika tikai ministrijas centrālajā aparātā. No 2017.gadu FIBU sistēma tiek izmantota visās (septiņās) resora iestādēs, nodrošinot iespēju automātisk</w:t>
            </w:r>
            <w:r w:rsidR="00D07D0D">
              <w:t>i</w:t>
            </w:r>
            <w:r w:rsidRPr="00E55CE1">
              <w:t xml:space="preserve"> </w:t>
            </w:r>
            <w:r w:rsidR="00D07D0D" w:rsidRPr="00E55CE1">
              <w:t>sagatavo</w:t>
            </w:r>
            <w:r w:rsidR="00D07D0D">
              <w:t>t resora koptāmes</w:t>
            </w:r>
            <w:r w:rsidRPr="00E55CE1">
              <w:t xml:space="preserve">, tai skaitā par budžeta apakšprogrammām, kurās </w:t>
            </w:r>
            <w:r w:rsidRPr="00E55CE1">
              <w:lastRenderedPageBreak/>
              <w:t>pasākumus vai projektus īsteno vairāki budžeta izpildītāji.  2018.gadā FIBU sistēma pēc ministrijas ierosinājuma tika uzlabota, nodrošinot tai web interfeisu, tāmju elektronisku parakstīšanu un apstiprināšanu (tai skaitā sistēmas ģenerētu e-pasta paziņojumu nosūtīšanu atbildīgajiem darbiniekiem) un analītisku atskaišu (tai skaitā Excel formāt</w:t>
            </w:r>
            <w:r w:rsidR="00D07D0D">
              <w:t>a</w:t>
            </w:r>
            <w:r w:rsidRPr="00E55CE1">
              <w:t xml:space="preserve"> datu tālākai apstrādei) sagatavošanu par tāmju statusu maiņu. Izmaksas par veiktajiem FIBU sistēmas funkcionalitātes uzlabojumiem 2017.gadā veidoja 387 </w:t>
            </w:r>
            <w:r w:rsidRPr="00C7065D">
              <w:rPr>
                <w:i/>
              </w:rPr>
              <w:t>euro</w:t>
            </w:r>
            <w:r w:rsidRPr="00E55CE1">
              <w:t xml:space="preserve">, 2018.gadā – 10 067,20 </w:t>
            </w:r>
            <w:r w:rsidRPr="00C7065D">
              <w:rPr>
                <w:i/>
              </w:rPr>
              <w:t>euro</w:t>
            </w:r>
            <w:r w:rsidRPr="00E55CE1">
              <w:t xml:space="preserve"> a</w:t>
            </w:r>
            <w:r w:rsidR="00C7065D">
              <w:t>r pievienotās vērtības nodokli.</w:t>
            </w:r>
          </w:p>
          <w:p w14:paraId="25676FAC" w14:textId="77777777" w:rsidR="009A0E3E" w:rsidRDefault="00E55CE1" w:rsidP="009A0E3E">
            <w:pPr>
              <w:spacing w:before="120" w:after="120"/>
              <w:jc w:val="both"/>
            </w:pPr>
            <w:r w:rsidRPr="00E55CE1">
              <w:t>Atzinīgi novērtē līdz šim veiktos un plānotos uzlabojumus Vienotā valsts budžeta plānošanas un izpildes informācijas sistēmā (SAP), tai skaitā šobrīd paredzot atteikšanos no detalizētas informācijas (zemākajā ekonomiskās klasifikācijas kodu līmenī) ievadīšanas valsts budžeta sagatavošanas laikā. Ja tiek pieņemts lēmums veidot vienotu sistēmu visām valsts pārvaldes iestādēm, uzskatām, ka būtu lietderīgi izmantot jau šobrīd veiksmīgi darbojošās FIBU sistēmas prototipu un pāreju uz centralizētu tāmju sagatavošanas sistēmu (e-Tām</w:t>
            </w:r>
            <w:r w:rsidR="00C7065D">
              <w:t xml:space="preserve">es) </w:t>
            </w:r>
            <w:r w:rsidR="00041C55">
              <w:t>Valsts kasē</w:t>
            </w:r>
            <w:r w:rsidR="00C7065D">
              <w:t xml:space="preserve"> balstīt uz to.</w:t>
            </w:r>
          </w:p>
          <w:p w14:paraId="0C33D8CD" w14:textId="77777777" w:rsidR="00E55CE1" w:rsidRPr="00E55CE1" w:rsidRDefault="00E55CE1" w:rsidP="009A0E3E">
            <w:pPr>
              <w:spacing w:before="120" w:after="120"/>
              <w:jc w:val="both"/>
            </w:pPr>
            <w:r w:rsidRPr="00E55CE1">
              <w:t>Vienlaikus vērš uzmanību, ka</w:t>
            </w:r>
            <w:r w:rsidR="00D07D0D">
              <w:t>,</w:t>
            </w:r>
            <w:r w:rsidRPr="00E55CE1">
              <w:t xml:space="preserve"> pārejot uz centralizētu tāmju veidošanas, apstrādes un uzglabāšanas risinājumu, nepieciešams paredzēt vienotu risinājumu tāmju uzglabāšanai elektroniskā formā </w:t>
            </w:r>
            <w:r w:rsidR="00041C55">
              <w:t>Valsts kasē</w:t>
            </w:r>
            <w:r w:rsidRPr="00E55CE1">
              <w:t xml:space="preserve"> un risināt jautājumu par tāmju publicēšanu</w:t>
            </w:r>
            <w:r w:rsidR="00C52167">
              <w:t xml:space="preserve">, </w:t>
            </w:r>
            <w:r w:rsidRPr="00E55CE1">
              <w:t xml:space="preserve">nosakot, ka iestāžu pienākums </w:t>
            </w:r>
            <w:r w:rsidR="00C52167">
              <w:t xml:space="preserve">ir </w:t>
            </w:r>
            <w:r w:rsidRPr="00E55CE1">
              <w:t>tās tīmekļa viet</w:t>
            </w:r>
            <w:r w:rsidR="00041C55">
              <w:t>nē norādīt saiti uz Valsts kases</w:t>
            </w:r>
            <w:r w:rsidRPr="00E55CE1">
              <w:t xml:space="preserve"> mājas lapu, kurā būtu pieejamas aktuālākās tāmju versijas.</w:t>
            </w:r>
          </w:p>
        </w:tc>
      </w:tr>
      <w:tr w:rsidR="005D5222" w:rsidRPr="00E55CE1" w14:paraId="3D5A4D2A" w14:textId="77777777" w:rsidTr="00C635F8">
        <w:tc>
          <w:tcPr>
            <w:tcW w:w="1256" w:type="dxa"/>
            <w:noWrap/>
          </w:tcPr>
          <w:p w14:paraId="71D172BF" w14:textId="77777777" w:rsidR="005D5222" w:rsidRPr="00E55CE1" w:rsidRDefault="005D5222" w:rsidP="00A3139D">
            <w:r>
              <w:lastRenderedPageBreak/>
              <w:t>IeM</w:t>
            </w:r>
          </w:p>
        </w:tc>
        <w:tc>
          <w:tcPr>
            <w:tcW w:w="1818" w:type="dxa"/>
            <w:noWrap/>
          </w:tcPr>
          <w:p w14:paraId="0B2BEC72" w14:textId="77777777" w:rsidR="005D5222" w:rsidRPr="00E55CE1" w:rsidRDefault="005D5222" w:rsidP="00A3139D">
            <w:r>
              <w:t xml:space="preserve">Horizon </w:t>
            </w:r>
            <w:r w:rsidRPr="000A258D">
              <w:t>Microstrategy</w:t>
            </w:r>
          </w:p>
        </w:tc>
        <w:tc>
          <w:tcPr>
            <w:tcW w:w="11238" w:type="dxa"/>
          </w:tcPr>
          <w:p w14:paraId="2F1A89FC" w14:textId="77777777" w:rsidR="009A0E3E" w:rsidRDefault="005D5222" w:rsidP="00907BD8">
            <w:pPr>
              <w:spacing w:before="120" w:after="120"/>
              <w:jc w:val="both"/>
            </w:pPr>
            <w:r w:rsidRPr="00E55CE1">
              <w:t xml:space="preserve">Konceptuāli atbalsta eTāmes sistēmas </w:t>
            </w:r>
            <w:r w:rsidR="009A0E3E">
              <w:t>ieviešanu. Vienlaikus informē</w:t>
            </w:r>
            <w:r w:rsidRPr="00E55CE1">
              <w:t xml:space="preserve">, ka no 2010.gada iekšlietu resorā ir izveidots un pilnvērtīgi funkcionē IeM resursu vadības sistēmas “Horizon” modulis “Budžeta plānošanas un izpildes kontroles risinājuma funkcionalitāte”, kurš nodrošina iespēju elektroniskajā vidē ministrijai un tās padotības iestādēm savlaicīgi sagatavot, apstiprināt un uzglabāt valsts budžeta programmu, apakšprogrammu un pasākumu ieņēmumu un izdevumu tāmes. Minētais modulis ir sasaistīts ar resursu vadības sistēmu “Horizon”, kur savstarpēji dati tiek migrēti dažādu pārskatu sagatavošanai (budžeta plānošanas un grāmatvedības jomā). Minētais modulis tiek izmantots gan budžeta izpildes uzraudzībai, gan analītikai, jo tajā ir iespējams veikt detalizētu datu analīzi un aprēķinus par valsts pamatfunkciju īstenošanas pasākumiem, ilgtermiņa saistībām, mērķa finansētiem un prioritārajiem pasākumiem, Eiropas Savienības politiku instrumentu un pārējās ārvalstu finanšu palīdzības līdzfinansētiem projektiem un pasākumiem sadalījumā pa ieņēmumiem un izdevumiem atšifrējumā pa iestādēm, </w:t>
            </w:r>
            <w:r w:rsidRPr="00E55CE1">
              <w:lastRenderedPageBreak/>
              <w:t>programmām un apakšprogrammām. Minētā moduļa dati tiek migrēti un izmantoti citos budžeta plānošanas un izpildes uzraudzības moduļos un IeM neplāno atteikties no moduļa “Budžeta plānošanas un izpildes kontroles risinājuma funkcionalitāte”, bet plāno to attīs</w:t>
            </w:r>
            <w:r>
              <w:t>tīt un pilnveidot.</w:t>
            </w:r>
          </w:p>
          <w:p w14:paraId="282C67B5" w14:textId="77777777" w:rsidR="009A0E3E" w:rsidRDefault="005D5222" w:rsidP="00907BD8">
            <w:pPr>
              <w:spacing w:before="120" w:after="120"/>
              <w:jc w:val="both"/>
            </w:pPr>
            <w:r>
              <w:t>Izdevumi</w:t>
            </w:r>
            <w:r w:rsidRPr="00E55CE1">
              <w:t xml:space="preserve"> Budžeta plānošanas un izpildes kontroles risinājuma funkcionalitātes izveidei un funkcionēšanai iekšlietu resorā 2010.-2018.gadā: Budžeta plānošanas un izpildes kontroles risinājuma funkcionalitātes izstrāde Papildu funkcionalitātes izstrāde "Tāmē paskaidrojumu par EKK un apropriācijas izmaiņām" 25 907 </w:t>
            </w:r>
            <w:r w:rsidRPr="006C0FCA">
              <w:rPr>
                <w:i/>
              </w:rPr>
              <w:t>euro</w:t>
            </w:r>
            <w:r w:rsidRPr="00E55CE1">
              <w:t xml:space="preserve">, Micro Strategy licenču iegāde 35 228 </w:t>
            </w:r>
            <w:r w:rsidRPr="001B0DDF">
              <w:rPr>
                <w:i/>
              </w:rPr>
              <w:t>euro</w:t>
            </w:r>
            <w:r w:rsidRPr="00E55CE1">
              <w:t xml:space="preserve"> (2010.gadā 8 092 </w:t>
            </w:r>
            <w:r w:rsidRPr="001B0DDF">
              <w:rPr>
                <w:i/>
              </w:rPr>
              <w:t>euro</w:t>
            </w:r>
            <w:r w:rsidRPr="00E55CE1">
              <w:t xml:space="preserve"> un 2017.gadā 27 136 </w:t>
            </w:r>
            <w:r w:rsidRPr="001B0DDF">
              <w:rPr>
                <w:i/>
              </w:rPr>
              <w:t>euro</w:t>
            </w:r>
            <w:r w:rsidRPr="00E55CE1">
              <w:t xml:space="preserve">), uzturēšanas maksa un konsultācijas 12 551 </w:t>
            </w:r>
            <w:r w:rsidRPr="001B0DDF">
              <w:rPr>
                <w:i/>
              </w:rPr>
              <w:t>euro</w:t>
            </w:r>
            <w:r w:rsidRPr="00E55CE1">
              <w:t xml:space="preserve"> (2013.gadā 3</w:t>
            </w:r>
            <w:r>
              <w:t xml:space="preserve"> </w:t>
            </w:r>
            <w:r w:rsidRPr="00E55CE1">
              <w:t xml:space="preserve">495 </w:t>
            </w:r>
            <w:r w:rsidRPr="001B0DDF">
              <w:rPr>
                <w:i/>
              </w:rPr>
              <w:t>euro</w:t>
            </w:r>
            <w:r w:rsidRPr="00E55CE1">
              <w:t>, 2014.gadā 3</w:t>
            </w:r>
            <w:r>
              <w:t xml:space="preserve"> </w:t>
            </w:r>
            <w:r w:rsidRPr="00E55CE1">
              <w:t xml:space="preserve">374 </w:t>
            </w:r>
            <w:r w:rsidRPr="001B0DDF">
              <w:rPr>
                <w:i/>
              </w:rPr>
              <w:t>euro</w:t>
            </w:r>
            <w:r w:rsidRPr="00E55CE1">
              <w:t xml:space="preserve">, 2015.gadā 151 </w:t>
            </w:r>
            <w:r w:rsidRPr="001B0DDF">
              <w:rPr>
                <w:i/>
              </w:rPr>
              <w:t>euro</w:t>
            </w:r>
            <w:r w:rsidRPr="00E55CE1">
              <w:t>, 2017.gadā 3</w:t>
            </w:r>
            <w:r>
              <w:t xml:space="preserve"> </w:t>
            </w:r>
            <w:r w:rsidRPr="00E55CE1">
              <w:t xml:space="preserve">266 </w:t>
            </w:r>
            <w:r w:rsidRPr="001B0DDF">
              <w:rPr>
                <w:i/>
              </w:rPr>
              <w:t>euro</w:t>
            </w:r>
            <w:r w:rsidRPr="00E55CE1">
              <w:t>, 2018.gadā 2</w:t>
            </w:r>
            <w:r>
              <w:t xml:space="preserve"> </w:t>
            </w:r>
            <w:r w:rsidRPr="00E55CE1">
              <w:t xml:space="preserve">265 </w:t>
            </w:r>
            <w:r w:rsidRPr="001B0DDF">
              <w:rPr>
                <w:i/>
              </w:rPr>
              <w:t>euro</w:t>
            </w:r>
            <w:r w:rsidRPr="00E55CE1">
              <w:t>) un Budžeta plānošanas un</w:t>
            </w:r>
            <w:r>
              <w:t xml:space="preserve"> </w:t>
            </w:r>
            <w:r w:rsidRPr="00E55CE1">
              <w:t xml:space="preserve">izpildes kontroles risinājumu funkcionalitātes pāreja uz EUR 14 528 </w:t>
            </w:r>
            <w:r w:rsidRPr="001B0DDF">
              <w:rPr>
                <w:i/>
              </w:rPr>
              <w:t>euro</w:t>
            </w:r>
            <w:r w:rsidRPr="00E55CE1">
              <w:t>.</w:t>
            </w:r>
          </w:p>
          <w:p w14:paraId="4A935874" w14:textId="77777777" w:rsidR="009A0E3E" w:rsidRDefault="005D5222" w:rsidP="00907BD8">
            <w:pPr>
              <w:spacing w:before="120" w:after="120"/>
              <w:jc w:val="both"/>
            </w:pPr>
            <w:r w:rsidRPr="00E55CE1">
              <w:t>Ņemot vērā iepriekš minēto, Ie</w:t>
            </w:r>
            <w:r>
              <w:t>M</w:t>
            </w:r>
            <w:r w:rsidRPr="00E55CE1">
              <w:t xml:space="preserve"> skatījumā eTāmes sistēmas ieviešanas gadījumā:</w:t>
            </w:r>
          </w:p>
          <w:p w14:paraId="11B541D8" w14:textId="77777777" w:rsidR="009A0E3E" w:rsidRDefault="005D5222" w:rsidP="00907BD8">
            <w:pPr>
              <w:spacing w:before="120" w:after="120"/>
              <w:jc w:val="both"/>
            </w:pPr>
            <w:r w:rsidRPr="00E55CE1">
              <w:t xml:space="preserve">- </w:t>
            </w:r>
            <w:r>
              <w:t>IeM</w:t>
            </w:r>
            <w:r w:rsidRPr="00E55CE1">
              <w:t xml:space="preserve"> nodarbinātajiem administratīvais slogs nesamazināsies, bet palielināsies un pieaugs darba apjoms, jo būs nepieciešams veikt datu ievadi divās sistēmās (gada ietvaros ministrija sagatavo, apkopo un uzglabā līdz 45 kopsavilkumu versijām, kur katrā kopsavilkumā ietilpst ~17 programmas, ~24 apakšprogrammas un ~160 pasākumu/projektu plānoto ieņēmumu un izdevumu tāmes). Vienlaikus norādām, ka divu sistēmu uzturēšanai būs nepieciešami papildu finanšu līdzekļi no valsts budžeta, jo  </w:t>
            </w:r>
            <w:r>
              <w:t>IeM</w:t>
            </w:r>
            <w:r w:rsidRPr="00E55CE1">
              <w:t xml:space="preserve"> neplāno atteikties no moduļa “Budžeta plānošanas un izpildes kontroles risinājuma funkcionalitāte”;</w:t>
            </w:r>
          </w:p>
          <w:p w14:paraId="71ABBDED" w14:textId="77777777" w:rsidR="009A0E3E" w:rsidRDefault="005D5222" w:rsidP="00907BD8">
            <w:pPr>
              <w:spacing w:before="120" w:after="120"/>
              <w:jc w:val="both"/>
            </w:pPr>
            <w:r w:rsidRPr="00E55CE1">
              <w:t>- ievadītām tāmēm centralizētajā informācijas sistēmā būs tikai informatīvs raksturs, ja nebūs tās sasaistes (datu apmaiņas) ar grāmatvedības uzskaites informācijas sistēmu. Ja sasaiste netiks nodrošināta, tad šajā sistēmā nevarēs arī veikt uzraudzību un kontroli par budžeta izpildi un izpildes datu migrēšanu dažādu pārskatu sagatavošanā (budžeta plānošanas un grāmatvedības jomā), kā arī nebūs iespējama detalizētas informācijas ieguve un analīzes veikšana par pamatbudžeta ieņēmumu un izdevumu atšifrējumu pa iestādēm, programmām un apakšprogra</w:t>
            </w:r>
            <w:r>
              <w:t>mmām sadalījumā pa pasākumiem.</w:t>
            </w:r>
          </w:p>
          <w:p w14:paraId="64A231B8" w14:textId="77777777" w:rsidR="005D5222" w:rsidRDefault="005D5222" w:rsidP="00907BD8">
            <w:pPr>
              <w:spacing w:before="120" w:after="120"/>
              <w:jc w:val="both"/>
            </w:pPr>
            <w:r>
              <w:t>IeM</w:t>
            </w:r>
            <w:r w:rsidRPr="00E55CE1">
              <w:t xml:space="preserve"> skatījumā, lai izveidotu valsts pārvaldē vienotu valsts budžeta plānošanas informācijas sistēmu, būtu nepieciešams rūpīgi pārdomāt tās funkcionalitāti, kā arī nodrošināt tās ieviešanas un funkcionēšanas centralizētu vadību un uzraudzību, nodrošinot tās sasaisti ar citām valsts pārvaldes iestāžu rīcībā esošajām informācijas </w:t>
            </w:r>
            <w:r w:rsidRPr="00E55CE1">
              <w:lastRenderedPageBreak/>
              <w:t>sistēmām, tajā skaitā ar grāmatvedības uzskaites informācijas sistēmu. Tādas sistēmas ieviešana prasīs lielus administratīvos un finanšu resursus gan tās uzturēšanai, gan administrēšanai</w:t>
            </w:r>
            <w:r w:rsidR="009B546F">
              <w:t>.</w:t>
            </w:r>
          </w:p>
        </w:tc>
      </w:tr>
      <w:tr w:rsidR="00E55CE1" w:rsidRPr="00E55CE1" w14:paraId="180DD3B2" w14:textId="77777777" w:rsidTr="00C635F8">
        <w:tc>
          <w:tcPr>
            <w:tcW w:w="1256" w:type="dxa"/>
            <w:noWrap/>
            <w:hideMark/>
          </w:tcPr>
          <w:p w14:paraId="4C4F1E9F" w14:textId="77777777" w:rsidR="00E55CE1" w:rsidRPr="00E55CE1" w:rsidRDefault="00E55CE1" w:rsidP="00A3139D">
            <w:r w:rsidRPr="00E55CE1">
              <w:lastRenderedPageBreak/>
              <w:t>IZM</w:t>
            </w:r>
          </w:p>
        </w:tc>
        <w:tc>
          <w:tcPr>
            <w:tcW w:w="1818" w:type="dxa"/>
            <w:noWrap/>
            <w:hideMark/>
          </w:tcPr>
          <w:p w14:paraId="125695DA" w14:textId="77777777" w:rsidR="00E55CE1" w:rsidRPr="00E55CE1" w:rsidRDefault="00E55CE1" w:rsidP="00A3139D">
            <w:r w:rsidRPr="00E55CE1">
              <w:t xml:space="preserve">Excel un </w:t>
            </w:r>
            <w:r w:rsidR="007C6BFE">
              <w:t xml:space="preserve">šobrīd notiek </w:t>
            </w:r>
            <w:r w:rsidRPr="00E55CE1">
              <w:t>Microstrategy</w:t>
            </w:r>
            <w:r w:rsidR="007C6BFE">
              <w:t xml:space="preserve"> ieviešanas 4.kārta</w:t>
            </w:r>
          </w:p>
        </w:tc>
        <w:tc>
          <w:tcPr>
            <w:tcW w:w="11238" w:type="dxa"/>
            <w:hideMark/>
          </w:tcPr>
          <w:p w14:paraId="1EBF88BD" w14:textId="77777777" w:rsidR="009A0E3E" w:rsidRDefault="007C6BFE" w:rsidP="00907BD8">
            <w:pPr>
              <w:spacing w:before="120" w:after="120"/>
              <w:jc w:val="both"/>
            </w:pPr>
            <w:r>
              <w:t>Š</w:t>
            </w:r>
            <w:r w:rsidR="00E55CE1" w:rsidRPr="00E55CE1">
              <w:t>obrīd tāmju sagatavošanas process notiek atbilstoši Ministru kabineta 2009.gada 20.janvāra instrukcijā Nr.2 “Kārtība, kādā valsts budžeta iestādes sagatavo un apstiprina valsts budžeta programmu, apakšprogrammu un pasākumu tāmes kārtējam gadam” noteiktajam, izmantojot Excel vidi.</w:t>
            </w:r>
          </w:p>
          <w:p w14:paraId="34ED8B82" w14:textId="77777777" w:rsidR="00E55CE1" w:rsidRPr="00E55CE1" w:rsidRDefault="009A0E3E">
            <w:pPr>
              <w:spacing w:before="120" w:after="120"/>
              <w:jc w:val="both"/>
            </w:pPr>
            <w:r>
              <w:t>Vienlaikus informē</w:t>
            </w:r>
            <w:r w:rsidR="00E55CE1" w:rsidRPr="00E55CE1">
              <w:t xml:space="preserve">, ka </w:t>
            </w:r>
            <w:r w:rsidR="002F2797">
              <w:t>IzM</w:t>
            </w:r>
            <w:r w:rsidR="00E55CE1" w:rsidRPr="00E55CE1">
              <w:t xml:space="preserve"> resorā paralēli notiek centralizēta resursu un finanšu vadības sistēmas Horizon ieviešana (šobrīd 4.kārta), tai skaitā centralizēta budžeta plānošanas un izpildes kontroles sistēmas Microstrategy ieviešana ministrijā un padotības iestādēs, kas cita starpā ietver arī ministrijas un tai padotībā esošo iestāžu tāmju sagatavošanas un apstiprināšanas procesu automatizāciju un optimizāciju. Micro</w:t>
            </w:r>
            <w:r w:rsidR="005C0A06">
              <w:t>s</w:t>
            </w:r>
            <w:r w:rsidR="00E55CE1" w:rsidRPr="00E55CE1">
              <w:t xml:space="preserve">trategy sistēmas ieviešana notiek, lai nodrošinātu </w:t>
            </w:r>
            <w:r w:rsidR="005C0A06" w:rsidRPr="00E55CE1">
              <w:t xml:space="preserve">kvalitatīvākus un ātrākus </w:t>
            </w:r>
            <w:r w:rsidR="00E55CE1" w:rsidRPr="00E55CE1">
              <w:t>grāmatvedības pārskatu, tāmju un tāmju kopsavilkumu sagatavošanas un izpildes kontroles procesus</w:t>
            </w:r>
            <w:r w:rsidR="005C0A06">
              <w:t>,</w:t>
            </w:r>
            <w:r w:rsidR="00E55CE1" w:rsidRPr="00E55CE1">
              <w:t xml:space="preserve"> un tās ieviešanā jau ir ieguldīti ministrijas resursi. Līdz ar to nav skaidrs, cik lielā mērā plānotā eTāmes sistēma dublēsies ar Microstrategy</w:t>
            </w:r>
            <w:r w:rsidR="005C0A06">
              <w:t>.</w:t>
            </w:r>
            <w:r w:rsidR="00E55CE1" w:rsidRPr="00E55CE1">
              <w:t xml:space="preserve"> Vai paredzēta šo sistēmu savstarpējā sasaiste? Vai un kā process kopumā (ne tikai kontekstā ar budžeta pieprasījuma sagatavošanu), samazinās vai palielinās darba apjomu un administratīvo slogu katram ie</w:t>
            </w:r>
            <w:r w:rsidR="002F2797">
              <w:t>saistītajam (FM</w:t>
            </w:r>
            <w:r w:rsidR="00E55CE1" w:rsidRPr="00E55CE1">
              <w:t xml:space="preserve">, ministrijām, padotības iestādēm)? Pastāv bažas, ka tāmju sagatavošana vēl arī otrā sistēmā “eTāmes” var radīt gan papildus kļūdu risku, gan papildus administratīvo slogu, gan papildus nepieciešamību kapacitātes stiprināšanai, jo ministrijas ieskatā, ja tāmes būs jāievada un jākontrolē divās atšķirīgās sistēmās, tad tas, ļoti iespējams, prasīs gan daudz vairāk laika, gan resursu. </w:t>
            </w:r>
          </w:p>
        </w:tc>
      </w:tr>
      <w:tr w:rsidR="00E55CE1" w:rsidRPr="00E55CE1" w14:paraId="12E7CD23" w14:textId="77777777" w:rsidTr="00C635F8">
        <w:tc>
          <w:tcPr>
            <w:tcW w:w="1256" w:type="dxa"/>
            <w:noWrap/>
            <w:hideMark/>
          </w:tcPr>
          <w:p w14:paraId="657F027E" w14:textId="77777777" w:rsidR="00E55CE1" w:rsidRPr="00E55CE1" w:rsidRDefault="00E55CE1" w:rsidP="00A3139D">
            <w:r w:rsidRPr="00E55CE1">
              <w:t>ZM</w:t>
            </w:r>
          </w:p>
        </w:tc>
        <w:tc>
          <w:tcPr>
            <w:tcW w:w="1818" w:type="dxa"/>
            <w:noWrap/>
            <w:hideMark/>
          </w:tcPr>
          <w:p w14:paraId="548F89C4" w14:textId="77777777" w:rsidR="00E55CE1" w:rsidRPr="00E55CE1" w:rsidRDefault="00E55CE1" w:rsidP="00A3139D">
            <w:r w:rsidRPr="00E55CE1">
              <w:t>Excel un Horizon BI Microstrategy</w:t>
            </w:r>
          </w:p>
        </w:tc>
        <w:tc>
          <w:tcPr>
            <w:tcW w:w="11238" w:type="dxa"/>
            <w:hideMark/>
          </w:tcPr>
          <w:p w14:paraId="21A516EC" w14:textId="77777777" w:rsidR="009A0E3E" w:rsidRDefault="002F2797" w:rsidP="00907BD8">
            <w:pPr>
              <w:spacing w:before="120" w:after="120"/>
              <w:jc w:val="both"/>
            </w:pPr>
            <w:r>
              <w:t>ZM</w:t>
            </w:r>
            <w:r w:rsidR="00E55CE1" w:rsidRPr="00E55CE1">
              <w:t xml:space="preserve"> un padotības iestādes tāmju sagatavošanā izmanto standarta  programmatūru Excel un Horizon BI (Microstrategy).</w:t>
            </w:r>
          </w:p>
          <w:p w14:paraId="556D12BB" w14:textId="77777777" w:rsidR="009A0E3E" w:rsidRDefault="00E55CE1" w:rsidP="00907BD8">
            <w:pPr>
              <w:spacing w:before="120" w:after="120"/>
              <w:jc w:val="both"/>
            </w:pPr>
            <w:r w:rsidRPr="00E55CE1">
              <w:t>Ņemot vērā, ka tāmju sagatavošana ir tikai viena maza Horizon BI sadaļa, tad ZM nav iespējams izdalīt tāmju apstrādes faktiskās, plānotās, kā arī ieviešanas izmaksas tikai vienai programmas sastāvdaļai. Tā kā šie dati tiek izmantoti arī citās sadaļās, jebkurā gadījumā nevar būt runa par kaut kādu finansiālu ieguvumu, jo arī turpmāk tāmes būtu jāievada Horizon BI.</w:t>
            </w:r>
          </w:p>
          <w:p w14:paraId="54747636" w14:textId="77777777" w:rsidR="00E55CE1" w:rsidRPr="00E55CE1" w:rsidRDefault="00E55CE1" w:rsidP="00907BD8">
            <w:pPr>
              <w:spacing w:before="120" w:after="120"/>
              <w:jc w:val="both"/>
            </w:pPr>
            <w:r w:rsidRPr="00E55CE1">
              <w:lastRenderedPageBreak/>
              <w:t xml:space="preserve">Neskatoties uz to, ka centralizētās eTāmes sistēmas ieviešana radītu tikai vienu papildus sistēmu datu ievadei un administratīvais slogs netiktu samazināts, bet tiktu atvieglots darba apjoms budžeta pieprasījumu iesniegšanas laikā, ZM atbalsta </w:t>
            </w:r>
            <w:r w:rsidR="002A21FC">
              <w:t>FM</w:t>
            </w:r>
            <w:r w:rsidRPr="00E55CE1">
              <w:t xml:space="preserve"> ieceri, jo tiešām uzlabotos pieejamo datu analītiskā kvalitāte.</w:t>
            </w:r>
          </w:p>
        </w:tc>
      </w:tr>
      <w:tr w:rsidR="00E55CE1" w:rsidRPr="00E55CE1" w14:paraId="27B2ABC8" w14:textId="77777777" w:rsidTr="00C635F8">
        <w:tc>
          <w:tcPr>
            <w:tcW w:w="1256" w:type="dxa"/>
            <w:noWrap/>
            <w:hideMark/>
          </w:tcPr>
          <w:p w14:paraId="61B5712F" w14:textId="77777777" w:rsidR="00E55CE1" w:rsidRPr="00E55CE1" w:rsidRDefault="00E55CE1" w:rsidP="00A3139D">
            <w:r w:rsidRPr="00E55CE1">
              <w:lastRenderedPageBreak/>
              <w:t>SM</w:t>
            </w:r>
          </w:p>
        </w:tc>
        <w:tc>
          <w:tcPr>
            <w:tcW w:w="1818" w:type="dxa"/>
            <w:noWrap/>
            <w:hideMark/>
          </w:tcPr>
          <w:p w14:paraId="08C3FE21" w14:textId="77777777" w:rsidR="00E55CE1" w:rsidRPr="00E55CE1" w:rsidRDefault="00E55CE1" w:rsidP="00A3139D">
            <w:r w:rsidRPr="00E55CE1">
              <w:t>Excel</w:t>
            </w:r>
          </w:p>
        </w:tc>
        <w:tc>
          <w:tcPr>
            <w:tcW w:w="11238" w:type="dxa"/>
            <w:hideMark/>
          </w:tcPr>
          <w:p w14:paraId="61F8FA99" w14:textId="77777777" w:rsidR="00E55CE1" w:rsidRPr="00E55CE1" w:rsidRDefault="00E55CE1" w:rsidP="00907BD8">
            <w:pPr>
              <w:spacing w:before="120" w:after="120"/>
              <w:jc w:val="both"/>
            </w:pPr>
            <w:r w:rsidRPr="00E55CE1">
              <w:t>Speciālas tāmju apstrādes sistēmas netiek izmantotas un līdz ar to uzturēšanas izmaksas netiek plānotas</w:t>
            </w:r>
            <w:r w:rsidR="009A0E3E">
              <w:t>.</w:t>
            </w:r>
          </w:p>
        </w:tc>
      </w:tr>
      <w:tr w:rsidR="00E55CE1" w:rsidRPr="00E55CE1" w14:paraId="77DEAACA" w14:textId="77777777" w:rsidTr="00C635F8">
        <w:tc>
          <w:tcPr>
            <w:tcW w:w="1256" w:type="dxa"/>
            <w:noWrap/>
            <w:hideMark/>
          </w:tcPr>
          <w:p w14:paraId="0C74D63A" w14:textId="77777777" w:rsidR="00E55CE1" w:rsidRPr="00E55CE1" w:rsidRDefault="00E55CE1" w:rsidP="00A3139D">
            <w:r w:rsidRPr="00E55CE1">
              <w:t>LM</w:t>
            </w:r>
          </w:p>
        </w:tc>
        <w:tc>
          <w:tcPr>
            <w:tcW w:w="1818" w:type="dxa"/>
            <w:noWrap/>
            <w:hideMark/>
          </w:tcPr>
          <w:p w14:paraId="794B15E1" w14:textId="77777777" w:rsidR="00E55CE1" w:rsidRPr="00E55CE1" w:rsidRDefault="00E55CE1" w:rsidP="00A3139D">
            <w:r w:rsidRPr="00E55CE1">
              <w:t>FIBU LM</w:t>
            </w:r>
          </w:p>
        </w:tc>
        <w:tc>
          <w:tcPr>
            <w:tcW w:w="11238" w:type="dxa"/>
            <w:hideMark/>
          </w:tcPr>
          <w:p w14:paraId="50935C63" w14:textId="77777777" w:rsidR="009A0E3E" w:rsidRDefault="00E55CE1" w:rsidP="00907BD8">
            <w:pPr>
              <w:spacing w:before="120" w:after="120"/>
              <w:jc w:val="both"/>
            </w:pPr>
            <w:r w:rsidRPr="00E55CE1">
              <w:t xml:space="preserve">LM augsti novērtē </w:t>
            </w:r>
            <w:r w:rsidR="00CD14B3">
              <w:t>FM</w:t>
            </w:r>
            <w:r w:rsidRPr="00E55CE1">
              <w:t xml:space="preserve"> ieceri administratīvā sloga mazināšanas nolūkos budžeta plānošanas procesā ieviest centralizētu informācijas sistēmu tāmju sagatavošanai, saskaņošanai un uzglabāšanai elektroniskā vidē.</w:t>
            </w:r>
            <w:r w:rsidRPr="00E55CE1">
              <w:br/>
              <w:t xml:space="preserve">Jau vairāk kā desmit gadus, sākot no 2008.gada, LM nozares pasākumu un kopsavilkumu tāmju administrēšanai izmanto tāmju apstrādes informācijas sistēmu FIBU_LM, (turpmāk - FIBU_LM). FIBU_LM sistēmas izmantošana labklājības nozarē jau šobrīd atvieglo </w:t>
            </w:r>
            <w:r w:rsidR="00352720">
              <w:t xml:space="preserve">gan </w:t>
            </w:r>
            <w:r w:rsidRPr="00E55CE1">
              <w:t>tāmju apstrādes procesu, gan paātrina tāmju sagatavošanas procesu, gan informācijas apriti, kā arī izslēdz tehnisku (matemātisku) kļūdu veidošanos. FIBU_LM sistēmā tāmes sagatavo un ievada arī ministrijas padotības iestādes, paralēli iesniedzot tāmes ministrijā arī papīra formātā. LM reizi ceturksnī apstiprina ministrijas budžeta programmu, apakšprogrammu kopsavilkuma tāmes un nozares budžeta (pamatbudžeta un speciālā budžeta) kopsavilkuma tāmes. Izmantojot FIBU LM sistēmu, ministrija nodrošina iestāžu pasākumu tāmju uzraudzību, kontroli un analīzi.</w:t>
            </w:r>
            <w:r w:rsidRPr="00E55CE1">
              <w:br/>
              <w:t xml:space="preserve">LM kā resoram kopumā ir vairāk, kā 100 tāmes </w:t>
            </w:r>
            <w:r w:rsidR="00352720">
              <w:t>(</w:t>
            </w:r>
            <w:r w:rsidRPr="00E55CE1">
              <w:t>gan pamatbudžeta, gan speciālā budžetā tāmes</w:t>
            </w:r>
            <w:r w:rsidR="00352720">
              <w:t>)</w:t>
            </w:r>
            <w:r w:rsidRPr="00E55CE1">
              <w:t>, kuras dalās pa programmām/apakšprogrammām un pasākumiem, īpaši liela apjoma skaita ziņā ir Eiropas Savienības struktūrfondu tāmes, kā arī ārvalstu finanšu palīdzības projektu tāmes.</w:t>
            </w:r>
          </w:p>
          <w:p w14:paraId="404C2159" w14:textId="77777777" w:rsidR="009A0E3E" w:rsidRDefault="00E55CE1" w:rsidP="00907BD8">
            <w:pPr>
              <w:spacing w:before="120" w:after="120"/>
              <w:jc w:val="both"/>
            </w:pPr>
            <w:r w:rsidRPr="00E55CE1">
              <w:t>Lai optimizētu un atvieglotu tāmju kopsavilkuma apstiprināšanu, kopš 2017.gada programmu un apakšprogrammu, kā arī ministrijas kopsavilkumu tāmes tiek apstiprinātas (parakstītas) FIBU_LM sistēmā. Līdz ar to minētie kopsavilkumi vairs netiek parakstīti un uzglabāti papīra formātā, bet gan parakstīti un uzglabāti FIBU_LM. Papīra formātā tiek parakstītas tikai pasākumu tāmes. Minētais process daļēji atvieglo un saīsina tāmju kopsavilkumu sagatavošanu un apstiprināšanu.</w:t>
            </w:r>
          </w:p>
          <w:p w14:paraId="43A835F0" w14:textId="77777777" w:rsidR="009A0E3E" w:rsidRDefault="00E55CE1" w:rsidP="00907BD8">
            <w:pPr>
              <w:spacing w:before="120" w:after="120"/>
              <w:jc w:val="both"/>
            </w:pPr>
            <w:r w:rsidRPr="00E55CE1">
              <w:t>Ieviešot eTāmju sistēmu visā valsts pārvaldē, būtu iespējams atteikties no papīra formāta tāmēm pilnībā, kas ietaupītu gan ar iestāžu darbību saistītus uzturēšanas izdevumus (kancelejas preču izdevumi), gan arī tāmju apstrādes laiku un informācijas precizitāti (izskaužot tehniskas kļūdas).</w:t>
            </w:r>
          </w:p>
          <w:p w14:paraId="272A1387" w14:textId="77777777" w:rsidR="009A0E3E" w:rsidRDefault="00E55CE1" w:rsidP="00907BD8">
            <w:pPr>
              <w:spacing w:before="120" w:after="120"/>
              <w:jc w:val="both"/>
            </w:pPr>
            <w:r w:rsidRPr="00E55CE1">
              <w:lastRenderedPageBreak/>
              <w:t xml:space="preserve">Šobrīd labklājības nozares FIBU_LM sistēma neparedz plānoto izdevumu sasaisti ar faktiski veiktajiem izdevumiem (šobrīd iestādes budžeta izpildes datus FIBU_LM sistēmā reizi ceturksnī ievada manuāli), ko varētu nodrošināt, ja no </w:t>
            </w:r>
            <w:r w:rsidR="00041C55">
              <w:t>Valsts kases</w:t>
            </w:r>
            <w:r w:rsidRPr="00E55CE1">
              <w:t xml:space="preserve"> varētu izgūt budžeta izpildes datus un sinhronizēt ar tāmju sistēmu. Ņemot vērā minēto, izstrādājot eTāmes sistēmu, būtu lietderīgi paredzēt eTāmes sistēmas sasaisti ar citām </w:t>
            </w:r>
            <w:r w:rsidR="00C7065D">
              <w:t>V</w:t>
            </w:r>
            <w:r w:rsidR="00041C55">
              <w:t>alsts kases</w:t>
            </w:r>
            <w:r w:rsidRPr="00E55CE1">
              <w:t xml:space="preserve"> sistēmām (eKase) vai (ePārskati), atkarībā no tehniskajām iespējām, lai tāmē plānoto finansējumu budžeta izpildes gada laikā būtu iespējams salīdzināt ar konkrēta zemākā ekonomiskās klasifikācijas koda faktisko izpildi, tādā veidā kontrolējot tāmē plānoto finansējumu attiecībā pret faktisko izpildi. </w:t>
            </w:r>
            <w:r w:rsidR="00041C55" w:rsidRPr="00041C55">
              <w:t>Valsts kases</w:t>
            </w:r>
            <w:r w:rsidR="00041C55">
              <w:t xml:space="preserve"> </w:t>
            </w:r>
            <w:r w:rsidRPr="00E55CE1">
              <w:t>sistēmu sasaiste būtu papildu kontroles rīks, kas atvieglotu finansējuma plānošanu pa zemākajiem ekonomiskās klasifikācijas kodiem un atvieglotu tāmes izdevumu pārskatīšanu (precizēšanu), novēršot arī tehniskas neprecizitātes. Minētais tehniskais risinājums ļoti atvieglotu administratīvo darbu un datu analītiku un uzraudzību.</w:t>
            </w:r>
            <w:r w:rsidRPr="00E55CE1">
              <w:br/>
              <w:t>Kopumā ministrija vērtē, ka FIBU_LM sistēma ir ļoti ērta un pārskatāma lietošanai, kā arī sistēmas uzturēšanas izmaksas ir samērīgas.</w:t>
            </w:r>
          </w:p>
          <w:p w14:paraId="143BE5A2" w14:textId="77777777" w:rsidR="009A0E3E" w:rsidRDefault="00E55CE1" w:rsidP="00907BD8">
            <w:pPr>
              <w:spacing w:before="120" w:after="120"/>
              <w:jc w:val="both"/>
            </w:pPr>
            <w:r w:rsidRPr="00E55CE1">
              <w:t xml:space="preserve">FIBU_LM kopējās uzturēšanas izmaksas (tāmju moduļa veidlapu aktualizācija un sistēmas uzturēšana) nozarē 2018.gadā veido 2 178 </w:t>
            </w:r>
            <w:r w:rsidRPr="00CD14B3">
              <w:rPr>
                <w:i/>
              </w:rPr>
              <w:t>euro</w:t>
            </w:r>
            <w:r w:rsidRPr="00E55CE1">
              <w:t xml:space="preserve"> apmērā. 2019.gadā un turpmākajos gados FIBU_LM kopējās uzturēšanas izmaksas paredzētas 2018.gada līmenī (2</w:t>
            </w:r>
            <w:r w:rsidR="00CD14B3">
              <w:t xml:space="preserve"> </w:t>
            </w:r>
            <w:r w:rsidRPr="00E55CE1">
              <w:t xml:space="preserve">178 </w:t>
            </w:r>
            <w:r w:rsidRPr="00CD14B3">
              <w:rPr>
                <w:i/>
              </w:rPr>
              <w:t xml:space="preserve">euro </w:t>
            </w:r>
            <w:r w:rsidRPr="00E55CE1">
              <w:t>apmērā).</w:t>
            </w:r>
          </w:p>
          <w:p w14:paraId="58E5252F" w14:textId="77777777" w:rsidR="009A0E3E" w:rsidRDefault="00E55CE1" w:rsidP="00907BD8">
            <w:pPr>
              <w:spacing w:before="120" w:after="120"/>
              <w:jc w:val="both"/>
            </w:pPr>
            <w:r w:rsidRPr="00E55CE1">
              <w:t>LM atbalsta priekšlikumu par detalizētas informācijas (zemākajā ekonomiskās klasifikācijas kodu līmenī) plānošanas pārcelšanu no budžeta pieprasījumu iesniegšanas procesa uz plānojamā budžeta gada sākumu. Ņemot vērā, ka tāmes tiek izstrādātas tikai vienam gadam, tad detalizēta informācija zemāko ekonomiskās klasifikācijas kodu līmenī būs pieejama tikai vienam gadam (plānojamā budžeta gadam), nevis, kā šobrīd SAP sistēmā ievadāmā informācija (budžeta veidlapa Nr.2) vidēja termiņa budžeta ievaram (trim gadiem), kas arī ir atbalstāms pasākums, jo vidējam termiņam plānotie valsts budžeta izdevumi pamatā ir pielīdzināti plānojamā kārtējā budžeta izdevumiem, kas nesniedz objektīvu informāciju par plānotajiem izdevumiem un sagatavotā informācija ir ļoti formāla.</w:t>
            </w:r>
          </w:p>
          <w:p w14:paraId="69D051CA" w14:textId="77777777" w:rsidR="00E55CE1" w:rsidRPr="00E55CE1" w:rsidRDefault="00E55CE1" w:rsidP="00907BD8">
            <w:pPr>
              <w:spacing w:before="120" w:after="120"/>
              <w:jc w:val="both"/>
            </w:pPr>
            <w:r w:rsidRPr="00E55CE1">
              <w:t xml:space="preserve">Attiecībā </w:t>
            </w:r>
            <w:r w:rsidR="00352720">
              <w:t>uz</w:t>
            </w:r>
            <w:r w:rsidRPr="00E55CE1">
              <w:t xml:space="preserve"> tāmju sagatavošan</w:t>
            </w:r>
            <w:r w:rsidR="00352720">
              <w:t>u</w:t>
            </w:r>
            <w:r w:rsidRPr="00E55CE1">
              <w:t xml:space="preserve"> un tāmju izmaiņu veikšanas biežumu piedāvājam mainīt </w:t>
            </w:r>
            <w:r w:rsidR="00CD14B3">
              <w:t>MK</w:t>
            </w:r>
            <w:r w:rsidRPr="00E55CE1">
              <w:t xml:space="preserve"> instrukcijā Nr.2</w:t>
            </w:r>
            <w:r w:rsidR="00352720">
              <w:t xml:space="preserve"> </w:t>
            </w:r>
            <w:r w:rsidRPr="00E55CE1">
              <w:t xml:space="preserve">”Kārtība, kādā valsts budžeta iestādes sagatavo un apstiprina valsts budžeta programmu, apakšprogrammu un pasākumu tāmes kārtējam gadam” (turpmāk – instrukcija Nr.2) noteikto tāmju grozīšanas biežumu - atteikties no ik ceturkšņa tāmju precizēšanas, saglabājot pirmreizējo pasākumu tāmju un budžeta programmu/apakšprogrammu tāmju kopsavilkumu sagatavošanu, pasākumu tāmju izmaiņas un programmu/apakšprogrammu tāmju kopsavilkumi </w:t>
            </w:r>
            <w:r w:rsidRPr="00E55CE1">
              <w:lastRenderedPageBreak/>
              <w:t>uz 6 mēnešiem un 12 mēnešiem, kā arī pasākumu tāmju precizēšana (bez programmu/apakšprogrammu kopsavilkumu precizēšanas, ja apropriācijas izmaiņas nesakrīt ar 6 mēnešu un 12 mēnešu pārskata periodu), atbilstoši apropriācijas izmaiņām (</w:t>
            </w:r>
            <w:r w:rsidR="00CD14B3">
              <w:t>FM</w:t>
            </w:r>
            <w:r w:rsidRPr="00E55CE1">
              <w:t xml:space="preserve"> rīkojumi). Jau šobrīd valsts iestādēm ir noteikta stingra kārtība, kādā veicama iestāžu darbības nodrošināšana un nozares funkciju izpilde, kā arī normatīvajos aktos noteikts, ka iestāde ir atbildīga par līdzekļu racionālu izmantošanu, līdz ar to uzskatām, ka tik bieža (ik ceturksni) pasākumu tāmju un kopsavilkumu precizēšana, kā šobrīd noteikts instrukcijā Nr.2, nav lietderīga.</w:t>
            </w:r>
          </w:p>
        </w:tc>
      </w:tr>
      <w:tr w:rsidR="00E55CE1" w:rsidRPr="00E55CE1" w14:paraId="4BBF6398" w14:textId="77777777" w:rsidTr="00C635F8">
        <w:tc>
          <w:tcPr>
            <w:tcW w:w="1256" w:type="dxa"/>
            <w:noWrap/>
            <w:hideMark/>
          </w:tcPr>
          <w:p w14:paraId="344B039D" w14:textId="77777777" w:rsidR="00E55CE1" w:rsidRPr="00E55CE1" w:rsidRDefault="00E55CE1" w:rsidP="00A3139D">
            <w:r w:rsidRPr="00E55CE1">
              <w:lastRenderedPageBreak/>
              <w:t>TM</w:t>
            </w:r>
          </w:p>
        </w:tc>
        <w:tc>
          <w:tcPr>
            <w:tcW w:w="1818" w:type="dxa"/>
            <w:noWrap/>
            <w:hideMark/>
          </w:tcPr>
          <w:p w14:paraId="3CD67E2B" w14:textId="77777777" w:rsidR="00E55CE1" w:rsidRPr="00E55CE1" w:rsidRDefault="00E55CE1" w:rsidP="00A3139D">
            <w:r w:rsidRPr="00E55CE1">
              <w:t xml:space="preserve">Microstrategy BI </w:t>
            </w:r>
          </w:p>
        </w:tc>
        <w:tc>
          <w:tcPr>
            <w:tcW w:w="11238" w:type="dxa"/>
            <w:hideMark/>
          </w:tcPr>
          <w:p w14:paraId="0BB31330" w14:textId="77777777" w:rsidR="009A0E3E" w:rsidRDefault="00CD14B3" w:rsidP="00907BD8">
            <w:pPr>
              <w:spacing w:before="120" w:after="120"/>
              <w:jc w:val="both"/>
            </w:pPr>
            <w:r>
              <w:t>A</w:t>
            </w:r>
            <w:r w:rsidR="00E55CE1" w:rsidRPr="00E55CE1">
              <w:t xml:space="preserve">tbalsta automātisko datu pārnesi no mērķa griestu formām uz sākotnējo budžeta pieprasījumu formām SAP sistēmā un to, ka N+2 un N+3 gadiem budžets vairs netiks plānots zemākajā ekonomiskās klasifikācijas kodu (EKK) līmenī, tomēr neatbalstām šādu pieeju attiecībā uz N+1 gadu, kā arī eTāmes ieviešana </w:t>
            </w:r>
            <w:r>
              <w:t>TM</w:t>
            </w:r>
            <w:r w:rsidR="00E55CE1" w:rsidRPr="00E55CE1">
              <w:t xml:space="preserve"> gluži pretēji radīs papildus administratīvo slogu.</w:t>
            </w:r>
          </w:p>
          <w:p w14:paraId="6FF3CA90" w14:textId="77777777" w:rsidR="009A0E3E" w:rsidRDefault="00E55CE1" w:rsidP="009A0E3E">
            <w:pPr>
              <w:spacing w:before="120" w:after="120"/>
              <w:jc w:val="both"/>
            </w:pPr>
            <w:r w:rsidRPr="00E55CE1">
              <w:t>Norād</w:t>
            </w:r>
            <w:r w:rsidR="009A0E3E">
              <w:t>a</w:t>
            </w:r>
            <w:r w:rsidRPr="00E55CE1">
              <w:t>, ka budžeta plānošanas procesā datu ievadei zemākajā EKK līmenī nav jānodrošina precīza atbilstība turpmākajiem izdevumiem, bet mērķis ir parādīt plānu, kā plānots izlietot līdzekļus un uzskatām, ka šādam plānam/ redzējumam vismaz pusgadu pirms gada sākuma būtu jābūt (ātrāk budžets pa zemākajiem EKK netiek plānots). Norādām, ka</w:t>
            </w:r>
            <w:r w:rsidR="00254B03">
              <w:t>,</w:t>
            </w:r>
            <w:r w:rsidRPr="00E55CE1">
              <w:t xml:space="preserve"> pat aizpildot tiesību akta projekta sākotnējās ietekmes novērtējuma ziņojumu (anotācija) par pasākumiem, kas varbūt tiks īstenoti pēc gada, </w:t>
            </w:r>
            <w:r w:rsidR="00CD14B3">
              <w:t>FM</w:t>
            </w:r>
            <w:r w:rsidRPr="00E55CE1">
              <w:t xml:space="preserve"> pieprasa detalizēto izdevumu atšifrējumu līdz zemākajam EKK līmenim, līdz ar to nav saprotams kāds ieguvums ir to nedarīt</w:t>
            </w:r>
            <w:r w:rsidR="00254B03">
              <w:t>,</w:t>
            </w:r>
            <w:r w:rsidRPr="00E55CE1">
              <w:t xml:space="preserve"> plānojot budžetu.</w:t>
            </w:r>
          </w:p>
          <w:p w14:paraId="76AEE401" w14:textId="77777777" w:rsidR="009A0E3E" w:rsidRDefault="009A0E3E" w:rsidP="009A0E3E">
            <w:pPr>
              <w:spacing w:before="120" w:after="120"/>
              <w:jc w:val="both"/>
            </w:pPr>
            <w:r>
              <w:t>Papildus informē</w:t>
            </w:r>
            <w:r w:rsidR="00E55CE1" w:rsidRPr="00E55CE1">
              <w:t>, ka ministrijā budžeta plānošana ir integrēta sistēma kopā ar resursu un izdevumu sadalījumu, finansēšanas plāniem, tāmēm un budžeta izpildi, kas tiek iegūta no vienotās grāmatvedības uzskaites sistēmas. Ministrijā šim mērķim tiek izmantots Microstrategy BI risinājums. Atsevišķas tāmes ministrija (un padotības iestādes) speciāli negatavo</w:t>
            </w:r>
            <w:r w:rsidR="00254B03">
              <w:t>,</w:t>
            </w:r>
            <w:r w:rsidR="00E55CE1" w:rsidRPr="00E55CE1">
              <w:t xml:space="preserve"> bet tās tiek veidotas automātiski no resursu un izdevumu sadalījuma, kas veido gan finansēšanas plānu (kas tiek sniegts </w:t>
            </w:r>
            <w:r w:rsidR="00041C55" w:rsidRPr="00041C55">
              <w:t>Valsts kasē</w:t>
            </w:r>
            <w:r w:rsidR="00E55CE1" w:rsidRPr="00E55CE1">
              <w:t>), gan tāmi. Attiecīgi ministrijā un padotībā esošajās iestādēs budžeta programmu, apakšprogrammu un pasākumu tāmes ir izveidotas pirms vēl finansēšana</w:t>
            </w:r>
            <w:r w:rsidR="00CD14B3">
              <w:t xml:space="preserve">s plāns ir iesniegts </w:t>
            </w:r>
            <w:r w:rsidR="00041C55" w:rsidRPr="00041C55">
              <w:t>Valsts kasē</w:t>
            </w:r>
            <w:r w:rsidR="00E55CE1" w:rsidRPr="00E55CE1">
              <w:t>. Papildus tam sistēmā ir arī apstiprināšanas un saskaņošanas procedūra, kā arī izmantojamā sistēma ļauj ministrijai pašai veidot dažādas atskaites dažādos griezumos, lai izvērtētu budžeta plānošanas un izpildes atbilstību gan viena, gan vairāku gadu griezumā. Pašlaik norit darbs pie ministrijas Microstrategy BI risinājuma uzlabošanas, lai atbilstoši ministrijas un padotības iestāžu vēlmēm vēl vairāk uzlabotu un atvieglotu budžeta plānošanas un izpildes procesu.</w:t>
            </w:r>
          </w:p>
          <w:p w14:paraId="2E6DF792" w14:textId="77777777" w:rsidR="00E55CE1" w:rsidRPr="00E55CE1" w:rsidRDefault="00E55CE1" w:rsidP="00041C55">
            <w:pPr>
              <w:spacing w:before="120" w:after="120"/>
              <w:jc w:val="both"/>
            </w:pPr>
            <w:r w:rsidRPr="00E55CE1">
              <w:lastRenderedPageBreak/>
              <w:t xml:space="preserve">Līdz ar to, ieviešot eTāmi, ministrijai (un padotības iestādēm) būs atsevišķi jāveic tāmes ievade </w:t>
            </w:r>
            <w:r w:rsidR="00041C55" w:rsidRPr="00041C55">
              <w:t>Valsts kases</w:t>
            </w:r>
            <w:r w:rsidR="00EE5670">
              <w:t xml:space="preserve"> </w:t>
            </w:r>
            <w:r w:rsidRPr="00E55CE1">
              <w:t>sistēmā, kā arī jāuztur identiska informācija divās sistēmās, kas radīs papildus administratīvo slogu.</w:t>
            </w:r>
            <w:r w:rsidRPr="00E55CE1">
              <w:br/>
              <w:t>Attiecībā par izdevumiem tāmju IS izveidošanai un uzturēšanai norādām, ka tos nav iespējams atsevišķi izdalīt, jo</w:t>
            </w:r>
            <w:r w:rsidR="00254B03">
              <w:t>,</w:t>
            </w:r>
            <w:r w:rsidRPr="00E55CE1">
              <w:t xml:space="preserve"> kā jau minēts iepriekš</w:t>
            </w:r>
            <w:r w:rsidR="00254B03">
              <w:t>,</w:t>
            </w:r>
            <w:r w:rsidRPr="00E55CE1">
              <w:t xml:space="preserve"> tā ir integrēta sistēma un tāme ir tikai viens no atskaišu veidiem. Pašlaik Microstrategy programmatūras koda uzturēšana izmaksā 4 445 </w:t>
            </w:r>
            <w:r w:rsidRPr="00EE5670">
              <w:rPr>
                <w:i/>
              </w:rPr>
              <w:t>euro</w:t>
            </w:r>
            <w:r w:rsidRPr="00E55CE1">
              <w:t xml:space="preserve"> gadā</w:t>
            </w:r>
            <w:r w:rsidR="00EE5670">
              <w:t>.</w:t>
            </w:r>
          </w:p>
        </w:tc>
      </w:tr>
      <w:tr w:rsidR="00E55CE1" w:rsidRPr="00E55CE1" w14:paraId="02DDC064" w14:textId="77777777" w:rsidTr="005D7192">
        <w:tc>
          <w:tcPr>
            <w:tcW w:w="1256" w:type="dxa"/>
            <w:noWrap/>
            <w:hideMark/>
          </w:tcPr>
          <w:p w14:paraId="085CA9F8" w14:textId="77777777" w:rsidR="00E55CE1" w:rsidRPr="00E55CE1" w:rsidRDefault="00E55CE1" w:rsidP="00A3139D">
            <w:r w:rsidRPr="00E55CE1">
              <w:lastRenderedPageBreak/>
              <w:t>VARAM</w:t>
            </w:r>
          </w:p>
        </w:tc>
        <w:tc>
          <w:tcPr>
            <w:tcW w:w="1818" w:type="dxa"/>
            <w:noWrap/>
            <w:hideMark/>
          </w:tcPr>
          <w:p w14:paraId="65F14A36" w14:textId="77777777" w:rsidR="00E55CE1" w:rsidRPr="00E55CE1" w:rsidRDefault="00E55CE1" w:rsidP="00A3139D">
            <w:r w:rsidRPr="00E55CE1">
              <w:t xml:space="preserve">Microstrategy BI </w:t>
            </w:r>
          </w:p>
        </w:tc>
        <w:tc>
          <w:tcPr>
            <w:tcW w:w="11238" w:type="dxa"/>
            <w:shd w:val="clear" w:color="auto" w:fill="auto"/>
            <w:noWrap/>
            <w:hideMark/>
          </w:tcPr>
          <w:p w14:paraId="74B8DF84" w14:textId="77777777" w:rsidR="00DC11A9" w:rsidRDefault="00DC11A9" w:rsidP="00DC11A9">
            <w:r>
              <w:rPr>
                <w:rFonts w:cs="Times New Roman"/>
                <w:szCs w:val="24"/>
              </w:rPr>
              <w:t>VARAM sākot ar 2018.gadu ir ieviesta centralizēta Microstrategy sistēma, kurā ministrija un padotības iestādes ievada finansēšanas plānus un to grozījumus, tāmes un to grozījumus.</w:t>
            </w:r>
          </w:p>
          <w:p w14:paraId="7363CC5A" w14:textId="2571A46A" w:rsidR="00DC11A9" w:rsidRDefault="00DC11A9" w:rsidP="00DC11A9">
            <w:r>
              <w:rPr>
                <w:rFonts w:cs="Times New Roman"/>
                <w:szCs w:val="24"/>
              </w:rPr>
              <w:t>Sistēma nodrošina Tāmju un finansēšanas plānu elektronisko apstiprināšanu, tādējādi atsākoties no drukātas formas. Finansēšanas plānu eksport</w:t>
            </w:r>
            <w:r w:rsidR="00513162">
              <w:rPr>
                <w:rFonts w:cs="Times New Roman"/>
                <w:szCs w:val="24"/>
              </w:rPr>
              <w:t>ē</w:t>
            </w:r>
            <w:r>
              <w:rPr>
                <w:rFonts w:cs="Times New Roman"/>
                <w:szCs w:val="24"/>
              </w:rPr>
              <w:t xml:space="preserve"> uz Valsts kases ePlāni sistēmu.</w:t>
            </w:r>
          </w:p>
          <w:p w14:paraId="56A38D35" w14:textId="77777777" w:rsidR="00DC11A9" w:rsidRDefault="00DC11A9" w:rsidP="00DC11A9">
            <w:r>
              <w:rPr>
                <w:rFonts w:cs="Times New Roman"/>
                <w:szCs w:val="24"/>
              </w:rPr>
              <w:t>Sistēma nodrošina Tāmju sasaisti ar grāmatvedības sistēmas “Horizon”, kas dod iespēju redzēt faktisko izpildi pa EKK un dokumentiem uz katru dienu par visu ministrijas resoru. Sistēmai ir iespēja veidot dažādas atskaites izdevumu analīzei.</w:t>
            </w:r>
          </w:p>
          <w:p w14:paraId="5B6D157A" w14:textId="77777777" w:rsidR="00E55CE1" w:rsidRPr="005D7192" w:rsidRDefault="00DC11A9" w:rsidP="00DC11A9">
            <w:pPr>
              <w:spacing w:before="120" w:after="120"/>
              <w:jc w:val="both"/>
            </w:pPr>
            <w:r>
              <w:rPr>
                <w:rFonts w:cs="Times New Roman"/>
                <w:szCs w:val="24"/>
              </w:rPr>
              <w:t xml:space="preserve">Microstrategy kodu uzturēšanu ikgadu apmaksā ministrija centralizēti.  Microstrategy kodu uzturēšanas izdevumi 2018.gadam ir  8 057 </w:t>
            </w:r>
            <w:r w:rsidRPr="00513162">
              <w:rPr>
                <w:rFonts w:cs="Times New Roman"/>
                <w:i/>
                <w:szCs w:val="24"/>
              </w:rPr>
              <w:t>euro</w:t>
            </w:r>
            <w:r>
              <w:rPr>
                <w:rFonts w:cs="Times New Roman"/>
                <w:szCs w:val="24"/>
              </w:rPr>
              <w:t>.</w:t>
            </w:r>
          </w:p>
        </w:tc>
      </w:tr>
      <w:tr w:rsidR="00E55CE1" w:rsidRPr="00E55CE1" w14:paraId="10B979D1" w14:textId="77777777" w:rsidTr="00C635F8">
        <w:tc>
          <w:tcPr>
            <w:tcW w:w="1256" w:type="dxa"/>
            <w:noWrap/>
            <w:hideMark/>
          </w:tcPr>
          <w:p w14:paraId="102A725B" w14:textId="77777777" w:rsidR="00E55CE1" w:rsidRPr="00E55CE1" w:rsidRDefault="00E55CE1" w:rsidP="00A3139D">
            <w:r w:rsidRPr="00E55CE1">
              <w:t>KM</w:t>
            </w:r>
          </w:p>
        </w:tc>
        <w:tc>
          <w:tcPr>
            <w:tcW w:w="1818" w:type="dxa"/>
            <w:noWrap/>
            <w:hideMark/>
          </w:tcPr>
          <w:p w14:paraId="4771BF1D" w14:textId="77777777" w:rsidR="00E55CE1" w:rsidRPr="00E55CE1" w:rsidRDefault="00E55CE1" w:rsidP="00A3139D">
            <w:r w:rsidRPr="00E55CE1">
              <w:t>FIBU</w:t>
            </w:r>
          </w:p>
        </w:tc>
        <w:tc>
          <w:tcPr>
            <w:tcW w:w="11238" w:type="dxa"/>
            <w:hideMark/>
          </w:tcPr>
          <w:p w14:paraId="71BD92E6" w14:textId="77777777" w:rsidR="00E55CE1" w:rsidRPr="00E55CE1" w:rsidRDefault="00E55CE1" w:rsidP="00907BD8">
            <w:pPr>
              <w:spacing w:before="120" w:after="120"/>
              <w:jc w:val="both"/>
            </w:pPr>
            <w:r w:rsidRPr="00E55CE1">
              <w:t xml:space="preserve">Izmantotās tāmju apstrādes sistēmas uzturēšanas izdevumi šogad un nākamajos periodos tiek plānoti 2 291.74 </w:t>
            </w:r>
            <w:r w:rsidRPr="004C0276">
              <w:rPr>
                <w:i/>
              </w:rPr>
              <w:t>euro</w:t>
            </w:r>
            <w:r w:rsidRPr="00E55CE1">
              <w:t xml:space="preserve"> apmērā gadā. Tāmju apstrādes sistēmas ieviešanas izmaksas 2010.gadā saskaņā ar noslēgto līgumu bija 2 548.08 </w:t>
            </w:r>
            <w:r w:rsidRPr="004C0276">
              <w:rPr>
                <w:i/>
              </w:rPr>
              <w:t>euro</w:t>
            </w:r>
            <w:r w:rsidR="004C0276">
              <w:t>.</w:t>
            </w:r>
          </w:p>
        </w:tc>
      </w:tr>
      <w:tr w:rsidR="00E55CE1" w:rsidRPr="00E55CE1" w14:paraId="78EF6F2B" w14:textId="77777777" w:rsidTr="00C635F8">
        <w:tc>
          <w:tcPr>
            <w:tcW w:w="1256" w:type="dxa"/>
            <w:noWrap/>
            <w:hideMark/>
          </w:tcPr>
          <w:p w14:paraId="36830EEF" w14:textId="77777777" w:rsidR="00E55CE1" w:rsidRPr="00E55CE1" w:rsidRDefault="00E55CE1" w:rsidP="004C0276">
            <w:r w:rsidRPr="00E55CE1">
              <w:t>V</w:t>
            </w:r>
            <w:r w:rsidR="004C0276">
              <w:t>Ko</w:t>
            </w:r>
          </w:p>
        </w:tc>
        <w:tc>
          <w:tcPr>
            <w:tcW w:w="1818" w:type="dxa"/>
            <w:noWrap/>
            <w:hideMark/>
          </w:tcPr>
          <w:p w14:paraId="5CE0AFA7" w14:textId="77777777" w:rsidR="00E55CE1" w:rsidRPr="00E55CE1" w:rsidRDefault="00E55CE1" w:rsidP="00A3139D">
            <w:r w:rsidRPr="00E55CE1">
              <w:t>Excel</w:t>
            </w:r>
          </w:p>
        </w:tc>
        <w:tc>
          <w:tcPr>
            <w:tcW w:w="11238" w:type="dxa"/>
            <w:hideMark/>
          </w:tcPr>
          <w:p w14:paraId="32BF88CA" w14:textId="77777777" w:rsidR="00E55CE1" w:rsidRPr="00E55CE1" w:rsidRDefault="004C0276" w:rsidP="00907BD8">
            <w:pPr>
              <w:spacing w:before="120" w:after="120"/>
              <w:jc w:val="both"/>
            </w:pPr>
            <w:r>
              <w:t>T</w:t>
            </w:r>
            <w:r w:rsidR="00E55CE1" w:rsidRPr="00E55CE1">
              <w:t xml:space="preserve">āmju apstrādei neizmanto specifisku šim mērķim paredzētu sistēmu. </w:t>
            </w:r>
            <w:r w:rsidR="00A85256">
              <w:t>VKo</w:t>
            </w:r>
            <w:r w:rsidR="00E55CE1" w:rsidRPr="00E55CE1">
              <w:t xml:space="preserve"> tāmes apstrādā, izmantojot standarta programmatūru MS Excel. Līdz ar to </w:t>
            </w:r>
            <w:r w:rsidR="00A85256">
              <w:t>VKo</w:t>
            </w:r>
            <w:r w:rsidR="00E55CE1" w:rsidRPr="00E55CE1">
              <w:t xml:space="preserve"> nav un netiek plānotas tāmju apstrādes sistēmas ieviešanas un uzturēšanas izmaksas</w:t>
            </w:r>
            <w:r w:rsidR="00A85256">
              <w:t>.</w:t>
            </w:r>
          </w:p>
        </w:tc>
      </w:tr>
      <w:tr w:rsidR="00E55CE1" w:rsidRPr="00E55CE1" w14:paraId="3581FFAD" w14:textId="77777777" w:rsidTr="00C635F8">
        <w:tc>
          <w:tcPr>
            <w:tcW w:w="1256" w:type="dxa"/>
            <w:noWrap/>
            <w:hideMark/>
          </w:tcPr>
          <w:p w14:paraId="1488B0E5" w14:textId="77777777" w:rsidR="00E55CE1" w:rsidRPr="00E55CE1" w:rsidRDefault="00E55CE1" w:rsidP="00A3139D">
            <w:r w:rsidRPr="00E55CE1">
              <w:t>PKC</w:t>
            </w:r>
          </w:p>
        </w:tc>
        <w:tc>
          <w:tcPr>
            <w:tcW w:w="1818" w:type="dxa"/>
            <w:noWrap/>
            <w:hideMark/>
          </w:tcPr>
          <w:p w14:paraId="5AF706CC" w14:textId="77777777" w:rsidR="00E55CE1" w:rsidRPr="00E55CE1" w:rsidRDefault="00E55CE1" w:rsidP="00A3139D">
            <w:r w:rsidRPr="00E55CE1">
              <w:t>Excel</w:t>
            </w:r>
          </w:p>
        </w:tc>
        <w:tc>
          <w:tcPr>
            <w:tcW w:w="11238" w:type="dxa"/>
            <w:noWrap/>
            <w:hideMark/>
          </w:tcPr>
          <w:p w14:paraId="51CCB67F" w14:textId="77777777" w:rsidR="00E55CE1" w:rsidRPr="00E55CE1" w:rsidRDefault="00E55CE1" w:rsidP="00907BD8">
            <w:pPr>
              <w:spacing w:before="120" w:after="120"/>
              <w:jc w:val="both"/>
            </w:pPr>
            <w:r w:rsidRPr="00E55CE1">
              <w:t>Līdz šim nav izmantojis tāmju apstrādes sistēmu, bet piemēro standarta programmatūru Excel. Līdz ar to valsts budžeta līdzekļi tāmju apstrādes sistēmu ieviešanai un  uzturēšanai netiek plānoti un lietoti</w:t>
            </w:r>
            <w:r w:rsidR="00D3554F">
              <w:t>.</w:t>
            </w:r>
          </w:p>
        </w:tc>
      </w:tr>
      <w:tr w:rsidR="00E55CE1" w:rsidRPr="00E55CE1" w14:paraId="4E0F2731" w14:textId="77777777" w:rsidTr="00C635F8">
        <w:tc>
          <w:tcPr>
            <w:tcW w:w="1256" w:type="dxa"/>
            <w:noWrap/>
            <w:hideMark/>
          </w:tcPr>
          <w:p w14:paraId="573A6C02" w14:textId="77777777" w:rsidR="00E55CE1" w:rsidRPr="00E55CE1" w:rsidRDefault="00E55CE1" w:rsidP="00A3139D">
            <w:r w:rsidRPr="00E55CE1">
              <w:t>AT</w:t>
            </w:r>
          </w:p>
        </w:tc>
        <w:tc>
          <w:tcPr>
            <w:tcW w:w="1818" w:type="dxa"/>
            <w:noWrap/>
            <w:hideMark/>
          </w:tcPr>
          <w:p w14:paraId="774E7299" w14:textId="77777777" w:rsidR="00E55CE1" w:rsidRPr="00E55CE1" w:rsidRDefault="00E55CE1" w:rsidP="00A3139D">
            <w:r w:rsidRPr="00E55CE1">
              <w:t>Excel</w:t>
            </w:r>
          </w:p>
        </w:tc>
        <w:tc>
          <w:tcPr>
            <w:tcW w:w="11238" w:type="dxa"/>
            <w:hideMark/>
          </w:tcPr>
          <w:p w14:paraId="178F4AAD" w14:textId="77777777" w:rsidR="009A0E3E" w:rsidRDefault="00107D5C" w:rsidP="00907BD8">
            <w:pPr>
              <w:spacing w:before="120" w:after="120"/>
              <w:jc w:val="both"/>
            </w:pPr>
            <w:r>
              <w:t>T</w:t>
            </w:r>
            <w:r w:rsidR="00E55CE1" w:rsidRPr="00E55CE1">
              <w:t>āmes sagatavo MS Excel programmā.</w:t>
            </w:r>
          </w:p>
          <w:p w14:paraId="6F308252" w14:textId="77777777" w:rsidR="009A0E3E" w:rsidRDefault="00E55CE1" w:rsidP="00907BD8">
            <w:pPr>
              <w:spacing w:before="120" w:after="120"/>
              <w:jc w:val="both"/>
            </w:pPr>
            <w:r w:rsidRPr="00E55CE1">
              <w:lastRenderedPageBreak/>
              <w:t>Pašreizējā tāmju sagatavošanas sistēma ir optimāla, nepatērē valsts budžeta finanšu resursus, grozījumus var veikt operatīvi un papildu sistēmas ieviešana A</w:t>
            </w:r>
            <w:r w:rsidR="00107D5C">
              <w:t>T</w:t>
            </w:r>
            <w:r w:rsidRPr="00E55CE1">
              <w:t xml:space="preserve"> vajadzībām nav nepieciešama.</w:t>
            </w:r>
          </w:p>
          <w:p w14:paraId="33047BD3" w14:textId="77777777" w:rsidR="00E55CE1" w:rsidRPr="00E55CE1" w:rsidRDefault="009A0E3E" w:rsidP="00907BD8">
            <w:pPr>
              <w:spacing w:before="120" w:after="120"/>
              <w:jc w:val="both"/>
            </w:pPr>
            <w:r>
              <w:t>Vienlaicīgi informē</w:t>
            </w:r>
            <w:r w:rsidR="00E55CE1" w:rsidRPr="00E55CE1">
              <w:t>, ja tiek veidota eTāmes sistēma, tad tās veidošanas procesā būtu jāņem vērā prezidenta Tiesiskās vides pilnveides komisijas ziņojumā  un pētījumā  norādīto, ka ir nepieciešams neatkarīgs tiesu budžets</w:t>
            </w:r>
            <w:r w:rsidR="00107D5C">
              <w:t>.</w:t>
            </w:r>
          </w:p>
        </w:tc>
      </w:tr>
      <w:tr w:rsidR="00E55CE1" w:rsidRPr="00E55CE1" w14:paraId="766F0106" w14:textId="77777777" w:rsidTr="00C635F8">
        <w:tc>
          <w:tcPr>
            <w:tcW w:w="1256" w:type="dxa"/>
            <w:noWrap/>
            <w:hideMark/>
          </w:tcPr>
          <w:p w14:paraId="365F5EF7" w14:textId="77777777" w:rsidR="00E55CE1" w:rsidRPr="00E55CE1" w:rsidRDefault="00E55CE1" w:rsidP="00A3139D">
            <w:r w:rsidRPr="00E55CE1">
              <w:lastRenderedPageBreak/>
              <w:t>VM</w:t>
            </w:r>
          </w:p>
        </w:tc>
        <w:tc>
          <w:tcPr>
            <w:tcW w:w="1818" w:type="dxa"/>
            <w:noWrap/>
            <w:hideMark/>
          </w:tcPr>
          <w:p w14:paraId="03CAED3F" w14:textId="77777777" w:rsidR="00E55CE1" w:rsidRPr="00E55CE1" w:rsidRDefault="00E55CE1" w:rsidP="00A3139D">
            <w:r w:rsidRPr="00E55CE1">
              <w:t>Excel</w:t>
            </w:r>
          </w:p>
        </w:tc>
        <w:tc>
          <w:tcPr>
            <w:tcW w:w="11238" w:type="dxa"/>
            <w:hideMark/>
          </w:tcPr>
          <w:p w14:paraId="1AFC3041" w14:textId="77777777" w:rsidR="009A0E3E" w:rsidRDefault="00E33EC6" w:rsidP="00907BD8">
            <w:pPr>
              <w:spacing w:before="120" w:after="120"/>
              <w:jc w:val="both"/>
            </w:pPr>
            <w:r>
              <w:t>VM</w:t>
            </w:r>
            <w:r w:rsidR="00E55CE1" w:rsidRPr="00E55CE1">
              <w:t xml:space="preserve"> un tās padotības iestādes tāmes apstrādā, </w:t>
            </w:r>
            <w:r>
              <w:t>izmantojot Excel programmatūru.</w:t>
            </w:r>
          </w:p>
          <w:p w14:paraId="57D3E117" w14:textId="77777777" w:rsidR="00E55CE1" w:rsidRPr="00E55CE1" w:rsidRDefault="009A0E3E" w:rsidP="00907BD8">
            <w:pPr>
              <w:spacing w:before="120" w:after="120"/>
              <w:jc w:val="both"/>
            </w:pPr>
            <w:r>
              <w:t>Kā pozitīvu uzskata</w:t>
            </w:r>
            <w:r w:rsidR="00E55CE1" w:rsidRPr="00E55CE1">
              <w:t>, ka plānojat ieviest centralizētu informācijas sistēmu tāmju sagatavošanai, saskaņošanai un uzglabāšanai, kā arī, ka tiek plānots pārcelt detalizētas informācijas (zemākajā ekonomiskās klasifikācijas kodu līmenī) ievadi uz plānojamā budžeta gada sākumu, kas ievērojami uzlabos pieejamo datu analītisko kvalitāti.</w:t>
            </w:r>
          </w:p>
        </w:tc>
      </w:tr>
      <w:tr w:rsidR="00E55CE1" w:rsidRPr="00E55CE1" w14:paraId="08B8A531" w14:textId="77777777" w:rsidTr="00C635F8">
        <w:tc>
          <w:tcPr>
            <w:tcW w:w="1256" w:type="dxa"/>
            <w:noWrap/>
            <w:hideMark/>
          </w:tcPr>
          <w:p w14:paraId="1B8742EF" w14:textId="77777777" w:rsidR="00E55CE1" w:rsidRPr="00E55CE1" w:rsidRDefault="00E55CE1" w:rsidP="00A3139D">
            <w:r w:rsidRPr="00E55CE1">
              <w:t>ST</w:t>
            </w:r>
          </w:p>
        </w:tc>
        <w:tc>
          <w:tcPr>
            <w:tcW w:w="1818" w:type="dxa"/>
            <w:noWrap/>
            <w:hideMark/>
          </w:tcPr>
          <w:p w14:paraId="2F1F9920" w14:textId="77777777" w:rsidR="00E55CE1" w:rsidRPr="00E55CE1" w:rsidRDefault="00E55CE1" w:rsidP="00A3139D">
            <w:r w:rsidRPr="00E55CE1">
              <w:t>Excel</w:t>
            </w:r>
          </w:p>
        </w:tc>
        <w:tc>
          <w:tcPr>
            <w:tcW w:w="11238" w:type="dxa"/>
            <w:noWrap/>
            <w:hideMark/>
          </w:tcPr>
          <w:p w14:paraId="6A423358" w14:textId="77777777" w:rsidR="00E55CE1" w:rsidRPr="00E55CE1" w:rsidRDefault="009A0E3E" w:rsidP="00907BD8">
            <w:pPr>
              <w:spacing w:before="120" w:after="120"/>
              <w:jc w:val="both"/>
            </w:pPr>
            <w:r>
              <w:t>ST</w:t>
            </w:r>
            <w:r w:rsidR="00E55CE1" w:rsidRPr="00E55CE1">
              <w:t xml:space="preserve"> saistībā ar tāmes veidošanu un apstrādi netiek tērēti nekādi papildu resursi (uzturēšanas izmaksas). Tāmes tiek veidotas standarta programmatūrā EXCEL un administratīvais slogs ir neliels. Pašreizējā kārtība pilnībā apmierina.</w:t>
            </w:r>
          </w:p>
        </w:tc>
      </w:tr>
      <w:tr w:rsidR="00E55CE1" w:rsidRPr="00E55CE1" w14:paraId="758AA50F" w14:textId="77777777" w:rsidTr="00C635F8">
        <w:tc>
          <w:tcPr>
            <w:tcW w:w="1256" w:type="dxa"/>
            <w:noWrap/>
            <w:hideMark/>
          </w:tcPr>
          <w:p w14:paraId="2EA603B2" w14:textId="77777777" w:rsidR="00E55CE1" w:rsidRPr="00E55CE1" w:rsidRDefault="00E55CE1" w:rsidP="00A3139D">
            <w:r w:rsidRPr="00E55CE1">
              <w:t>CVK</w:t>
            </w:r>
          </w:p>
        </w:tc>
        <w:tc>
          <w:tcPr>
            <w:tcW w:w="1818" w:type="dxa"/>
            <w:noWrap/>
            <w:hideMark/>
          </w:tcPr>
          <w:p w14:paraId="31E894AA" w14:textId="77777777" w:rsidR="00E55CE1" w:rsidRPr="00E55CE1" w:rsidRDefault="00E55CE1" w:rsidP="00A3139D">
            <w:r w:rsidRPr="00E55CE1">
              <w:t>Excel</w:t>
            </w:r>
          </w:p>
        </w:tc>
        <w:tc>
          <w:tcPr>
            <w:tcW w:w="11238" w:type="dxa"/>
            <w:hideMark/>
          </w:tcPr>
          <w:p w14:paraId="429BFECC" w14:textId="77777777" w:rsidR="00E55CE1" w:rsidRPr="00E55CE1" w:rsidRDefault="009A0E3E" w:rsidP="009A0E3E">
            <w:pPr>
              <w:spacing w:before="120" w:after="120"/>
              <w:jc w:val="both"/>
            </w:pPr>
            <w:r>
              <w:t>CVK</w:t>
            </w:r>
            <w:r w:rsidR="00E55CE1" w:rsidRPr="00E55CE1">
              <w:t xml:space="preserve"> tāmes tiek sagatavotas,</w:t>
            </w:r>
            <w:r>
              <w:t xml:space="preserve"> </w:t>
            </w:r>
            <w:r w:rsidR="00E55CE1" w:rsidRPr="00E55CE1">
              <w:t>izmantojot standarta programmatūru Excel, tāpēc nav nekādu sistēmas uzturēšanas izmaksu.</w:t>
            </w:r>
          </w:p>
        </w:tc>
      </w:tr>
    </w:tbl>
    <w:p w14:paraId="446AD06B" w14:textId="6F1A3F04" w:rsidR="001A144C" w:rsidRDefault="001A144C" w:rsidP="00FC6DD9">
      <w:pPr>
        <w:rPr>
          <w:rFonts w:eastAsia="Calibri" w:cs="Times New Roman"/>
          <w:sz w:val="26"/>
          <w:szCs w:val="26"/>
        </w:rPr>
      </w:pPr>
    </w:p>
    <w:p w14:paraId="666902EC" w14:textId="3D154A4E" w:rsidR="001A144C" w:rsidRDefault="001A144C" w:rsidP="00CF7078">
      <w:pPr>
        <w:jc w:val="center"/>
        <w:rPr>
          <w:rFonts w:eastAsia="Calibri" w:cs="Times New Roman"/>
          <w:sz w:val="26"/>
          <w:szCs w:val="26"/>
        </w:rPr>
      </w:pPr>
    </w:p>
    <w:p w14:paraId="74D053F8" w14:textId="77777777" w:rsidR="00DB2DFD" w:rsidRDefault="00DB2DFD" w:rsidP="00CF7078">
      <w:pPr>
        <w:jc w:val="center"/>
        <w:rPr>
          <w:rFonts w:eastAsia="Calibri" w:cs="Times New Roman"/>
          <w:sz w:val="26"/>
          <w:szCs w:val="26"/>
        </w:rPr>
      </w:pPr>
    </w:p>
    <w:p w14:paraId="57A561F6" w14:textId="77777777" w:rsidR="00DB2DFD" w:rsidRDefault="00DB2DFD" w:rsidP="00CF7078">
      <w:pPr>
        <w:jc w:val="center"/>
        <w:rPr>
          <w:rFonts w:eastAsia="Calibri" w:cs="Times New Roman"/>
          <w:sz w:val="26"/>
          <w:szCs w:val="26"/>
        </w:rPr>
      </w:pPr>
    </w:p>
    <w:p w14:paraId="261040EE" w14:textId="17385030" w:rsidR="00CF7078" w:rsidRPr="000A5EBC" w:rsidRDefault="00CF7078" w:rsidP="00CF7078">
      <w:pPr>
        <w:jc w:val="center"/>
        <w:rPr>
          <w:rFonts w:eastAsia="Calibri" w:cs="Times New Roman"/>
          <w:sz w:val="26"/>
          <w:szCs w:val="26"/>
        </w:rPr>
      </w:pPr>
      <w:r w:rsidRPr="000A5EBC">
        <w:rPr>
          <w:rFonts w:eastAsia="Calibri" w:cs="Times New Roman"/>
          <w:sz w:val="26"/>
          <w:szCs w:val="26"/>
        </w:rPr>
        <w:t>Ministre</w:t>
      </w:r>
      <w:r w:rsidRPr="000A5EBC">
        <w:rPr>
          <w:rFonts w:eastAsia="Calibri" w:cs="Times New Roman"/>
          <w:sz w:val="26"/>
          <w:szCs w:val="26"/>
        </w:rPr>
        <w:tab/>
      </w:r>
      <w:r>
        <w:rPr>
          <w:rFonts w:eastAsia="Calibri" w:cs="Times New Roman"/>
          <w:sz w:val="26"/>
          <w:szCs w:val="26"/>
        </w:rPr>
        <w:t xml:space="preserve">                                                </w:t>
      </w:r>
      <w:r w:rsidRPr="000A5EBC">
        <w:rPr>
          <w:rFonts w:eastAsia="Calibri" w:cs="Times New Roman"/>
          <w:sz w:val="26"/>
          <w:szCs w:val="26"/>
        </w:rPr>
        <w:tab/>
      </w:r>
      <w:r w:rsidRPr="000A5EBC">
        <w:rPr>
          <w:rFonts w:eastAsia="Calibri" w:cs="Times New Roman"/>
          <w:sz w:val="26"/>
          <w:szCs w:val="26"/>
        </w:rPr>
        <w:tab/>
      </w:r>
      <w:r w:rsidRPr="000A5EBC">
        <w:rPr>
          <w:rFonts w:eastAsia="Calibri" w:cs="Times New Roman"/>
          <w:sz w:val="26"/>
          <w:szCs w:val="26"/>
        </w:rPr>
        <w:tab/>
      </w:r>
      <w:r w:rsidRPr="000A5EBC">
        <w:rPr>
          <w:rFonts w:eastAsia="Calibri" w:cs="Times New Roman"/>
          <w:sz w:val="26"/>
          <w:szCs w:val="26"/>
        </w:rPr>
        <w:tab/>
      </w:r>
      <w:r w:rsidRPr="000A5EBC">
        <w:rPr>
          <w:rFonts w:eastAsia="Calibri" w:cs="Times New Roman"/>
          <w:sz w:val="26"/>
          <w:szCs w:val="26"/>
        </w:rPr>
        <w:tab/>
      </w:r>
      <w:r w:rsidRPr="000A5EBC">
        <w:rPr>
          <w:rFonts w:eastAsia="Calibri" w:cs="Times New Roman"/>
          <w:sz w:val="26"/>
          <w:szCs w:val="26"/>
        </w:rPr>
        <w:tab/>
        <w:t>D.Reizniece-Ozola</w:t>
      </w:r>
    </w:p>
    <w:p w14:paraId="5897BAC8" w14:textId="77777777" w:rsidR="00CF7078" w:rsidRDefault="00CF7078" w:rsidP="00CF7078">
      <w:pPr>
        <w:spacing w:before="60"/>
        <w:rPr>
          <w:rFonts w:eastAsia="Calibri" w:cs="Times New Roman"/>
          <w:sz w:val="16"/>
          <w:szCs w:val="16"/>
        </w:rPr>
      </w:pPr>
    </w:p>
    <w:p w14:paraId="228BB4B3" w14:textId="5D8C44EB" w:rsidR="00CF7078" w:rsidRDefault="00CF7078" w:rsidP="00CF7078">
      <w:pPr>
        <w:spacing w:before="60"/>
        <w:rPr>
          <w:rFonts w:eastAsia="Calibri" w:cs="Times New Roman"/>
          <w:sz w:val="16"/>
          <w:szCs w:val="16"/>
        </w:rPr>
      </w:pPr>
    </w:p>
    <w:p w14:paraId="32B0417D" w14:textId="411FA2D6" w:rsidR="00CF7078" w:rsidRPr="005717E1" w:rsidRDefault="00CF7078" w:rsidP="005717E1">
      <w:pPr>
        <w:spacing w:before="60"/>
        <w:rPr>
          <w:rFonts w:eastAsia="Calibri" w:cs="Times New Roman"/>
          <w:sz w:val="16"/>
          <w:szCs w:val="16"/>
        </w:rPr>
      </w:pPr>
    </w:p>
    <w:sectPr w:rsidR="00CF7078" w:rsidRPr="005717E1" w:rsidSect="009B546F">
      <w:headerReference w:type="default" r:id="rId6"/>
      <w:footerReference w:type="default" r:id="rId7"/>
      <w:headerReference w:type="first" r:id="rId8"/>
      <w:footerReference w:type="first" r:id="rId9"/>
      <w:pgSz w:w="16838" w:h="11906" w:orient="landscape"/>
      <w:pgMar w:top="1701"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48267" w14:textId="77777777" w:rsidR="006C0373" w:rsidRDefault="006C0373" w:rsidP="007852F0">
      <w:r>
        <w:separator/>
      </w:r>
    </w:p>
  </w:endnote>
  <w:endnote w:type="continuationSeparator" w:id="0">
    <w:p w14:paraId="39FE983C" w14:textId="77777777" w:rsidR="006C0373" w:rsidRDefault="006C0373" w:rsidP="0078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340595"/>
      <w:docPartObj>
        <w:docPartGallery w:val="Page Numbers (Bottom of Page)"/>
        <w:docPartUnique/>
      </w:docPartObj>
    </w:sdtPr>
    <w:sdtEndPr>
      <w:rPr>
        <w:noProof/>
      </w:rPr>
    </w:sdtEndPr>
    <w:sdtContent>
      <w:p w14:paraId="09AB615D" w14:textId="0F531768" w:rsidR="0027116E" w:rsidRPr="004F1DC2" w:rsidRDefault="00513162" w:rsidP="00CF7078">
        <w:pPr>
          <w:pStyle w:val="Footer"/>
          <w:rPr>
            <w:sz w:val="20"/>
          </w:rPr>
        </w:pPr>
        <w:r w:rsidRPr="004F1DC2">
          <w:rPr>
            <w:noProof/>
            <w:sz w:val="20"/>
          </w:rPr>
          <w:fldChar w:fldCharType="begin"/>
        </w:r>
        <w:r w:rsidRPr="004F1DC2">
          <w:rPr>
            <w:noProof/>
            <w:sz w:val="20"/>
          </w:rPr>
          <w:instrText xml:space="preserve"> FILENAME \* MERGEFORMAT </w:instrText>
        </w:r>
        <w:r w:rsidRPr="004F1DC2">
          <w:rPr>
            <w:noProof/>
            <w:sz w:val="20"/>
          </w:rPr>
          <w:fldChar w:fldCharType="separate"/>
        </w:r>
        <w:r w:rsidR="004F1DC2" w:rsidRPr="004F1DC2">
          <w:rPr>
            <w:noProof/>
            <w:sz w:val="20"/>
          </w:rPr>
          <w:t>FMzin</w:t>
        </w:r>
        <w:r w:rsidR="00CF7078" w:rsidRPr="004F1DC2">
          <w:rPr>
            <w:noProof/>
            <w:sz w:val="20"/>
          </w:rPr>
          <w:t>p1</w:t>
        </w:r>
        <w:r w:rsidR="007065F0">
          <w:rPr>
            <w:noProof/>
            <w:sz w:val="20"/>
          </w:rPr>
          <w:t>_15</w:t>
        </w:r>
        <w:r w:rsidR="004F1DC2" w:rsidRPr="004F1DC2">
          <w:rPr>
            <w:noProof/>
            <w:sz w:val="20"/>
          </w:rPr>
          <w:t>1018_parsk</w:t>
        </w:r>
        <w:r w:rsidR="00CF7078" w:rsidRPr="004F1DC2">
          <w:rPr>
            <w:noProof/>
            <w:sz w:val="20"/>
          </w:rPr>
          <w:t>.docx</w:t>
        </w:r>
        <w:r w:rsidRPr="004F1DC2">
          <w:rPr>
            <w:noProof/>
            <w:sz w:val="20"/>
          </w:rPr>
          <w:fldChar w:fldCharType="end"/>
        </w:r>
      </w:p>
      <w:p w14:paraId="0EC2E6C8" w14:textId="77777777" w:rsidR="007852F0" w:rsidRDefault="006C0373">
        <w:pPr>
          <w:pStyle w:val="Footer"/>
          <w:jc w:val="center"/>
        </w:pPr>
      </w:p>
    </w:sdtContent>
  </w:sdt>
  <w:p w14:paraId="661C50C2" w14:textId="77777777" w:rsidR="007852F0" w:rsidRDefault="0027116E" w:rsidP="0027116E">
    <w:pPr>
      <w:pStyle w:val="Footer"/>
      <w:tabs>
        <w:tab w:val="clear" w:pos="4153"/>
        <w:tab w:val="clear" w:pos="8306"/>
        <w:tab w:val="left" w:pos="7590"/>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943924000"/>
      <w:docPartObj>
        <w:docPartGallery w:val="Page Numbers (Bottom of Page)"/>
        <w:docPartUnique/>
      </w:docPartObj>
    </w:sdtPr>
    <w:sdtEndPr>
      <w:rPr>
        <w:noProof/>
        <w:sz w:val="24"/>
      </w:rPr>
    </w:sdtEndPr>
    <w:sdtContent>
      <w:p w14:paraId="71D3C7D4" w14:textId="6BCB0994" w:rsidR="004F1DC2" w:rsidRPr="004F1DC2" w:rsidRDefault="004F1DC2" w:rsidP="004F1DC2">
        <w:pPr>
          <w:pStyle w:val="Footer"/>
          <w:rPr>
            <w:sz w:val="20"/>
          </w:rPr>
        </w:pPr>
        <w:r w:rsidRPr="004F1DC2">
          <w:rPr>
            <w:noProof/>
            <w:sz w:val="20"/>
          </w:rPr>
          <w:fldChar w:fldCharType="begin"/>
        </w:r>
        <w:r w:rsidRPr="004F1DC2">
          <w:rPr>
            <w:noProof/>
            <w:sz w:val="20"/>
          </w:rPr>
          <w:instrText xml:space="preserve"> FILENAME \* MERGEFORMAT </w:instrText>
        </w:r>
        <w:r w:rsidRPr="004F1DC2">
          <w:rPr>
            <w:noProof/>
            <w:sz w:val="20"/>
          </w:rPr>
          <w:fldChar w:fldCharType="separate"/>
        </w:r>
        <w:r w:rsidR="007065F0">
          <w:rPr>
            <w:noProof/>
            <w:sz w:val="20"/>
          </w:rPr>
          <w:t>FMzinp1_15</w:t>
        </w:r>
        <w:r w:rsidRPr="004F1DC2">
          <w:rPr>
            <w:noProof/>
            <w:sz w:val="20"/>
          </w:rPr>
          <w:t>1018_parsk.docx</w:t>
        </w:r>
        <w:r w:rsidRPr="004F1DC2">
          <w:rPr>
            <w:noProof/>
            <w:sz w:val="20"/>
          </w:rPr>
          <w:fldChar w:fldCharType="end"/>
        </w:r>
      </w:p>
      <w:p w14:paraId="5DDF6A53" w14:textId="4AE20F4B" w:rsidR="004F1DC2" w:rsidRDefault="006C0373" w:rsidP="004F1DC2">
        <w:pPr>
          <w:pStyle w:val="Footer"/>
          <w:jc w:val="center"/>
          <w:rPr>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AEC69" w14:textId="77777777" w:rsidR="006C0373" w:rsidRDefault="006C0373" w:rsidP="007852F0">
      <w:r>
        <w:separator/>
      </w:r>
    </w:p>
  </w:footnote>
  <w:footnote w:type="continuationSeparator" w:id="0">
    <w:p w14:paraId="3502EEC0" w14:textId="77777777" w:rsidR="006C0373" w:rsidRDefault="006C0373" w:rsidP="00785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57842"/>
      <w:docPartObj>
        <w:docPartGallery w:val="Page Numbers (Top of Page)"/>
        <w:docPartUnique/>
      </w:docPartObj>
    </w:sdtPr>
    <w:sdtEndPr>
      <w:rPr>
        <w:noProof/>
      </w:rPr>
    </w:sdtEndPr>
    <w:sdtContent>
      <w:p w14:paraId="4D988A18" w14:textId="7BC24408" w:rsidR="0027116E" w:rsidRDefault="0027116E">
        <w:pPr>
          <w:pStyle w:val="Header"/>
          <w:jc w:val="center"/>
        </w:pPr>
        <w:r>
          <w:fldChar w:fldCharType="begin"/>
        </w:r>
        <w:r>
          <w:instrText xml:space="preserve"> PAGE   \* MERGEFORMAT </w:instrText>
        </w:r>
        <w:r>
          <w:fldChar w:fldCharType="separate"/>
        </w:r>
        <w:r w:rsidR="00556E60">
          <w:rPr>
            <w:noProof/>
          </w:rPr>
          <w:t>2</w:t>
        </w:r>
        <w:r>
          <w:rPr>
            <w:noProof/>
          </w:rPr>
          <w:fldChar w:fldCharType="end"/>
        </w:r>
      </w:p>
    </w:sdtContent>
  </w:sdt>
  <w:p w14:paraId="6FF68771" w14:textId="77777777" w:rsidR="0027116E" w:rsidRDefault="00271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8368C" w14:textId="77777777" w:rsidR="0027116E" w:rsidRDefault="0027116E">
    <w:pPr>
      <w:pStyle w:val="Header"/>
      <w:jc w:val="center"/>
    </w:pPr>
  </w:p>
  <w:p w14:paraId="48318B80" w14:textId="77777777" w:rsidR="0027116E" w:rsidRPr="004F1DC2" w:rsidRDefault="0027116E">
    <w:pPr>
      <w:pStyle w:val="Header"/>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CE1"/>
    <w:rsid w:val="00041C55"/>
    <w:rsid w:val="000A258D"/>
    <w:rsid w:val="00107D5C"/>
    <w:rsid w:val="001A144C"/>
    <w:rsid w:val="001B0DDF"/>
    <w:rsid w:val="00254B03"/>
    <w:rsid w:val="0027116E"/>
    <w:rsid w:val="0028766C"/>
    <w:rsid w:val="00291A7A"/>
    <w:rsid w:val="002A21FC"/>
    <w:rsid w:val="002F2797"/>
    <w:rsid w:val="00352720"/>
    <w:rsid w:val="004C0276"/>
    <w:rsid w:val="004F1DC2"/>
    <w:rsid w:val="004F4D45"/>
    <w:rsid w:val="00513162"/>
    <w:rsid w:val="00556E60"/>
    <w:rsid w:val="005717E1"/>
    <w:rsid w:val="005C0A06"/>
    <w:rsid w:val="005D5222"/>
    <w:rsid w:val="005D7192"/>
    <w:rsid w:val="006030CF"/>
    <w:rsid w:val="006C0373"/>
    <w:rsid w:val="006C0FCA"/>
    <w:rsid w:val="007065F0"/>
    <w:rsid w:val="007517A3"/>
    <w:rsid w:val="007852F0"/>
    <w:rsid w:val="007C6BFE"/>
    <w:rsid w:val="0082162B"/>
    <w:rsid w:val="00851A1E"/>
    <w:rsid w:val="00907BD8"/>
    <w:rsid w:val="009A0E3E"/>
    <w:rsid w:val="009B546F"/>
    <w:rsid w:val="00A30F7C"/>
    <w:rsid w:val="00A85256"/>
    <w:rsid w:val="00B556A6"/>
    <w:rsid w:val="00C52167"/>
    <w:rsid w:val="00C635F8"/>
    <w:rsid w:val="00C7065D"/>
    <w:rsid w:val="00CA5858"/>
    <w:rsid w:val="00CD14B3"/>
    <w:rsid w:val="00CD21A0"/>
    <w:rsid w:val="00CF7078"/>
    <w:rsid w:val="00D07D0D"/>
    <w:rsid w:val="00D3554F"/>
    <w:rsid w:val="00D54A6F"/>
    <w:rsid w:val="00DB2DFD"/>
    <w:rsid w:val="00DC11A9"/>
    <w:rsid w:val="00DD6EB7"/>
    <w:rsid w:val="00DF569A"/>
    <w:rsid w:val="00E33EC6"/>
    <w:rsid w:val="00E55CE1"/>
    <w:rsid w:val="00E56CCA"/>
    <w:rsid w:val="00E954E6"/>
    <w:rsid w:val="00EE5670"/>
    <w:rsid w:val="00FC6DD9"/>
    <w:rsid w:val="00FF30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80F62"/>
  <w15:chartTrackingRefBased/>
  <w15:docId w15:val="{5E831799-5808-4615-A752-F5E486F8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52F0"/>
    <w:pPr>
      <w:tabs>
        <w:tab w:val="center" w:pos="4153"/>
        <w:tab w:val="right" w:pos="8306"/>
      </w:tabs>
    </w:pPr>
  </w:style>
  <w:style w:type="character" w:customStyle="1" w:styleId="HeaderChar">
    <w:name w:val="Header Char"/>
    <w:basedOn w:val="DefaultParagraphFont"/>
    <w:link w:val="Header"/>
    <w:uiPriority w:val="99"/>
    <w:rsid w:val="007852F0"/>
  </w:style>
  <w:style w:type="paragraph" w:styleId="Footer">
    <w:name w:val="footer"/>
    <w:basedOn w:val="Normal"/>
    <w:link w:val="FooterChar"/>
    <w:uiPriority w:val="99"/>
    <w:unhideWhenUsed/>
    <w:rsid w:val="007852F0"/>
    <w:pPr>
      <w:tabs>
        <w:tab w:val="center" w:pos="4153"/>
        <w:tab w:val="right" w:pos="8306"/>
      </w:tabs>
    </w:pPr>
  </w:style>
  <w:style w:type="character" w:customStyle="1" w:styleId="FooterChar">
    <w:name w:val="Footer Char"/>
    <w:basedOn w:val="DefaultParagraphFont"/>
    <w:link w:val="Footer"/>
    <w:uiPriority w:val="99"/>
    <w:rsid w:val="007852F0"/>
  </w:style>
  <w:style w:type="paragraph" w:styleId="BalloonText">
    <w:name w:val="Balloon Text"/>
    <w:basedOn w:val="Normal"/>
    <w:link w:val="BalloonTextChar"/>
    <w:uiPriority w:val="99"/>
    <w:semiHidden/>
    <w:unhideWhenUsed/>
    <w:rsid w:val="006C0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FCA"/>
    <w:rPr>
      <w:rFonts w:ascii="Segoe UI" w:hAnsi="Segoe UI" w:cs="Segoe UI"/>
      <w:sz w:val="18"/>
      <w:szCs w:val="18"/>
    </w:rPr>
  </w:style>
  <w:style w:type="character" w:styleId="Hyperlink">
    <w:name w:val="Hyperlink"/>
    <w:basedOn w:val="DefaultParagraphFont"/>
    <w:uiPriority w:val="99"/>
    <w:unhideWhenUsed/>
    <w:rsid w:val="00CF7078"/>
    <w:rPr>
      <w:color w:val="0563C1" w:themeColor="hyperlink"/>
      <w:u w:val="single"/>
    </w:rPr>
  </w:style>
  <w:style w:type="character" w:styleId="CommentReference">
    <w:name w:val="annotation reference"/>
    <w:basedOn w:val="DefaultParagraphFont"/>
    <w:uiPriority w:val="99"/>
    <w:semiHidden/>
    <w:unhideWhenUsed/>
    <w:rsid w:val="00DC11A9"/>
    <w:rPr>
      <w:sz w:val="16"/>
      <w:szCs w:val="16"/>
    </w:rPr>
  </w:style>
  <w:style w:type="paragraph" w:styleId="CommentText">
    <w:name w:val="annotation text"/>
    <w:basedOn w:val="Normal"/>
    <w:link w:val="CommentTextChar"/>
    <w:uiPriority w:val="99"/>
    <w:semiHidden/>
    <w:unhideWhenUsed/>
    <w:rsid w:val="00DC11A9"/>
    <w:rPr>
      <w:sz w:val="20"/>
      <w:szCs w:val="20"/>
    </w:rPr>
  </w:style>
  <w:style w:type="character" w:customStyle="1" w:styleId="CommentTextChar">
    <w:name w:val="Comment Text Char"/>
    <w:basedOn w:val="DefaultParagraphFont"/>
    <w:link w:val="CommentText"/>
    <w:uiPriority w:val="99"/>
    <w:semiHidden/>
    <w:rsid w:val="00DC11A9"/>
    <w:rPr>
      <w:sz w:val="20"/>
      <w:szCs w:val="20"/>
    </w:rPr>
  </w:style>
  <w:style w:type="paragraph" w:styleId="CommentSubject">
    <w:name w:val="annotation subject"/>
    <w:basedOn w:val="CommentText"/>
    <w:next w:val="CommentText"/>
    <w:link w:val="CommentSubjectChar"/>
    <w:uiPriority w:val="99"/>
    <w:semiHidden/>
    <w:unhideWhenUsed/>
    <w:rsid w:val="00DC11A9"/>
    <w:rPr>
      <w:b/>
      <w:bCs/>
    </w:rPr>
  </w:style>
  <w:style w:type="character" w:customStyle="1" w:styleId="CommentSubjectChar">
    <w:name w:val="Comment Subject Char"/>
    <w:basedOn w:val="CommentTextChar"/>
    <w:link w:val="CommentSubject"/>
    <w:uiPriority w:val="99"/>
    <w:semiHidden/>
    <w:rsid w:val="00DC11A9"/>
    <w:rPr>
      <w:b/>
      <w:bCs/>
      <w:sz w:val="20"/>
      <w:szCs w:val="20"/>
    </w:rPr>
  </w:style>
  <w:style w:type="paragraph" w:styleId="Revision">
    <w:name w:val="Revision"/>
    <w:hidden/>
    <w:uiPriority w:val="99"/>
    <w:semiHidden/>
    <w:rsid w:val="001A1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254386">
      <w:bodyDiv w:val="1"/>
      <w:marLeft w:val="0"/>
      <w:marRight w:val="0"/>
      <w:marTop w:val="0"/>
      <w:marBottom w:val="0"/>
      <w:divBdr>
        <w:top w:val="none" w:sz="0" w:space="0" w:color="auto"/>
        <w:left w:val="none" w:sz="0" w:space="0" w:color="auto"/>
        <w:bottom w:val="none" w:sz="0" w:space="0" w:color="auto"/>
        <w:right w:val="none" w:sz="0" w:space="0" w:color="auto"/>
      </w:divBdr>
    </w:div>
    <w:div w:id="128385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16021</Words>
  <Characters>9132</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1.pielikums informatīvajam ziņojumam  “Par valsts budžeta izdevumu pārskatīšanas 2019., 2020. un 2021.gadam rezultātiem un priekšlikumi par šo rezultātu izmantošanu likumprojekta “Par vidēja termiņa budžeta 2019., 2020. un 2021.gadam” un likumprojekta “Pa</vt:lpstr>
    </vt:vector>
  </TitlesOfParts>
  <Company>Finanšu ministrija</Company>
  <LinksUpToDate>false</LinksUpToDate>
  <CharactersWithSpaces>25103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1.pielikums informatīvajam ziņojumam  “Par valsts budžeta izdevumu pārskatīšanas 2019., 2020. un 2021.gadam rezultātiem un priekšlikumi par šo rezultātu izmantošanu likumprojekta “Par vidēja termiņa budžeta 2019., 2020. un 2021.gadam” un likumprojekta “Par valsts budžetu 2019.gadam” izstrādes procesā”</dc:title>
  <dc:subject>Pielikums</dc:subject>
  <dc:creator>Dace Siņkovska</dc:creator>
  <cp:keywords/>
  <dc:description>67083813, Dace.sinkovska@fm.gov.lv</dc:description>
  <cp:lastModifiedBy>Māra Aļļēna</cp:lastModifiedBy>
  <cp:revision>2</cp:revision>
  <dcterms:created xsi:type="dcterms:W3CDTF">2018-10-17T07:04:00Z</dcterms:created>
  <dcterms:modified xsi:type="dcterms:W3CDTF">2018-10-17T07:04:00Z</dcterms:modified>
</cp:coreProperties>
</file>