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5BA28" w14:textId="77777777" w:rsidR="00902B54" w:rsidRPr="004A0CB3" w:rsidRDefault="004A0CB3" w:rsidP="00902B54">
      <w:pPr>
        <w:pStyle w:val="virsr2"/>
        <w:pBdr>
          <w:bottom w:val="none" w:sz="0" w:space="0" w:color="auto"/>
        </w:pBdr>
        <w:spacing w:before="0"/>
        <w:rPr>
          <w:rFonts w:ascii="Times New Roman" w:hAnsi="Times New Roman"/>
          <w:sz w:val="44"/>
          <w:szCs w:val="44"/>
        </w:rPr>
      </w:pPr>
      <w:bookmarkStart w:id="0" w:name="_GoBack"/>
      <w:bookmarkEnd w:id="0"/>
      <w:r>
        <w:rPr>
          <w:rFonts w:ascii="Times New Roman" w:hAnsi="Times New Roman"/>
          <w:sz w:val="44"/>
          <w:szCs w:val="44"/>
        </w:rPr>
        <w:t xml:space="preserve">6. </w:t>
      </w:r>
      <w:r w:rsidR="00902B54" w:rsidRPr="004A0CB3">
        <w:rPr>
          <w:rFonts w:ascii="Times New Roman" w:hAnsi="Times New Roman"/>
          <w:sz w:val="44"/>
          <w:szCs w:val="44"/>
        </w:rPr>
        <w:t>Valsts finansiālo saistību kopsavilkums</w:t>
      </w:r>
    </w:p>
    <w:p w14:paraId="2C836B7F" w14:textId="77777777" w:rsidR="00902B54" w:rsidRPr="004A0CB3" w:rsidRDefault="004A0CB3" w:rsidP="002068FA">
      <w:pPr>
        <w:pStyle w:val="CommentText"/>
        <w:ind w:firstLine="0"/>
        <w:jc w:val="center"/>
        <w:rPr>
          <w:b/>
          <w:sz w:val="36"/>
          <w:szCs w:val="36"/>
        </w:rPr>
      </w:pPr>
      <w:r w:rsidRPr="004A0CB3">
        <w:rPr>
          <w:b/>
          <w:sz w:val="36"/>
          <w:szCs w:val="36"/>
        </w:rPr>
        <w:t xml:space="preserve">6.1. </w:t>
      </w:r>
      <w:r w:rsidR="00902B54" w:rsidRPr="004A0CB3">
        <w:rPr>
          <w:b/>
          <w:sz w:val="36"/>
          <w:szCs w:val="36"/>
        </w:rPr>
        <w:t>Valsts parāda vadības pamatprincipi un mērķi</w:t>
      </w:r>
    </w:p>
    <w:p w14:paraId="48BFAE3E" w14:textId="77777777" w:rsidR="00902B54" w:rsidRDefault="00902B54" w:rsidP="00902B54">
      <w:pPr>
        <w:pStyle w:val="CommentText"/>
        <w:rPr>
          <w:sz w:val="24"/>
          <w:szCs w:val="24"/>
        </w:rPr>
      </w:pPr>
    </w:p>
    <w:p w14:paraId="7C8C68D2" w14:textId="77777777" w:rsidR="00902B54" w:rsidRPr="001439E0" w:rsidRDefault="00902B54" w:rsidP="00902B54">
      <w:pPr>
        <w:pStyle w:val="CommentText"/>
        <w:rPr>
          <w:sz w:val="24"/>
          <w:szCs w:val="24"/>
        </w:rPr>
      </w:pPr>
      <w:r w:rsidRPr="001439E0">
        <w:rPr>
          <w:sz w:val="24"/>
          <w:szCs w:val="24"/>
        </w:rPr>
        <w:t>Valst</w:t>
      </w:r>
      <w:r>
        <w:rPr>
          <w:sz w:val="24"/>
          <w:szCs w:val="24"/>
        </w:rPr>
        <w:t>s parādu veido valsts struktūru</w:t>
      </w:r>
      <w:r w:rsidRPr="001439E0">
        <w:rPr>
          <w:sz w:val="24"/>
          <w:szCs w:val="24"/>
        </w:rPr>
        <w:t xml:space="preserve"> </w:t>
      </w:r>
      <w:r>
        <w:rPr>
          <w:sz w:val="24"/>
          <w:szCs w:val="24"/>
        </w:rPr>
        <w:t>(</w:t>
      </w:r>
      <w:r w:rsidRPr="001439E0">
        <w:rPr>
          <w:sz w:val="24"/>
          <w:szCs w:val="24"/>
        </w:rPr>
        <w:t>saskaņā ar institucionālo sektoru klasifikāciju</w:t>
      </w:r>
      <w:r>
        <w:rPr>
          <w:sz w:val="24"/>
          <w:szCs w:val="24"/>
        </w:rPr>
        <w:t xml:space="preserve">, </w:t>
      </w:r>
      <w:r w:rsidRPr="001439E0">
        <w:rPr>
          <w:sz w:val="24"/>
          <w:szCs w:val="24"/>
        </w:rPr>
        <w:t xml:space="preserve">izņemot valsts sektorā ietvertos kontrolētos un finansētos komersantus, ostu un brīvostu pārvaldes, speciālās ekonomiskās zonas) saņemtais un neatmaksātais bruto parāds šādās finanšu instrumentu kategorijās: parāda vērtspapīri un aizņēmumi (izņemot atvasinātos finanšu instrumentus), noguldījumi, tai skaitā </w:t>
      </w:r>
      <w:proofErr w:type="spellStart"/>
      <w:r w:rsidRPr="001439E0">
        <w:rPr>
          <w:sz w:val="24"/>
          <w:szCs w:val="24"/>
        </w:rPr>
        <w:t>krājobligācijas</w:t>
      </w:r>
      <w:proofErr w:type="spellEnd"/>
      <w:r w:rsidRPr="001439E0">
        <w:rPr>
          <w:sz w:val="24"/>
          <w:szCs w:val="24"/>
        </w:rPr>
        <w:t>, garantiju depozīti, kā arī klientu (izņemot valsts struktūru, bet ieskaitot valsts struktūru kontrolēto un finansēto komersantu, ostu un brīvostu pārvalžu un speciālo ekonomisko zonu) Valsts kasē izvietotie depozīti un kontu atlikumi.</w:t>
      </w:r>
    </w:p>
    <w:p w14:paraId="319E3A80" w14:textId="77777777" w:rsidR="00902B54" w:rsidRPr="001439E0" w:rsidRDefault="00902B54" w:rsidP="00902B54">
      <w:pPr>
        <w:pStyle w:val="BodyTextIndent"/>
        <w:ind w:left="0"/>
        <w:rPr>
          <w:color w:val="000000"/>
          <w:szCs w:val="28"/>
        </w:rPr>
      </w:pPr>
      <w:r w:rsidRPr="001439E0">
        <w:rPr>
          <w:color w:val="000000"/>
          <w:szCs w:val="28"/>
        </w:rPr>
        <w:t>Likums „Par budžetu un finanšu vadību” pilnvaro finanšu ministru valsts vārdā ņemt aizņēmumus gadskārtējā valsts budžeta likumā atļautajos apmēros tikai valsts budžeta finansiālā deficīta finansēšanai, valsts parāda pārfinansēšanai un mērķiem, kas noteikti gadskārtējā valsts budžeta likumā. Procentu izdevumi par veiktajiem aizņēmumiem un citi ar valsts parāda apkalpošanu un vadību saistītie maksājumi tiek paredzēti valsts budžeta apakšprogrammā 31.02.00 “Valsts parāda vadība”, kuru administrē Valsts kase.</w:t>
      </w:r>
    </w:p>
    <w:p w14:paraId="1E36FDDE" w14:textId="77777777" w:rsidR="00902B54" w:rsidRDefault="00902B54" w:rsidP="00902B54">
      <w:pPr>
        <w:pStyle w:val="BodyTextIndent"/>
        <w:ind w:left="0"/>
        <w:rPr>
          <w:color w:val="000000"/>
          <w:szCs w:val="28"/>
        </w:rPr>
      </w:pPr>
      <w:r w:rsidRPr="001439E0">
        <w:rPr>
          <w:color w:val="000000"/>
          <w:szCs w:val="28"/>
        </w:rPr>
        <w:t xml:space="preserve">Valsts parāda </w:t>
      </w:r>
      <w:r>
        <w:rPr>
          <w:color w:val="000000"/>
          <w:szCs w:val="28"/>
        </w:rPr>
        <w:t xml:space="preserve">un naudas līdzekļu </w:t>
      </w:r>
      <w:r w:rsidRPr="001439E0">
        <w:rPr>
          <w:color w:val="000000"/>
          <w:szCs w:val="28"/>
        </w:rPr>
        <w:t xml:space="preserve">vadības pamatprincipus un uzdevumus vidējam termiņam nosaka </w:t>
      </w:r>
      <w:r>
        <w:rPr>
          <w:color w:val="000000"/>
          <w:szCs w:val="28"/>
        </w:rPr>
        <w:t>finanšu ministra</w:t>
      </w:r>
      <w:r w:rsidRPr="001439E0">
        <w:rPr>
          <w:color w:val="000000"/>
          <w:szCs w:val="28"/>
        </w:rPr>
        <w:t xml:space="preserve"> </w:t>
      </w:r>
      <w:r>
        <w:rPr>
          <w:color w:val="000000"/>
          <w:szCs w:val="28"/>
        </w:rPr>
        <w:t xml:space="preserve">apstiprinātā </w:t>
      </w:r>
      <w:r w:rsidRPr="001439E0">
        <w:rPr>
          <w:color w:val="000000"/>
          <w:szCs w:val="28"/>
        </w:rPr>
        <w:t>stratēģija</w:t>
      </w:r>
      <w:r>
        <w:rPr>
          <w:color w:val="000000"/>
          <w:szCs w:val="28"/>
        </w:rPr>
        <w:t xml:space="preserve"> (sk. </w:t>
      </w:r>
      <w:r w:rsidR="00AB07DF">
        <w:rPr>
          <w:color w:val="000000"/>
          <w:szCs w:val="28"/>
        </w:rPr>
        <w:t>6.</w:t>
      </w:r>
      <w:r>
        <w:rPr>
          <w:color w:val="000000"/>
          <w:szCs w:val="28"/>
        </w:rPr>
        <w:t>1.at</w:t>
      </w:r>
      <w:r w:rsidR="00C77FFA">
        <w:rPr>
          <w:color w:val="000000"/>
          <w:szCs w:val="28"/>
        </w:rPr>
        <w:t>tē</w:t>
      </w:r>
      <w:r>
        <w:rPr>
          <w:color w:val="000000"/>
          <w:szCs w:val="28"/>
        </w:rPr>
        <w:t>lu)</w:t>
      </w:r>
      <w:r w:rsidRPr="001439E0">
        <w:rPr>
          <w:color w:val="000000"/>
          <w:szCs w:val="28"/>
        </w:rPr>
        <w:t xml:space="preserve">, </w:t>
      </w:r>
      <w:r>
        <w:rPr>
          <w:color w:val="000000"/>
          <w:szCs w:val="28"/>
        </w:rPr>
        <w:t xml:space="preserve">kuras mērķis un sastāvdaļas atspoguļotas </w:t>
      </w:r>
      <w:r w:rsidR="00AB07DF">
        <w:rPr>
          <w:color w:val="000000"/>
          <w:szCs w:val="28"/>
        </w:rPr>
        <w:t>6.</w:t>
      </w:r>
      <w:r>
        <w:rPr>
          <w:color w:val="000000"/>
          <w:szCs w:val="28"/>
        </w:rPr>
        <w:t>1.attēlā.</w:t>
      </w:r>
    </w:p>
    <w:p w14:paraId="3EB5FE6C" w14:textId="77777777" w:rsidR="00902B54" w:rsidRDefault="00902B54" w:rsidP="00DB3075">
      <w:pPr>
        <w:pStyle w:val="BodyTextIndent"/>
        <w:ind w:left="0" w:firstLine="0"/>
        <w:rPr>
          <w:color w:val="000000"/>
          <w:szCs w:val="28"/>
        </w:rPr>
      </w:pPr>
    </w:p>
    <w:p w14:paraId="66EE47BA" w14:textId="77777777" w:rsidR="00902B54" w:rsidRDefault="00902B54" w:rsidP="00902B54">
      <w:pPr>
        <w:pStyle w:val="BodyTextIndent"/>
        <w:ind w:firstLine="0"/>
        <w:jc w:val="center"/>
        <w:rPr>
          <w:color w:val="000000"/>
          <w:szCs w:val="28"/>
        </w:rPr>
      </w:pPr>
      <w:r>
        <w:rPr>
          <w:noProof/>
          <w:lang w:eastAsia="lv-LV"/>
        </w:rPr>
        <w:drawing>
          <wp:inline distT="0" distB="0" distL="0" distR="0" wp14:anchorId="23A8BB63" wp14:editId="1B297AFE">
            <wp:extent cx="4818699" cy="276907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55280" cy="2790101"/>
                    </a:xfrm>
                    <a:prstGeom prst="rect">
                      <a:avLst/>
                    </a:prstGeom>
                  </pic:spPr>
                </pic:pic>
              </a:graphicData>
            </a:graphic>
          </wp:inline>
        </w:drawing>
      </w:r>
    </w:p>
    <w:p w14:paraId="5E42AA3F" w14:textId="77777777" w:rsidR="00DB3075" w:rsidRPr="00DB3075" w:rsidRDefault="00DB3075" w:rsidP="00DB3075">
      <w:pPr>
        <w:pStyle w:val="BodyTextIndent"/>
        <w:ind w:firstLine="0"/>
        <w:jc w:val="center"/>
        <w:rPr>
          <w:b/>
          <w:i/>
          <w:color w:val="000000"/>
          <w:szCs w:val="28"/>
        </w:rPr>
      </w:pPr>
      <w:r>
        <w:rPr>
          <w:b/>
          <w:i/>
          <w:color w:val="000000"/>
          <w:szCs w:val="28"/>
        </w:rPr>
        <w:t>6.</w:t>
      </w:r>
      <w:r w:rsidRPr="00DB3075">
        <w:rPr>
          <w:b/>
          <w:i/>
          <w:color w:val="000000"/>
          <w:szCs w:val="28"/>
        </w:rPr>
        <w:t xml:space="preserve">1.att. Valsts parāda un naudas līdzekļu vadības stratēģija  </w:t>
      </w:r>
    </w:p>
    <w:p w14:paraId="3E8A2082" w14:textId="77777777" w:rsidR="00116096" w:rsidRDefault="00116096" w:rsidP="00902B54">
      <w:pPr>
        <w:pStyle w:val="BodyTextIndent"/>
        <w:ind w:left="0"/>
        <w:rPr>
          <w:color w:val="000000"/>
          <w:szCs w:val="28"/>
        </w:rPr>
      </w:pPr>
    </w:p>
    <w:p w14:paraId="540DEB19" w14:textId="77777777" w:rsidR="00902B54" w:rsidRPr="00A00C40" w:rsidRDefault="00902B54" w:rsidP="00902B54">
      <w:pPr>
        <w:pStyle w:val="BodyTextIndent"/>
        <w:ind w:left="0"/>
      </w:pPr>
      <w:r w:rsidRPr="001439E0">
        <w:rPr>
          <w:color w:val="000000"/>
          <w:szCs w:val="28"/>
        </w:rPr>
        <w:t xml:space="preserve">Aizņemšanās apjomu un valsts parāda līmeni </w:t>
      </w:r>
      <w:r w:rsidRPr="001439E0">
        <w:t>vidējā termiņā</w:t>
      </w:r>
      <w:r w:rsidRPr="001439E0">
        <w:rPr>
          <w:color w:val="000000"/>
          <w:szCs w:val="28"/>
        </w:rPr>
        <w:t xml:space="preserve"> ietekmē kopējā finansēšanas nepieciešamība, kuru galvenokārt veido valsts parāda atmaksai</w:t>
      </w:r>
      <w:r>
        <w:rPr>
          <w:color w:val="000000"/>
          <w:szCs w:val="28"/>
        </w:rPr>
        <w:t>,</w:t>
      </w:r>
      <w:r w:rsidRPr="001439E0">
        <w:rPr>
          <w:color w:val="000000"/>
          <w:szCs w:val="28"/>
        </w:rPr>
        <w:t xml:space="preserve"> valsts budžeta izpilde</w:t>
      </w:r>
      <w:r>
        <w:rPr>
          <w:color w:val="000000"/>
          <w:szCs w:val="28"/>
        </w:rPr>
        <w:t>i</w:t>
      </w:r>
      <w:r w:rsidRPr="001439E0">
        <w:rPr>
          <w:color w:val="000000"/>
          <w:szCs w:val="28"/>
        </w:rPr>
        <w:t xml:space="preserve"> </w:t>
      </w:r>
      <w:r>
        <w:rPr>
          <w:color w:val="000000"/>
          <w:szCs w:val="28"/>
        </w:rPr>
        <w:t xml:space="preserve">un valsts </w:t>
      </w:r>
      <w:r w:rsidRPr="00647BCB">
        <w:rPr>
          <w:color w:val="000000"/>
          <w:szCs w:val="28"/>
        </w:rPr>
        <w:t>aizdevumu nodrošināšanai vidējā termiņā nepieciešamais resursu apjoms. Valsts aizņēmumu</w:t>
      </w:r>
      <w:r>
        <w:rPr>
          <w:color w:val="000000"/>
          <w:szCs w:val="28"/>
        </w:rPr>
        <w:t xml:space="preserve"> un likviditātes</w:t>
      </w:r>
      <w:r w:rsidRPr="00647BCB">
        <w:rPr>
          <w:color w:val="000000"/>
          <w:szCs w:val="28"/>
        </w:rPr>
        <w:t xml:space="preserve"> vadībā tiek izmantota stratēģiska pieeja, saglabājot pēc iespējas lielāku elastību aizņēmumu nosacījumu (aizņemšanās laiks, valūta, apjoms, termiņš) izvēlē. Tas ļauj ierobežot finanšu riskus ilgtermiņā, kā arī kopējās finansēšanas nepieciešamības </w:t>
      </w:r>
      <w:r w:rsidRPr="00647BCB">
        <w:rPr>
          <w:color w:val="000000"/>
          <w:szCs w:val="28"/>
        </w:rPr>
        <w:lastRenderedPageBreak/>
        <w:t>segšanai nodrošināt resursus ar pēc iespējas labvēlīgākiem un izdevīgākiem nosacījumiem.</w:t>
      </w:r>
      <w:r>
        <w:rPr>
          <w:color w:val="000000"/>
          <w:szCs w:val="28"/>
        </w:rPr>
        <w:t xml:space="preserve"> </w:t>
      </w:r>
      <w:r w:rsidRPr="00C9586F">
        <w:rPr>
          <w:color w:val="000000"/>
          <w:szCs w:val="28"/>
        </w:rPr>
        <w:t xml:space="preserve">Nepieciešamība saglabāt elastīgu pieeju aizņemšanās </w:t>
      </w:r>
      <w:r>
        <w:rPr>
          <w:color w:val="000000"/>
          <w:szCs w:val="28"/>
        </w:rPr>
        <w:t>pasākumu</w:t>
      </w:r>
      <w:r w:rsidRPr="00C9586F">
        <w:rPr>
          <w:color w:val="000000"/>
          <w:szCs w:val="28"/>
        </w:rPr>
        <w:t xml:space="preserve"> īstenošanā tiek ņemta vērā, plānojot izdevumus apakšprogrammā 31.02.00 “Valsts parāda vadība” vidējam termiņam. Plānojot un veicot aizņemšanās pasākumus, tiek ievēroti gadskārtējā valsts budžeta likumā noteiktie ierobežojumi valsts parāda maksimālajam apmēram uz attiecīgā gada beigām</w:t>
      </w:r>
      <w:r>
        <w:rPr>
          <w:color w:val="000000"/>
          <w:szCs w:val="28"/>
        </w:rPr>
        <w:t xml:space="preserve">, kas </w:t>
      </w:r>
      <w:r w:rsidRPr="00FB6F7D">
        <w:t xml:space="preserve">noteikts, </w:t>
      </w:r>
      <w:r w:rsidRPr="00FB6F7D">
        <w:rPr>
          <w:color w:val="000000"/>
          <w:szCs w:val="28"/>
        </w:rPr>
        <w:t xml:space="preserve">ņemot vērā Valsts kases administrētajiem aizņēmumiem un parāda vērtspapīriem piesaistīto valūtas riska ierobežošanai izmantoto atvasināto finanšu instrumentu valūtas rezultātu, kas atbilstoši valsts parāda portfeļa vadības mērķiem neitralizē valūtas kursu izmaiņu ietekmi uz ārvalstu valūtā uzņemtā parāda apjomu </w:t>
      </w:r>
      <w:proofErr w:type="spellStart"/>
      <w:r w:rsidRPr="00FB6F7D">
        <w:rPr>
          <w:i/>
          <w:color w:val="000000"/>
          <w:szCs w:val="28"/>
        </w:rPr>
        <w:t>euro</w:t>
      </w:r>
      <w:proofErr w:type="spellEnd"/>
      <w:r w:rsidRPr="00FB6F7D">
        <w:rPr>
          <w:color w:val="000000"/>
          <w:szCs w:val="28"/>
        </w:rPr>
        <w:t xml:space="preserve"> ekvivalentā.</w:t>
      </w:r>
      <w:r>
        <w:rPr>
          <w:color w:val="000000"/>
          <w:szCs w:val="28"/>
        </w:rPr>
        <w:t xml:space="preserve"> </w:t>
      </w:r>
    </w:p>
    <w:p w14:paraId="3501100D" w14:textId="77777777" w:rsidR="00902B54" w:rsidRPr="004A0CB3" w:rsidRDefault="004A0CB3" w:rsidP="00902B54">
      <w:pPr>
        <w:pStyle w:val="virsr2"/>
        <w:pBdr>
          <w:bottom w:val="none" w:sz="0" w:space="0" w:color="auto"/>
        </w:pBdr>
        <w:spacing w:before="240"/>
        <w:rPr>
          <w:rFonts w:ascii="Times New Roman" w:hAnsi="Times New Roman"/>
          <w:sz w:val="36"/>
          <w:szCs w:val="36"/>
        </w:rPr>
      </w:pPr>
      <w:r>
        <w:rPr>
          <w:rFonts w:ascii="Times New Roman" w:hAnsi="Times New Roman"/>
          <w:sz w:val="36"/>
          <w:szCs w:val="36"/>
        </w:rPr>
        <w:t xml:space="preserve">6.2. </w:t>
      </w:r>
      <w:r w:rsidR="00902B54" w:rsidRPr="004A0CB3">
        <w:rPr>
          <w:rFonts w:ascii="Times New Roman" w:hAnsi="Times New Roman"/>
          <w:sz w:val="36"/>
          <w:szCs w:val="36"/>
        </w:rPr>
        <w:t>Valsts parāda attīstības tendences 2018.-2021.gadā</w:t>
      </w:r>
    </w:p>
    <w:p w14:paraId="04D180C4" w14:textId="77777777" w:rsidR="00902B54" w:rsidRDefault="00902B54" w:rsidP="00902B54">
      <w:pPr>
        <w:pStyle w:val="BodyTextIndent"/>
        <w:ind w:left="0"/>
      </w:pPr>
      <w:r w:rsidRPr="00685966">
        <w:t xml:space="preserve">Saskaņā ar Valsts kases operatīvajiem </w:t>
      </w:r>
      <w:r w:rsidRPr="008A6B47">
        <w:t>datiem 201</w:t>
      </w:r>
      <w:r>
        <w:t>8</w:t>
      </w:r>
      <w:r w:rsidRPr="008A6B47">
        <w:t>.gada beigā</w:t>
      </w:r>
      <w:r>
        <w:t>s valsts</w:t>
      </w:r>
      <w:r w:rsidRPr="005634B8">
        <w:t xml:space="preserve"> </w:t>
      </w:r>
      <w:r w:rsidRPr="0006327F">
        <w:t>parāds</w:t>
      </w:r>
      <w:r w:rsidRPr="00584C77">
        <w:t xml:space="preserve"> nominālvērtībā</w:t>
      </w:r>
      <w:r>
        <w:rPr>
          <w:rStyle w:val="FootnoteReference"/>
        </w:rPr>
        <w:footnoteReference w:id="1"/>
      </w:r>
      <w:r>
        <w:t xml:space="preserve"> </w:t>
      </w:r>
      <w:r w:rsidRPr="00BF413E">
        <w:t xml:space="preserve">veidoja </w:t>
      </w:r>
      <w:r w:rsidRPr="000B2624">
        <w:t>10,2 mljrd</w:t>
      </w:r>
      <w:r w:rsidRPr="00BF413E">
        <w:t>.</w:t>
      </w:r>
      <w:r w:rsidR="004A0CB3">
        <w:t> </w:t>
      </w:r>
      <w:proofErr w:type="spellStart"/>
      <w:r w:rsidRPr="00BF413E">
        <w:rPr>
          <w:i/>
        </w:rPr>
        <w:t>euro</w:t>
      </w:r>
      <w:proofErr w:type="spellEnd"/>
      <w:r w:rsidRPr="00AB14C7">
        <w:t xml:space="preserve">, </w:t>
      </w:r>
      <w:r w:rsidRPr="0039257E">
        <w:t>kopš 201</w:t>
      </w:r>
      <w:r>
        <w:t>7</w:t>
      </w:r>
      <w:r w:rsidRPr="0039257E">
        <w:t xml:space="preserve">.gada beigām </w:t>
      </w:r>
      <w:r>
        <w:t>pieaugot</w:t>
      </w:r>
      <w:r w:rsidRPr="0039257E">
        <w:t xml:space="preserve"> par </w:t>
      </w:r>
      <w:r w:rsidRPr="000B2624">
        <w:t>0,5 mljrd</w:t>
      </w:r>
      <w:r w:rsidRPr="0039257E">
        <w:t>.</w:t>
      </w:r>
      <w:r w:rsidR="004A0CB3">
        <w:t> </w:t>
      </w:r>
      <w:proofErr w:type="spellStart"/>
      <w:r w:rsidRPr="0039257E">
        <w:rPr>
          <w:i/>
        </w:rPr>
        <w:t>euro</w:t>
      </w:r>
      <w:proofErr w:type="spellEnd"/>
      <w:r>
        <w:t>.</w:t>
      </w:r>
      <w:r w:rsidRPr="0039257E">
        <w:t xml:space="preserve"> </w:t>
      </w:r>
      <w:r w:rsidRPr="007B23BC">
        <w:t xml:space="preserve">2018.gada sākumā tika veikta 2008.gadā emitēto eiroobligāciju atmaksa 0,4 mljrd. </w:t>
      </w:r>
      <w:proofErr w:type="spellStart"/>
      <w:r w:rsidRPr="007B23BC">
        <w:rPr>
          <w:i/>
        </w:rPr>
        <w:t>euro</w:t>
      </w:r>
      <w:proofErr w:type="spellEnd"/>
      <w:r w:rsidRPr="007B23BC">
        <w:t xml:space="preserve"> apmērā un</w:t>
      </w:r>
      <w:r w:rsidRPr="007B23BC">
        <w:rPr>
          <w:szCs w:val="24"/>
        </w:rPr>
        <w:t xml:space="preserve"> iekšējā aizņēmuma obligāciju dzēšanai 220,9 milj. </w:t>
      </w:r>
      <w:proofErr w:type="spellStart"/>
      <w:r w:rsidRPr="007B23BC">
        <w:rPr>
          <w:i/>
          <w:szCs w:val="24"/>
        </w:rPr>
        <w:t>euro</w:t>
      </w:r>
      <w:proofErr w:type="spellEnd"/>
      <w:r w:rsidRPr="007B23BC">
        <w:rPr>
          <w:szCs w:val="24"/>
        </w:rPr>
        <w:t xml:space="preserve"> apmērā</w:t>
      </w:r>
      <w:r w:rsidRPr="007B23BC">
        <w:t>, izmantojot 2017.gadā starptautiskajos finanšu tirgos emitēto eiroobligāciju resursus. 2018.gadā tika veiktas eiroobligāciju emisijas par kopējo summu 1</w:t>
      </w:r>
      <w:r>
        <w:t>,0</w:t>
      </w:r>
      <w:r w:rsidRPr="007B23BC">
        <w:t xml:space="preserve"> mljrd. </w:t>
      </w:r>
      <w:proofErr w:type="spellStart"/>
      <w:r w:rsidRPr="007B23BC">
        <w:rPr>
          <w:i/>
        </w:rPr>
        <w:t>euro</w:t>
      </w:r>
      <w:proofErr w:type="spellEnd"/>
      <w:r w:rsidRPr="007B23BC">
        <w:t xml:space="preserve">, nodrošinot resursus gan kārtējā, gan nākamā gada finansēšanas vajadzībām, </w:t>
      </w:r>
      <w:r>
        <w:t>t.sk.</w:t>
      </w:r>
      <w:r w:rsidRPr="007B23BC">
        <w:t xml:space="preserve"> 2019.gada pirmajā pusē plānotajai valsts parāda atmaksai</w:t>
      </w:r>
      <w:r>
        <w:t xml:space="preserve"> (</w:t>
      </w:r>
      <w:r w:rsidRPr="005D2C60">
        <w:t xml:space="preserve">iekšējā aizņēmuma obligāciju dzēšanai februārī 229,8 milj. </w:t>
      </w:r>
      <w:proofErr w:type="spellStart"/>
      <w:r w:rsidRPr="005D2C60">
        <w:rPr>
          <w:i/>
        </w:rPr>
        <w:t>euro</w:t>
      </w:r>
      <w:proofErr w:type="spellEnd"/>
      <w:r w:rsidRPr="005D2C60">
        <w:t xml:space="preserve"> apmērā un Eiropas Komisijas aizdevuma atmaksai aprīlī 500 milj. </w:t>
      </w:r>
      <w:proofErr w:type="spellStart"/>
      <w:r w:rsidRPr="005D2C60">
        <w:rPr>
          <w:i/>
        </w:rPr>
        <w:t>euro</w:t>
      </w:r>
      <w:proofErr w:type="spellEnd"/>
      <w:r w:rsidRPr="005D2C60">
        <w:t xml:space="preserve"> apmērā</w:t>
      </w:r>
      <w:r>
        <w:t>)</w:t>
      </w:r>
      <w:r w:rsidRPr="007B23BC">
        <w:t>.</w:t>
      </w:r>
    </w:p>
    <w:p w14:paraId="7445A1F6" w14:textId="77777777" w:rsidR="00902B54" w:rsidRDefault="00902B54" w:rsidP="00902B54">
      <w:pPr>
        <w:ind w:firstLine="720"/>
        <w:rPr>
          <w:szCs w:val="24"/>
        </w:rPr>
      </w:pPr>
      <w:r w:rsidRPr="00666380">
        <w:rPr>
          <w:szCs w:val="24"/>
        </w:rPr>
        <w:t>Valsts kredītreitinga stabilizēšanās A reitinga grupā, investoru augstais novērtējums par paveikto Latvijas valsts ekonomikā iepriekšējos gados un pārliecība par Latvijas attīstību ilgtermiņā ļauj valstij aizņemties finanšu resursus starptautiskajos tirgos ar labvēlīgiem nosacījumiem. To apliecina arī 201</w:t>
      </w:r>
      <w:r>
        <w:rPr>
          <w:szCs w:val="24"/>
        </w:rPr>
        <w:t>8</w:t>
      </w:r>
      <w:r w:rsidRPr="00666380">
        <w:rPr>
          <w:szCs w:val="24"/>
        </w:rPr>
        <w:t>.gadā veiktie aizņēmuma darījumi starptautiskajos finanšu tirgos, emitējot 201</w:t>
      </w:r>
      <w:r>
        <w:rPr>
          <w:szCs w:val="24"/>
        </w:rPr>
        <w:t>8</w:t>
      </w:r>
      <w:r w:rsidRPr="00666380">
        <w:rPr>
          <w:szCs w:val="24"/>
        </w:rPr>
        <w:t>.gadā eiroobligācijas par kopējo summu 1</w:t>
      </w:r>
      <w:r>
        <w:rPr>
          <w:szCs w:val="24"/>
        </w:rPr>
        <w:t>,0</w:t>
      </w:r>
      <w:r w:rsidRPr="00666380">
        <w:rPr>
          <w:szCs w:val="24"/>
        </w:rPr>
        <w:t xml:space="preserve"> mljrd. </w:t>
      </w:r>
      <w:proofErr w:type="spellStart"/>
      <w:r w:rsidRPr="00666380">
        <w:rPr>
          <w:i/>
          <w:szCs w:val="24"/>
        </w:rPr>
        <w:t>euro</w:t>
      </w:r>
      <w:proofErr w:type="spellEnd"/>
      <w:r w:rsidRPr="00666380">
        <w:rPr>
          <w:szCs w:val="24"/>
        </w:rPr>
        <w:t xml:space="preserve">. </w:t>
      </w:r>
      <w:r>
        <w:rPr>
          <w:szCs w:val="24"/>
        </w:rPr>
        <w:t>M</w:t>
      </w:r>
      <w:r w:rsidRPr="00B37691">
        <w:rPr>
          <w:szCs w:val="24"/>
        </w:rPr>
        <w:t>aijā tika emitētas eiroobligācijas par kopējo summu 650 milj.</w:t>
      </w:r>
      <w:r>
        <w:rPr>
          <w:szCs w:val="24"/>
        </w:rPr>
        <w:t xml:space="preserve"> </w:t>
      </w:r>
      <w:proofErr w:type="spellStart"/>
      <w:r w:rsidRPr="00B37691">
        <w:rPr>
          <w:i/>
          <w:szCs w:val="24"/>
        </w:rPr>
        <w:t>euro</w:t>
      </w:r>
      <w:proofErr w:type="spellEnd"/>
      <w:r w:rsidRPr="00B37691">
        <w:rPr>
          <w:szCs w:val="24"/>
        </w:rPr>
        <w:t>, t.sk. jaunas eiroobligācijas ar termiņu 10 gadi un ienesīgumu 1,148%, piesaistot finansējumu 350 milj.</w:t>
      </w:r>
      <w:r>
        <w:rPr>
          <w:szCs w:val="24"/>
        </w:rPr>
        <w:t xml:space="preserve"> </w:t>
      </w:r>
      <w:proofErr w:type="spellStart"/>
      <w:r w:rsidRPr="00B37691">
        <w:rPr>
          <w:i/>
          <w:szCs w:val="24"/>
        </w:rPr>
        <w:t>euro</w:t>
      </w:r>
      <w:proofErr w:type="spellEnd"/>
      <w:r w:rsidRPr="00B37691">
        <w:rPr>
          <w:szCs w:val="24"/>
        </w:rPr>
        <w:t xml:space="preserve"> ap</w:t>
      </w:r>
      <w:r>
        <w:rPr>
          <w:szCs w:val="24"/>
        </w:rPr>
        <w:t>mērā</w:t>
      </w:r>
      <w:r w:rsidRPr="00B37691">
        <w:rPr>
          <w:szCs w:val="24"/>
        </w:rPr>
        <w:t>, un papildu laidiens 30 gadu obligā</w:t>
      </w:r>
      <w:r>
        <w:rPr>
          <w:szCs w:val="24"/>
        </w:rPr>
        <w:t>cijām ar dzēšanas termiņu 2047.</w:t>
      </w:r>
      <w:r w:rsidRPr="00B37691">
        <w:rPr>
          <w:szCs w:val="24"/>
        </w:rPr>
        <w:t>gada februārī un ienesīgumu 1,938%, piesaistot finansējumu 300 milj.</w:t>
      </w:r>
      <w:r>
        <w:rPr>
          <w:szCs w:val="24"/>
        </w:rPr>
        <w:t xml:space="preserve"> </w:t>
      </w:r>
      <w:proofErr w:type="spellStart"/>
      <w:r w:rsidRPr="00B37691">
        <w:rPr>
          <w:i/>
          <w:szCs w:val="24"/>
        </w:rPr>
        <w:t>euro</w:t>
      </w:r>
      <w:proofErr w:type="spellEnd"/>
      <w:r w:rsidRPr="00B37691">
        <w:rPr>
          <w:szCs w:val="24"/>
        </w:rPr>
        <w:t xml:space="preserve"> ap</w:t>
      </w:r>
      <w:r>
        <w:rPr>
          <w:szCs w:val="24"/>
        </w:rPr>
        <w:t>mērā</w:t>
      </w:r>
      <w:r w:rsidRPr="00B37691">
        <w:rPr>
          <w:szCs w:val="24"/>
        </w:rPr>
        <w:t>.</w:t>
      </w:r>
      <w:r>
        <w:rPr>
          <w:szCs w:val="24"/>
        </w:rPr>
        <w:t xml:space="preserve"> Savukārt,</w:t>
      </w:r>
      <w:r w:rsidRPr="00B37691">
        <w:rPr>
          <w:szCs w:val="24"/>
        </w:rPr>
        <w:t xml:space="preserve"> septembrī veiktajā darījumā tika emitēts papildu laidiens </w:t>
      </w:r>
      <w:r>
        <w:rPr>
          <w:szCs w:val="24"/>
        </w:rPr>
        <w:t>2018.</w:t>
      </w:r>
      <w:r w:rsidRPr="00B37691">
        <w:rPr>
          <w:szCs w:val="24"/>
        </w:rPr>
        <w:t>gada maijā emitētajām 10 gadu obligā</w:t>
      </w:r>
      <w:r>
        <w:rPr>
          <w:szCs w:val="24"/>
        </w:rPr>
        <w:t>cijām ar dzēšanas termiņu 2028.</w:t>
      </w:r>
      <w:r w:rsidRPr="00B37691">
        <w:rPr>
          <w:szCs w:val="24"/>
        </w:rPr>
        <w:t>gadā, piesaistot finansējumu 150 milj.</w:t>
      </w:r>
      <w:r>
        <w:rPr>
          <w:szCs w:val="24"/>
        </w:rPr>
        <w:t xml:space="preserve"> </w:t>
      </w:r>
      <w:proofErr w:type="spellStart"/>
      <w:r w:rsidRPr="00B37691">
        <w:rPr>
          <w:i/>
          <w:szCs w:val="24"/>
        </w:rPr>
        <w:t>euro</w:t>
      </w:r>
      <w:proofErr w:type="spellEnd"/>
      <w:r w:rsidRPr="00B37691">
        <w:rPr>
          <w:szCs w:val="24"/>
        </w:rPr>
        <w:t xml:space="preserve"> ap</w:t>
      </w:r>
      <w:r>
        <w:rPr>
          <w:szCs w:val="24"/>
        </w:rPr>
        <w:t>mērā</w:t>
      </w:r>
      <w:r w:rsidRPr="00B37691">
        <w:rPr>
          <w:szCs w:val="24"/>
        </w:rPr>
        <w:t xml:space="preserve"> ar ienesīgumu 0,997% un iepriekš fiksētu kupona (procentu) likmi 1,125%, un papildu laidiens </w:t>
      </w:r>
      <w:r>
        <w:rPr>
          <w:szCs w:val="24"/>
        </w:rPr>
        <w:t>2017.</w:t>
      </w:r>
      <w:r w:rsidRPr="00B37691">
        <w:rPr>
          <w:szCs w:val="24"/>
        </w:rPr>
        <w:t>gada februārī emitētajām 30 gadu obligācijām ar dzēšanas termiņu 2047.g</w:t>
      </w:r>
      <w:r w:rsidR="004A0CB3">
        <w:rPr>
          <w:szCs w:val="24"/>
        </w:rPr>
        <w:t>adā, piesaistot finansējumu 200 </w:t>
      </w:r>
      <w:r w:rsidRPr="00B37691">
        <w:rPr>
          <w:szCs w:val="24"/>
        </w:rPr>
        <w:t>milj.</w:t>
      </w:r>
      <w:r>
        <w:rPr>
          <w:szCs w:val="24"/>
        </w:rPr>
        <w:t xml:space="preserve"> </w:t>
      </w:r>
      <w:proofErr w:type="spellStart"/>
      <w:r w:rsidRPr="00B37691">
        <w:rPr>
          <w:i/>
          <w:szCs w:val="24"/>
        </w:rPr>
        <w:t>euro</w:t>
      </w:r>
      <w:proofErr w:type="spellEnd"/>
      <w:r w:rsidRPr="00B37691">
        <w:rPr>
          <w:szCs w:val="24"/>
        </w:rPr>
        <w:t xml:space="preserve"> ap</w:t>
      </w:r>
      <w:r>
        <w:rPr>
          <w:szCs w:val="24"/>
        </w:rPr>
        <w:t>mērā</w:t>
      </w:r>
      <w:r w:rsidRPr="00B37691">
        <w:rPr>
          <w:szCs w:val="24"/>
        </w:rPr>
        <w:t xml:space="preserve"> ar ienesīgumu 1,861% un iepriekš fiksētu kupona (procentu) likmi 2,25%.</w:t>
      </w:r>
      <w:r w:rsidRPr="00666380">
        <w:rPr>
          <w:szCs w:val="24"/>
        </w:rPr>
        <w:t xml:space="preserve"> </w:t>
      </w:r>
    </w:p>
    <w:p w14:paraId="2E635480" w14:textId="77777777" w:rsidR="00F65E5F" w:rsidRDefault="00902B54" w:rsidP="00F65E5F">
      <w:pPr>
        <w:pStyle w:val="BodyTextIndent"/>
        <w:ind w:left="0"/>
      </w:pPr>
      <w:r w:rsidRPr="00DB250F">
        <w:t>201</w:t>
      </w:r>
      <w:r>
        <w:t>8</w:t>
      </w:r>
      <w:r w:rsidRPr="00DB250F">
        <w:t xml:space="preserve">.gada kopējās finansēšanas nepieciešamības segšanai tika izmantoti Valsts kases kontos pieejamie resursi, iekšējā finanšu tirgū veiktie aizņēmumi </w:t>
      </w:r>
      <w:r w:rsidRPr="00DA2577">
        <w:t>330,0 milj.</w:t>
      </w:r>
      <w:r w:rsidR="004A0CB3">
        <w:t> </w:t>
      </w:r>
      <w:proofErr w:type="spellStart"/>
      <w:r w:rsidRPr="00DA2577">
        <w:rPr>
          <w:i/>
        </w:rPr>
        <w:t>euro</w:t>
      </w:r>
      <w:proofErr w:type="spellEnd"/>
      <w:r w:rsidRPr="00DB250F">
        <w:t xml:space="preserve"> apmērā </w:t>
      </w:r>
      <w:r>
        <w:t xml:space="preserve">nominālvērtībā </w:t>
      </w:r>
      <w:r w:rsidRPr="00DB250F">
        <w:t xml:space="preserve">un </w:t>
      </w:r>
      <w:r>
        <w:t>daļēji</w:t>
      </w:r>
      <w:r w:rsidRPr="00DB250F">
        <w:t xml:space="preserve"> </w:t>
      </w:r>
      <w:r>
        <w:t xml:space="preserve">starptautiskajos finanšu tirgos veikto </w:t>
      </w:r>
      <w:r w:rsidRPr="00DB250F">
        <w:t>eiroobligāciju emisij</w:t>
      </w:r>
      <w:r>
        <w:t>u</w:t>
      </w:r>
      <w:r w:rsidRPr="00DB250F">
        <w:t xml:space="preserve"> rezultātā piesaistītie resursi. </w:t>
      </w:r>
      <w:r>
        <w:t xml:space="preserve">Kā arī 2018.gada septembrī naudas līdzekļu vadības ietvaros Valsts kase veica iekšējā aizņēmuma 3 gadu obligāciju atpirkšanu no investoriem 7,0 milj. </w:t>
      </w:r>
      <w:proofErr w:type="spellStart"/>
      <w:r w:rsidRPr="003F3EC7">
        <w:rPr>
          <w:i/>
        </w:rPr>
        <w:t>euro</w:t>
      </w:r>
      <w:proofErr w:type="spellEnd"/>
      <w:r>
        <w:t xml:space="preserve"> apmērā, tādējādi samazinot valsts parādu uz 2018.gada beigām un resursu izvietošanas izmaksas</w:t>
      </w:r>
      <w:r>
        <w:rPr>
          <w:szCs w:val="24"/>
        </w:rPr>
        <w:t>.</w:t>
      </w:r>
    </w:p>
    <w:p w14:paraId="33AD8F56" w14:textId="77777777" w:rsidR="00F65E5F" w:rsidRDefault="00F65E5F" w:rsidP="00F65E5F">
      <w:pPr>
        <w:pStyle w:val="BodyTextIndent"/>
        <w:ind w:left="0"/>
      </w:pPr>
    </w:p>
    <w:p w14:paraId="2460B21B" w14:textId="77777777" w:rsidR="00116096" w:rsidRDefault="00116096" w:rsidP="00F65E5F">
      <w:pPr>
        <w:pStyle w:val="BodyTextIndent"/>
        <w:ind w:left="0"/>
      </w:pPr>
    </w:p>
    <w:p w14:paraId="2C9D83CF" w14:textId="77777777" w:rsidR="00116096" w:rsidRDefault="00116096" w:rsidP="00F65E5F">
      <w:pPr>
        <w:pStyle w:val="BodyTextIndent"/>
        <w:ind w:left="0"/>
      </w:pPr>
    </w:p>
    <w:p w14:paraId="31D67969" w14:textId="77777777" w:rsidR="00902B54" w:rsidRPr="00152DFC" w:rsidRDefault="00902B54" w:rsidP="00902B54">
      <w:pPr>
        <w:pStyle w:val="BodyTextIndent"/>
        <w:ind w:firstLine="0"/>
        <w:jc w:val="center"/>
        <w:rPr>
          <w:color w:val="000000"/>
          <w:sz w:val="18"/>
        </w:rPr>
      </w:pPr>
    </w:p>
    <w:p w14:paraId="0BFC897D" w14:textId="77777777" w:rsidR="00902B54" w:rsidRPr="00C77E13" w:rsidRDefault="00902B54" w:rsidP="00902B54">
      <w:pPr>
        <w:pStyle w:val="BodyTextIndent"/>
        <w:ind w:firstLine="0"/>
        <w:jc w:val="center"/>
        <w:rPr>
          <w:color w:val="000000"/>
          <w:sz w:val="16"/>
          <w:szCs w:val="16"/>
        </w:rPr>
      </w:pPr>
      <w:r>
        <w:rPr>
          <w:noProof/>
          <w:color w:val="000000"/>
          <w:sz w:val="16"/>
          <w:szCs w:val="16"/>
          <w:lang w:eastAsia="lv-LV"/>
        </w:rPr>
        <w:lastRenderedPageBreak/>
        <w:drawing>
          <wp:inline distT="0" distB="0" distL="0" distR="0" wp14:anchorId="21601454" wp14:editId="7DF89AE0">
            <wp:extent cx="3424687" cy="27310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1588" cy="2760520"/>
                    </a:xfrm>
                    <a:prstGeom prst="rect">
                      <a:avLst/>
                    </a:prstGeom>
                    <a:noFill/>
                  </pic:spPr>
                </pic:pic>
              </a:graphicData>
            </a:graphic>
          </wp:inline>
        </w:drawing>
      </w:r>
    </w:p>
    <w:p w14:paraId="723339CD" w14:textId="77777777" w:rsidR="00DB3075" w:rsidRPr="00DB3075" w:rsidRDefault="00DB3075" w:rsidP="00DB3075">
      <w:pPr>
        <w:pStyle w:val="BodyTextIndent"/>
        <w:spacing w:after="0"/>
        <w:ind w:left="0" w:firstLine="0"/>
        <w:jc w:val="center"/>
        <w:rPr>
          <w:b/>
          <w:i/>
          <w:color w:val="000000"/>
          <w:szCs w:val="28"/>
        </w:rPr>
      </w:pPr>
      <w:r w:rsidRPr="00DB3075">
        <w:rPr>
          <w:b/>
          <w:i/>
          <w:color w:val="000000"/>
          <w:szCs w:val="28"/>
        </w:rPr>
        <w:t xml:space="preserve">6.2. att. Valsts parāda struktūra nominālvērtībā, </w:t>
      </w:r>
      <w:proofErr w:type="spellStart"/>
      <w:r w:rsidRPr="00DB3075">
        <w:rPr>
          <w:b/>
          <w:i/>
          <w:color w:val="000000"/>
          <w:szCs w:val="28"/>
        </w:rPr>
        <w:t>milj.euro</w:t>
      </w:r>
      <w:proofErr w:type="spellEnd"/>
      <w:r w:rsidRPr="00DB3075">
        <w:rPr>
          <w:b/>
          <w:i/>
          <w:color w:val="000000"/>
          <w:szCs w:val="28"/>
        </w:rPr>
        <w:t xml:space="preserve"> </w:t>
      </w:r>
    </w:p>
    <w:p w14:paraId="323D72EC" w14:textId="77777777" w:rsidR="00DB3075" w:rsidRPr="00DB3075" w:rsidRDefault="00DB3075" w:rsidP="00DB3075">
      <w:pPr>
        <w:pStyle w:val="BodyTextIndent"/>
        <w:spacing w:after="0"/>
        <w:ind w:left="0" w:firstLine="0"/>
        <w:jc w:val="center"/>
        <w:rPr>
          <w:b/>
          <w:i/>
          <w:color w:val="000000"/>
          <w:szCs w:val="24"/>
        </w:rPr>
      </w:pPr>
      <w:r w:rsidRPr="00DB3075">
        <w:rPr>
          <w:b/>
          <w:i/>
          <w:color w:val="000000"/>
          <w:szCs w:val="24"/>
        </w:rPr>
        <w:t>(uz 2018.gada 31.decembri)</w:t>
      </w:r>
    </w:p>
    <w:p w14:paraId="7A6E8E8A" w14:textId="77777777" w:rsidR="00DB3075" w:rsidRPr="00DB3075" w:rsidRDefault="00DB3075" w:rsidP="00DB3075">
      <w:pPr>
        <w:pStyle w:val="BodyTextIndent"/>
        <w:spacing w:after="0"/>
        <w:ind w:left="0" w:firstLine="0"/>
        <w:jc w:val="center"/>
        <w:rPr>
          <w:i/>
          <w:color w:val="000000"/>
          <w:sz w:val="20"/>
        </w:rPr>
      </w:pPr>
    </w:p>
    <w:p w14:paraId="7E5F36EB" w14:textId="77777777" w:rsidR="00902B54" w:rsidRDefault="00902B54" w:rsidP="00DB3075">
      <w:pPr>
        <w:pStyle w:val="BodyTextIndent"/>
        <w:ind w:left="0"/>
      </w:pPr>
      <w:r>
        <w:t>2018.gada beigās, tāpat kā iepriekšējos gados, v</w:t>
      </w:r>
      <w:r w:rsidRPr="00EE3633">
        <w:t>alsts parāda struktūrā lielāko īpatsvaru veido</w:t>
      </w:r>
      <w:r>
        <w:t>ja</w:t>
      </w:r>
      <w:r w:rsidRPr="00EE3633">
        <w:t xml:space="preserve"> ārējais parāds, sasniedzot </w:t>
      </w:r>
      <w:r w:rsidRPr="00295973">
        <w:t>8</w:t>
      </w:r>
      <w:r>
        <w:t>5</w:t>
      </w:r>
      <w:r w:rsidRPr="00993739">
        <w:t>%</w:t>
      </w:r>
      <w:r w:rsidRPr="00EE3633">
        <w:t xml:space="preserve"> no kopējā valsts parāda (sk. </w:t>
      </w:r>
      <w:r w:rsidR="00AB07DF">
        <w:t>6.</w:t>
      </w:r>
      <w:r>
        <w:t>2</w:t>
      </w:r>
      <w:r w:rsidRPr="009F6EC8">
        <w:t>.att</w:t>
      </w:r>
      <w:r w:rsidR="00237027">
        <w:t>ēlu</w:t>
      </w:r>
      <w:r w:rsidRPr="00EE3633">
        <w:t>).</w:t>
      </w:r>
      <w:r w:rsidRPr="005724E0">
        <w:t xml:space="preserve"> Lielāko ārējā parāda daļu (</w:t>
      </w:r>
      <w:r>
        <w:t>71</w:t>
      </w:r>
      <w:r w:rsidRPr="00993739">
        <w:t>%</w:t>
      </w:r>
      <w:r w:rsidRPr="005724E0">
        <w:t xml:space="preserve"> no valsts parāda kopējā apjoma) veido starptautiskajos finanšu tirgos emitētās obligācijas.</w:t>
      </w:r>
    </w:p>
    <w:p w14:paraId="25CAE011" w14:textId="77777777" w:rsidR="00902B54" w:rsidRPr="00D32E8D" w:rsidRDefault="00902B54" w:rsidP="00902B54">
      <w:pPr>
        <w:pStyle w:val="BodyTextIndent"/>
        <w:ind w:left="0"/>
      </w:pPr>
      <w:r w:rsidRPr="00B11679">
        <w:t>Ņemot vērā līdz 2018.gada</w:t>
      </w:r>
      <w:r w:rsidRPr="00D32E8D">
        <w:t xml:space="preserve"> </w:t>
      </w:r>
      <w:r>
        <w:t xml:space="preserve">beigām </w:t>
      </w:r>
      <w:r w:rsidRPr="00D32E8D">
        <w:t>uzņemtās valsts parāda saistības, saskaņā ar valsts parāda atmaksas grafiku</w:t>
      </w:r>
      <w:r>
        <w:t>,</w:t>
      </w:r>
      <w:r w:rsidRPr="00D32E8D">
        <w:t xml:space="preserve"> 201</w:t>
      </w:r>
      <w:r>
        <w:t>9</w:t>
      </w:r>
      <w:r w:rsidRPr="00D32E8D">
        <w:t>. – 20</w:t>
      </w:r>
      <w:r>
        <w:t xml:space="preserve">21.gadā </w:t>
      </w:r>
      <w:r w:rsidRPr="00D32E8D">
        <w:t xml:space="preserve">jāpārfinansē valsts parāda saistības </w:t>
      </w:r>
      <w:r w:rsidR="004A0CB3">
        <w:t>~3,7 </w:t>
      </w:r>
      <w:r w:rsidRPr="00C54EAE">
        <w:t>mljrd</w:t>
      </w:r>
      <w:r w:rsidRPr="00D32E8D">
        <w:t>.</w:t>
      </w:r>
      <w:r w:rsidR="004A0CB3">
        <w:t> </w:t>
      </w:r>
      <w:proofErr w:type="spellStart"/>
      <w:r w:rsidRPr="00D32E8D">
        <w:rPr>
          <w:i/>
        </w:rPr>
        <w:t>euro</w:t>
      </w:r>
      <w:proofErr w:type="spellEnd"/>
      <w:r w:rsidRPr="00D32E8D">
        <w:t xml:space="preserve"> apmērā (sk. </w:t>
      </w:r>
      <w:r w:rsidR="00AB07DF">
        <w:t>6.</w:t>
      </w:r>
      <w:r w:rsidRPr="00D32E8D">
        <w:t xml:space="preserve">1.tabulu un </w:t>
      </w:r>
      <w:r w:rsidR="00AB07DF">
        <w:t>6.</w:t>
      </w:r>
      <w:r>
        <w:t>3</w:t>
      </w:r>
      <w:r w:rsidRPr="00D32E8D">
        <w:t xml:space="preserve">.attēlu). </w:t>
      </w:r>
      <w:r>
        <w:t>Lielāko</w:t>
      </w:r>
      <w:r w:rsidRPr="00D32E8D">
        <w:t xml:space="preserve"> daļu no </w:t>
      </w:r>
      <w:r>
        <w:t xml:space="preserve">minētajā periodā </w:t>
      </w:r>
      <w:r w:rsidRPr="00D32E8D">
        <w:t>pārfinansējamā parāda apjoma veido eiroobligācijas</w:t>
      </w:r>
      <w:r>
        <w:t>, kā arī</w:t>
      </w:r>
      <w:r w:rsidRPr="00D32E8D">
        <w:t xml:space="preserve"> starptautiskā aizņēmuma programmas ietvaros no Pasaules Bankas </w:t>
      </w:r>
      <w:r>
        <w:t xml:space="preserve">un Eiropas Komisijas </w:t>
      </w:r>
      <w:r w:rsidRPr="00D32E8D">
        <w:t>saņemtais finansējums.</w:t>
      </w:r>
    </w:p>
    <w:p w14:paraId="7302A80A" w14:textId="77777777" w:rsidR="00DB3075" w:rsidRDefault="00DB3075" w:rsidP="00DB3075">
      <w:pPr>
        <w:spacing w:after="0"/>
        <w:ind w:firstLine="720"/>
        <w:jc w:val="center"/>
      </w:pPr>
    </w:p>
    <w:p w14:paraId="47F58CDB" w14:textId="77777777" w:rsidR="00DB3075" w:rsidRPr="00DB3075" w:rsidRDefault="00DB3075" w:rsidP="00DB3075">
      <w:pPr>
        <w:spacing w:after="0"/>
        <w:ind w:firstLine="720"/>
        <w:jc w:val="center"/>
        <w:rPr>
          <w:b/>
          <w:i/>
          <w:szCs w:val="24"/>
        </w:rPr>
      </w:pPr>
      <w:r w:rsidRPr="00DB3075">
        <w:rPr>
          <w:b/>
          <w:i/>
          <w:szCs w:val="24"/>
        </w:rPr>
        <w:t xml:space="preserve">6.1. tabula. Centrālās valdības aizņēmumu atmaksas grafiks </w:t>
      </w:r>
    </w:p>
    <w:p w14:paraId="322985E6" w14:textId="77777777" w:rsidR="00DB3075" w:rsidRPr="00DB3075" w:rsidRDefault="00DB3075" w:rsidP="00DB3075">
      <w:pPr>
        <w:ind w:firstLine="720"/>
        <w:jc w:val="center"/>
        <w:rPr>
          <w:b/>
          <w:i/>
          <w:szCs w:val="24"/>
        </w:rPr>
      </w:pPr>
      <w:r w:rsidRPr="00DB3075">
        <w:rPr>
          <w:b/>
          <w:i/>
          <w:szCs w:val="24"/>
        </w:rPr>
        <w:t xml:space="preserve">(līdz 2018.gada 31.decembrim uzņemtās saistības, nominālvērtībā, milj. </w:t>
      </w:r>
      <w:proofErr w:type="spellStart"/>
      <w:r w:rsidRPr="00DB3075">
        <w:rPr>
          <w:b/>
          <w:i/>
          <w:szCs w:val="24"/>
        </w:rPr>
        <w:t>euro</w:t>
      </w:r>
      <w:proofErr w:type="spellEnd"/>
      <w:r w:rsidRPr="00DB3075">
        <w:rPr>
          <w:b/>
          <w:i/>
          <w:szCs w:val="24"/>
        </w:rPr>
        <w:t>)</w:t>
      </w:r>
    </w:p>
    <w:p w14:paraId="7E02A84F" w14:textId="77777777" w:rsidR="00902B54" w:rsidRDefault="00B0142C" w:rsidP="00902B54">
      <w:pPr>
        <w:ind w:firstLine="0"/>
        <w:jc w:val="center"/>
      </w:pPr>
      <w:r w:rsidRPr="00B0142C">
        <w:rPr>
          <w:noProof/>
          <w:lang w:eastAsia="lv-LV"/>
        </w:rPr>
        <w:drawing>
          <wp:inline distT="0" distB="0" distL="0" distR="0" wp14:anchorId="455A84B4" wp14:editId="3CA1B4A6">
            <wp:extent cx="5760085" cy="83760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837602"/>
                    </a:xfrm>
                    <a:prstGeom prst="rect">
                      <a:avLst/>
                    </a:prstGeom>
                    <a:noFill/>
                    <a:ln>
                      <a:noFill/>
                    </a:ln>
                  </pic:spPr>
                </pic:pic>
              </a:graphicData>
            </a:graphic>
          </wp:inline>
        </w:drawing>
      </w:r>
    </w:p>
    <w:p w14:paraId="46FFE425" w14:textId="77777777" w:rsidR="00902B54" w:rsidRPr="00565D84" w:rsidRDefault="00902B54" w:rsidP="00EF611E">
      <w:pPr>
        <w:ind w:firstLine="0"/>
        <w:rPr>
          <w:i/>
          <w:sz w:val="16"/>
          <w:szCs w:val="16"/>
        </w:rPr>
      </w:pPr>
      <w:r w:rsidRPr="00565D84">
        <w:rPr>
          <w:i/>
          <w:sz w:val="16"/>
          <w:szCs w:val="16"/>
        </w:rPr>
        <w:t xml:space="preserve">* </w:t>
      </w:r>
      <w:r w:rsidRPr="00DD518A">
        <w:rPr>
          <w:i/>
          <w:sz w:val="16"/>
          <w:szCs w:val="16"/>
        </w:rPr>
        <w:t xml:space="preserve">aprēķinā </w:t>
      </w:r>
      <w:r w:rsidRPr="00EF07B8">
        <w:rPr>
          <w:i/>
          <w:sz w:val="16"/>
          <w:szCs w:val="16"/>
        </w:rPr>
        <w:t>izmantoti 31.12.2018. Eiropas</w:t>
      </w:r>
      <w:r>
        <w:rPr>
          <w:i/>
          <w:sz w:val="16"/>
          <w:szCs w:val="16"/>
        </w:rPr>
        <w:t xml:space="preserve"> Centrālās bankas </w:t>
      </w:r>
      <w:r w:rsidRPr="00DD518A">
        <w:rPr>
          <w:i/>
          <w:sz w:val="16"/>
          <w:szCs w:val="16"/>
        </w:rPr>
        <w:t>noteiktie valūtas kursi</w:t>
      </w:r>
    </w:p>
    <w:p w14:paraId="61E04C9C" w14:textId="77777777" w:rsidR="00116096" w:rsidRDefault="00116096" w:rsidP="00DB3075">
      <w:pPr>
        <w:ind w:firstLine="0"/>
        <w:rPr>
          <w:highlight w:val="yellow"/>
        </w:rPr>
      </w:pPr>
    </w:p>
    <w:p w14:paraId="74E7EF76" w14:textId="77777777" w:rsidR="00116096" w:rsidRDefault="00116096" w:rsidP="00902B54">
      <w:pPr>
        <w:jc w:val="right"/>
        <w:rPr>
          <w:highlight w:val="yellow"/>
        </w:rPr>
      </w:pPr>
    </w:p>
    <w:p w14:paraId="00DA6633" w14:textId="77777777" w:rsidR="00DB3075" w:rsidRDefault="00DB3075" w:rsidP="00DB3075">
      <w:pPr>
        <w:spacing w:after="0"/>
        <w:ind w:firstLine="720"/>
        <w:jc w:val="center"/>
        <w:rPr>
          <w:b/>
          <w:i/>
          <w:szCs w:val="24"/>
        </w:rPr>
      </w:pPr>
    </w:p>
    <w:p w14:paraId="558F6E65" w14:textId="77777777" w:rsidR="00DB3075" w:rsidRDefault="00DB3075" w:rsidP="00DB3075">
      <w:pPr>
        <w:spacing w:after="0"/>
        <w:ind w:firstLine="720"/>
        <w:jc w:val="center"/>
        <w:rPr>
          <w:b/>
          <w:i/>
          <w:szCs w:val="24"/>
        </w:rPr>
      </w:pPr>
    </w:p>
    <w:p w14:paraId="7A8AF78C" w14:textId="77777777" w:rsidR="00DB3075" w:rsidRDefault="00DB3075" w:rsidP="00DB3075">
      <w:pPr>
        <w:spacing w:after="0"/>
        <w:ind w:firstLine="720"/>
        <w:jc w:val="center"/>
        <w:rPr>
          <w:b/>
          <w:i/>
          <w:szCs w:val="24"/>
        </w:rPr>
      </w:pPr>
    </w:p>
    <w:p w14:paraId="4047BFE1" w14:textId="77777777" w:rsidR="00DB3075" w:rsidRDefault="00DB3075" w:rsidP="00DB3075">
      <w:pPr>
        <w:spacing w:after="0"/>
        <w:ind w:firstLine="720"/>
        <w:jc w:val="center"/>
        <w:rPr>
          <w:b/>
          <w:i/>
          <w:szCs w:val="24"/>
        </w:rPr>
      </w:pPr>
    </w:p>
    <w:p w14:paraId="1B98E4B2" w14:textId="77777777" w:rsidR="00DB3075" w:rsidRDefault="00DB3075" w:rsidP="00DB3075">
      <w:pPr>
        <w:spacing w:after="0"/>
        <w:ind w:firstLine="720"/>
        <w:jc w:val="center"/>
        <w:rPr>
          <w:b/>
          <w:i/>
          <w:szCs w:val="24"/>
        </w:rPr>
      </w:pPr>
    </w:p>
    <w:p w14:paraId="538A3EDB" w14:textId="77777777" w:rsidR="00DB3075" w:rsidRDefault="00DB3075" w:rsidP="00DB3075">
      <w:pPr>
        <w:spacing w:after="0"/>
        <w:ind w:firstLine="720"/>
        <w:jc w:val="center"/>
        <w:rPr>
          <w:b/>
          <w:i/>
          <w:szCs w:val="24"/>
        </w:rPr>
      </w:pPr>
    </w:p>
    <w:p w14:paraId="799A2841" w14:textId="77777777" w:rsidR="00902B54" w:rsidRDefault="00902B54" w:rsidP="00902B54">
      <w:pPr>
        <w:ind w:firstLine="0"/>
        <w:jc w:val="center"/>
        <w:rPr>
          <w:noProof/>
          <w:lang w:eastAsia="lv-LV"/>
        </w:rPr>
      </w:pPr>
      <w:r>
        <w:rPr>
          <w:noProof/>
          <w:lang w:eastAsia="lv-LV"/>
        </w:rPr>
        <w:lastRenderedPageBreak/>
        <w:drawing>
          <wp:inline distT="0" distB="0" distL="0" distR="0" wp14:anchorId="229C142E" wp14:editId="58BEF450">
            <wp:extent cx="5803900" cy="20444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8265" cy="2060088"/>
                    </a:xfrm>
                    <a:prstGeom prst="rect">
                      <a:avLst/>
                    </a:prstGeom>
                    <a:noFill/>
                  </pic:spPr>
                </pic:pic>
              </a:graphicData>
            </a:graphic>
          </wp:inline>
        </w:drawing>
      </w:r>
    </w:p>
    <w:p w14:paraId="2A073782" w14:textId="77777777" w:rsidR="00DB3075" w:rsidRPr="00DB3075" w:rsidRDefault="00DB3075" w:rsidP="00DB3075">
      <w:pPr>
        <w:spacing w:after="0"/>
        <w:ind w:firstLine="720"/>
        <w:jc w:val="center"/>
        <w:rPr>
          <w:b/>
          <w:i/>
          <w:szCs w:val="24"/>
        </w:rPr>
      </w:pPr>
      <w:r w:rsidRPr="00DB3075">
        <w:rPr>
          <w:b/>
          <w:i/>
          <w:szCs w:val="24"/>
        </w:rPr>
        <w:t xml:space="preserve">6.3.att. Centrālās valdības aizņēmumu atmaksas grafiks </w:t>
      </w:r>
    </w:p>
    <w:p w14:paraId="71E92D4C" w14:textId="77777777" w:rsidR="00DB3075" w:rsidRPr="00DB3075" w:rsidRDefault="00DB3075" w:rsidP="00DB3075">
      <w:pPr>
        <w:spacing w:after="0"/>
        <w:ind w:firstLine="720"/>
        <w:jc w:val="center"/>
        <w:rPr>
          <w:b/>
          <w:i/>
          <w:szCs w:val="24"/>
        </w:rPr>
      </w:pPr>
      <w:r w:rsidRPr="00DB3075">
        <w:rPr>
          <w:b/>
          <w:i/>
          <w:szCs w:val="24"/>
        </w:rPr>
        <w:t xml:space="preserve">(līdz 2018.gada 31.decembrim uzņemtās saistības, nominālvērtībā, milj. </w:t>
      </w:r>
      <w:proofErr w:type="spellStart"/>
      <w:r w:rsidRPr="00DB3075">
        <w:rPr>
          <w:b/>
          <w:i/>
          <w:szCs w:val="24"/>
        </w:rPr>
        <w:t>euro</w:t>
      </w:r>
      <w:proofErr w:type="spellEnd"/>
      <w:r w:rsidRPr="00DB3075">
        <w:rPr>
          <w:b/>
          <w:i/>
          <w:szCs w:val="24"/>
        </w:rPr>
        <w:t>)</w:t>
      </w:r>
    </w:p>
    <w:p w14:paraId="197BA9DC" w14:textId="77777777" w:rsidR="00902B54" w:rsidRPr="00565D84" w:rsidRDefault="00902B54" w:rsidP="00DB3075">
      <w:pPr>
        <w:ind w:firstLine="0"/>
        <w:rPr>
          <w:i/>
          <w:sz w:val="16"/>
          <w:szCs w:val="16"/>
        </w:rPr>
      </w:pPr>
      <w:r w:rsidRPr="00EF07B8">
        <w:rPr>
          <w:i/>
          <w:sz w:val="16"/>
          <w:szCs w:val="16"/>
        </w:rPr>
        <w:t>* aprēķinā izmantoti 31.12.2018. Eiropas</w:t>
      </w:r>
      <w:r>
        <w:rPr>
          <w:i/>
          <w:sz w:val="16"/>
          <w:szCs w:val="16"/>
        </w:rPr>
        <w:t xml:space="preserve"> Centrālās bankas </w:t>
      </w:r>
      <w:r w:rsidRPr="00DD518A">
        <w:rPr>
          <w:i/>
          <w:sz w:val="16"/>
          <w:szCs w:val="16"/>
        </w:rPr>
        <w:t>noteiktie valūtas kursi</w:t>
      </w:r>
    </w:p>
    <w:p w14:paraId="38300A1B" w14:textId="77777777" w:rsidR="00902B54" w:rsidRDefault="00902B54" w:rsidP="00902B54">
      <w:pPr>
        <w:rPr>
          <w:bCs/>
          <w:color w:val="000000" w:themeColor="text1"/>
          <w:szCs w:val="24"/>
        </w:rPr>
      </w:pPr>
    </w:p>
    <w:p w14:paraId="26007598" w14:textId="77777777" w:rsidR="00902B54" w:rsidRDefault="00902B54" w:rsidP="00902B54">
      <w:pPr>
        <w:pStyle w:val="BodyTextIndent"/>
        <w:ind w:left="0"/>
      </w:pPr>
      <w:r w:rsidRPr="00EF07B8">
        <w:t>2019.-2021.gadā plānotā valsts parāda atmaksa veidos būtiskāko daļu no šajā periodā prognozētā finansēšanas</w:t>
      </w:r>
      <w:r w:rsidRPr="00A942FC">
        <w:t xml:space="preserve"> nepieciešamības apjom</w:t>
      </w:r>
      <w:r>
        <w:t xml:space="preserve">a </w:t>
      </w:r>
      <w:r w:rsidRPr="00A942FC">
        <w:t xml:space="preserve">(sk. </w:t>
      </w:r>
      <w:r w:rsidR="00DB6CF1">
        <w:t>6.</w:t>
      </w:r>
      <w:r w:rsidRPr="00A942FC">
        <w:t>2.tabulu)</w:t>
      </w:r>
      <w:r>
        <w:t xml:space="preserve">. </w:t>
      </w:r>
    </w:p>
    <w:p w14:paraId="7AABFC24" w14:textId="77777777" w:rsidR="00DB3075" w:rsidRDefault="00DB3075" w:rsidP="00905F05">
      <w:pPr>
        <w:pStyle w:val="BodyTextIndent"/>
        <w:ind w:left="0" w:firstLine="0"/>
        <w:jc w:val="center"/>
      </w:pPr>
    </w:p>
    <w:p w14:paraId="32F4EC90" w14:textId="77777777" w:rsidR="00DB3075" w:rsidRDefault="00DB3075" w:rsidP="00DB3075">
      <w:pPr>
        <w:pStyle w:val="BodyTextIndent"/>
        <w:spacing w:after="0"/>
        <w:ind w:left="0" w:firstLine="0"/>
        <w:jc w:val="center"/>
        <w:rPr>
          <w:b/>
          <w:i/>
          <w:szCs w:val="24"/>
        </w:rPr>
      </w:pPr>
      <w:r w:rsidRPr="00DB3075">
        <w:rPr>
          <w:b/>
          <w:i/>
          <w:szCs w:val="24"/>
        </w:rPr>
        <w:t xml:space="preserve">6.2.tabula. </w:t>
      </w:r>
      <w:r w:rsidR="00902B54" w:rsidRPr="00DB3075">
        <w:rPr>
          <w:b/>
          <w:i/>
          <w:szCs w:val="24"/>
        </w:rPr>
        <w:t xml:space="preserve">Finansēšanas nepieciešamības indikatīvs aprēķins </w:t>
      </w:r>
    </w:p>
    <w:p w14:paraId="792410F9" w14:textId="77777777" w:rsidR="00DB3075" w:rsidRPr="00DB3075" w:rsidRDefault="00902B54" w:rsidP="00DB3075">
      <w:pPr>
        <w:pStyle w:val="BodyTextIndent"/>
        <w:ind w:left="0" w:firstLine="0"/>
        <w:jc w:val="center"/>
        <w:rPr>
          <w:b/>
          <w:i/>
          <w:szCs w:val="24"/>
        </w:rPr>
      </w:pPr>
      <w:r w:rsidRPr="00DB3075">
        <w:rPr>
          <w:b/>
          <w:i/>
          <w:szCs w:val="24"/>
        </w:rPr>
        <w:t xml:space="preserve">2019. – 2021.gadam, milj. </w:t>
      </w:r>
      <w:proofErr w:type="spellStart"/>
      <w:r w:rsidRPr="00DB3075">
        <w:rPr>
          <w:b/>
          <w:i/>
          <w:szCs w:val="24"/>
        </w:rPr>
        <w:t>euro</w:t>
      </w:r>
      <w:proofErr w:type="spellEnd"/>
      <w:r w:rsidR="00DB3075">
        <w:rPr>
          <w:b/>
          <w:i/>
          <w:szCs w:val="24"/>
        </w:rPr>
        <w:t xml:space="preserve"> </w:t>
      </w:r>
      <w:r w:rsidRPr="00DB3075">
        <w:rPr>
          <w:b/>
          <w:i/>
          <w:szCs w:val="24"/>
        </w:rPr>
        <w:t>(uz 2018.gada 31.decembri)</w:t>
      </w:r>
    </w:p>
    <w:p w14:paraId="77AC174A" w14:textId="77777777" w:rsidR="00902B54" w:rsidRDefault="00B0142C" w:rsidP="00902B54">
      <w:pPr>
        <w:pStyle w:val="BodyTextIndent"/>
        <w:ind w:left="0" w:firstLine="0"/>
        <w:jc w:val="center"/>
      </w:pPr>
      <w:r w:rsidRPr="00B0142C">
        <w:rPr>
          <w:noProof/>
          <w:lang w:eastAsia="lv-LV"/>
        </w:rPr>
        <w:drawing>
          <wp:inline distT="0" distB="0" distL="0" distR="0" wp14:anchorId="30AF8578" wp14:editId="58A00F5B">
            <wp:extent cx="5224680" cy="151490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6852" cy="1521330"/>
                    </a:xfrm>
                    <a:prstGeom prst="rect">
                      <a:avLst/>
                    </a:prstGeom>
                    <a:noFill/>
                    <a:ln>
                      <a:noFill/>
                    </a:ln>
                  </pic:spPr>
                </pic:pic>
              </a:graphicData>
            </a:graphic>
          </wp:inline>
        </w:drawing>
      </w:r>
    </w:p>
    <w:p w14:paraId="20067562" w14:textId="77777777" w:rsidR="00902B54" w:rsidRDefault="00902B54" w:rsidP="00902B54">
      <w:pPr>
        <w:pStyle w:val="BodyTextIndent"/>
        <w:ind w:firstLine="0"/>
        <w:jc w:val="center"/>
      </w:pPr>
      <w:r>
        <w:tab/>
      </w:r>
    </w:p>
    <w:p w14:paraId="32D2020D" w14:textId="77777777" w:rsidR="00902B54" w:rsidRDefault="00902B54" w:rsidP="00902B54">
      <w:pPr>
        <w:pStyle w:val="BodyTextIndent"/>
        <w:ind w:left="0"/>
      </w:pPr>
      <w:r>
        <w:t>K</w:t>
      </w:r>
      <w:r w:rsidRPr="00540FDE">
        <w:t>opējās finansēšanas nepieciešamības segšanai 201</w:t>
      </w:r>
      <w:r>
        <w:t>9</w:t>
      </w:r>
      <w:r w:rsidRPr="00540FDE">
        <w:t>.-20</w:t>
      </w:r>
      <w:r>
        <w:t>21</w:t>
      </w:r>
      <w:r w:rsidRPr="00540FDE">
        <w:t>.gadā plānots veikt savlaicīgu aizņemšanos finanšu tirgos, lai saskaņā ar noteiktiem atmaksas grafikiem nodrošinātu uzņemto valsts parāda saistību pārfinansēšanu ar aizņēmumu likmju un termiņu ziņā labvēlīgiem nosacījumiem</w:t>
      </w:r>
      <w:r>
        <w:t>.</w:t>
      </w:r>
      <w:r w:rsidRPr="00BF20A4">
        <w:t xml:space="preserve"> </w:t>
      </w:r>
      <w:r w:rsidRPr="006A3ED2">
        <w:rPr>
          <w:bCs/>
          <w:color w:val="000000" w:themeColor="text1"/>
          <w:szCs w:val="24"/>
        </w:rPr>
        <w:t>Investoru uzticība Latvijas valsts kredītspējai un stabils investīciju kategorijas valsts kredītreitings nodrošina stabilu pamatu uzņemto parāda saistību sekmīg</w:t>
      </w:r>
      <w:r>
        <w:rPr>
          <w:bCs/>
          <w:color w:val="000000" w:themeColor="text1"/>
          <w:szCs w:val="24"/>
        </w:rPr>
        <w:t>ai</w:t>
      </w:r>
      <w:r w:rsidRPr="006A3ED2">
        <w:rPr>
          <w:bCs/>
          <w:color w:val="000000" w:themeColor="text1"/>
          <w:szCs w:val="24"/>
        </w:rPr>
        <w:t xml:space="preserve"> pārfinansēšan</w:t>
      </w:r>
      <w:r>
        <w:rPr>
          <w:bCs/>
          <w:color w:val="000000" w:themeColor="text1"/>
          <w:szCs w:val="24"/>
        </w:rPr>
        <w:t>ai</w:t>
      </w:r>
      <w:r w:rsidRPr="006A3ED2">
        <w:rPr>
          <w:bCs/>
          <w:color w:val="000000" w:themeColor="text1"/>
          <w:szCs w:val="24"/>
        </w:rPr>
        <w:t xml:space="preserve"> turpmākajos gados</w:t>
      </w:r>
      <w:r w:rsidRPr="002552E1">
        <w:rPr>
          <w:szCs w:val="24"/>
        </w:rPr>
        <w:t xml:space="preserve"> </w:t>
      </w:r>
      <w:r w:rsidRPr="006A3ED2">
        <w:rPr>
          <w:szCs w:val="24"/>
        </w:rPr>
        <w:t>ar labvēlīgiem nosacījumiem</w:t>
      </w:r>
      <w:r w:rsidRPr="006A3ED2">
        <w:rPr>
          <w:bCs/>
          <w:color w:val="000000" w:themeColor="text1"/>
          <w:szCs w:val="24"/>
        </w:rPr>
        <w:t xml:space="preserve">. </w:t>
      </w:r>
      <w:r>
        <w:t xml:space="preserve">Valsts kase, 2019.gada februārī emitējot jaunas </w:t>
      </w:r>
      <w:r w:rsidRPr="00DD48DB">
        <w:t>30 gadu obligā</w:t>
      </w:r>
      <w:r>
        <w:t xml:space="preserve">cijas 700 milj. </w:t>
      </w:r>
      <w:proofErr w:type="spellStart"/>
      <w:r w:rsidRPr="00DD48DB">
        <w:rPr>
          <w:i/>
        </w:rPr>
        <w:t>euro</w:t>
      </w:r>
      <w:proofErr w:type="spellEnd"/>
      <w:r>
        <w:t xml:space="preserve"> apmērā ar fiksētu </w:t>
      </w:r>
      <w:r w:rsidRPr="00EB5C07">
        <w:t>kupona (procentu) likmi 1,875%</w:t>
      </w:r>
      <w:r>
        <w:t xml:space="preserve">, tādējādi labvēlīgā finanšu tirgus situācijā </w:t>
      </w:r>
      <w:r w:rsidRPr="00EB5C07">
        <w:t>ar izdevīg</w:t>
      </w:r>
      <w:r>
        <w:t xml:space="preserve">iem nosacījumiem </w:t>
      </w:r>
      <w:r w:rsidRPr="00EB5C07">
        <w:t>ir piesaistījusi lielāko daļu no 2019.gada plānotā aizņemšanās apjoma starptautiskajos finanšu tirgos</w:t>
      </w:r>
      <w:r>
        <w:t xml:space="preserve">, </w:t>
      </w:r>
      <w:r w:rsidRPr="007B23BC">
        <w:t>nodrošinot resursus gan kārtējā gada finansēšanas vajadzībām</w:t>
      </w:r>
      <w:r>
        <w:t xml:space="preserve">, gan 2020.gada janvārī plānotajai ASV dolāros </w:t>
      </w:r>
      <w:proofErr w:type="spellStart"/>
      <w:r>
        <w:t>denominētu</w:t>
      </w:r>
      <w:proofErr w:type="spellEnd"/>
      <w:r>
        <w:t xml:space="preserve"> eiroobligāciju dzēšanai 533,5 milj. </w:t>
      </w:r>
      <w:proofErr w:type="spellStart"/>
      <w:r w:rsidRPr="00045A2F">
        <w:rPr>
          <w:i/>
        </w:rPr>
        <w:t>euro</w:t>
      </w:r>
      <w:proofErr w:type="spellEnd"/>
      <w:r>
        <w:t xml:space="preserve"> ekvivalentā</w:t>
      </w:r>
      <w:r w:rsidRPr="00EB5C07">
        <w:t>.</w:t>
      </w:r>
    </w:p>
    <w:p w14:paraId="3DA57135" w14:textId="77777777" w:rsidR="00902B54" w:rsidRPr="004F2E17" w:rsidRDefault="00902B54" w:rsidP="00902B54">
      <w:pPr>
        <w:pStyle w:val="BodyTextIndent"/>
        <w:ind w:left="0"/>
      </w:pPr>
      <w:r w:rsidRPr="004F2E17">
        <w:t xml:space="preserve">Ņemot vērā </w:t>
      </w:r>
      <w:r>
        <w:t xml:space="preserve">stratēģisku pieeju </w:t>
      </w:r>
      <w:r w:rsidRPr="004F2E17">
        <w:t xml:space="preserve">aizņemšanās </w:t>
      </w:r>
      <w:r>
        <w:t>pasākumu organizēšanā</w:t>
      </w:r>
      <w:r w:rsidRPr="004F2E17">
        <w:t>, lai nodrošinātu valsts parāda pārfinansēšanas riska novēršanu un valsts parāda vadības izdevumu optimizēšanu vidējā termiņā</w:t>
      </w:r>
      <w:r>
        <w:t xml:space="preserve"> un ilgtermiņā</w:t>
      </w:r>
      <w:r w:rsidRPr="004F2E17">
        <w:t xml:space="preserve">, tuvākajos gados ārējā aizņēmuma instrumenti </w:t>
      </w:r>
      <w:r>
        <w:t xml:space="preserve">joprojām </w:t>
      </w:r>
      <w:r w:rsidRPr="004F2E17">
        <w:t>veidos būtiskāko daļu no kopējā piesaistāmā finanšu resursu apjoma. Aizņēmumus starptautiskajos tirgos plānots balstīt uz publiskiem darījumiem globālajos finanšu tirgos</w:t>
      </w:r>
      <w:r>
        <w:t xml:space="preserve">, </w:t>
      </w:r>
      <w:r w:rsidRPr="004F2E17">
        <w:t xml:space="preserve">veicot </w:t>
      </w:r>
      <w:r>
        <w:t xml:space="preserve">vidēja termiņa un ilgtermiņa </w:t>
      </w:r>
      <w:r w:rsidRPr="004F2E17">
        <w:t xml:space="preserve">etalona eiroobligāciju emisijas </w:t>
      </w:r>
      <w:r>
        <w:t xml:space="preserve">galvenokārt </w:t>
      </w:r>
      <w:r w:rsidRPr="004F2E17">
        <w:t>Eirop</w:t>
      </w:r>
      <w:r>
        <w:t>as finanšu tirgū</w:t>
      </w:r>
      <w:r w:rsidRPr="004F2E17">
        <w:t xml:space="preserve">, kā arī vēršoties </w:t>
      </w:r>
      <w:r w:rsidRPr="004F2E17">
        <w:lastRenderedPageBreak/>
        <w:t>pie citu reģionu investoriem.</w:t>
      </w:r>
      <w:r>
        <w:t xml:space="preserve"> </w:t>
      </w:r>
      <w:r w:rsidRPr="004F2E17">
        <w:t>Iekš</w:t>
      </w:r>
      <w:r>
        <w:t>ējā</w:t>
      </w:r>
      <w:r w:rsidRPr="004F2E17">
        <w:t xml:space="preserve"> finanšu tirgū arī turpmāk plānots</w:t>
      </w:r>
      <w:r>
        <w:t xml:space="preserve"> uzturēt pieprasījumam atbilstošu vērtspapīru piedāvājumu</w:t>
      </w:r>
      <w:r w:rsidRPr="004E7ADC">
        <w:t xml:space="preserve"> </w:t>
      </w:r>
      <w:r w:rsidRPr="004F2E17">
        <w:t>primāro dīleru sistēmas ietvaros, sekmējot valsts vērtspapīru tirgus aktivitāti</w:t>
      </w:r>
      <w:r>
        <w:t xml:space="preserve"> un likviditāti</w:t>
      </w:r>
      <w:r w:rsidRPr="004F2E17">
        <w:t>.</w:t>
      </w:r>
    </w:p>
    <w:p w14:paraId="0EF4D8D8" w14:textId="77777777" w:rsidR="00902B54" w:rsidRPr="00445C12" w:rsidRDefault="00902B54" w:rsidP="00902B54">
      <w:pPr>
        <w:rPr>
          <w:szCs w:val="26"/>
        </w:rPr>
      </w:pPr>
      <w:r w:rsidRPr="00DE61D6">
        <w:rPr>
          <w:szCs w:val="26"/>
        </w:rPr>
        <w:t xml:space="preserve">Valsts parāds veido lielāko daļu no vispārējās valdības parāda apjoma, tādēļ vispārējās valdības parāda tendences visvairāk </w:t>
      </w:r>
      <w:r>
        <w:rPr>
          <w:szCs w:val="26"/>
        </w:rPr>
        <w:t>nosaka</w:t>
      </w:r>
      <w:r w:rsidRPr="00DE61D6">
        <w:rPr>
          <w:szCs w:val="26"/>
        </w:rPr>
        <w:t xml:space="preserve"> valsts parāda izmaiņas</w:t>
      </w:r>
      <w:r>
        <w:rPr>
          <w:szCs w:val="26"/>
        </w:rPr>
        <w:t>, kuras ietekmē aizņemšanās un valsts parāda atmaksa</w:t>
      </w:r>
      <w:r w:rsidRPr="00DE61D6">
        <w:rPr>
          <w:szCs w:val="26"/>
        </w:rPr>
        <w:t>. Savukārt, atbilstoši Eiropas kontu sistēmas 2010 metodoloģijai pie vispārējās valdības institucionālā sektora pieklasificēto uzņēmumu</w:t>
      </w:r>
      <w:r>
        <w:rPr>
          <w:rStyle w:val="FootnoteReference"/>
          <w:szCs w:val="26"/>
        </w:rPr>
        <w:footnoteReference w:id="2"/>
      </w:r>
      <w:r w:rsidRPr="00DE61D6">
        <w:rPr>
          <w:szCs w:val="26"/>
        </w:rPr>
        <w:t xml:space="preserve"> parāda tendenču ietekme uz vispārējās valdības parāda izmaiņām vēsturiski nav bijusi būtiska, šo parāda saistību īpatsvaram veidojot vidēji vien 5-6% no vispārējās valdības parāda apjoma.</w:t>
      </w:r>
      <w:r>
        <w:rPr>
          <w:szCs w:val="26"/>
        </w:rPr>
        <w:t xml:space="preserve"> Turpinot ilgtspējīgas fiskālās politikas īstenošanu, v</w:t>
      </w:r>
      <w:r w:rsidRPr="00445C12">
        <w:rPr>
          <w:szCs w:val="26"/>
        </w:rPr>
        <w:t>idējā termiņā prognozējama vispārējās valdības parāda līmeņa stabilizēšanās un neliela samazināšanās attiecībā pret IKP, pārliecinoši ievērojot Fiskālās disciplīnas likumā noteikto parāda nosacījumu</w:t>
      </w:r>
      <w:r>
        <w:rPr>
          <w:szCs w:val="26"/>
        </w:rPr>
        <w:t xml:space="preserve"> (sk. </w:t>
      </w:r>
      <w:r w:rsidR="00BD0577">
        <w:rPr>
          <w:szCs w:val="26"/>
        </w:rPr>
        <w:t>6.</w:t>
      </w:r>
      <w:r>
        <w:rPr>
          <w:szCs w:val="26"/>
        </w:rPr>
        <w:t>4.attēlu)</w:t>
      </w:r>
      <w:r w:rsidRPr="00445C12">
        <w:rPr>
          <w:szCs w:val="26"/>
        </w:rPr>
        <w:t xml:space="preserve">. </w:t>
      </w:r>
    </w:p>
    <w:p w14:paraId="622FA118" w14:textId="77777777" w:rsidR="00902B54" w:rsidRPr="00AB0055" w:rsidRDefault="00902B54" w:rsidP="00902B54">
      <w:pPr>
        <w:pStyle w:val="tabvirsr"/>
        <w:rPr>
          <w:rFonts w:ascii="Times New Roman" w:hAnsi="Times New Roman"/>
          <w:b w:val="0"/>
          <w:sz w:val="16"/>
          <w:szCs w:val="24"/>
          <w:lang w:val="lv-LV"/>
        </w:rPr>
      </w:pPr>
    </w:p>
    <w:p w14:paraId="584412A0" w14:textId="67E359F9" w:rsidR="00902B54" w:rsidRDefault="009D198B" w:rsidP="00902B54">
      <w:pPr>
        <w:pStyle w:val="BodyTextIndent"/>
        <w:ind w:left="0" w:firstLine="0"/>
        <w:jc w:val="center"/>
      </w:pPr>
      <w:r>
        <w:rPr>
          <w:noProof/>
          <w:lang w:eastAsia="lv-LV"/>
        </w:rPr>
        <w:drawing>
          <wp:inline distT="0" distB="0" distL="0" distR="0" wp14:anchorId="5B4C1037" wp14:editId="0378F895">
            <wp:extent cx="4920018" cy="2397572"/>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0087" cy="2407352"/>
                    </a:xfrm>
                    <a:prstGeom prst="rect">
                      <a:avLst/>
                    </a:prstGeom>
                    <a:noFill/>
                  </pic:spPr>
                </pic:pic>
              </a:graphicData>
            </a:graphic>
          </wp:inline>
        </w:drawing>
      </w:r>
    </w:p>
    <w:p w14:paraId="468B5619" w14:textId="77777777" w:rsidR="00DB3075" w:rsidRPr="00DB3075" w:rsidRDefault="00DB3075" w:rsidP="00DB3075">
      <w:pPr>
        <w:pStyle w:val="tabvirsr"/>
        <w:rPr>
          <w:rFonts w:ascii="Times New Roman" w:hAnsi="Times New Roman"/>
          <w:i/>
          <w:sz w:val="24"/>
          <w:szCs w:val="24"/>
          <w:lang w:val="lv-LV"/>
        </w:rPr>
      </w:pPr>
      <w:r w:rsidRPr="00DB3075">
        <w:rPr>
          <w:rFonts w:ascii="Times New Roman" w:hAnsi="Times New Roman"/>
          <w:i/>
          <w:sz w:val="24"/>
          <w:szCs w:val="24"/>
        </w:rPr>
        <w:t xml:space="preserve">6.4. att. </w:t>
      </w:r>
      <w:r w:rsidRPr="00DB3075">
        <w:rPr>
          <w:rFonts w:ascii="Times New Roman" w:hAnsi="Times New Roman"/>
          <w:i/>
          <w:sz w:val="24"/>
          <w:szCs w:val="24"/>
          <w:lang w:val="lv-LV"/>
        </w:rPr>
        <w:t>Vispārējās valdības parāda attīstības tendences (% no IKP)</w:t>
      </w:r>
    </w:p>
    <w:p w14:paraId="6A72CBFB" w14:textId="77777777" w:rsidR="00DB3075" w:rsidRPr="00DB3075" w:rsidRDefault="00DB3075" w:rsidP="00DB3075">
      <w:pPr>
        <w:pStyle w:val="tabvirsr"/>
        <w:rPr>
          <w:rFonts w:ascii="Times New Roman" w:hAnsi="Times New Roman"/>
          <w:i/>
          <w:sz w:val="24"/>
          <w:szCs w:val="24"/>
          <w:lang w:val="lv-LV"/>
        </w:rPr>
      </w:pPr>
      <w:r w:rsidRPr="00DB3075">
        <w:rPr>
          <w:rFonts w:ascii="Times New Roman" w:hAnsi="Times New Roman"/>
          <w:i/>
          <w:sz w:val="24"/>
          <w:szCs w:val="24"/>
          <w:lang w:val="lv-LV"/>
        </w:rPr>
        <w:t>(pēc Eiropas kontu sistēmas 2010 metodoloģijas)</w:t>
      </w:r>
    </w:p>
    <w:p w14:paraId="51084049" w14:textId="77777777" w:rsidR="00DB3075" w:rsidRDefault="00DB3075" w:rsidP="00902B54">
      <w:pPr>
        <w:pStyle w:val="BodyTextIndent"/>
        <w:ind w:left="0" w:firstLine="0"/>
        <w:jc w:val="center"/>
      </w:pPr>
    </w:p>
    <w:p w14:paraId="44972422" w14:textId="77777777" w:rsidR="00902B54" w:rsidRPr="004A0CB3" w:rsidRDefault="004A0CB3" w:rsidP="00902B54">
      <w:pPr>
        <w:pStyle w:val="virsr3"/>
        <w:pBdr>
          <w:bottom w:val="none" w:sz="0" w:space="0" w:color="auto"/>
        </w:pBdr>
        <w:spacing w:before="240"/>
        <w:rPr>
          <w:rFonts w:ascii="Times New Roman" w:hAnsi="Times New Roman"/>
          <w:i w:val="0"/>
          <w:iCs/>
          <w:sz w:val="36"/>
          <w:szCs w:val="36"/>
        </w:rPr>
      </w:pPr>
      <w:r>
        <w:rPr>
          <w:rFonts w:ascii="Times New Roman" w:hAnsi="Times New Roman"/>
          <w:i w:val="0"/>
          <w:iCs/>
          <w:sz w:val="36"/>
          <w:szCs w:val="36"/>
        </w:rPr>
        <w:t xml:space="preserve">6.3. </w:t>
      </w:r>
      <w:r w:rsidR="00902B54" w:rsidRPr="004A0CB3">
        <w:rPr>
          <w:rFonts w:ascii="Times New Roman" w:hAnsi="Times New Roman"/>
          <w:i w:val="0"/>
          <w:iCs/>
          <w:sz w:val="36"/>
          <w:szCs w:val="36"/>
        </w:rPr>
        <w:t>Valsts parāda procentu izdevumu prognoze 2019.-2021.gadam</w:t>
      </w:r>
    </w:p>
    <w:p w14:paraId="7552109A" w14:textId="77777777" w:rsidR="00902B54" w:rsidRDefault="00902B54" w:rsidP="00902B54">
      <w:pPr>
        <w:pStyle w:val="BodyTextIndent"/>
        <w:ind w:left="0"/>
      </w:pPr>
      <w:r>
        <w:t xml:space="preserve">Procentu maksājumi par valsts parāda saistībām tiek veikti no </w:t>
      </w:r>
      <w:r w:rsidRPr="00560548">
        <w:t>Finanšu ministrijas pamatb</w:t>
      </w:r>
      <w:r>
        <w:t xml:space="preserve">udžeta apakšprogrammas 31.02.00 </w:t>
      </w:r>
      <w:r w:rsidRPr="00560548">
        <w:t>„Valsts parāda vadība”</w:t>
      </w:r>
      <w:r>
        <w:t>. Apakšprogrammas ietvaros veicamo valsts parāda procentu izdevumu prognozi</w:t>
      </w:r>
      <w:r w:rsidRPr="00021B88">
        <w:t xml:space="preserve"> </w:t>
      </w:r>
      <w:r>
        <w:t>2019.-2021.gadam galvenokārt ietekmē iepriekš uzņemto valsts parāda saistību apkalpošanas (procentu) izdevumi un procentu maksājumi par jauniem aizņēmumiem, kuri prognozēti nākamajos gados, ņemot vērā finansēšanas nepieciešamības novērtējumu un valsts parāda atma</w:t>
      </w:r>
      <w:r w:rsidR="00237027">
        <w:t xml:space="preserve">ksas grafiku (skat. </w:t>
      </w:r>
      <w:r w:rsidR="00BD0577">
        <w:t>6.</w:t>
      </w:r>
      <w:r w:rsidR="00237027">
        <w:t xml:space="preserve">1. un </w:t>
      </w:r>
      <w:r w:rsidR="00BD0577">
        <w:t>6.</w:t>
      </w:r>
      <w:r w:rsidR="00237027">
        <w:t>2.tabulu</w:t>
      </w:r>
      <w:r>
        <w:t>).</w:t>
      </w:r>
    </w:p>
    <w:p w14:paraId="6853E57F" w14:textId="77777777" w:rsidR="00902B54" w:rsidRDefault="00902B54" w:rsidP="00902B54">
      <w:pPr>
        <w:pStyle w:val="BodyTextIndent"/>
        <w:ind w:left="0"/>
      </w:pPr>
      <w:r w:rsidRPr="00A7429B">
        <w:t xml:space="preserve">Iepriekšējos gados īstenotā aizņemšanās stratēģija, kā arī zemo procentu likmju periodā labvēlīgā brīdī gan starptautiskajos finanšu tirgos, gan iekšējā finanšu tirgū veiktie aizņēmumi </w:t>
      </w:r>
      <w:r>
        <w:t xml:space="preserve">nodrošināja valsts parāda procentu izdevumu samazināšanos pēdējos gados, kā arī </w:t>
      </w:r>
      <w:r w:rsidRPr="00485788">
        <w:t>201</w:t>
      </w:r>
      <w:r>
        <w:t>9</w:t>
      </w:r>
      <w:r w:rsidRPr="00485788">
        <w:t>.gadā</w:t>
      </w:r>
      <w:r>
        <w:t>, kurā</w:t>
      </w:r>
      <w:r w:rsidRPr="00485788">
        <w:t xml:space="preserve"> valsts parāda procentu izdevumi plānoti </w:t>
      </w:r>
      <w:r w:rsidRPr="00345B46">
        <w:t>223,9</w:t>
      </w:r>
      <w:r w:rsidRPr="00485788">
        <w:t> milj.</w:t>
      </w:r>
      <w:r>
        <w:t xml:space="preserve"> </w:t>
      </w:r>
      <w:proofErr w:type="spellStart"/>
      <w:r w:rsidRPr="00485788">
        <w:rPr>
          <w:i/>
        </w:rPr>
        <w:t>euro</w:t>
      </w:r>
      <w:proofErr w:type="spellEnd"/>
      <w:r w:rsidRPr="00485788">
        <w:t xml:space="preserve"> apmērā, būtiskāko daļu kopējā procentu izdevumu apjomā veido</w:t>
      </w:r>
      <w:r>
        <w:t>jot</w:t>
      </w:r>
      <w:r w:rsidRPr="00485788">
        <w:t xml:space="preserve"> valsts ārējā parāda apkalpošanas izdevumi</w:t>
      </w:r>
      <w:r>
        <w:t xml:space="preserve">em par </w:t>
      </w:r>
      <w:r>
        <w:lastRenderedPageBreak/>
        <w:t>iepriekšējos gados uzņemtajām valsts parāda saistībām (</w:t>
      </w:r>
      <w:r w:rsidRPr="00A7429B">
        <w:t xml:space="preserve">sk. </w:t>
      </w:r>
      <w:r w:rsidR="002D404A">
        <w:t>6.</w:t>
      </w:r>
      <w:r w:rsidRPr="00680FC5">
        <w:t>5.attēlu</w:t>
      </w:r>
      <w:r>
        <w:t>).</w:t>
      </w:r>
      <w:r w:rsidDel="00B52E73">
        <w:t xml:space="preserve"> </w:t>
      </w:r>
      <w:r w:rsidRPr="00680FC5">
        <w:t>2020.</w:t>
      </w:r>
      <w:r>
        <w:t xml:space="preserve"> un 2021.</w:t>
      </w:r>
      <w:r w:rsidRPr="00680FC5">
        <w:t>gadā prognozēto procentu izdevumu pieaugumu galvenokārt nosaka nepieciešamība</w:t>
      </w:r>
      <w:r>
        <w:t xml:space="preserve"> 2019. un 2020.gadā</w:t>
      </w:r>
      <w:r w:rsidRPr="00680FC5">
        <w:t xml:space="preserve"> </w:t>
      </w:r>
      <w:r>
        <w:t xml:space="preserve">savlaicīgi </w:t>
      </w:r>
      <w:r w:rsidRPr="00680FC5">
        <w:t xml:space="preserve">veikt aizņemšanos starptautiskajos finanšu tirgos relatīvi lielā apjomā, </w:t>
      </w:r>
      <w:r>
        <w:t xml:space="preserve">lai nodrošinātu finansējumu ārējā parāda atmaksai saskaņā ar valsts parāda atmaksas grafiku (skat. </w:t>
      </w:r>
      <w:r w:rsidR="00A27827">
        <w:t>6.</w:t>
      </w:r>
      <w:r>
        <w:t xml:space="preserve">1. un </w:t>
      </w:r>
      <w:r w:rsidR="00A27827">
        <w:t>6.</w:t>
      </w:r>
      <w:r>
        <w:t>2.tab</w:t>
      </w:r>
      <w:r w:rsidR="00237027">
        <w:t>ulu</w:t>
      </w:r>
      <w:r>
        <w:t>.).</w:t>
      </w:r>
      <w:r w:rsidRPr="00680FC5">
        <w:t xml:space="preserve"> Aizņemšanos vidējā termiņā, t.sk. 2019.gadā, plānots nodrošināt galvenokārt ar publiskām ilgtermiņa etalona eiroobligāciju emisijām, </w:t>
      </w:r>
      <w:r>
        <w:t xml:space="preserve">atbilstoši Valsts parāda un naudas līdzekļu vadības stratēģijai </w:t>
      </w:r>
      <w:r w:rsidRPr="00680FC5">
        <w:t>ievērojot pēc iespējas lielāku elastību aizņemšanās nosacījumu izvēlē.</w:t>
      </w:r>
    </w:p>
    <w:p w14:paraId="75981538" w14:textId="7190E368" w:rsidR="00902B54" w:rsidRDefault="009A384A" w:rsidP="00902B54">
      <w:pPr>
        <w:pStyle w:val="tabvirsrturp"/>
        <w:rPr>
          <w:rFonts w:ascii="Times New Roman" w:hAnsi="Times New Roman"/>
          <w:sz w:val="20"/>
          <w:lang w:val="lv-LV"/>
        </w:rPr>
      </w:pPr>
      <w:r>
        <w:rPr>
          <w:rFonts w:ascii="Times New Roman" w:hAnsi="Times New Roman"/>
          <w:noProof/>
          <w:sz w:val="20"/>
          <w:lang w:val="lv-LV" w:eastAsia="lv-LV"/>
        </w:rPr>
        <w:drawing>
          <wp:inline distT="0" distB="0" distL="0" distR="0" wp14:anchorId="01E08693" wp14:editId="0EE5802A">
            <wp:extent cx="5106009" cy="31696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0101" cy="3184638"/>
                    </a:xfrm>
                    <a:prstGeom prst="rect">
                      <a:avLst/>
                    </a:prstGeom>
                    <a:noFill/>
                  </pic:spPr>
                </pic:pic>
              </a:graphicData>
            </a:graphic>
          </wp:inline>
        </w:drawing>
      </w:r>
    </w:p>
    <w:p w14:paraId="66730E9C" w14:textId="77777777" w:rsidR="00DB3075" w:rsidRPr="00DB3075" w:rsidRDefault="00DB3075" w:rsidP="00DB3075">
      <w:pPr>
        <w:pStyle w:val="tabvirsr"/>
        <w:rPr>
          <w:rFonts w:ascii="Times New Roman" w:hAnsi="Times New Roman"/>
          <w:i/>
          <w:sz w:val="24"/>
          <w:szCs w:val="24"/>
          <w:lang w:val="lv-LV"/>
        </w:rPr>
      </w:pPr>
      <w:r w:rsidRPr="00DB3075">
        <w:rPr>
          <w:rFonts w:ascii="Times New Roman" w:hAnsi="Times New Roman"/>
          <w:i/>
          <w:sz w:val="24"/>
          <w:szCs w:val="24"/>
          <w:lang w:val="lv-LV"/>
        </w:rPr>
        <w:t xml:space="preserve">6.5.att. Valsts parāda procentu izdevumu prognoze 2019.-2021.gadam, milj. </w:t>
      </w:r>
      <w:proofErr w:type="spellStart"/>
      <w:r w:rsidRPr="00DB3075">
        <w:rPr>
          <w:rFonts w:ascii="Times New Roman" w:hAnsi="Times New Roman"/>
          <w:i/>
          <w:sz w:val="24"/>
          <w:szCs w:val="24"/>
          <w:lang w:val="lv-LV"/>
        </w:rPr>
        <w:t>euro</w:t>
      </w:r>
      <w:proofErr w:type="spellEnd"/>
    </w:p>
    <w:p w14:paraId="67046DE1" w14:textId="77777777" w:rsidR="00DB3075" w:rsidRPr="00066EBD" w:rsidRDefault="00DB3075" w:rsidP="00902B54">
      <w:pPr>
        <w:pStyle w:val="tabvirsrturp"/>
        <w:rPr>
          <w:rFonts w:ascii="Times New Roman" w:hAnsi="Times New Roman"/>
          <w:sz w:val="20"/>
          <w:lang w:val="lv-LV"/>
        </w:rPr>
      </w:pPr>
    </w:p>
    <w:p w14:paraId="2FF85091" w14:textId="77777777" w:rsidR="00902B54" w:rsidRPr="00120C4D" w:rsidRDefault="00902B54" w:rsidP="00902B54">
      <w:pPr>
        <w:pStyle w:val="teksts"/>
        <w:tabs>
          <w:tab w:val="left" w:pos="6237"/>
        </w:tabs>
        <w:spacing w:after="0"/>
        <w:rPr>
          <w:rFonts w:ascii="Times New Roman" w:hAnsi="Times New Roman"/>
          <w:i/>
          <w:sz w:val="16"/>
          <w:lang w:val="lv-LV"/>
        </w:rPr>
      </w:pPr>
      <w:r w:rsidRPr="002B3171">
        <w:rPr>
          <w:rFonts w:ascii="Times New Roman" w:hAnsi="Times New Roman"/>
          <w:i/>
          <w:sz w:val="16"/>
          <w:lang w:val="lv-LV"/>
        </w:rPr>
        <w:t>*</w:t>
      </w:r>
      <w:r w:rsidRPr="00120C4D">
        <w:rPr>
          <w:rFonts w:ascii="Times New Roman" w:hAnsi="Times New Roman"/>
          <w:i/>
          <w:sz w:val="16"/>
          <w:lang w:val="lv-LV"/>
        </w:rPr>
        <w:t xml:space="preserve"> aprēķinos izmantoti valsts budžeta pieprasījumu 201</w:t>
      </w:r>
      <w:r>
        <w:rPr>
          <w:rFonts w:ascii="Times New Roman" w:hAnsi="Times New Roman"/>
          <w:i/>
          <w:sz w:val="16"/>
          <w:lang w:val="lv-LV"/>
        </w:rPr>
        <w:t>9</w:t>
      </w:r>
      <w:r w:rsidRPr="00120C4D">
        <w:rPr>
          <w:rFonts w:ascii="Times New Roman" w:hAnsi="Times New Roman"/>
          <w:i/>
          <w:sz w:val="16"/>
          <w:lang w:val="lv-LV"/>
        </w:rPr>
        <w:t>.-20</w:t>
      </w:r>
      <w:r>
        <w:rPr>
          <w:rFonts w:ascii="Times New Roman" w:hAnsi="Times New Roman"/>
          <w:i/>
          <w:sz w:val="16"/>
          <w:lang w:val="lv-LV"/>
        </w:rPr>
        <w:t>21</w:t>
      </w:r>
      <w:r w:rsidRPr="00120C4D">
        <w:rPr>
          <w:rFonts w:ascii="Times New Roman" w:hAnsi="Times New Roman"/>
          <w:i/>
          <w:sz w:val="16"/>
          <w:lang w:val="lv-LV"/>
        </w:rPr>
        <w:t>.gadam sagatavošanai noteiktie ārvalstu valūtu maiņas kursi</w:t>
      </w:r>
      <w:r w:rsidRPr="00120C4D" w:rsidDel="00120C4D">
        <w:rPr>
          <w:i/>
          <w:sz w:val="16"/>
          <w:lang w:val="lv-LV"/>
        </w:rPr>
        <w:t xml:space="preserve"> </w:t>
      </w:r>
    </w:p>
    <w:p w14:paraId="64379FDE" w14:textId="77777777" w:rsidR="00902B54" w:rsidRPr="00120C4D" w:rsidRDefault="00902B54" w:rsidP="00902B54">
      <w:pPr>
        <w:pStyle w:val="teksts"/>
        <w:tabs>
          <w:tab w:val="left" w:pos="6237"/>
        </w:tabs>
        <w:spacing w:after="0"/>
        <w:rPr>
          <w:rFonts w:ascii="Times New Roman" w:hAnsi="Times New Roman"/>
          <w:i/>
          <w:sz w:val="16"/>
          <w:lang w:val="lv-LV"/>
        </w:rPr>
      </w:pPr>
      <w:r w:rsidRPr="00120C4D">
        <w:rPr>
          <w:rFonts w:ascii="Times New Roman" w:hAnsi="Times New Roman"/>
          <w:i/>
          <w:sz w:val="16"/>
          <w:lang w:val="lv-LV"/>
        </w:rPr>
        <w:t>*</w:t>
      </w:r>
      <w:r>
        <w:rPr>
          <w:rFonts w:ascii="Times New Roman" w:hAnsi="Times New Roman"/>
          <w:i/>
          <w:sz w:val="16"/>
          <w:lang w:val="lv-LV"/>
        </w:rPr>
        <w:t>*</w:t>
      </w:r>
      <w:r w:rsidRPr="00120C4D">
        <w:rPr>
          <w:rFonts w:ascii="Times New Roman" w:hAnsi="Times New Roman"/>
          <w:i/>
          <w:sz w:val="16"/>
          <w:lang w:val="lv-LV"/>
        </w:rPr>
        <w:t xml:space="preserve"> t.sk. procentu maksājumi kredītiestādēm no </w:t>
      </w:r>
      <w:r>
        <w:rPr>
          <w:rFonts w:ascii="Times New Roman" w:hAnsi="Times New Roman"/>
          <w:i/>
          <w:sz w:val="16"/>
          <w:lang w:val="lv-LV"/>
        </w:rPr>
        <w:t xml:space="preserve">procentu maksājumiem piesaistītā </w:t>
      </w:r>
      <w:r w:rsidRPr="00120C4D">
        <w:rPr>
          <w:rFonts w:ascii="Times New Roman" w:hAnsi="Times New Roman"/>
          <w:i/>
          <w:sz w:val="16"/>
          <w:lang w:val="lv-LV"/>
        </w:rPr>
        <w:t xml:space="preserve">atvasināto finanšu instrumentu rezultāta, </w:t>
      </w:r>
      <w:r>
        <w:rPr>
          <w:rFonts w:ascii="Times New Roman" w:hAnsi="Times New Roman"/>
          <w:i/>
          <w:sz w:val="16"/>
          <w:lang w:val="lv-LV"/>
        </w:rPr>
        <w:t xml:space="preserve">procentu maksājumi par Valsts kases kontu atlikumiem un depozītiem, ja tiek piemērota negatīva procentu likme, </w:t>
      </w:r>
      <w:r w:rsidRPr="00120C4D">
        <w:rPr>
          <w:rFonts w:ascii="Times New Roman" w:hAnsi="Times New Roman"/>
          <w:i/>
          <w:sz w:val="16"/>
          <w:lang w:val="lv-LV"/>
        </w:rPr>
        <w:t>procentu maksājumi valsts budžeta iestādēm, pašvaldībām un pārējiem ieguldītājiem par līdzekļu izvietošanu noguldījumos Valsts kasē saskaņā ar noslēgtajiem līgumiem</w:t>
      </w:r>
    </w:p>
    <w:p w14:paraId="44FCF5A5" w14:textId="77777777" w:rsidR="00902B54" w:rsidRPr="004A0CB3" w:rsidRDefault="004A0CB3" w:rsidP="00902B54">
      <w:pPr>
        <w:pStyle w:val="virsr3"/>
        <w:pBdr>
          <w:bottom w:val="none" w:sz="0" w:space="0" w:color="auto"/>
        </w:pBdr>
        <w:spacing w:before="240"/>
        <w:rPr>
          <w:rFonts w:ascii="Times New Roman" w:hAnsi="Times New Roman"/>
          <w:i w:val="0"/>
          <w:sz w:val="36"/>
          <w:szCs w:val="36"/>
        </w:rPr>
      </w:pPr>
      <w:r>
        <w:rPr>
          <w:rFonts w:ascii="Times New Roman" w:hAnsi="Times New Roman"/>
          <w:i w:val="0"/>
          <w:sz w:val="36"/>
          <w:szCs w:val="36"/>
        </w:rPr>
        <w:t xml:space="preserve">6.4. </w:t>
      </w:r>
      <w:r w:rsidR="00902B54" w:rsidRPr="004A0CB3">
        <w:rPr>
          <w:rFonts w:ascii="Times New Roman" w:hAnsi="Times New Roman"/>
          <w:i w:val="0"/>
          <w:sz w:val="36"/>
          <w:szCs w:val="36"/>
        </w:rPr>
        <w:t>Valsts galvojumu saistības</w:t>
      </w:r>
    </w:p>
    <w:p w14:paraId="3768874B" w14:textId="77777777" w:rsidR="00902B54" w:rsidRDefault="00902B54" w:rsidP="00902B54">
      <w:pPr>
        <w:ind w:firstLine="720"/>
      </w:pPr>
      <w:r w:rsidRPr="00A9364C">
        <w:t xml:space="preserve">Izvērtējot pašreizējo informāciju par aizņēmēju finansiālo stāvokli, līdzšinējo </w:t>
      </w:r>
      <w:proofErr w:type="spellStart"/>
      <w:r w:rsidRPr="00A9364C">
        <w:t>kredītvēsturi</w:t>
      </w:r>
      <w:proofErr w:type="spellEnd"/>
      <w:r w:rsidRPr="00A9364C">
        <w:t>, nodrošinājuma likviditāti un apjomu, kā arī citu pieejamo informāciju, kā relatīvi riskantāki</w:t>
      </w:r>
      <w:r>
        <w:t xml:space="preserve"> </w:t>
      </w:r>
      <w:r w:rsidRPr="00A9364C">
        <w:t xml:space="preserve"> novērtēti </w:t>
      </w:r>
      <w:r w:rsidRPr="00A4413E">
        <w:t xml:space="preserve">galvojumi </w:t>
      </w:r>
      <w:r>
        <w:t>trīs</w:t>
      </w:r>
      <w:r w:rsidRPr="00A4413E">
        <w:t xml:space="preserve"> aizņēmējiem, </w:t>
      </w:r>
      <w:r>
        <w:t>p</w:t>
      </w:r>
      <w:r w:rsidRPr="00A4413E">
        <w:t>astāv</w:t>
      </w:r>
      <w:r>
        <w:t>ot</w:t>
      </w:r>
      <w:r w:rsidRPr="00A4413E">
        <w:t xml:space="preserve"> varbūtība</w:t>
      </w:r>
      <w:r>
        <w:t>i</w:t>
      </w:r>
      <w:r w:rsidRPr="00A4413E">
        <w:t xml:space="preserve">, ka </w:t>
      </w:r>
      <w:r>
        <w:t>šo</w:t>
      </w:r>
      <w:r w:rsidRPr="00A4413E">
        <w:t xml:space="preserve"> valsts galvoto aizdevumu saistības vai to daļa varētu netikt izpildītas noteiktajā termiņā. Valdības rīcības pieļaujamās robežas, lai segtu izdevumus, kas var rasties, pildot uz valsts budžetu attiecināmās valsts galvotā parāda saistības 201</w:t>
      </w:r>
      <w:r>
        <w:t>9</w:t>
      </w:r>
      <w:r w:rsidRPr="00A4413E">
        <w:t xml:space="preserve">.gadā, ir novērtētas </w:t>
      </w:r>
      <w:r>
        <w:t>0,3</w:t>
      </w:r>
      <w:r w:rsidRPr="00A4413E">
        <w:t xml:space="preserve"> milj.</w:t>
      </w:r>
      <w:r>
        <w:t xml:space="preserve"> </w:t>
      </w:r>
      <w:proofErr w:type="spellStart"/>
      <w:r w:rsidRPr="000F2634">
        <w:rPr>
          <w:i/>
          <w:szCs w:val="24"/>
        </w:rPr>
        <w:t>euro</w:t>
      </w:r>
      <w:proofErr w:type="spellEnd"/>
      <w:r w:rsidRPr="00833CCC">
        <w:rPr>
          <w:rStyle w:val="FootnoteReference"/>
          <w:szCs w:val="24"/>
        </w:rPr>
        <w:footnoteReference w:id="3"/>
      </w:r>
      <w:r w:rsidRPr="00833CCC">
        <w:rPr>
          <w:szCs w:val="24"/>
        </w:rPr>
        <w:t xml:space="preserve"> </w:t>
      </w:r>
      <w:r w:rsidRPr="000F2634">
        <w:rPr>
          <w:szCs w:val="24"/>
        </w:rPr>
        <w:t>apmērā</w:t>
      </w:r>
      <w:r>
        <w:rPr>
          <w:szCs w:val="24"/>
        </w:rPr>
        <w:t>.</w:t>
      </w:r>
      <w:r w:rsidRPr="00783B73">
        <w:t xml:space="preserve"> </w:t>
      </w:r>
    </w:p>
    <w:p w14:paraId="401B259B" w14:textId="77777777" w:rsidR="00902B54" w:rsidRPr="00F65E5F" w:rsidRDefault="004A0CB3" w:rsidP="00902B54">
      <w:pPr>
        <w:pStyle w:val="H3"/>
        <w:spacing w:before="240" w:after="240"/>
        <w:rPr>
          <w:sz w:val="36"/>
          <w:szCs w:val="36"/>
        </w:rPr>
      </w:pPr>
      <w:r w:rsidRPr="00F65E5F">
        <w:rPr>
          <w:sz w:val="36"/>
          <w:szCs w:val="36"/>
        </w:rPr>
        <w:t xml:space="preserve">6.5. </w:t>
      </w:r>
      <w:r w:rsidR="00F65E5F" w:rsidRPr="00F65E5F">
        <w:rPr>
          <w:sz w:val="36"/>
          <w:szCs w:val="36"/>
        </w:rPr>
        <w:t>Valsts budžeta aizdevumi un aizdevumu atmaksas</w:t>
      </w:r>
    </w:p>
    <w:p w14:paraId="6C7E9195" w14:textId="77777777" w:rsidR="00F65E5F" w:rsidRPr="0068114D" w:rsidRDefault="00F65E5F" w:rsidP="00F65E5F">
      <w:pPr>
        <w:spacing w:after="0"/>
        <w:rPr>
          <w:szCs w:val="24"/>
        </w:rPr>
      </w:pPr>
      <w:r w:rsidRPr="0068114D">
        <w:rPr>
          <w:szCs w:val="24"/>
        </w:rPr>
        <w:t>Valsts pamatbudžeta aizdevumi (izsniegt</w:t>
      </w:r>
      <w:r w:rsidR="00A27827">
        <w:rPr>
          <w:szCs w:val="24"/>
        </w:rPr>
        <w:t>o</w:t>
      </w:r>
      <w:r w:rsidRPr="0068114D">
        <w:rPr>
          <w:szCs w:val="24"/>
        </w:rPr>
        <w:t xml:space="preserve"> aizdevum</w:t>
      </w:r>
      <w:r w:rsidR="00A27827">
        <w:rPr>
          <w:szCs w:val="24"/>
        </w:rPr>
        <w:t>u</w:t>
      </w:r>
      <w:r w:rsidRPr="0068114D">
        <w:rPr>
          <w:szCs w:val="24"/>
        </w:rPr>
        <w:t xml:space="preserve"> un izsniegto aizdevumu saņemtā</w:t>
      </w:r>
      <w:r w:rsidR="00A27827">
        <w:rPr>
          <w:szCs w:val="24"/>
        </w:rPr>
        <w:t>s</w:t>
      </w:r>
      <w:r w:rsidRPr="0068114D">
        <w:rPr>
          <w:szCs w:val="24"/>
        </w:rPr>
        <w:t xml:space="preserve"> atmaksa</w:t>
      </w:r>
      <w:r w:rsidR="00A27827">
        <w:rPr>
          <w:szCs w:val="24"/>
        </w:rPr>
        <w:t>s starpība</w:t>
      </w:r>
      <w:r w:rsidRPr="0068114D">
        <w:rPr>
          <w:szCs w:val="24"/>
        </w:rPr>
        <w:t xml:space="preserve">) 2019.gadā plānoti </w:t>
      </w:r>
      <w:r w:rsidR="00A27827">
        <w:rPr>
          <w:szCs w:val="24"/>
        </w:rPr>
        <w:t>(-</w:t>
      </w:r>
      <w:r w:rsidRPr="0068114D">
        <w:rPr>
          <w:szCs w:val="24"/>
        </w:rPr>
        <w:t>334,5</w:t>
      </w:r>
      <w:r w:rsidR="00A27827">
        <w:rPr>
          <w:szCs w:val="24"/>
        </w:rPr>
        <w:t>)</w:t>
      </w:r>
      <w:r w:rsidRPr="0068114D">
        <w:rPr>
          <w:szCs w:val="24"/>
        </w:rPr>
        <w:t xml:space="preserve"> milj. </w:t>
      </w:r>
      <w:proofErr w:type="spellStart"/>
      <w:r w:rsidRPr="0068114D">
        <w:rPr>
          <w:i/>
          <w:szCs w:val="24"/>
        </w:rPr>
        <w:t>euro</w:t>
      </w:r>
      <w:proofErr w:type="spellEnd"/>
      <w:r w:rsidRPr="0068114D">
        <w:rPr>
          <w:szCs w:val="24"/>
        </w:rPr>
        <w:t xml:space="preserve"> apmērā. </w:t>
      </w:r>
    </w:p>
    <w:p w14:paraId="4EA3FF02" w14:textId="77777777" w:rsidR="00F65E5F" w:rsidRPr="0068114D" w:rsidRDefault="00F65E5F" w:rsidP="00F65E5F">
      <w:pPr>
        <w:spacing w:after="0"/>
        <w:rPr>
          <w:szCs w:val="24"/>
        </w:rPr>
      </w:pPr>
      <w:r w:rsidRPr="0068114D">
        <w:rPr>
          <w:szCs w:val="24"/>
        </w:rPr>
        <w:t xml:space="preserve">Valsts budžeta izsniegtie aizdevumi plānoti 455,7 milj. </w:t>
      </w:r>
      <w:proofErr w:type="spellStart"/>
      <w:r w:rsidRPr="0068114D">
        <w:rPr>
          <w:i/>
          <w:szCs w:val="24"/>
        </w:rPr>
        <w:t>euro</w:t>
      </w:r>
      <w:proofErr w:type="spellEnd"/>
      <w:r w:rsidRPr="0068114D">
        <w:rPr>
          <w:szCs w:val="24"/>
        </w:rPr>
        <w:t xml:space="preserve"> apjomā, tajā skaitā:</w:t>
      </w:r>
    </w:p>
    <w:p w14:paraId="047ACF90" w14:textId="77777777" w:rsidR="00F65E5F" w:rsidRPr="0068114D" w:rsidRDefault="00F65E5F" w:rsidP="00F65E5F">
      <w:pPr>
        <w:numPr>
          <w:ilvl w:val="0"/>
          <w:numId w:val="48"/>
        </w:numPr>
        <w:spacing w:after="0"/>
        <w:ind w:left="1066" w:hanging="357"/>
        <w:jc w:val="left"/>
        <w:rPr>
          <w:szCs w:val="24"/>
        </w:rPr>
      </w:pPr>
      <w:r w:rsidRPr="0068114D">
        <w:rPr>
          <w:szCs w:val="24"/>
        </w:rPr>
        <w:t xml:space="preserve">97,2 milj. </w:t>
      </w:r>
      <w:proofErr w:type="spellStart"/>
      <w:r w:rsidRPr="0068114D">
        <w:rPr>
          <w:i/>
          <w:szCs w:val="24"/>
        </w:rPr>
        <w:t>euro</w:t>
      </w:r>
      <w:proofErr w:type="spellEnd"/>
      <w:r w:rsidRPr="0068114D">
        <w:rPr>
          <w:szCs w:val="24"/>
        </w:rPr>
        <w:t xml:space="preserve"> valsts struktūrām;</w:t>
      </w:r>
    </w:p>
    <w:p w14:paraId="76798700" w14:textId="77777777" w:rsidR="00F65E5F" w:rsidRPr="0068114D" w:rsidRDefault="00F65E5F" w:rsidP="00F65E5F">
      <w:pPr>
        <w:numPr>
          <w:ilvl w:val="0"/>
          <w:numId w:val="48"/>
        </w:numPr>
        <w:spacing w:after="0"/>
        <w:ind w:left="1066" w:hanging="357"/>
        <w:jc w:val="left"/>
        <w:rPr>
          <w:szCs w:val="24"/>
        </w:rPr>
      </w:pPr>
      <w:r w:rsidRPr="0068114D">
        <w:rPr>
          <w:szCs w:val="24"/>
        </w:rPr>
        <w:t xml:space="preserve">256,2 milj. </w:t>
      </w:r>
      <w:proofErr w:type="spellStart"/>
      <w:r w:rsidRPr="0068114D">
        <w:rPr>
          <w:i/>
          <w:szCs w:val="24"/>
        </w:rPr>
        <w:t>euro</w:t>
      </w:r>
      <w:proofErr w:type="spellEnd"/>
      <w:r w:rsidRPr="0068114D">
        <w:rPr>
          <w:szCs w:val="24"/>
        </w:rPr>
        <w:t xml:space="preserve"> aizdevumiem pašvaldību struktūrām;</w:t>
      </w:r>
    </w:p>
    <w:p w14:paraId="2F3CF3FA" w14:textId="77777777" w:rsidR="00F65E5F" w:rsidRPr="0068114D" w:rsidRDefault="00F65E5F" w:rsidP="00F65E5F">
      <w:pPr>
        <w:numPr>
          <w:ilvl w:val="0"/>
          <w:numId w:val="48"/>
        </w:numPr>
        <w:spacing w:after="0"/>
        <w:ind w:left="1066" w:hanging="357"/>
        <w:jc w:val="left"/>
        <w:rPr>
          <w:szCs w:val="24"/>
        </w:rPr>
      </w:pPr>
      <w:r w:rsidRPr="0068114D">
        <w:rPr>
          <w:szCs w:val="24"/>
        </w:rPr>
        <w:lastRenderedPageBreak/>
        <w:t xml:space="preserve">102,3 milj. </w:t>
      </w:r>
      <w:proofErr w:type="spellStart"/>
      <w:r w:rsidRPr="0068114D">
        <w:rPr>
          <w:i/>
          <w:szCs w:val="24"/>
        </w:rPr>
        <w:t>euro</w:t>
      </w:r>
      <w:proofErr w:type="spellEnd"/>
      <w:r w:rsidRPr="0068114D">
        <w:rPr>
          <w:szCs w:val="24"/>
        </w:rPr>
        <w:t xml:space="preserve"> aizdevumiem </w:t>
      </w:r>
      <w:proofErr w:type="spellStart"/>
      <w:r w:rsidRPr="0068114D">
        <w:rPr>
          <w:szCs w:val="24"/>
        </w:rPr>
        <w:t>nefinanšu</w:t>
      </w:r>
      <w:proofErr w:type="spellEnd"/>
      <w:r w:rsidRPr="0068114D">
        <w:rPr>
          <w:szCs w:val="24"/>
        </w:rPr>
        <w:t xml:space="preserve"> komersantiem, finanšu iestādēm un nerezidentiem.</w:t>
      </w:r>
    </w:p>
    <w:p w14:paraId="506883BA" w14:textId="77777777" w:rsidR="00F65E5F" w:rsidRPr="0068114D" w:rsidRDefault="00F65E5F" w:rsidP="00F65E5F">
      <w:pPr>
        <w:spacing w:after="0"/>
        <w:ind w:firstLine="720"/>
      </w:pPr>
      <w:r w:rsidRPr="0068114D">
        <w:t xml:space="preserve">Saskaņā ar </w:t>
      </w:r>
      <w:r w:rsidR="00A27827">
        <w:t xml:space="preserve">iepriekšējos gados </w:t>
      </w:r>
      <w:r w:rsidRPr="0068114D">
        <w:t xml:space="preserve">noslēgtajos līgumos iekļautajiem aizdevumu atmaksas grafikiem 2019.gadā valsts aizdevumu atmaksa plānota 121,2  milj. </w:t>
      </w:r>
      <w:proofErr w:type="spellStart"/>
      <w:r w:rsidRPr="0068114D">
        <w:rPr>
          <w:i/>
        </w:rPr>
        <w:t>euro</w:t>
      </w:r>
      <w:proofErr w:type="spellEnd"/>
      <w:r w:rsidRPr="0068114D">
        <w:rPr>
          <w:b/>
        </w:rPr>
        <w:t xml:space="preserve"> </w:t>
      </w:r>
      <w:r w:rsidRPr="0068114D">
        <w:t>apmērā, tajā skaitā:</w:t>
      </w:r>
    </w:p>
    <w:p w14:paraId="54926277" w14:textId="77777777" w:rsidR="00F65E5F" w:rsidRPr="0068114D" w:rsidRDefault="00F65E5F" w:rsidP="00F65E5F">
      <w:pPr>
        <w:numPr>
          <w:ilvl w:val="0"/>
          <w:numId w:val="47"/>
        </w:numPr>
        <w:tabs>
          <w:tab w:val="num" w:pos="-2268"/>
        </w:tabs>
        <w:spacing w:after="0"/>
        <w:ind w:left="1072" w:hanging="363"/>
        <w:jc w:val="left"/>
        <w:rPr>
          <w:szCs w:val="24"/>
        </w:rPr>
      </w:pPr>
      <w:r w:rsidRPr="0068114D">
        <w:rPr>
          <w:szCs w:val="24"/>
        </w:rPr>
        <w:t xml:space="preserve">no valsts struktūrām – 1,6 milj. </w:t>
      </w:r>
      <w:proofErr w:type="spellStart"/>
      <w:r w:rsidRPr="0068114D">
        <w:rPr>
          <w:i/>
          <w:szCs w:val="24"/>
        </w:rPr>
        <w:t>euro</w:t>
      </w:r>
      <w:proofErr w:type="spellEnd"/>
      <w:r w:rsidRPr="0068114D">
        <w:rPr>
          <w:szCs w:val="24"/>
        </w:rPr>
        <w:t>;</w:t>
      </w:r>
    </w:p>
    <w:p w14:paraId="0ED85EA7" w14:textId="77777777" w:rsidR="00F65E5F" w:rsidRPr="0068114D" w:rsidRDefault="00F65E5F" w:rsidP="00F65E5F">
      <w:pPr>
        <w:numPr>
          <w:ilvl w:val="0"/>
          <w:numId w:val="47"/>
        </w:numPr>
        <w:tabs>
          <w:tab w:val="num" w:pos="-2268"/>
        </w:tabs>
        <w:spacing w:after="0"/>
        <w:ind w:left="1072" w:hanging="363"/>
        <w:jc w:val="left"/>
        <w:rPr>
          <w:szCs w:val="24"/>
        </w:rPr>
      </w:pPr>
      <w:r w:rsidRPr="0068114D">
        <w:rPr>
          <w:szCs w:val="24"/>
        </w:rPr>
        <w:t xml:space="preserve">no pašvaldību struktūrām – 112,7 milj. </w:t>
      </w:r>
      <w:proofErr w:type="spellStart"/>
      <w:r w:rsidRPr="0068114D">
        <w:rPr>
          <w:i/>
          <w:szCs w:val="24"/>
        </w:rPr>
        <w:t>euro</w:t>
      </w:r>
      <w:proofErr w:type="spellEnd"/>
      <w:r w:rsidRPr="0068114D">
        <w:rPr>
          <w:szCs w:val="24"/>
        </w:rPr>
        <w:t>;</w:t>
      </w:r>
    </w:p>
    <w:p w14:paraId="1DB3E3F8" w14:textId="77777777" w:rsidR="00F65E5F" w:rsidRPr="0068114D" w:rsidRDefault="00F65E5F" w:rsidP="00F65E5F">
      <w:pPr>
        <w:numPr>
          <w:ilvl w:val="0"/>
          <w:numId w:val="47"/>
        </w:numPr>
        <w:tabs>
          <w:tab w:val="num" w:pos="-2268"/>
        </w:tabs>
        <w:spacing w:after="0"/>
        <w:ind w:left="1072" w:hanging="363"/>
        <w:jc w:val="left"/>
        <w:rPr>
          <w:szCs w:val="24"/>
        </w:rPr>
      </w:pPr>
      <w:r w:rsidRPr="0068114D">
        <w:rPr>
          <w:szCs w:val="24"/>
        </w:rPr>
        <w:t xml:space="preserve">no </w:t>
      </w:r>
      <w:proofErr w:type="spellStart"/>
      <w:r w:rsidRPr="0068114D">
        <w:rPr>
          <w:szCs w:val="24"/>
        </w:rPr>
        <w:t>nefinanšu</w:t>
      </w:r>
      <w:proofErr w:type="spellEnd"/>
      <w:r w:rsidRPr="0068114D">
        <w:rPr>
          <w:szCs w:val="24"/>
        </w:rPr>
        <w:t xml:space="preserve"> komersantiem – 6,9 milj. </w:t>
      </w:r>
      <w:proofErr w:type="spellStart"/>
      <w:r w:rsidRPr="0068114D">
        <w:rPr>
          <w:i/>
          <w:szCs w:val="24"/>
        </w:rPr>
        <w:t>euro</w:t>
      </w:r>
      <w:proofErr w:type="spellEnd"/>
      <w:r w:rsidRPr="0068114D">
        <w:rPr>
          <w:szCs w:val="24"/>
        </w:rPr>
        <w:t>.</w:t>
      </w:r>
    </w:p>
    <w:p w14:paraId="193D5685" w14:textId="77777777" w:rsidR="00902B54" w:rsidRDefault="00902B54" w:rsidP="00902B54">
      <w:pPr>
        <w:pStyle w:val="virsr2"/>
        <w:pBdr>
          <w:bottom w:val="none" w:sz="0" w:space="0" w:color="auto"/>
        </w:pBdr>
        <w:spacing w:before="0" w:after="0"/>
        <w:rPr>
          <w:rFonts w:ascii="Times New Roman" w:hAnsi="Times New Roman"/>
        </w:rPr>
      </w:pPr>
    </w:p>
    <w:p w14:paraId="612CF359" w14:textId="77777777" w:rsidR="00902B54" w:rsidRPr="004A0CB3" w:rsidRDefault="004A0CB3" w:rsidP="00902B54">
      <w:pPr>
        <w:pStyle w:val="virsr2"/>
        <w:pBdr>
          <w:bottom w:val="none" w:sz="0" w:space="0" w:color="auto"/>
        </w:pBdr>
        <w:spacing w:before="0" w:after="0"/>
        <w:rPr>
          <w:rFonts w:ascii="Times New Roman" w:hAnsi="Times New Roman"/>
          <w:sz w:val="36"/>
          <w:szCs w:val="36"/>
        </w:rPr>
      </w:pPr>
      <w:r>
        <w:rPr>
          <w:rFonts w:ascii="Times New Roman" w:hAnsi="Times New Roman"/>
          <w:sz w:val="36"/>
          <w:szCs w:val="36"/>
        </w:rPr>
        <w:t xml:space="preserve">6.6. </w:t>
      </w:r>
      <w:r w:rsidR="00902B54" w:rsidRPr="004A0CB3">
        <w:rPr>
          <w:rFonts w:ascii="Times New Roman" w:hAnsi="Times New Roman"/>
          <w:sz w:val="36"/>
          <w:szCs w:val="36"/>
        </w:rPr>
        <w:t>Valsts aizdevumu un debitoru parādsaistību dzēšana</w:t>
      </w:r>
    </w:p>
    <w:p w14:paraId="14807EAB" w14:textId="77777777" w:rsidR="00902B54" w:rsidRDefault="00902B54" w:rsidP="00902B54"/>
    <w:p w14:paraId="208817BA" w14:textId="77777777" w:rsidR="00902B54" w:rsidRPr="00CA0CE2" w:rsidRDefault="00902B54" w:rsidP="00902B54">
      <w:pPr>
        <w:widowControl w:val="0"/>
        <w:ind w:firstLine="720"/>
      </w:pPr>
      <w:r w:rsidRPr="00CA0CE2">
        <w:t xml:space="preserve">Katru gadu gadskārtējā likumā par valsts budžetu tiek noteikts attiecīgajā gadā pieļaujamais likvidēto uzņēmumu (uzņēmējsabiedrību) vai komercsabiedrību norakstāmo parādsaistību, kuru aizdevuma ņēmējs palicis parādā valstij un kuru piedziņa vairs nav iespējama, apjoms. Šajā gadījumā likvidēto uzņēmumu (uzņēmējsabiedrību) parādsaistību norakstīšana tiek veikta saskaņā ar Ministru kabineta 2003. </w:t>
      </w:r>
      <w:r w:rsidR="00A4244C">
        <w:t>gada 15. jūlija noteikumiem Nr. </w:t>
      </w:r>
      <w:r w:rsidRPr="00CA0CE2">
        <w:t>389 “Kārtībā, kādā finanšu ministrs dzēš valsts aizdevumus” (turpmāk – MK noteikumi Nr. 389).</w:t>
      </w:r>
    </w:p>
    <w:p w14:paraId="2002F77D" w14:textId="77777777" w:rsidR="00902B54" w:rsidRPr="00CA0CE2" w:rsidRDefault="00902B54" w:rsidP="00902B54">
      <w:pPr>
        <w:widowControl w:val="0"/>
        <w:ind w:firstLine="720"/>
      </w:pPr>
      <w:r w:rsidRPr="00CA0CE2">
        <w:t xml:space="preserve">Pamatojoties uz Ministru kabineta 1994. gada 22. marta </w:t>
      </w:r>
      <w:proofErr w:type="spellStart"/>
      <w:r w:rsidRPr="00CA0CE2">
        <w:t>protokollēmuma</w:t>
      </w:r>
      <w:proofErr w:type="spellEnd"/>
      <w:r w:rsidRPr="00CA0CE2">
        <w:t xml:space="preserve"> Nr.16 1.paragrāfu “Par Latvijas Universālās bankas un Latvijas Krājbankas rehabilitācijas programmām” un 1994. gada 12. maija līgumiem “Latvijas valsts iekšējā aizņēmuma ilgtermiņa parādzīmju izlaišanas un izvietošanas līgums”, kas noslēgti starp Latvijas Republiku, VAS “Latvijas Krājbanka”, VAS “Latvijas Universālā banka” (tagad AS “SEB banka”), tika emitētas valsts iekšējā aizņēmuma ilgtermiņa parādzīmes, kuras aizstāja VAS “Latvijas Krājbanka” un VAS “Latvijas Universālā banka” izsniegtos kredītus, kas tika atzīti par sliktiem, nododot tos Latvijas Republikai, kuri attiecīgi tika uzskaitīti valsts bilancē kā pārņemtie aizdevumi (valsts aizdevumi). Vienlaikus 1994. gada 12. maijā un 1994. gada 15. aprīlī starp Finanšu ministriju, VAS ”Latvijas Krājbanka” un VAS ”Latvijas Universālā banka” tika noslēgti pilnvarojuma līgumi, saskaņā ar kuriem Finanšu ministrija pilnvaroja VAS ”Latvijas Krājbanka” un VAS ”Latvijas Universālā banka” (turpmāk – kredītiestādes) veikt kredītu, kuri saskaņā ar šo līgumu 1. pielikumu tika atzīti par sliktajiem kredītiem, piedziņu. Līdz ar to likumprojektā “Par valsts budžetu 2019. gadam” iekļauts pants par likvidēto debitoru parādsaistību norakstīšanu 2019.gadā 13</w:t>
      </w:r>
      <w:r>
        <w:t>,</w:t>
      </w:r>
      <w:r w:rsidRPr="00CA0CE2">
        <w:t>0</w:t>
      </w:r>
      <w:r>
        <w:t xml:space="preserve"> milj.</w:t>
      </w:r>
      <w:r w:rsidRPr="00CA0CE2">
        <w:t xml:space="preserve"> </w:t>
      </w:r>
      <w:proofErr w:type="spellStart"/>
      <w:r w:rsidRPr="00497D26">
        <w:rPr>
          <w:i/>
        </w:rPr>
        <w:t>euro</w:t>
      </w:r>
      <w:proofErr w:type="spellEnd"/>
      <w:r w:rsidRPr="00CA0CE2">
        <w:t xml:space="preserve"> apmērā.</w:t>
      </w:r>
    </w:p>
    <w:p w14:paraId="2CDD43BD" w14:textId="77777777" w:rsidR="00902B54" w:rsidRPr="000756EF" w:rsidRDefault="00902B54" w:rsidP="00902B54">
      <w:pPr>
        <w:widowControl w:val="0"/>
        <w:ind w:firstLine="720"/>
        <w:rPr>
          <w:rFonts w:eastAsia="Calibri"/>
          <w:szCs w:val="24"/>
        </w:rPr>
      </w:pPr>
      <w:r w:rsidRPr="00CA0CE2">
        <w:t xml:space="preserve">MK noteikumu Nr.389 3.punkts nosaka, ka, lai dzēstu valsts aizdevumu, Valsts kasei ir jāiesniedz Finanšu ministrijā vairāki dokumenti, tai skaitā arī Uzņēmumu reģistra (komercreģistra) izziņa par uzņēmuma izslēgšanu no Uzņēmumu reģistra (komercreģistra) un informācija par darbībām, kas veiktas likvidētā uzņēmuma parādsaistību piedziņas procesā. Valsts kases rīcībā ir individuālo uzņēmumu, zemnieku saimniecību (turpmāk tekstā -  subjekti) </w:t>
      </w:r>
      <w:proofErr w:type="spellStart"/>
      <w:r w:rsidRPr="00CA0CE2">
        <w:t>kredītlietas</w:t>
      </w:r>
      <w:proofErr w:type="spellEnd"/>
      <w:r w:rsidRPr="00CA0CE2">
        <w:t xml:space="preserve">, kurām lielākā daļa kredītu ir izsniegti no 1992. gada līdz 1994. gadam un kuri saskaņā ar noslēgtajiem pilnvarojuma līgumiem bija nodoti apkalpošanā un piedziņas darbību veikšanai kredītiestādēm, kuras pašlaik jau ir likvidētas. Minētās </w:t>
      </w:r>
      <w:proofErr w:type="spellStart"/>
      <w:r w:rsidRPr="00CA0CE2">
        <w:t>kredītlietas</w:t>
      </w:r>
      <w:proofErr w:type="spellEnd"/>
      <w:r w:rsidRPr="00CA0CE2">
        <w:t xml:space="preserve"> Valsts kase ir pārņēmusi 2014. gadā un atbilstoši </w:t>
      </w:r>
      <w:proofErr w:type="spellStart"/>
      <w:r w:rsidRPr="00CA0CE2">
        <w:t>kredītlietu</w:t>
      </w:r>
      <w:proofErr w:type="spellEnd"/>
      <w:r w:rsidRPr="00CA0CE2">
        <w:t xml:space="preserve"> dokumentiem kredītu piedziņa nav iespējama un ir iestājies noilgums attiecībā uz šiem subjektiem: Žaunas uzņēmums “Livonija”, Līvijas </w:t>
      </w:r>
      <w:proofErr w:type="spellStart"/>
      <w:r w:rsidRPr="00CA0CE2">
        <w:t>Seipellajevas</w:t>
      </w:r>
      <w:proofErr w:type="spellEnd"/>
      <w:r w:rsidRPr="00CA0CE2">
        <w:t xml:space="preserve"> individuālais uzņēmums “Rolands”, Jelgavas Kapusta individuālais daudznozaru uzņēmums “</w:t>
      </w:r>
      <w:proofErr w:type="spellStart"/>
      <w:r w:rsidRPr="00CA0CE2">
        <w:t>Kriste</w:t>
      </w:r>
      <w:proofErr w:type="spellEnd"/>
      <w:r w:rsidRPr="00CA0CE2">
        <w:t>”, Limbažu rajona Limbažu pagasta zemnieku saimniecība “</w:t>
      </w:r>
      <w:proofErr w:type="spellStart"/>
      <w:r w:rsidRPr="00CA0CE2">
        <w:t>Rēzas</w:t>
      </w:r>
      <w:proofErr w:type="spellEnd"/>
      <w:r w:rsidRPr="00CA0CE2">
        <w:t>”, zemnieku saimniecība “</w:t>
      </w:r>
      <w:proofErr w:type="spellStart"/>
      <w:r w:rsidRPr="00CA0CE2">
        <w:t>Zilmeži</w:t>
      </w:r>
      <w:proofErr w:type="spellEnd"/>
      <w:r w:rsidRPr="00CA0CE2">
        <w:t xml:space="preserve">”. Līdz ar to, lai varētu nodrošināt minēto subjektu faktiski neatgūstamo aizdevumu, kuri atbilstoši Ministru kabineta 1994. gada 22. marta sēdes protokola Nr.16 1.paragrāfam “Par Latvijas Universālās bankas un Latvijas Krājbankas rehabilitācijas programmām” 1994. gadā pārņemti no AS “Latvijas Krājbanka” un AS “Latvijas Universālā banka” (tagad AS “SEB banka”) kā minēto kredītiestāžu sliktie kredīti vai izsniegti G 24 un Pasaules Bankas </w:t>
      </w:r>
      <w:proofErr w:type="spellStart"/>
      <w:r w:rsidRPr="00CA0CE2">
        <w:t>tālākaizdevumu</w:t>
      </w:r>
      <w:proofErr w:type="spellEnd"/>
      <w:r w:rsidRPr="00CA0CE2">
        <w:t xml:space="preserve"> ietvaros, un kuru piedziņa tiek vērtēta kā neiespējama, </w:t>
      </w:r>
      <w:r w:rsidRPr="00CA0CE2">
        <w:lastRenderedPageBreak/>
        <w:t xml:space="preserve">dzēšanu, likumprojekts “Par valsts budžetu 2019. gadam” paredz šo debitoru parādsaistību norakstīšanu 2019. gadā līdz 94 619,64 </w:t>
      </w:r>
      <w:proofErr w:type="spellStart"/>
      <w:r w:rsidRPr="00A305E0">
        <w:rPr>
          <w:i/>
        </w:rPr>
        <w:t>euro</w:t>
      </w:r>
      <w:proofErr w:type="spellEnd"/>
      <w:r w:rsidRPr="00CA0CE2">
        <w:t xml:space="preserve"> apmērā, nepiemērojot MK noteikumos Nr. 389 noteikto vispārējo valsts aizdevumu dzēšanas kārtību.</w:t>
      </w:r>
    </w:p>
    <w:p w14:paraId="3F7C6E85" w14:textId="77777777" w:rsidR="00E20C7B" w:rsidRPr="00902B54" w:rsidRDefault="00E20C7B" w:rsidP="00902B54"/>
    <w:sectPr w:rsidR="00E20C7B" w:rsidRPr="00902B54" w:rsidSect="004B38A2">
      <w:headerReference w:type="even" r:id="rId15"/>
      <w:headerReference w:type="default" r:id="rId16"/>
      <w:footerReference w:type="default" r:id="rId17"/>
      <w:pgSz w:w="11906" w:h="16838" w:code="9"/>
      <w:pgMar w:top="1418" w:right="1134" w:bottom="1134" w:left="1701" w:header="720" w:footer="363" w:gutter="0"/>
      <w:pgNumType w:start="99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9524E" w14:textId="77777777" w:rsidR="00D87FA0" w:rsidRDefault="00D87FA0">
      <w:r>
        <w:separator/>
      </w:r>
    </w:p>
  </w:endnote>
  <w:endnote w:type="continuationSeparator" w:id="0">
    <w:p w14:paraId="7108F8F3" w14:textId="77777777" w:rsidR="00D87FA0" w:rsidRDefault="00D8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A98A" w14:textId="7A5BFE07" w:rsidR="007C7780" w:rsidRDefault="0002025E" w:rsidP="007C7780">
    <w:pPr>
      <w:pStyle w:val="Footer"/>
    </w:pPr>
    <w:r>
      <w:rPr>
        <w:noProof/>
      </w:rPr>
      <w:t>FMPask_P_090519_bud2019</w:t>
    </w:r>
  </w:p>
  <w:p w14:paraId="58D9B779" w14:textId="77777777" w:rsidR="007C7780" w:rsidRPr="007C7780" w:rsidRDefault="007C7780" w:rsidP="00064D3E">
    <w:pPr>
      <w:ind w:firstLine="0"/>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0898C" w14:textId="77777777" w:rsidR="00D87FA0" w:rsidRDefault="00D87FA0" w:rsidP="00D33C1B">
      <w:pPr>
        <w:spacing w:after="0"/>
        <w:ind w:firstLine="0"/>
      </w:pPr>
      <w:r>
        <w:separator/>
      </w:r>
    </w:p>
  </w:footnote>
  <w:footnote w:type="continuationSeparator" w:id="0">
    <w:p w14:paraId="3ECFD869" w14:textId="77777777" w:rsidR="00D87FA0" w:rsidRDefault="00D87FA0">
      <w:r>
        <w:continuationSeparator/>
      </w:r>
    </w:p>
  </w:footnote>
  <w:footnote w:id="1">
    <w:p w14:paraId="1DF4B3B1" w14:textId="77777777" w:rsidR="00902B54" w:rsidRPr="00261EC2" w:rsidRDefault="00902B54" w:rsidP="00EF611E">
      <w:pPr>
        <w:pStyle w:val="FootnoteText"/>
        <w:ind w:firstLine="0"/>
        <w:rPr>
          <w:lang w:val="es-ES"/>
        </w:rPr>
      </w:pPr>
      <w:r>
        <w:rPr>
          <w:rStyle w:val="FootnoteReference"/>
        </w:rPr>
        <w:footnoteRef/>
      </w:r>
      <w:r>
        <w:t xml:space="preserve"> pēc nacionālās metodoloģijas, bez atvasinātajiem finanšu instrumentiem </w:t>
      </w:r>
    </w:p>
  </w:footnote>
  <w:footnote w:id="2">
    <w:p w14:paraId="4F9E4785" w14:textId="77777777" w:rsidR="00902B54" w:rsidRDefault="00902B54" w:rsidP="00EF611E">
      <w:pPr>
        <w:pStyle w:val="FootnoteText"/>
        <w:ind w:firstLine="0"/>
      </w:pPr>
      <w:r>
        <w:rPr>
          <w:rStyle w:val="FootnoteReference"/>
        </w:rPr>
        <w:footnoteRef/>
      </w:r>
      <w:r>
        <w:t xml:space="preserve"> Pie vispārējās valdības institucionālā sektora pieklasificēto uzņēmumu saraksts publicēts Centrālā statistikas pārvaldes mājas lapā </w:t>
      </w:r>
      <w:hyperlink r:id="rId1" w:history="1">
        <w:r w:rsidRPr="0029199E">
          <w:rPr>
            <w:rStyle w:val="Hyperlink"/>
          </w:rPr>
          <w:t>www.csb.gov.lv</w:t>
        </w:r>
      </w:hyperlink>
      <w:r>
        <w:t xml:space="preserve"> sadaļā “</w:t>
      </w:r>
      <w:r w:rsidRPr="00C86643">
        <w:t>Institucionālo sektoru klasifikācija (nacionālā)</w:t>
      </w:r>
      <w:r>
        <w:t>”</w:t>
      </w:r>
    </w:p>
  </w:footnote>
  <w:footnote w:id="3">
    <w:p w14:paraId="062A9854" w14:textId="77777777" w:rsidR="00902B54" w:rsidRDefault="00902B54" w:rsidP="00EF611E">
      <w:pPr>
        <w:pStyle w:val="FootnoteText"/>
        <w:ind w:firstLine="0"/>
      </w:pPr>
      <w:r>
        <w:rPr>
          <w:rStyle w:val="FootnoteReference"/>
        </w:rPr>
        <w:footnoteRef/>
      </w:r>
      <w:r>
        <w:t xml:space="preserve"> N</w:t>
      </w:r>
      <w:r w:rsidRPr="00833CCC">
        <w:t xml:space="preserve">etiek iekļautas ārstniecības iestāžu valsts galvotās saistības pret FMS </w:t>
      </w:r>
      <w:proofErr w:type="spellStart"/>
      <w:r w:rsidRPr="00833CCC">
        <w:t>Wertmanagement</w:t>
      </w:r>
      <w:proofErr w:type="spellEnd"/>
      <w:r w:rsidRPr="00833CCC">
        <w:t xml:space="preserve"> </w:t>
      </w:r>
      <w:proofErr w:type="spellStart"/>
      <w:r w:rsidRPr="00833CCC">
        <w:t>AöR</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30FAC" w14:textId="77777777" w:rsidR="00AA51AB" w:rsidRDefault="003D7C9D">
    <w:pPr>
      <w:pStyle w:val="Header"/>
      <w:framePr w:wrap="around" w:vAnchor="text" w:hAnchor="margin" w:xAlign="center" w:y="1"/>
      <w:rPr>
        <w:rStyle w:val="PageNumber"/>
      </w:rPr>
    </w:pPr>
    <w:r>
      <w:rPr>
        <w:rStyle w:val="PageNumber"/>
      </w:rPr>
      <w:fldChar w:fldCharType="begin"/>
    </w:r>
    <w:r w:rsidR="00AA51AB">
      <w:rPr>
        <w:rStyle w:val="PageNumber"/>
      </w:rPr>
      <w:instrText xml:space="preserve">PAGE  </w:instrText>
    </w:r>
    <w:r>
      <w:rPr>
        <w:rStyle w:val="PageNumber"/>
      </w:rPr>
      <w:fldChar w:fldCharType="separate"/>
    </w:r>
    <w:r w:rsidR="001F358D">
      <w:rPr>
        <w:rStyle w:val="PageNumber"/>
        <w:noProof/>
      </w:rPr>
      <w:t>89</w:t>
    </w:r>
    <w:r>
      <w:rPr>
        <w:rStyle w:val="PageNumber"/>
      </w:rPr>
      <w:fldChar w:fldCharType="end"/>
    </w:r>
  </w:p>
  <w:p w14:paraId="430D175F" w14:textId="77777777" w:rsidR="00AA51AB" w:rsidRDefault="00AA5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605754"/>
      <w:docPartObj>
        <w:docPartGallery w:val="Page Numbers (Top of Page)"/>
        <w:docPartUnique/>
      </w:docPartObj>
    </w:sdtPr>
    <w:sdtEndPr>
      <w:rPr>
        <w:noProof/>
      </w:rPr>
    </w:sdtEndPr>
    <w:sdtContent>
      <w:p w14:paraId="6F245623" w14:textId="1E9740DE" w:rsidR="00975FDC" w:rsidRDefault="00975FDC">
        <w:pPr>
          <w:pStyle w:val="Header"/>
          <w:jc w:val="center"/>
        </w:pPr>
        <w:r>
          <w:fldChar w:fldCharType="begin"/>
        </w:r>
        <w:r>
          <w:instrText xml:space="preserve"> PAGE   \* MERGEFORMAT </w:instrText>
        </w:r>
        <w:r>
          <w:fldChar w:fldCharType="separate"/>
        </w:r>
        <w:r w:rsidR="004B38A2">
          <w:rPr>
            <w:noProof/>
          </w:rPr>
          <w:t>1004</w:t>
        </w:r>
        <w:r>
          <w:rPr>
            <w:noProof/>
          </w:rPr>
          <w:fldChar w:fldCharType="end"/>
        </w:r>
      </w:p>
    </w:sdtContent>
  </w:sdt>
  <w:p w14:paraId="60095F2B" w14:textId="77777777" w:rsidR="00975FDC" w:rsidRDefault="00975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4165"/>
    <w:multiLevelType w:val="hybridMultilevel"/>
    <w:tmpl w:val="2722CCA8"/>
    <w:lvl w:ilvl="0" w:tplc="0426000D">
      <w:start w:val="1"/>
      <w:numFmt w:val="bullet"/>
      <w:lvlText w:val=""/>
      <w:lvlJc w:val="left"/>
      <w:pPr>
        <w:ind w:left="1429" w:hanging="360"/>
      </w:pPr>
      <w:rPr>
        <w:rFonts w:ascii="Wingdings" w:hAnsi="Wingdings" w:hint="default"/>
      </w:rPr>
    </w:lvl>
    <w:lvl w:ilvl="1" w:tplc="0426000D">
      <w:start w:val="1"/>
      <w:numFmt w:val="bullet"/>
      <w:lvlText w:val=""/>
      <w:lvlJc w:val="left"/>
      <w:pPr>
        <w:ind w:left="2149" w:hanging="360"/>
      </w:pPr>
      <w:rPr>
        <w:rFonts w:ascii="Wingdings" w:hAnsi="Wingdings"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04234F08"/>
    <w:multiLevelType w:val="hybridMultilevel"/>
    <w:tmpl w:val="713A54EE"/>
    <w:lvl w:ilvl="0" w:tplc="0426000D">
      <w:start w:val="1"/>
      <w:numFmt w:val="bullet"/>
      <w:lvlText w:val=""/>
      <w:lvlJc w:val="left"/>
      <w:pPr>
        <w:ind w:left="1080" w:hanging="360"/>
      </w:pPr>
      <w:rPr>
        <w:rFonts w:ascii="Wingdings" w:hAnsi="Wingdings" w:hint="default"/>
      </w:rPr>
    </w:lvl>
    <w:lvl w:ilvl="1" w:tplc="0426000D">
      <w:start w:val="1"/>
      <w:numFmt w:val="bullet"/>
      <w:lvlText w:val=""/>
      <w:lvlJc w:val="left"/>
      <w:pPr>
        <w:ind w:left="1800" w:hanging="360"/>
      </w:pPr>
      <w:rPr>
        <w:rFonts w:ascii="Wingdings" w:hAnsi="Wingdings"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6D82D36"/>
    <w:multiLevelType w:val="hybridMultilevel"/>
    <w:tmpl w:val="9752C30E"/>
    <w:lvl w:ilvl="0" w:tplc="A6F45C9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9857257"/>
    <w:multiLevelType w:val="hybridMultilevel"/>
    <w:tmpl w:val="88B297F6"/>
    <w:lvl w:ilvl="0" w:tplc="0426000D">
      <w:start w:val="1"/>
      <w:numFmt w:val="bullet"/>
      <w:lvlText w:val=""/>
      <w:lvlJc w:val="left"/>
      <w:pPr>
        <w:ind w:left="1485" w:hanging="360"/>
      </w:pPr>
      <w:rPr>
        <w:rFonts w:ascii="Wingdings" w:hAnsi="Wingdings"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4" w15:restartNumberingAfterBreak="0">
    <w:nsid w:val="09C8781F"/>
    <w:multiLevelType w:val="hybridMultilevel"/>
    <w:tmpl w:val="43707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DD57E1"/>
    <w:multiLevelType w:val="hybridMultilevel"/>
    <w:tmpl w:val="02EED932"/>
    <w:lvl w:ilvl="0" w:tplc="73F850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07C05A8"/>
    <w:multiLevelType w:val="hybridMultilevel"/>
    <w:tmpl w:val="3F481AF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10CA38B7"/>
    <w:multiLevelType w:val="hybridMultilevel"/>
    <w:tmpl w:val="331AF844"/>
    <w:lvl w:ilvl="0" w:tplc="AB1E5318">
      <w:start w:val="1"/>
      <w:numFmt w:val="decimal"/>
      <w:lvlText w:val="%1."/>
      <w:lvlJc w:val="left"/>
      <w:pPr>
        <w:ind w:left="1834" w:hanging="112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13816C6D"/>
    <w:multiLevelType w:val="hybridMultilevel"/>
    <w:tmpl w:val="9B0237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9A4FC6"/>
    <w:multiLevelType w:val="hybridMultilevel"/>
    <w:tmpl w:val="6FAA4958"/>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 w15:restartNumberingAfterBreak="0">
    <w:nsid w:val="189C46AF"/>
    <w:multiLevelType w:val="hybridMultilevel"/>
    <w:tmpl w:val="F77274C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1F5A6A49"/>
    <w:multiLevelType w:val="hybridMultilevel"/>
    <w:tmpl w:val="A1DC1A18"/>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21131B25"/>
    <w:multiLevelType w:val="hybridMultilevel"/>
    <w:tmpl w:val="47608EDC"/>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3" w15:restartNumberingAfterBreak="0">
    <w:nsid w:val="23E07E28"/>
    <w:multiLevelType w:val="hybridMultilevel"/>
    <w:tmpl w:val="4348A642"/>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665A0E"/>
    <w:multiLevelType w:val="hybridMultilevel"/>
    <w:tmpl w:val="0E6CC7B6"/>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273728BE"/>
    <w:multiLevelType w:val="hybridMultilevel"/>
    <w:tmpl w:val="832463CE"/>
    <w:lvl w:ilvl="0" w:tplc="0426000D">
      <w:start w:val="1"/>
      <w:numFmt w:val="bullet"/>
      <w:lvlText w:val=""/>
      <w:lvlJc w:val="left"/>
      <w:pPr>
        <w:ind w:left="1429" w:hanging="360"/>
      </w:pPr>
      <w:rPr>
        <w:rFonts w:ascii="Wingdings" w:hAnsi="Wingdings"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2877191E"/>
    <w:multiLevelType w:val="hybridMultilevel"/>
    <w:tmpl w:val="B130F964"/>
    <w:lvl w:ilvl="0" w:tplc="0426000D">
      <w:start w:val="1"/>
      <w:numFmt w:val="bullet"/>
      <w:lvlText w:val=""/>
      <w:lvlJc w:val="left"/>
      <w:pPr>
        <w:ind w:left="1800" w:hanging="360"/>
      </w:pPr>
      <w:rPr>
        <w:rFonts w:ascii="Wingdings" w:hAnsi="Wingdings"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7" w15:restartNumberingAfterBreak="0">
    <w:nsid w:val="2D0F5A02"/>
    <w:multiLevelType w:val="hybridMultilevel"/>
    <w:tmpl w:val="02BE912E"/>
    <w:lvl w:ilvl="0" w:tplc="0426000D">
      <w:start w:val="1"/>
      <w:numFmt w:val="bullet"/>
      <w:lvlText w:val=""/>
      <w:lvlJc w:val="left"/>
      <w:pPr>
        <w:ind w:left="1080" w:hanging="360"/>
      </w:pPr>
      <w:rPr>
        <w:rFonts w:ascii="Wingdings" w:hAnsi="Wingdings" w:hint="default"/>
      </w:rPr>
    </w:lvl>
    <w:lvl w:ilvl="1" w:tplc="1E26F3B2">
      <w:numFmt w:val="bullet"/>
      <w:lvlText w:val=""/>
      <w:lvlJc w:val="left"/>
      <w:pPr>
        <w:ind w:left="1800" w:hanging="360"/>
      </w:pPr>
      <w:rPr>
        <w:rFonts w:ascii="Times New Roman" w:eastAsia="Times New Roman" w:hAnsi="Times New Roman" w:cs="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305C7D98"/>
    <w:multiLevelType w:val="hybridMultilevel"/>
    <w:tmpl w:val="2DF47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30E6EA3"/>
    <w:multiLevelType w:val="hybridMultilevel"/>
    <w:tmpl w:val="EBA22686"/>
    <w:lvl w:ilvl="0" w:tplc="0426000D">
      <w:start w:val="1"/>
      <w:numFmt w:val="bullet"/>
      <w:lvlText w:val=""/>
      <w:lvlJc w:val="left"/>
      <w:pPr>
        <w:ind w:left="1429" w:hanging="360"/>
      </w:pPr>
      <w:rPr>
        <w:rFonts w:ascii="Wingdings" w:hAnsi="Wingdings" w:hint="default"/>
      </w:rPr>
    </w:lvl>
    <w:lvl w:ilvl="1" w:tplc="61DC9894">
      <w:numFmt w:val="bullet"/>
      <w:lvlText w:val="•"/>
      <w:lvlJc w:val="left"/>
      <w:pPr>
        <w:ind w:left="3229" w:hanging="1440"/>
      </w:pPr>
      <w:rPr>
        <w:rFonts w:ascii="Times New Roman" w:eastAsia="Times New Roman" w:hAnsi="Times New Roman" w:cs="Times New Roman"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34A55D84"/>
    <w:multiLevelType w:val="hybridMultilevel"/>
    <w:tmpl w:val="A95469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7270A3"/>
    <w:multiLevelType w:val="hybridMultilevel"/>
    <w:tmpl w:val="79B8113A"/>
    <w:lvl w:ilvl="0" w:tplc="D07843C6">
      <w:start w:val="1"/>
      <w:numFmt w:val="decimal"/>
      <w:lvlText w:val="%1."/>
      <w:lvlJc w:val="left"/>
      <w:pPr>
        <w:ind w:left="1684" w:hanging="9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4246469A"/>
    <w:multiLevelType w:val="hybridMultilevel"/>
    <w:tmpl w:val="680C2A12"/>
    <w:lvl w:ilvl="0" w:tplc="0426000D">
      <w:start w:val="1"/>
      <w:numFmt w:val="bullet"/>
      <w:lvlText w:val=""/>
      <w:lvlJc w:val="left"/>
      <w:pPr>
        <w:ind w:left="1800" w:hanging="360"/>
      </w:pPr>
      <w:rPr>
        <w:rFonts w:ascii="Wingdings" w:hAnsi="Wingdings"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3" w15:restartNumberingAfterBreak="0">
    <w:nsid w:val="43E618E0"/>
    <w:multiLevelType w:val="hybridMultilevel"/>
    <w:tmpl w:val="E91C6C9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42B6403"/>
    <w:multiLevelType w:val="hybridMultilevel"/>
    <w:tmpl w:val="830494E0"/>
    <w:lvl w:ilvl="0" w:tplc="A216D246">
      <w:start w:val="1"/>
      <w:numFmt w:val="decimal"/>
      <w:lvlText w:val="%1."/>
      <w:lvlJc w:val="left"/>
      <w:pPr>
        <w:ind w:left="1684" w:hanging="9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45A20D9E"/>
    <w:multiLevelType w:val="hybridMultilevel"/>
    <w:tmpl w:val="3490FE16"/>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5CA1EE3"/>
    <w:multiLevelType w:val="hybridMultilevel"/>
    <w:tmpl w:val="29AE6738"/>
    <w:lvl w:ilvl="0" w:tplc="AFCEFD34">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4EF83A6F"/>
    <w:multiLevelType w:val="hybridMultilevel"/>
    <w:tmpl w:val="CF5C793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8" w15:restartNumberingAfterBreak="0">
    <w:nsid w:val="4FD86552"/>
    <w:multiLevelType w:val="hybridMultilevel"/>
    <w:tmpl w:val="F6FA7098"/>
    <w:lvl w:ilvl="0" w:tplc="47B2FC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17F487B"/>
    <w:multiLevelType w:val="hybridMultilevel"/>
    <w:tmpl w:val="CE0423F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52351536"/>
    <w:multiLevelType w:val="hybridMultilevel"/>
    <w:tmpl w:val="DCD0A286"/>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1" w15:restartNumberingAfterBreak="0">
    <w:nsid w:val="58835AF9"/>
    <w:multiLevelType w:val="hybridMultilevel"/>
    <w:tmpl w:val="C1402E42"/>
    <w:lvl w:ilvl="0" w:tplc="1E74A9B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B756617"/>
    <w:multiLevelType w:val="hybridMultilevel"/>
    <w:tmpl w:val="B75A9A5A"/>
    <w:lvl w:ilvl="0" w:tplc="0426000D">
      <w:start w:val="1"/>
      <w:numFmt w:val="bullet"/>
      <w:lvlText w:val=""/>
      <w:lvlJc w:val="left"/>
      <w:pPr>
        <w:ind w:left="1800" w:hanging="360"/>
      </w:pPr>
      <w:rPr>
        <w:rFonts w:ascii="Wingdings" w:hAnsi="Wingdings" w:hint="default"/>
      </w:rPr>
    </w:lvl>
    <w:lvl w:ilvl="1" w:tplc="0426000D">
      <w:start w:val="1"/>
      <w:numFmt w:val="bullet"/>
      <w:lvlText w:val=""/>
      <w:lvlJc w:val="left"/>
      <w:pPr>
        <w:ind w:left="2520" w:hanging="360"/>
      </w:pPr>
      <w:rPr>
        <w:rFonts w:ascii="Wingdings" w:hAnsi="Wingdings"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3" w15:restartNumberingAfterBreak="0">
    <w:nsid w:val="5DCA4678"/>
    <w:multiLevelType w:val="hybridMultilevel"/>
    <w:tmpl w:val="49B2A844"/>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4" w15:restartNumberingAfterBreak="0">
    <w:nsid w:val="5F7A0551"/>
    <w:multiLevelType w:val="hybridMultilevel"/>
    <w:tmpl w:val="5086AA6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5" w15:restartNumberingAfterBreak="0">
    <w:nsid w:val="66730BDF"/>
    <w:multiLevelType w:val="hybridMultilevel"/>
    <w:tmpl w:val="3D4E36D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6" w15:restartNumberingAfterBreak="0">
    <w:nsid w:val="68277397"/>
    <w:multiLevelType w:val="hybridMultilevel"/>
    <w:tmpl w:val="5EBCE08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7" w15:restartNumberingAfterBreak="0">
    <w:nsid w:val="6A021F8E"/>
    <w:multiLevelType w:val="hybridMultilevel"/>
    <w:tmpl w:val="9BB88364"/>
    <w:lvl w:ilvl="0" w:tplc="1E74A9B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E23D72"/>
    <w:multiLevelType w:val="hybridMultilevel"/>
    <w:tmpl w:val="E4C2695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9" w15:restartNumberingAfterBreak="0">
    <w:nsid w:val="6C5D7025"/>
    <w:multiLevelType w:val="hybridMultilevel"/>
    <w:tmpl w:val="7658A150"/>
    <w:lvl w:ilvl="0" w:tplc="B3E4B488">
      <w:start w:val="1"/>
      <w:numFmt w:val="decimal"/>
      <w:lvlText w:val="%1."/>
      <w:lvlJc w:val="left"/>
      <w:pPr>
        <w:ind w:left="1654" w:hanging="94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0" w15:restartNumberingAfterBreak="0">
    <w:nsid w:val="714F2F07"/>
    <w:multiLevelType w:val="hybridMultilevel"/>
    <w:tmpl w:val="C21E76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1837508"/>
    <w:multiLevelType w:val="hybridMultilevel"/>
    <w:tmpl w:val="ED846AC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2" w15:restartNumberingAfterBreak="0">
    <w:nsid w:val="725F6DF7"/>
    <w:multiLevelType w:val="hybridMultilevel"/>
    <w:tmpl w:val="C33E983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C2775E"/>
    <w:multiLevelType w:val="hybridMultilevel"/>
    <w:tmpl w:val="45E0F9C0"/>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4" w15:restartNumberingAfterBreak="0">
    <w:nsid w:val="74CA3051"/>
    <w:multiLevelType w:val="hybridMultilevel"/>
    <w:tmpl w:val="9340AC0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78F06A1"/>
    <w:multiLevelType w:val="hybridMultilevel"/>
    <w:tmpl w:val="F2847644"/>
    <w:lvl w:ilvl="0" w:tplc="0426000D">
      <w:start w:val="1"/>
      <w:numFmt w:val="bullet"/>
      <w:lvlText w:val=""/>
      <w:lvlJc w:val="left"/>
      <w:pPr>
        <w:ind w:left="1410" w:hanging="360"/>
      </w:pPr>
      <w:rPr>
        <w:rFonts w:ascii="Wingdings" w:hAnsi="Wingdings" w:hint="default"/>
      </w:rPr>
    </w:lvl>
    <w:lvl w:ilvl="1" w:tplc="04260003" w:tentative="1">
      <w:start w:val="1"/>
      <w:numFmt w:val="bullet"/>
      <w:lvlText w:val="o"/>
      <w:lvlJc w:val="left"/>
      <w:pPr>
        <w:ind w:left="2130" w:hanging="360"/>
      </w:pPr>
      <w:rPr>
        <w:rFonts w:ascii="Courier New" w:hAnsi="Courier New" w:cs="Courier New" w:hint="default"/>
      </w:rPr>
    </w:lvl>
    <w:lvl w:ilvl="2" w:tplc="04260005" w:tentative="1">
      <w:start w:val="1"/>
      <w:numFmt w:val="bullet"/>
      <w:lvlText w:val=""/>
      <w:lvlJc w:val="left"/>
      <w:pPr>
        <w:ind w:left="2850" w:hanging="360"/>
      </w:pPr>
      <w:rPr>
        <w:rFonts w:ascii="Wingdings" w:hAnsi="Wingdings" w:hint="default"/>
      </w:rPr>
    </w:lvl>
    <w:lvl w:ilvl="3" w:tplc="04260001" w:tentative="1">
      <w:start w:val="1"/>
      <w:numFmt w:val="bullet"/>
      <w:lvlText w:val=""/>
      <w:lvlJc w:val="left"/>
      <w:pPr>
        <w:ind w:left="3570" w:hanging="360"/>
      </w:pPr>
      <w:rPr>
        <w:rFonts w:ascii="Symbol" w:hAnsi="Symbol" w:hint="default"/>
      </w:rPr>
    </w:lvl>
    <w:lvl w:ilvl="4" w:tplc="04260003" w:tentative="1">
      <w:start w:val="1"/>
      <w:numFmt w:val="bullet"/>
      <w:lvlText w:val="o"/>
      <w:lvlJc w:val="left"/>
      <w:pPr>
        <w:ind w:left="4290" w:hanging="360"/>
      </w:pPr>
      <w:rPr>
        <w:rFonts w:ascii="Courier New" w:hAnsi="Courier New" w:cs="Courier New" w:hint="default"/>
      </w:rPr>
    </w:lvl>
    <w:lvl w:ilvl="5" w:tplc="04260005" w:tentative="1">
      <w:start w:val="1"/>
      <w:numFmt w:val="bullet"/>
      <w:lvlText w:val=""/>
      <w:lvlJc w:val="left"/>
      <w:pPr>
        <w:ind w:left="5010" w:hanging="360"/>
      </w:pPr>
      <w:rPr>
        <w:rFonts w:ascii="Wingdings" w:hAnsi="Wingdings" w:hint="default"/>
      </w:rPr>
    </w:lvl>
    <w:lvl w:ilvl="6" w:tplc="04260001" w:tentative="1">
      <w:start w:val="1"/>
      <w:numFmt w:val="bullet"/>
      <w:lvlText w:val=""/>
      <w:lvlJc w:val="left"/>
      <w:pPr>
        <w:ind w:left="5730" w:hanging="360"/>
      </w:pPr>
      <w:rPr>
        <w:rFonts w:ascii="Symbol" w:hAnsi="Symbol" w:hint="default"/>
      </w:rPr>
    </w:lvl>
    <w:lvl w:ilvl="7" w:tplc="04260003" w:tentative="1">
      <w:start w:val="1"/>
      <w:numFmt w:val="bullet"/>
      <w:lvlText w:val="o"/>
      <w:lvlJc w:val="left"/>
      <w:pPr>
        <w:ind w:left="6450" w:hanging="360"/>
      </w:pPr>
      <w:rPr>
        <w:rFonts w:ascii="Courier New" w:hAnsi="Courier New" w:cs="Courier New" w:hint="default"/>
      </w:rPr>
    </w:lvl>
    <w:lvl w:ilvl="8" w:tplc="04260005" w:tentative="1">
      <w:start w:val="1"/>
      <w:numFmt w:val="bullet"/>
      <w:lvlText w:val=""/>
      <w:lvlJc w:val="left"/>
      <w:pPr>
        <w:ind w:left="7170" w:hanging="360"/>
      </w:pPr>
      <w:rPr>
        <w:rFonts w:ascii="Wingdings" w:hAnsi="Wingdings" w:hint="default"/>
      </w:rPr>
    </w:lvl>
  </w:abstractNum>
  <w:abstractNum w:abstractNumId="46" w15:restartNumberingAfterBreak="0">
    <w:nsid w:val="7880294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A364416"/>
    <w:multiLevelType w:val="hybridMultilevel"/>
    <w:tmpl w:val="A94EA0C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abstractNumId w:val="44"/>
  </w:num>
  <w:num w:numId="2">
    <w:abstractNumId w:val="14"/>
  </w:num>
  <w:num w:numId="3">
    <w:abstractNumId w:val="45"/>
  </w:num>
  <w:num w:numId="4">
    <w:abstractNumId w:val="30"/>
  </w:num>
  <w:num w:numId="5">
    <w:abstractNumId w:val="11"/>
  </w:num>
  <w:num w:numId="6">
    <w:abstractNumId w:val="43"/>
  </w:num>
  <w:num w:numId="7">
    <w:abstractNumId w:val="27"/>
  </w:num>
  <w:num w:numId="8">
    <w:abstractNumId w:val="34"/>
  </w:num>
  <w:num w:numId="9">
    <w:abstractNumId w:val="35"/>
  </w:num>
  <w:num w:numId="10">
    <w:abstractNumId w:val="24"/>
  </w:num>
  <w:num w:numId="11">
    <w:abstractNumId w:val="29"/>
  </w:num>
  <w:num w:numId="12">
    <w:abstractNumId w:val="7"/>
  </w:num>
  <w:num w:numId="13">
    <w:abstractNumId w:val="38"/>
  </w:num>
  <w:num w:numId="14">
    <w:abstractNumId w:val="39"/>
  </w:num>
  <w:num w:numId="15">
    <w:abstractNumId w:val="36"/>
  </w:num>
  <w:num w:numId="16">
    <w:abstractNumId w:val="21"/>
  </w:num>
  <w:num w:numId="17">
    <w:abstractNumId w:val="19"/>
  </w:num>
  <w:num w:numId="18">
    <w:abstractNumId w:val="15"/>
  </w:num>
  <w:num w:numId="19">
    <w:abstractNumId w:val="0"/>
  </w:num>
  <w:num w:numId="20">
    <w:abstractNumId w:val="9"/>
  </w:num>
  <w:num w:numId="21">
    <w:abstractNumId w:val="12"/>
  </w:num>
  <w:num w:numId="22">
    <w:abstractNumId w:val="3"/>
  </w:num>
  <w:num w:numId="23">
    <w:abstractNumId w:val="10"/>
  </w:num>
  <w:num w:numId="24">
    <w:abstractNumId w:val="25"/>
  </w:num>
  <w:num w:numId="25">
    <w:abstractNumId w:val="41"/>
  </w:num>
  <w:num w:numId="26">
    <w:abstractNumId w:val="33"/>
  </w:num>
  <w:num w:numId="27">
    <w:abstractNumId w:val="4"/>
  </w:num>
  <w:num w:numId="28">
    <w:abstractNumId w:val="28"/>
  </w:num>
  <w:num w:numId="29">
    <w:abstractNumId w:val="17"/>
  </w:num>
  <w:num w:numId="30">
    <w:abstractNumId w:val="23"/>
  </w:num>
  <w:num w:numId="31">
    <w:abstractNumId w:val="31"/>
  </w:num>
  <w:num w:numId="32">
    <w:abstractNumId w:val="37"/>
  </w:num>
  <w:num w:numId="33">
    <w:abstractNumId w:val="1"/>
  </w:num>
  <w:num w:numId="34">
    <w:abstractNumId w:val="8"/>
  </w:num>
  <w:num w:numId="35">
    <w:abstractNumId w:val="22"/>
  </w:num>
  <w:num w:numId="36">
    <w:abstractNumId w:val="16"/>
  </w:num>
  <w:num w:numId="37">
    <w:abstractNumId w:val="32"/>
  </w:num>
  <w:num w:numId="38">
    <w:abstractNumId w:val="2"/>
  </w:num>
  <w:num w:numId="39">
    <w:abstractNumId w:val="20"/>
  </w:num>
  <w:num w:numId="40">
    <w:abstractNumId w:val="42"/>
  </w:num>
  <w:num w:numId="41">
    <w:abstractNumId w:val="18"/>
  </w:num>
  <w:num w:numId="42">
    <w:abstractNumId w:val="40"/>
  </w:num>
  <w:num w:numId="43">
    <w:abstractNumId w:val="6"/>
  </w:num>
  <w:num w:numId="44">
    <w:abstractNumId w:val="26"/>
  </w:num>
  <w:num w:numId="45">
    <w:abstractNumId w:val="13"/>
  </w:num>
  <w:num w:numId="46">
    <w:abstractNumId w:val="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D42"/>
    <w:rsid w:val="0000057C"/>
    <w:rsid w:val="00006C1A"/>
    <w:rsid w:val="0002025E"/>
    <w:rsid w:val="000215E5"/>
    <w:rsid w:val="00021615"/>
    <w:rsid w:val="00024875"/>
    <w:rsid w:val="0002593D"/>
    <w:rsid w:val="000259E0"/>
    <w:rsid w:val="00026317"/>
    <w:rsid w:val="00032548"/>
    <w:rsid w:val="00042A06"/>
    <w:rsid w:val="00053730"/>
    <w:rsid w:val="00055E9C"/>
    <w:rsid w:val="000612BB"/>
    <w:rsid w:val="00061450"/>
    <w:rsid w:val="00064D3E"/>
    <w:rsid w:val="00071942"/>
    <w:rsid w:val="000724FE"/>
    <w:rsid w:val="00074D97"/>
    <w:rsid w:val="00076E81"/>
    <w:rsid w:val="00084581"/>
    <w:rsid w:val="000847AC"/>
    <w:rsid w:val="00084BCD"/>
    <w:rsid w:val="00087CB9"/>
    <w:rsid w:val="00094371"/>
    <w:rsid w:val="00097E20"/>
    <w:rsid w:val="000A1D95"/>
    <w:rsid w:val="000A3E79"/>
    <w:rsid w:val="000B0585"/>
    <w:rsid w:val="000C0316"/>
    <w:rsid w:val="000C0643"/>
    <w:rsid w:val="000C7999"/>
    <w:rsid w:val="000C7F49"/>
    <w:rsid w:val="000C7FE9"/>
    <w:rsid w:val="000D6A46"/>
    <w:rsid w:val="000E47B4"/>
    <w:rsid w:val="000E4E77"/>
    <w:rsid w:val="000F2A91"/>
    <w:rsid w:val="000F2AB1"/>
    <w:rsid w:val="000F3ACB"/>
    <w:rsid w:val="000F48E1"/>
    <w:rsid w:val="00101D7B"/>
    <w:rsid w:val="00105258"/>
    <w:rsid w:val="00111901"/>
    <w:rsid w:val="001129CE"/>
    <w:rsid w:val="00113263"/>
    <w:rsid w:val="001150B1"/>
    <w:rsid w:val="00116096"/>
    <w:rsid w:val="00134644"/>
    <w:rsid w:val="001352E2"/>
    <w:rsid w:val="001357A9"/>
    <w:rsid w:val="001402D6"/>
    <w:rsid w:val="00142CB5"/>
    <w:rsid w:val="0014718A"/>
    <w:rsid w:val="001479BF"/>
    <w:rsid w:val="00154D5C"/>
    <w:rsid w:val="00161D0C"/>
    <w:rsid w:val="001678BC"/>
    <w:rsid w:val="00175FFE"/>
    <w:rsid w:val="001762B4"/>
    <w:rsid w:val="00180BC2"/>
    <w:rsid w:val="0018134E"/>
    <w:rsid w:val="0018320D"/>
    <w:rsid w:val="001902D2"/>
    <w:rsid w:val="0019145B"/>
    <w:rsid w:val="001A3AAB"/>
    <w:rsid w:val="001A5C5D"/>
    <w:rsid w:val="001C17E4"/>
    <w:rsid w:val="001C3542"/>
    <w:rsid w:val="001C588E"/>
    <w:rsid w:val="001E2A3A"/>
    <w:rsid w:val="001E2C7E"/>
    <w:rsid w:val="001E6194"/>
    <w:rsid w:val="001E7157"/>
    <w:rsid w:val="001F0354"/>
    <w:rsid w:val="001F358D"/>
    <w:rsid w:val="001F3E50"/>
    <w:rsid w:val="001F52BC"/>
    <w:rsid w:val="002010DC"/>
    <w:rsid w:val="00206203"/>
    <w:rsid w:val="002068FA"/>
    <w:rsid w:val="00206A6A"/>
    <w:rsid w:val="002076E7"/>
    <w:rsid w:val="002078EA"/>
    <w:rsid w:val="00213319"/>
    <w:rsid w:val="002230A1"/>
    <w:rsid w:val="00226477"/>
    <w:rsid w:val="00232357"/>
    <w:rsid w:val="002329B0"/>
    <w:rsid w:val="00234F67"/>
    <w:rsid w:val="00237027"/>
    <w:rsid w:val="002401DA"/>
    <w:rsid w:val="0024285F"/>
    <w:rsid w:val="00242EE3"/>
    <w:rsid w:val="002458A7"/>
    <w:rsid w:val="00254A2A"/>
    <w:rsid w:val="0026264E"/>
    <w:rsid w:val="00264351"/>
    <w:rsid w:val="00264CE1"/>
    <w:rsid w:val="00266A5D"/>
    <w:rsid w:val="00271BED"/>
    <w:rsid w:val="00272801"/>
    <w:rsid w:val="0027282E"/>
    <w:rsid w:val="00274A7D"/>
    <w:rsid w:val="00274CA6"/>
    <w:rsid w:val="002804B9"/>
    <w:rsid w:val="002806A3"/>
    <w:rsid w:val="00285322"/>
    <w:rsid w:val="0028564A"/>
    <w:rsid w:val="00290AA5"/>
    <w:rsid w:val="00291939"/>
    <w:rsid w:val="00291A78"/>
    <w:rsid w:val="002976A4"/>
    <w:rsid w:val="002A159F"/>
    <w:rsid w:val="002A3DF3"/>
    <w:rsid w:val="002A5D5D"/>
    <w:rsid w:val="002B63D3"/>
    <w:rsid w:val="002B6528"/>
    <w:rsid w:val="002C2D97"/>
    <w:rsid w:val="002C3959"/>
    <w:rsid w:val="002C6445"/>
    <w:rsid w:val="002C6566"/>
    <w:rsid w:val="002C7AAB"/>
    <w:rsid w:val="002D404A"/>
    <w:rsid w:val="002D48AC"/>
    <w:rsid w:val="002D5C66"/>
    <w:rsid w:val="002E28F9"/>
    <w:rsid w:val="002E3BAB"/>
    <w:rsid w:val="002E5295"/>
    <w:rsid w:val="002F0239"/>
    <w:rsid w:val="002F0EA0"/>
    <w:rsid w:val="002F1FED"/>
    <w:rsid w:val="002F3C06"/>
    <w:rsid w:val="002F4F45"/>
    <w:rsid w:val="002F72EF"/>
    <w:rsid w:val="003044B2"/>
    <w:rsid w:val="00310349"/>
    <w:rsid w:val="003106EC"/>
    <w:rsid w:val="00320F03"/>
    <w:rsid w:val="00322A1F"/>
    <w:rsid w:val="00331844"/>
    <w:rsid w:val="00332EE1"/>
    <w:rsid w:val="00333104"/>
    <w:rsid w:val="00334B84"/>
    <w:rsid w:val="0033600D"/>
    <w:rsid w:val="00343A52"/>
    <w:rsid w:val="00344391"/>
    <w:rsid w:val="00344A17"/>
    <w:rsid w:val="00345D42"/>
    <w:rsid w:val="00350F32"/>
    <w:rsid w:val="00355081"/>
    <w:rsid w:val="0035555E"/>
    <w:rsid w:val="00357F86"/>
    <w:rsid w:val="0036106A"/>
    <w:rsid w:val="00364A74"/>
    <w:rsid w:val="003708AE"/>
    <w:rsid w:val="00380AD7"/>
    <w:rsid w:val="00383225"/>
    <w:rsid w:val="003856C8"/>
    <w:rsid w:val="00385BFE"/>
    <w:rsid w:val="00386C57"/>
    <w:rsid w:val="00390ED5"/>
    <w:rsid w:val="00393799"/>
    <w:rsid w:val="00395BC6"/>
    <w:rsid w:val="00395F37"/>
    <w:rsid w:val="003A0ABA"/>
    <w:rsid w:val="003A68D6"/>
    <w:rsid w:val="003B357B"/>
    <w:rsid w:val="003B4932"/>
    <w:rsid w:val="003B56F9"/>
    <w:rsid w:val="003B6635"/>
    <w:rsid w:val="003B7F9A"/>
    <w:rsid w:val="003C05FF"/>
    <w:rsid w:val="003C1D78"/>
    <w:rsid w:val="003D0A2A"/>
    <w:rsid w:val="003D303F"/>
    <w:rsid w:val="003D5B49"/>
    <w:rsid w:val="003D611A"/>
    <w:rsid w:val="003D7C9D"/>
    <w:rsid w:val="003E10EA"/>
    <w:rsid w:val="003E1C27"/>
    <w:rsid w:val="003E22F7"/>
    <w:rsid w:val="003E2E5B"/>
    <w:rsid w:val="003E3638"/>
    <w:rsid w:val="003E467A"/>
    <w:rsid w:val="003E4FC0"/>
    <w:rsid w:val="003E590B"/>
    <w:rsid w:val="003E666D"/>
    <w:rsid w:val="003F1311"/>
    <w:rsid w:val="003F235E"/>
    <w:rsid w:val="003F5503"/>
    <w:rsid w:val="003F7027"/>
    <w:rsid w:val="00400FD3"/>
    <w:rsid w:val="004039A8"/>
    <w:rsid w:val="00411B54"/>
    <w:rsid w:val="00414938"/>
    <w:rsid w:val="0041513B"/>
    <w:rsid w:val="00415A28"/>
    <w:rsid w:val="004169A2"/>
    <w:rsid w:val="00417962"/>
    <w:rsid w:val="00425973"/>
    <w:rsid w:val="0042719C"/>
    <w:rsid w:val="00432673"/>
    <w:rsid w:val="00432903"/>
    <w:rsid w:val="00433552"/>
    <w:rsid w:val="00434182"/>
    <w:rsid w:val="00434838"/>
    <w:rsid w:val="004376FA"/>
    <w:rsid w:val="00440767"/>
    <w:rsid w:val="00455A16"/>
    <w:rsid w:val="00457D7B"/>
    <w:rsid w:val="004640DA"/>
    <w:rsid w:val="00464381"/>
    <w:rsid w:val="004666AA"/>
    <w:rsid w:val="00467F40"/>
    <w:rsid w:val="00470FB3"/>
    <w:rsid w:val="004726AB"/>
    <w:rsid w:val="00475521"/>
    <w:rsid w:val="0048175C"/>
    <w:rsid w:val="00481C6B"/>
    <w:rsid w:val="00484928"/>
    <w:rsid w:val="00490668"/>
    <w:rsid w:val="00495A31"/>
    <w:rsid w:val="004A0CB3"/>
    <w:rsid w:val="004A227B"/>
    <w:rsid w:val="004B179A"/>
    <w:rsid w:val="004B267D"/>
    <w:rsid w:val="004B37E5"/>
    <w:rsid w:val="004B38A2"/>
    <w:rsid w:val="004B3A8B"/>
    <w:rsid w:val="004B4FF8"/>
    <w:rsid w:val="004B6760"/>
    <w:rsid w:val="004C0AB4"/>
    <w:rsid w:val="004C1B07"/>
    <w:rsid w:val="004C22F6"/>
    <w:rsid w:val="004C6F04"/>
    <w:rsid w:val="004C7F41"/>
    <w:rsid w:val="004D3017"/>
    <w:rsid w:val="004D51D6"/>
    <w:rsid w:val="004E2FE1"/>
    <w:rsid w:val="004E3199"/>
    <w:rsid w:val="004F0D89"/>
    <w:rsid w:val="005034EB"/>
    <w:rsid w:val="005067B7"/>
    <w:rsid w:val="00506AC2"/>
    <w:rsid w:val="00510AE5"/>
    <w:rsid w:val="00515375"/>
    <w:rsid w:val="005157E5"/>
    <w:rsid w:val="00516BC5"/>
    <w:rsid w:val="0051721C"/>
    <w:rsid w:val="0052133B"/>
    <w:rsid w:val="00521401"/>
    <w:rsid w:val="00521BD9"/>
    <w:rsid w:val="00527528"/>
    <w:rsid w:val="00527A24"/>
    <w:rsid w:val="0053491D"/>
    <w:rsid w:val="00545A18"/>
    <w:rsid w:val="00545A2B"/>
    <w:rsid w:val="00546DF1"/>
    <w:rsid w:val="005513D8"/>
    <w:rsid w:val="00552544"/>
    <w:rsid w:val="0055416F"/>
    <w:rsid w:val="00555824"/>
    <w:rsid w:val="00555C46"/>
    <w:rsid w:val="005606B5"/>
    <w:rsid w:val="005616FE"/>
    <w:rsid w:val="00563745"/>
    <w:rsid w:val="00565D0C"/>
    <w:rsid w:val="00566DEC"/>
    <w:rsid w:val="00572A2D"/>
    <w:rsid w:val="00575D5D"/>
    <w:rsid w:val="00576521"/>
    <w:rsid w:val="00576AD0"/>
    <w:rsid w:val="005809F3"/>
    <w:rsid w:val="00585C1C"/>
    <w:rsid w:val="005869D2"/>
    <w:rsid w:val="00586E78"/>
    <w:rsid w:val="00591030"/>
    <w:rsid w:val="00594B48"/>
    <w:rsid w:val="00595210"/>
    <w:rsid w:val="005A11C6"/>
    <w:rsid w:val="005A39B6"/>
    <w:rsid w:val="005A44D3"/>
    <w:rsid w:val="005B0AC4"/>
    <w:rsid w:val="005B3932"/>
    <w:rsid w:val="005B3E88"/>
    <w:rsid w:val="005B4C61"/>
    <w:rsid w:val="005B5794"/>
    <w:rsid w:val="005B5DB8"/>
    <w:rsid w:val="005C2D66"/>
    <w:rsid w:val="005C69F0"/>
    <w:rsid w:val="005C6F7D"/>
    <w:rsid w:val="005C7AB5"/>
    <w:rsid w:val="005D2B20"/>
    <w:rsid w:val="005D7F0D"/>
    <w:rsid w:val="005E1C40"/>
    <w:rsid w:val="005E3130"/>
    <w:rsid w:val="005E7C55"/>
    <w:rsid w:val="005F0ED9"/>
    <w:rsid w:val="005F4C41"/>
    <w:rsid w:val="005F576E"/>
    <w:rsid w:val="005F57AC"/>
    <w:rsid w:val="005F6C9B"/>
    <w:rsid w:val="0060105E"/>
    <w:rsid w:val="00604731"/>
    <w:rsid w:val="0060479E"/>
    <w:rsid w:val="00605BA7"/>
    <w:rsid w:val="00606F94"/>
    <w:rsid w:val="006079EE"/>
    <w:rsid w:val="00611D92"/>
    <w:rsid w:val="00613658"/>
    <w:rsid w:val="00615570"/>
    <w:rsid w:val="006235D9"/>
    <w:rsid w:val="0062621D"/>
    <w:rsid w:val="006315F5"/>
    <w:rsid w:val="00634AAE"/>
    <w:rsid w:val="006364BD"/>
    <w:rsid w:val="006412EF"/>
    <w:rsid w:val="00642FCC"/>
    <w:rsid w:val="00652324"/>
    <w:rsid w:val="00652BFE"/>
    <w:rsid w:val="0065319C"/>
    <w:rsid w:val="0065414C"/>
    <w:rsid w:val="006638F8"/>
    <w:rsid w:val="006726E0"/>
    <w:rsid w:val="0067351F"/>
    <w:rsid w:val="00674C28"/>
    <w:rsid w:val="00682587"/>
    <w:rsid w:val="00682EBA"/>
    <w:rsid w:val="0068674F"/>
    <w:rsid w:val="00693C2E"/>
    <w:rsid w:val="006A12D5"/>
    <w:rsid w:val="006A18E8"/>
    <w:rsid w:val="006A373D"/>
    <w:rsid w:val="006A74D7"/>
    <w:rsid w:val="006B2E0E"/>
    <w:rsid w:val="006B4C7D"/>
    <w:rsid w:val="006C1240"/>
    <w:rsid w:val="006C76E1"/>
    <w:rsid w:val="006D28F8"/>
    <w:rsid w:val="006D4D8E"/>
    <w:rsid w:val="006E0E9A"/>
    <w:rsid w:val="006E70DB"/>
    <w:rsid w:val="006F0889"/>
    <w:rsid w:val="006F5BE3"/>
    <w:rsid w:val="006F6615"/>
    <w:rsid w:val="006F765E"/>
    <w:rsid w:val="007020F7"/>
    <w:rsid w:val="0070482F"/>
    <w:rsid w:val="00704B77"/>
    <w:rsid w:val="007072C7"/>
    <w:rsid w:val="00712F24"/>
    <w:rsid w:val="00713000"/>
    <w:rsid w:val="00713D1D"/>
    <w:rsid w:val="00720060"/>
    <w:rsid w:val="00725B96"/>
    <w:rsid w:val="007316F9"/>
    <w:rsid w:val="00731F69"/>
    <w:rsid w:val="00734472"/>
    <w:rsid w:val="00734D84"/>
    <w:rsid w:val="007353C2"/>
    <w:rsid w:val="0073661A"/>
    <w:rsid w:val="007369C3"/>
    <w:rsid w:val="00736AF5"/>
    <w:rsid w:val="007471E7"/>
    <w:rsid w:val="00747CCA"/>
    <w:rsid w:val="00752274"/>
    <w:rsid w:val="00755668"/>
    <w:rsid w:val="007559F1"/>
    <w:rsid w:val="00756144"/>
    <w:rsid w:val="00760CE6"/>
    <w:rsid w:val="0076371E"/>
    <w:rsid w:val="00763F43"/>
    <w:rsid w:val="00766684"/>
    <w:rsid w:val="007727C5"/>
    <w:rsid w:val="0077360A"/>
    <w:rsid w:val="00783671"/>
    <w:rsid w:val="00783A46"/>
    <w:rsid w:val="00790FA4"/>
    <w:rsid w:val="00794609"/>
    <w:rsid w:val="007946AD"/>
    <w:rsid w:val="007951C7"/>
    <w:rsid w:val="00795CF4"/>
    <w:rsid w:val="007A0249"/>
    <w:rsid w:val="007A77B6"/>
    <w:rsid w:val="007B0208"/>
    <w:rsid w:val="007B43A9"/>
    <w:rsid w:val="007B73C0"/>
    <w:rsid w:val="007C21B7"/>
    <w:rsid w:val="007C44A9"/>
    <w:rsid w:val="007C5FE9"/>
    <w:rsid w:val="007C7780"/>
    <w:rsid w:val="007D1441"/>
    <w:rsid w:val="007D2C85"/>
    <w:rsid w:val="007D66E8"/>
    <w:rsid w:val="007E00EF"/>
    <w:rsid w:val="007E2590"/>
    <w:rsid w:val="007E28CC"/>
    <w:rsid w:val="007E48D5"/>
    <w:rsid w:val="007E7A4D"/>
    <w:rsid w:val="007F1C37"/>
    <w:rsid w:val="007F3C11"/>
    <w:rsid w:val="007F4368"/>
    <w:rsid w:val="007F6847"/>
    <w:rsid w:val="007F6BC5"/>
    <w:rsid w:val="008041E8"/>
    <w:rsid w:val="00806510"/>
    <w:rsid w:val="00814BE7"/>
    <w:rsid w:val="00816780"/>
    <w:rsid w:val="00816817"/>
    <w:rsid w:val="00817534"/>
    <w:rsid w:val="00817A20"/>
    <w:rsid w:val="00821EF0"/>
    <w:rsid w:val="0082534B"/>
    <w:rsid w:val="0083059F"/>
    <w:rsid w:val="0083199F"/>
    <w:rsid w:val="00834207"/>
    <w:rsid w:val="0083566B"/>
    <w:rsid w:val="00835868"/>
    <w:rsid w:val="00837BBC"/>
    <w:rsid w:val="008437FA"/>
    <w:rsid w:val="00843F84"/>
    <w:rsid w:val="00843FD7"/>
    <w:rsid w:val="00844F9C"/>
    <w:rsid w:val="00845088"/>
    <w:rsid w:val="008470C3"/>
    <w:rsid w:val="0085057E"/>
    <w:rsid w:val="00853411"/>
    <w:rsid w:val="0085557C"/>
    <w:rsid w:val="0085701A"/>
    <w:rsid w:val="00857F07"/>
    <w:rsid w:val="00863DAD"/>
    <w:rsid w:val="00865FC9"/>
    <w:rsid w:val="008732CF"/>
    <w:rsid w:val="0087459F"/>
    <w:rsid w:val="00880F47"/>
    <w:rsid w:val="00885253"/>
    <w:rsid w:val="00887530"/>
    <w:rsid w:val="008A04CC"/>
    <w:rsid w:val="008A28DD"/>
    <w:rsid w:val="008A5DDB"/>
    <w:rsid w:val="008B13C5"/>
    <w:rsid w:val="008B5AEC"/>
    <w:rsid w:val="008C23E1"/>
    <w:rsid w:val="008D0325"/>
    <w:rsid w:val="008D0C99"/>
    <w:rsid w:val="008D317C"/>
    <w:rsid w:val="008D5354"/>
    <w:rsid w:val="008E2067"/>
    <w:rsid w:val="008E3317"/>
    <w:rsid w:val="008F0525"/>
    <w:rsid w:val="008F2028"/>
    <w:rsid w:val="008F4FB3"/>
    <w:rsid w:val="008F7302"/>
    <w:rsid w:val="0090262F"/>
    <w:rsid w:val="00902B54"/>
    <w:rsid w:val="00903D76"/>
    <w:rsid w:val="00905725"/>
    <w:rsid w:val="00905F05"/>
    <w:rsid w:val="00906CC5"/>
    <w:rsid w:val="00911CCC"/>
    <w:rsid w:val="00911E00"/>
    <w:rsid w:val="00911F2A"/>
    <w:rsid w:val="0091610D"/>
    <w:rsid w:val="009248FE"/>
    <w:rsid w:val="009275C0"/>
    <w:rsid w:val="00930191"/>
    <w:rsid w:val="00930E38"/>
    <w:rsid w:val="009330BA"/>
    <w:rsid w:val="009352B1"/>
    <w:rsid w:val="009356F5"/>
    <w:rsid w:val="00936CFB"/>
    <w:rsid w:val="009372E8"/>
    <w:rsid w:val="00944A84"/>
    <w:rsid w:val="00946D4E"/>
    <w:rsid w:val="00954715"/>
    <w:rsid w:val="00960C9B"/>
    <w:rsid w:val="009644F0"/>
    <w:rsid w:val="00965A16"/>
    <w:rsid w:val="00965B76"/>
    <w:rsid w:val="00966D82"/>
    <w:rsid w:val="00970564"/>
    <w:rsid w:val="00974F66"/>
    <w:rsid w:val="00975FDC"/>
    <w:rsid w:val="00981970"/>
    <w:rsid w:val="00983234"/>
    <w:rsid w:val="0098359E"/>
    <w:rsid w:val="009930F4"/>
    <w:rsid w:val="0099324E"/>
    <w:rsid w:val="0099387B"/>
    <w:rsid w:val="00993F78"/>
    <w:rsid w:val="00995A35"/>
    <w:rsid w:val="009A33B2"/>
    <w:rsid w:val="009A349B"/>
    <w:rsid w:val="009A384A"/>
    <w:rsid w:val="009A6A56"/>
    <w:rsid w:val="009A740D"/>
    <w:rsid w:val="009B004C"/>
    <w:rsid w:val="009B781F"/>
    <w:rsid w:val="009C0F48"/>
    <w:rsid w:val="009C5F90"/>
    <w:rsid w:val="009C7F07"/>
    <w:rsid w:val="009D11B4"/>
    <w:rsid w:val="009D198B"/>
    <w:rsid w:val="009D3799"/>
    <w:rsid w:val="009D471F"/>
    <w:rsid w:val="009D5658"/>
    <w:rsid w:val="009D7823"/>
    <w:rsid w:val="009E031C"/>
    <w:rsid w:val="009E112D"/>
    <w:rsid w:val="009E1456"/>
    <w:rsid w:val="009E3BC7"/>
    <w:rsid w:val="009F1E50"/>
    <w:rsid w:val="009F27CA"/>
    <w:rsid w:val="009F61BC"/>
    <w:rsid w:val="009F6485"/>
    <w:rsid w:val="00A013DA"/>
    <w:rsid w:val="00A02EE7"/>
    <w:rsid w:val="00A03AC8"/>
    <w:rsid w:val="00A045E8"/>
    <w:rsid w:val="00A12A00"/>
    <w:rsid w:val="00A13378"/>
    <w:rsid w:val="00A14BF8"/>
    <w:rsid w:val="00A15A21"/>
    <w:rsid w:val="00A168FE"/>
    <w:rsid w:val="00A175D6"/>
    <w:rsid w:val="00A20C52"/>
    <w:rsid w:val="00A2130F"/>
    <w:rsid w:val="00A22357"/>
    <w:rsid w:val="00A2533E"/>
    <w:rsid w:val="00A27827"/>
    <w:rsid w:val="00A349CC"/>
    <w:rsid w:val="00A3678F"/>
    <w:rsid w:val="00A41017"/>
    <w:rsid w:val="00A4244C"/>
    <w:rsid w:val="00A44E2F"/>
    <w:rsid w:val="00A50A9C"/>
    <w:rsid w:val="00A5194C"/>
    <w:rsid w:val="00A55135"/>
    <w:rsid w:val="00A61848"/>
    <w:rsid w:val="00A632DE"/>
    <w:rsid w:val="00A64905"/>
    <w:rsid w:val="00A651B4"/>
    <w:rsid w:val="00A66473"/>
    <w:rsid w:val="00A67BD5"/>
    <w:rsid w:val="00A70C49"/>
    <w:rsid w:val="00A72636"/>
    <w:rsid w:val="00A72D2A"/>
    <w:rsid w:val="00A81B5F"/>
    <w:rsid w:val="00A820D6"/>
    <w:rsid w:val="00A822A1"/>
    <w:rsid w:val="00A842D9"/>
    <w:rsid w:val="00A8573B"/>
    <w:rsid w:val="00A93E6F"/>
    <w:rsid w:val="00A94F92"/>
    <w:rsid w:val="00A95700"/>
    <w:rsid w:val="00AA487A"/>
    <w:rsid w:val="00AA51AB"/>
    <w:rsid w:val="00AA742A"/>
    <w:rsid w:val="00AB07DF"/>
    <w:rsid w:val="00AB3F5E"/>
    <w:rsid w:val="00AB4377"/>
    <w:rsid w:val="00AB7229"/>
    <w:rsid w:val="00AC0718"/>
    <w:rsid w:val="00AC0DDB"/>
    <w:rsid w:val="00AC32B9"/>
    <w:rsid w:val="00AC3C10"/>
    <w:rsid w:val="00AC5954"/>
    <w:rsid w:val="00AC6AE0"/>
    <w:rsid w:val="00AD26F5"/>
    <w:rsid w:val="00AD3BE0"/>
    <w:rsid w:val="00AD6143"/>
    <w:rsid w:val="00AE7D93"/>
    <w:rsid w:val="00AF08C7"/>
    <w:rsid w:val="00AF1C95"/>
    <w:rsid w:val="00AF2C74"/>
    <w:rsid w:val="00B0142C"/>
    <w:rsid w:val="00B116D4"/>
    <w:rsid w:val="00B132E8"/>
    <w:rsid w:val="00B13854"/>
    <w:rsid w:val="00B14C56"/>
    <w:rsid w:val="00B15424"/>
    <w:rsid w:val="00B20907"/>
    <w:rsid w:val="00B266B2"/>
    <w:rsid w:val="00B32E39"/>
    <w:rsid w:val="00B33656"/>
    <w:rsid w:val="00B4086E"/>
    <w:rsid w:val="00B504ED"/>
    <w:rsid w:val="00B562D3"/>
    <w:rsid w:val="00B60E71"/>
    <w:rsid w:val="00B62475"/>
    <w:rsid w:val="00B62E54"/>
    <w:rsid w:val="00B655E8"/>
    <w:rsid w:val="00B6753C"/>
    <w:rsid w:val="00B67717"/>
    <w:rsid w:val="00B7337B"/>
    <w:rsid w:val="00B7355E"/>
    <w:rsid w:val="00B81761"/>
    <w:rsid w:val="00B82156"/>
    <w:rsid w:val="00B872CE"/>
    <w:rsid w:val="00B87450"/>
    <w:rsid w:val="00B915E5"/>
    <w:rsid w:val="00B9221F"/>
    <w:rsid w:val="00B957F9"/>
    <w:rsid w:val="00B97780"/>
    <w:rsid w:val="00B97A76"/>
    <w:rsid w:val="00BA4072"/>
    <w:rsid w:val="00BB32FB"/>
    <w:rsid w:val="00BB4BD1"/>
    <w:rsid w:val="00BB7795"/>
    <w:rsid w:val="00BC4383"/>
    <w:rsid w:val="00BD0577"/>
    <w:rsid w:val="00BD0D0E"/>
    <w:rsid w:val="00BD78E6"/>
    <w:rsid w:val="00BE095A"/>
    <w:rsid w:val="00BE09AB"/>
    <w:rsid w:val="00BE1D94"/>
    <w:rsid w:val="00BF3268"/>
    <w:rsid w:val="00BF5935"/>
    <w:rsid w:val="00C017B1"/>
    <w:rsid w:val="00C02699"/>
    <w:rsid w:val="00C02C87"/>
    <w:rsid w:val="00C0348C"/>
    <w:rsid w:val="00C03A65"/>
    <w:rsid w:val="00C040D9"/>
    <w:rsid w:val="00C06922"/>
    <w:rsid w:val="00C104F5"/>
    <w:rsid w:val="00C112A5"/>
    <w:rsid w:val="00C13A90"/>
    <w:rsid w:val="00C22E1E"/>
    <w:rsid w:val="00C23A28"/>
    <w:rsid w:val="00C27C32"/>
    <w:rsid w:val="00C321BF"/>
    <w:rsid w:val="00C35212"/>
    <w:rsid w:val="00C42E98"/>
    <w:rsid w:val="00C45ADC"/>
    <w:rsid w:val="00C51FD2"/>
    <w:rsid w:val="00C60B44"/>
    <w:rsid w:val="00C60D28"/>
    <w:rsid w:val="00C65E73"/>
    <w:rsid w:val="00C675C3"/>
    <w:rsid w:val="00C70632"/>
    <w:rsid w:val="00C721BF"/>
    <w:rsid w:val="00C72BEF"/>
    <w:rsid w:val="00C7387C"/>
    <w:rsid w:val="00C7720F"/>
    <w:rsid w:val="00C77C81"/>
    <w:rsid w:val="00C77FFA"/>
    <w:rsid w:val="00C82261"/>
    <w:rsid w:val="00C85771"/>
    <w:rsid w:val="00C86F78"/>
    <w:rsid w:val="00C91519"/>
    <w:rsid w:val="00C9289F"/>
    <w:rsid w:val="00C951B8"/>
    <w:rsid w:val="00C972AF"/>
    <w:rsid w:val="00CA51B2"/>
    <w:rsid w:val="00CA52E4"/>
    <w:rsid w:val="00CA6367"/>
    <w:rsid w:val="00CA7B7C"/>
    <w:rsid w:val="00CB1561"/>
    <w:rsid w:val="00CB46E1"/>
    <w:rsid w:val="00CB76E2"/>
    <w:rsid w:val="00CC069B"/>
    <w:rsid w:val="00CC4069"/>
    <w:rsid w:val="00CC5F8A"/>
    <w:rsid w:val="00CD256C"/>
    <w:rsid w:val="00CD3190"/>
    <w:rsid w:val="00CD373E"/>
    <w:rsid w:val="00CD5B60"/>
    <w:rsid w:val="00CD5E62"/>
    <w:rsid w:val="00CE1689"/>
    <w:rsid w:val="00CE455F"/>
    <w:rsid w:val="00CE5500"/>
    <w:rsid w:val="00CF0254"/>
    <w:rsid w:val="00CF260C"/>
    <w:rsid w:val="00CF2B66"/>
    <w:rsid w:val="00CF7616"/>
    <w:rsid w:val="00D0147F"/>
    <w:rsid w:val="00D024CB"/>
    <w:rsid w:val="00D033E4"/>
    <w:rsid w:val="00D033F0"/>
    <w:rsid w:val="00D10977"/>
    <w:rsid w:val="00D12955"/>
    <w:rsid w:val="00D13256"/>
    <w:rsid w:val="00D1338C"/>
    <w:rsid w:val="00D144E9"/>
    <w:rsid w:val="00D151CB"/>
    <w:rsid w:val="00D17054"/>
    <w:rsid w:val="00D20D54"/>
    <w:rsid w:val="00D213A0"/>
    <w:rsid w:val="00D33C1B"/>
    <w:rsid w:val="00D34F2A"/>
    <w:rsid w:val="00D37370"/>
    <w:rsid w:val="00D4685E"/>
    <w:rsid w:val="00D50AD5"/>
    <w:rsid w:val="00D51925"/>
    <w:rsid w:val="00D526F5"/>
    <w:rsid w:val="00D533A4"/>
    <w:rsid w:val="00D610E4"/>
    <w:rsid w:val="00D6149E"/>
    <w:rsid w:val="00D63C02"/>
    <w:rsid w:val="00D64ECF"/>
    <w:rsid w:val="00D71E98"/>
    <w:rsid w:val="00D74F76"/>
    <w:rsid w:val="00D77583"/>
    <w:rsid w:val="00D82B11"/>
    <w:rsid w:val="00D84E05"/>
    <w:rsid w:val="00D85BA4"/>
    <w:rsid w:val="00D87FA0"/>
    <w:rsid w:val="00D930D4"/>
    <w:rsid w:val="00D94962"/>
    <w:rsid w:val="00D95333"/>
    <w:rsid w:val="00DA619D"/>
    <w:rsid w:val="00DB1CD3"/>
    <w:rsid w:val="00DB2FE7"/>
    <w:rsid w:val="00DB3075"/>
    <w:rsid w:val="00DB3126"/>
    <w:rsid w:val="00DB4E82"/>
    <w:rsid w:val="00DB5538"/>
    <w:rsid w:val="00DB6CF1"/>
    <w:rsid w:val="00DB7C6D"/>
    <w:rsid w:val="00DC0877"/>
    <w:rsid w:val="00DC59BE"/>
    <w:rsid w:val="00DD0411"/>
    <w:rsid w:val="00DE3845"/>
    <w:rsid w:val="00DE717A"/>
    <w:rsid w:val="00DF3A6E"/>
    <w:rsid w:val="00DF514C"/>
    <w:rsid w:val="00DF57B5"/>
    <w:rsid w:val="00E004CD"/>
    <w:rsid w:val="00E01809"/>
    <w:rsid w:val="00E03CDF"/>
    <w:rsid w:val="00E0687D"/>
    <w:rsid w:val="00E14955"/>
    <w:rsid w:val="00E15120"/>
    <w:rsid w:val="00E15F3B"/>
    <w:rsid w:val="00E20C7B"/>
    <w:rsid w:val="00E26EDF"/>
    <w:rsid w:val="00E3120C"/>
    <w:rsid w:val="00E33F11"/>
    <w:rsid w:val="00E4203F"/>
    <w:rsid w:val="00E43358"/>
    <w:rsid w:val="00E47AD7"/>
    <w:rsid w:val="00E54E0F"/>
    <w:rsid w:val="00E5528E"/>
    <w:rsid w:val="00E565FE"/>
    <w:rsid w:val="00E6320A"/>
    <w:rsid w:val="00E702C5"/>
    <w:rsid w:val="00E74773"/>
    <w:rsid w:val="00E83772"/>
    <w:rsid w:val="00E92AE5"/>
    <w:rsid w:val="00E97CD0"/>
    <w:rsid w:val="00EA05C2"/>
    <w:rsid w:val="00EA2A0C"/>
    <w:rsid w:val="00EA2BD0"/>
    <w:rsid w:val="00EB016D"/>
    <w:rsid w:val="00EB663F"/>
    <w:rsid w:val="00EC2FF5"/>
    <w:rsid w:val="00EC7E51"/>
    <w:rsid w:val="00ED0B49"/>
    <w:rsid w:val="00ED1DC7"/>
    <w:rsid w:val="00ED2154"/>
    <w:rsid w:val="00ED4B98"/>
    <w:rsid w:val="00ED4D82"/>
    <w:rsid w:val="00ED72C9"/>
    <w:rsid w:val="00ED7A97"/>
    <w:rsid w:val="00EE0794"/>
    <w:rsid w:val="00EE0A5E"/>
    <w:rsid w:val="00EE4F34"/>
    <w:rsid w:val="00EF0CF8"/>
    <w:rsid w:val="00EF3CC7"/>
    <w:rsid w:val="00EF4FBE"/>
    <w:rsid w:val="00EF611E"/>
    <w:rsid w:val="00F0145C"/>
    <w:rsid w:val="00F04D7B"/>
    <w:rsid w:val="00F06D69"/>
    <w:rsid w:val="00F1047E"/>
    <w:rsid w:val="00F10591"/>
    <w:rsid w:val="00F10989"/>
    <w:rsid w:val="00F111E0"/>
    <w:rsid w:val="00F11D47"/>
    <w:rsid w:val="00F13B9F"/>
    <w:rsid w:val="00F15214"/>
    <w:rsid w:val="00F17B04"/>
    <w:rsid w:val="00F21882"/>
    <w:rsid w:val="00F2439A"/>
    <w:rsid w:val="00F26444"/>
    <w:rsid w:val="00F26737"/>
    <w:rsid w:val="00F2733B"/>
    <w:rsid w:val="00F315FF"/>
    <w:rsid w:val="00F319F6"/>
    <w:rsid w:val="00F33D64"/>
    <w:rsid w:val="00F35489"/>
    <w:rsid w:val="00F40488"/>
    <w:rsid w:val="00F459BF"/>
    <w:rsid w:val="00F47DBA"/>
    <w:rsid w:val="00F47F6A"/>
    <w:rsid w:val="00F554CC"/>
    <w:rsid w:val="00F56C44"/>
    <w:rsid w:val="00F61544"/>
    <w:rsid w:val="00F61B2D"/>
    <w:rsid w:val="00F63986"/>
    <w:rsid w:val="00F63F6A"/>
    <w:rsid w:val="00F65E5F"/>
    <w:rsid w:val="00F66F8F"/>
    <w:rsid w:val="00F70CB9"/>
    <w:rsid w:val="00F819CA"/>
    <w:rsid w:val="00F86707"/>
    <w:rsid w:val="00F868EB"/>
    <w:rsid w:val="00F94A7A"/>
    <w:rsid w:val="00F952C9"/>
    <w:rsid w:val="00F967D1"/>
    <w:rsid w:val="00F96AB0"/>
    <w:rsid w:val="00F9715B"/>
    <w:rsid w:val="00FA1443"/>
    <w:rsid w:val="00FA27C6"/>
    <w:rsid w:val="00FA4BAE"/>
    <w:rsid w:val="00FA5D61"/>
    <w:rsid w:val="00FA715B"/>
    <w:rsid w:val="00FB2738"/>
    <w:rsid w:val="00FC095D"/>
    <w:rsid w:val="00FC10AB"/>
    <w:rsid w:val="00FC116C"/>
    <w:rsid w:val="00FC1ADE"/>
    <w:rsid w:val="00FC3FE1"/>
    <w:rsid w:val="00FC707D"/>
    <w:rsid w:val="00FE1CBC"/>
    <w:rsid w:val="00FF2458"/>
    <w:rsid w:val="00FF3FB2"/>
    <w:rsid w:val="00FF5A7E"/>
    <w:rsid w:val="00FF7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2F95F"/>
  <w15:docId w15:val="{B5149B05-5ACC-48A9-ACF5-41AD4008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368"/>
    <w:pPr>
      <w:spacing w:after="120"/>
      <w:ind w:firstLine="709"/>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D7C9D"/>
    <w:pPr>
      <w:tabs>
        <w:tab w:val="center" w:pos="4153"/>
        <w:tab w:val="right" w:pos="8306"/>
      </w:tabs>
      <w:spacing w:after="0"/>
      <w:ind w:firstLine="0"/>
    </w:pPr>
    <w:rPr>
      <w:sz w:val="20"/>
    </w:rPr>
  </w:style>
  <w:style w:type="paragraph" w:customStyle="1" w:styleId="H3">
    <w:name w:val="H3"/>
    <w:rsid w:val="007F4368"/>
    <w:pPr>
      <w:spacing w:after="120"/>
      <w:jc w:val="center"/>
      <w:outlineLvl w:val="2"/>
    </w:pPr>
    <w:rPr>
      <w:b/>
      <w:sz w:val="32"/>
      <w:lang w:eastAsia="en-US"/>
    </w:rPr>
  </w:style>
  <w:style w:type="paragraph" w:customStyle="1" w:styleId="H2">
    <w:name w:val="H2"/>
    <w:rsid w:val="007F4368"/>
    <w:pPr>
      <w:spacing w:after="120"/>
      <w:jc w:val="center"/>
      <w:outlineLvl w:val="1"/>
    </w:pPr>
    <w:rPr>
      <w:b/>
      <w:sz w:val="36"/>
      <w:lang w:eastAsia="en-US"/>
    </w:rPr>
  </w:style>
  <w:style w:type="paragraph" w:customStyle="1" w:styleId="H1">
    <w:name w:val="H1"/>
    <w:rsid w:val="007F4368"/>
    <w:pPr>
      <w:spacing w:after="120"/>
      <w:jc w:val="center"/>
      <w:outlineLvl w:val="0"/>
    </w:pPr>
    <w:rPr>
      <w:b/>
      <w:sz w:val="44"/>
      <w:lang w:eastAsia="en-US"/>
    </w:rPr>
  </w:style>
  <w:style w:type="character" w:styleId="PageNumber">
    <w:name w:val="page number"/>
    <w:basedOn w:val="DefaultParagraphFont"/>
    <w:semiHidden/>
    <w:rsid w:val="003D7C9D"/>
  </w:style>
  <w:style w:type="paragraph" w:styleId="Header">
    <w:name w:val="header"/>
    <w:basedOn w:val="Normal"/>
    <w:link w:val="HeaderChar"/>
    <w:uiPriority w:val="99"/>
    <w:rsid w:val="003D7C9D"/>
    <w:pPr>
      <w:tabs>
        <w:tab w:val="center" w:pos="4153"/>
        <w:tab w:val="right" w:pos="8306"/>
      </w:tabs>
      <w:spacing w:after="0"/>
      <w:ind w:firstLine="0"/>
    </w:pPr>
  </w:style>
  <w:style w:type="character" w:customStyle="1" w:styleId="HeaderChar">
    <w:name w:val="Header Char"/>
    <w:link w:val="Header"/>
    <w:uiPriority w:val="99"/>
    <w:rsid w:val="009330BA"/>
    <w:rPr>
      <w:sz w:val="24"/>
      <w:lang w:eastAsia="en-US"/>
    </w:rPr>
  </w:style>
  <w:style w:type="character" w:styleId="CommentReference">
    <w:name w:val="annotation reference"/>
    <w:semiHidden/>
    <w:rsid w:val="003D7C9D"/>
    <w:rPr>
      <w:sz w:val="16"/>
      <w:szCs w:val="16"/>
    </w:rPr>
  </w:style>
  <w:style w:type="paragraph" w:styleId="CommentText">
    <w:name w:val="annotation text"/>
    <w:basedOn w:val="Normal"/>
    <w:link w:val="CommentTextChar"/>
    <w:rsid w:val="003D7C9D"/>
    <w:rPr>
      <w:sz w:val="20"/>
    </w:rPr>
  </w:style>
  <w:style w:type="character" w:customStyle="1" w:styleId="CommentTextChar">
    <w:name w:val="Comment Text Char"/>
    <w:link w:val="CommentText"/>
    <w:rsid w:val="00FC1ADE"/>
    <w:rPr>
      <w:lang w:eastAsia="en-US"/>
    </w:rPr>
  </w:style>
  <w:style w:type="paragraph" w:styleId="BalloonText">
    <w:name w:val="Balloon Text"/>
    <w:basedOn w:val="Normal"/>
    <w:link w:val="BalloonTextChar"/>
    <w:uiPriority w:val="99"/>
    <w:semiHidden/>
    <w:unhideWhenUsed/>
    <w:rsid w:val="00D610E4"/>
    <w:pPr>
      <w:spacing w:after="0"/>
    </w:pPr>
    <w:rPr>
      <w:rFonts w:ascii="Tahoma" w:hAnsi="Tahoma"/>
      <w:sz w:val="16"/>
      <w:szCs w:val="16"/>
    </w:rPr>
  </w:style>
  <w:style w:type="character" w:customStyle="1" w:styleId="BalloonTextChar">
    <w:name w:val="Balloon Text Char"/>
    <w:link w:val="BalloonText"/>
    <w:uiPriority w:val="99"/>
    <w:semiHidden/>
    <w:rsid w:val="00D610E4"/>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FC1ADE"/>
    <w:rPr>
      <w:b/>
      <w:bCs/>
    </w:rPr>
  </w:style>
  <w:style w:type="character" w:customStyle="1" w:styleId="CommentSubjectChar">
    <w:name w:val="Comment Subject Char"/>
    <w:basedOn w:val="CommentTextChar"/>
    <w:link w:val="CommentSubject"/>
    <w:rsid w:val="00FC1ADE"/>
    <w:rPr>
      <w:lang w:eastAsia="en-US"/>
    </w:rPr>
  </w:style>
  <w:style w:type="paragraph" w:styleId="BodyTextIndent">
    <w:name w:val="Body Text Indent"/>
    <w:basedOn w:val="Normal"/>
    <w:link w:val="BodyTextIndentChar"/>
    <w:uiPriority w:val="99"/>
    <w:semiHidden/>
    <w:unhideWhenUsed/>
    <w:rsid w:val="00521401"/>
    <w:pPr>
      <w:ind w:left="283"/>
    </w:pPr>
  </w:style>
  <w:style w:type="character" w:customStyle="1" w:styleId="BodyTextIndentChar">
    <w:name w:val="Body Text Indent Char"/>
    <w:link w:val="BodyTextIndent"/>
    <w:uiPriority w:val="99"/>
    <w:semiHidden/>
    <w:rsid w:val="00521401"/>
    <w:rPr>
      <w:sz w:val="24"/>
      <w:lang w:eastAsia="en-US"/>
    </w:rPr>
  </w:style>
  <w:style w:type="paragraph" w:customStyle="1" w:styleId="Default">
    <w:name w:val="Default"/>
    <w:rsid w:val="004726AB"/>
    <w:pPr>
      <w:autoSpaceDE w:val="0"/>
      <w:autoSpaceDN w:val="0"/>
      <w:adjustRightInd w:val="0"/>
    </w:pPr>
    <w:rPr>
      <w:color w:val="000000"/>
      <w:sz w:val="24"/>
      <w:szCs w:val="24"/>
    </w:rPr>
  </w:style>
  <w:style w:type="paragraph" w:styleId="Revision">
    <w:name w:val="Revision"/>
    <w:hidden/>
    <w:uiPriority w:val="99"/>
    <w:semiHidden/>
    <w:rsid w:val="009A740D"/>
    <w:rPr>
      <w:sz w:val="24"/>
      <w:lang w:eastAsia="en-US"/>
    </w:rPr>
  </w:style>
  <w:style w:type="paragraph" w:styleId="FootnoteText">
    <w:name w:val="footnote text"/>
    <w:aliases w:val="Char, Char,Footnote,Fußnote,Footnote Text Char1,Vēres teksts Char Char Char Char Char Char Char Char Char Char Char Char1,Char Char Char Char Char Char Char Char Char Char Char Char Char Char Char Char Char Char Char1,-E Fußnotentext,fn,f"/>
    <w:basedOn w:val="Normal"/>
    <w:link w:val="FootnoteTextChar"/>
    <w:uiPriority w:val="99"/>
    <w:unhideWhenUsed/>
    <w:qFormat/>
    <w:rsid w:val="007316F9"/>
    <w:rPr>
      <w:sz w:val="20"/>
    </w:rPr>
  </w:style>
  <w:style w:type="character" w:customStyle="1" w:styleId="FootnoteTextChar">
    <w:name w:val="Footnote Text Char"/>
    <w:aliases w:val="Char Char, Char Char,Footnote Char,Fußnote Char,Footnote Text Char1 Char,Vēres teksts Char Char Char Char Char Char Char Char Char Char Char Char1 Char,-E Fußnotentext Char,fn Char,f Char"/>
    <w:link w:val="FootnoteText"/>
    <w:uiPriority w:val="99"/>
    <w:rsid w:val="007316F9"/>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7316F9"/>
    <w:rPr>
      <w:vertAlign w:val="superscript"/>
    </w:rPr>
  </w:style>
  <w:style w:type="character" w:styleId="Hyperlink">
    <w:name w:val="Hyperlink"/>
    <w:uiPriority w:val="99"/>
    <w:unhideWhenUsed/>
    <w:rsid w:val="00F952C9"/>
    <w:rPr>
      <w:color w:val="0000FF"/>
      <w:u w:val="single"/>
    </w:rPr>
  </w:style>
  <w:style w:type="paragraph" w:customStyle="1" w:styleId="H4">
    <w:name w:val="H4"/>
    <w:rsid w:val="007F4368"/>
    <w:pPr>
      <w:spacing w:after="120"/>
      <w:jc w:val="center"/>
      <w:outlineLvl w:val="3"/>
    </w:pPr>
    <w:rPr>
      <w:b/>
      <w:sz w:val="28"/>
      <w:lang w:eastAsia="en-US"/>
    </w:rPr>
  </w:style>
  <w:style w:type="paragraph" w:customStyle="1" w:styleId="funkcijas">
    <w:name w:val="funkcijas"/>
    <w:basedOn w:val="Normal"/>
    <w:qFormat/>
    <w:rsid w:val="007F4368"/>
    <w:pPr>
      <w:ind w:firstLine="0"/>
    </w:pPr>
    <w:rPr>
      <w:bCs/>
      <w:u w:val="single"/>
    </w:rPr>
  </w:style>
  <w:style w:type="paragraph" w:customStyle="1" w:styleId="Funkcijasbold">
    <w:name w:val="Funkcijas_bold"/>
    <w:basedOn w:val="Normal"/>
    <w:qFormat/>
    <w:rsid w:val="007F4368"/>
    <w:pPr>
      <w:ind w:firstLine="0"/>
    </w:pPr>
    <w:rPr>
      <w:b/>
      <w:bCs/>
    </w:rPr>
  </w:style>
  <w:style w:type="paragraph" w:customStyle="1" w:styleId="paraksti">
    <w:name w:val="paraksti"/>
    <w:basedOn w:val="Normal"/>
    <w:qFormat/>
    <w:rsid w:val="007F4368"/>
    <w:pPr>
      <w:ind w:firstLine="0"/>
    </w:pPr>
    <w:rPr>
      <w:i/>
      <w:sz w:val="18"/>
    </w:rPr>
  </w:style>
  <w:style w:type="paragraph" w:customStyle="1" w:styleId="programmas">
    <w:name w:val="programmas"/>
    <w:basedOn w:val="Normal"/>
    <w:qFormat/>
    <w:rsid w:val="007F4368"/>
    <w:pPr>
      <w:widowControl w:val="0"/>
      <w:spacing w:before="240"/>
      <w:ind w:firstLine="0"/>
      <w:jc w:val="center"/>
    </w:pPr>
    <w:rPr>
      <w:b/>
      <w:lang w:val="en-US"/>
    </w:rPr>
  </w:style>
  <w:style w:type="paragraph" w:customStyle="1" w:styleId="samazpaliel">
    <w:name w:val="samaz_paliel"/>
    <w:basedOn w:val="Normal"/>
    <w:qFormat/>
    <w:rsid w:val="007F4368"/>
    <w:pPr>
      <w:widowControl w:val="0"/>
      <w:ind w:firstLine="0"/>
    </w:pPr>
    <w:rPr>
      <w:b/>
      <w:u w:val="single"/>
    </w:rPr>
  </w:style>
  <w:style w:type="paragraph" w:customStyle="1" w:styleId="T">
    <w:name w:val="T"/>
    <w:basedOn w:val="Normal"/>
    <w:uiPriority w:val="99"/>
    <w:rsid w:val="007F4368"/>
    <w:pPr>
      <w:keepNext/>
      <w:ind w:firstLine="0"/>
      <w:jc w:val="center"/>
    </w:pPr>
    <w:rPr>
      <w:b/>
      <w:i/>
    </w:rPr>
  </w:style>
  <w:style w:type="paragraph" w:customStyle="1" w:styleId="tabteksts">
    <w:name w:val="tab_teksts"/>
    <w:basedOn w:val="Normal"/>
    <w:qFormat/>
    <w:rsid w:val="007F4368"/>
    <w:pPr>
      <w:spacing w:after="0"/>
      <w:ind w:firstLine="0"/>
      <w:jc w:val="left"/>
    </w:pPr>
    <w:rPr>
      <w:sz w:val="18"/>
    </w:rPr>
  </w:style>
  <w:style w:type="paragraph" w:customStyle="1" w:styleId="Z">
    <w:name w:val="Z"/>
    <w:basedOn w:val="T"/>
    <w:uiPriority w:val="99"/>
    <w:rsid w:val="007F4368"/>
    <w:pPr>
      <w:keepNext w:val="0"/>
    </w:pPr>
  </w:style>
  <w:style w:type="paragraph" w:customStyle="1" w:styleId="cipari">
    <w:name w:val="cipari"/>
    <w:basedOn w:val="Normal"/>
    <w:link w:val="cipariChar"/>
    <w:qFormat/>
    <w:rsid w:val="007F4368"/>
    <w:pPr>
      <w:ind w:left="720" w:hanging="720"/>
    </w:pPr>
    <w:rPr>
      <w:bCs/>
    </w:rPr>
  </w:style>
  <w:style w:type="character" w:customStyle="1" w:styleId="cipariChar">
    <w:name w:val="cipari Char"/>
    <w:link w:val="cipari"/>
    <w:rsid w:val="007F4368"/>
    <w:rPr>
      <w:bCs/>
      <w:sz w:val="24"/>
      <w:lang w:eastAsia="en-US"/>
    </w:rPr>
  </w:style>
  <w:style w:type="paragraph" w:customStyle="1" w:styleId="cipariiturp">
    <w:name w:val="ciparii_turp"/>
    <w:basedOn w:val="cipari"/>
    <w:qFormat/>
    <w:rsid w:val="007F4368"/>
    <w:pPr>
      <w:ind w:left="709" w:firstLine="0"/>
    </w:pPr>
    <w:rPr>
      <w:bCs w:val="0"/>
    </w:rPr>
  </w:style>
  <w:style w:type="paragraph" w:styleId="ListParagraph">
    <w:name w:val="List Paragraph"/>
    <w:aliases w:val="2"/>
    <w:basedOn w:val="Normal"/>
    <w:link w:val="ListParagraphChar"/>
    <w:uiPriority w:val="34"/>
    <w:qFormat/>
    <w:rsid w:val="00C017B1"/>
    <w:pPr>
      <w:spacing w:after="200" w:line="276" w:lineRule="auto"/>
      <w:ind w:left="720" w:firstLine="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2 Char"/>
    <w:link w:val="ListParagraph"/>
    <w:uiPriority w:val="34"/>
    <w:rsid w:val="00C017B1"/>
    <w:rPr>
      <w:rFonts w:asciiTheme="minorHAnsi" w:eastAsiaTheme="minorHAnsi" w:hAnsiTheme="minorHAnsi" w:cstheme="minorBidi"/>
      <w:sz w:val="22"/>
      <w:szCs w:val="22"/>
      <w:lang w:eastAsia="en-US"/>
    </w:rPr>
  </w:style>
  <w:style w:type="paragraph" w:customStyle="1" w:styleId="virsr2">
    <w:name w:val="virsr_2"/>
    <w:basedOn w:val="Normal"/>
    <w:rsid w:val="00902B54"/>
    <w:pPr>
      <w:keepNext/>
      <w:pBdr>
        <w:bottom w:val="dashed" w:sz="4" w:space="4" w:color="auto"/>
      </w:pBdr>
      <w:spacing w:before="360" w:after="240"/>
      <w:ind w:firstLine="0"/>
      <w:jc w:val="center"/>
    </w:pPr>
    <w:rPr>
      <w:rFonts w:ascii="Garamond" w:hAnsi="Garamond"/>
      <w:b/>
      <w:sz w:val="28"/>
    </w:rPr>
  </w:style>
  <w:style w:type="paragraph" w:customStyle="1" w:styleId="virsr3">
    <w:name w:val="virsr_3"/>
    <w:basedOn w:val="virsr2"/>
    <w:rsid w:val="00902B54"/>
    <w:rPr>
      <w:i/>
      <w:sz w:val="24"/>
    </w:rPr>
  </w:style>
  <w:style w:type="paragraph" w:customStyle="1" w:styleId="teksts">
    <w:name w:val="teksts"/>
    <w:rsid w:val="00902B54"/>
    <w:pPr>
      <w:spacing w:after="120"/>
      <w:jc w:val="both"/>
    </w:pPr>
    <w:rPr>
      <w:rFonts w:ascii="Garamond" w:hAnsi="Garamond"/>
      <w:sz w:val="24"/>
      <w:lang w:val="en-US" w:eastAsia="en-US"/>
    </w:rPr>
  </w:style>
  <w:style w:type="paragraph" w:customStyle="1" w:styleId="tabnum">
    <w:name w:val="tab_num"/>
    <w:basedOn w:val="Normal"/>
    <w:rsid w:val="00902B54"/>
    <w:pPr>
      <w:keepNext/>
      <w:spacing w:before="120" w:after="240"/>
      <w:ind w:firstLine="0"/>
      <w:jc w:val="center"/>
    </w:pPr>
    <w:rPr>
      <w:rFonts w:ascii="Garamond" w:hAnsi="Garamond"/>
      <w:lang w:val="en-US"/>
    </w:rPr>
  </w:style>
  <w:style w:type="paragraph" w:customStyle="1" w:styleId="tabvirsr">
    <w:name w:val="tab_virsr"/>
    <w:basedOn w:val="teksts"/>
    <w:rsid w:val="00902B54"/>
    <w:pPr>
      <w:keepNext/>
      <w:keepLines/>
      <w:spacing w:after="0"/>
      <w:jc w:val="center"/>
    </w:pPr>
    <w:rPr>
      <w:b/>
      <w:sz w:val="22"/>
    </w:rPr>
  </w:style>
  <w:style w:type="paragraph" w:customStyle="1" w:styleId="tabvirsrturp">
    <w:name w:val="tab_virsr_turp"/>
    <w:basedOn w:val="tabvirsr"/>
    <w:rsid w:val="00902B54"/>
    <w:pPr>
      <w:spacing w:after="12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32">
      <w:bodyDiv w:val="1"/>
      <w:marLeft w:val="0"/>
      <w:marRight w:val="0"/>
      <w:marTop w:val="0"/>
      <w:marBottom w:val="0"/>
      <w:divBdr>
        <w:top w:val="none" w:sz="0" w:space="0" w:color="auto"/>
        <w:left w:val="none" w:sz="0" w:space="0" w:color="auto"/>
        <w:bottom w:val="none" w:sz="0" w:space="0" w:color="auto"/>
        <w:right w:val="none" w:sz="0" w:space="0" w:color="auto"/>
      </w:divBdr>
      <w:divsChild>
        <w:div w:id="663706267">
          <w:marLeft w:val="2074"/>
          <w:marRight w:val="0"/>
          <w:marTop w:val="134"/>
          <w:marBottom w:val="0"/>
          <w:divBdr>
            <w:top w:val="none" w:sz="0" w:space="0" w:color="auto"/>
            <w:left w:val="none" w:sz="0" w:space="0" w:color="auto"/>
            <w:bottom w:val="none" w:sz="0" w:space="0" w:color="auto"/>
            <w:right w:val="none" w:sz="0" w:space="0" w:color="auto"/>
          </w:divBdr>
        </w:div>
        <w:div w:id="1496263807">
          <w:marLeft w:val="2074"/>
          <w:marRight w:val="0"/>
          <w:marTop w:val="134"/>
          <w:marBottom w:val="0"/>
          <w:divBdr>
            <w:top w:val="none" w:sz="0" w:space="0" w:color="auto"/>
            <w:left w:val="none" w:sz="0" w:space="0" w:color="auto"/>
            <w:bottom w:val="none" w:sz="0" w:space="0" w:color="auto"/>
            <w:right w:val="none" w:sz="0" w:space="0" w:color="auto"/>
          </w:divBdr>
        </w:div>
      </w:divsChild>
    </w:div>
    <w:div w:id="156965318">
      <w:bodyDiv w:val="1"/>
      <w:marLeft w:val="0"/>
      <w:marRight w:val="0"/>
      <w:marTop w:val="0"/>
      <w:marBottom w:val="0"/>
      <w:divBdr>
        <w:top w:val="none" w:sz="0" w:space="0" w:color="auto"/>
        <w:left w:val="none" w:sz="0" w:space="0" w:color="auto"/>
        <w:bottom w:val="none" w:sz="0" w:space="0" w:color="auto"/>
        <w:right w:val="none" w:sz="0" w:space="0" w:color="auto"/>
      </w:divBdr>
      <w:divsChild>
        <w:div w:id="65493582">
          <w:marLeft w:val="547"/>
          <w:marRight w:val="0"/>
          <w:marTop w:val="115"/>
          <w:marBottom w:val="0"/>
          <w:divBdr>
            <w:top w:val="none" w:sz="0" w:space="0" w:color="auto"/>
            <w:left w:val="none" w:sz="0" w:space="0" w:color="auto"/>
            <w:bottom w:val="none" w:sz="0" w:space="0" w:color="auto"/>
            <w:right w:val="none" w:sz="0" w:space="0" w:color="auto"/>
          </w:divBdr>
        </w:div>
      </w:divsChild>
    </w:div>
    <w:div w:id="277683036">
      <w:bodyDiv w:val="1"/>
      <w:marLeft w:val="0"/>
      <w:marRight w:val="0"/>
      <w:marTop w:val="0"/>
      <w:marBottom w:val="0"/>
      <w:divBdr>
        <w:top w:val="none" w:sz="0" w:space="0" w:color="auto"/>
        <w:left w:val="none" w:sz="0" w:space="0" w:color="auto"/>
        <w:bottom w:val="none" w:sz="0" w:space="0" w:color="auto"/>
        <w:right w:val="none" w:sz="0" w:space="0" w:color="auto"/>
      </w:divBdr>
    </w:div>
    <w:div w:id="332221459">
      <w:bodyDiv w:val="1"/>
      <w:marLeft w:val="0"/>
      <w:marRight w:val="0"/>
      <w:marTop w:val="0"/>
      <w:marBottom w:val="0"/>
      <w:divBdr>
        <w:top w:val="none" w:sz="0" w:space="0" w:color="auto"/>
        <w:left w:val="none" w:sz="0" w:space="0" w:color="auto"/>
        <w:bottom w:val="none" w:sz="0" w:space="0" w:color="auto"/>
        <w:right w:val="none" w:sz="0" w:space="0" w:color="auto"/>
      </w:divBdr>
    </w:div>
    <w:div w:id="366102320">
      <w:bodyDiv w:val="1"/>
      <w:marLeft w:val="0"/>
      <w:marRight w:val="0"/>
      <w:marTop w:val="0"/>
      <w:marBottom w:val="0"/>
      <w:divBdr>
        <w:top w:val="none" w:sz="0" w:space="0" w:color="auto"/>
        <w:left w:val="none" w:sz="0" w:space="0" w:color="auto"/>
        <w:bottom w:val="none" w:sz="0" w:space="0" w:color="auto"/>
        <w:right w:val="none" w:sz="0" w:space="0" w:color="auto"/>
      </w:divBdr>
    </w:div>
    <w:div w:id="386297028">
      <w:bodyDiv w:val="1"/>
      <w:marLeft w:val="0"/>
      <w:marRight w:val="0"/>
      <w:marTop w:val="0"/>
      <w:marBottom w:val="0"/>
      <w:divBdr>
        <w:top w:val="none" w:sz="0" w:space="0" w:color="auto"/>
        <w:left w:val="none" w:sz="0" w:space="0" w:color="auto"/>
        <w:bottom w:val="none" w:sz="0" w:space="0" w:color="auto"/>
        <w:right w:val="none" w:sz="0" w:space="0" w:color="auto"/>
      </w:divBdr>
    </w:div>
    <w:div w:id="416484417">
      <w:bodyDiv w:val="1"/>
      <w:marLeft w:val="0"/>
      <w:marRight w:val="0"/>
      <w:marTop w:val="0"/>
      <w:marBottom w:val="0"/>
      <w:divBdr>
        <w:top w:val="none" w:sz="0" w:space="0" w:color="auto"/>
        <w:left w:val="none" w:sz="0" w:space="0" w:color="auto"/>
        <w:bottom w:val="none" w:sz="0" w:space="0" w:color="auto"/>
        <w:right w:val="none" w:sz="0" w:space="0" w:color="auto"/>
      </w:divBdr>
    </w:div>
    <w:div w:id="842092662">
      <w:bodyDiv w:val="1"/>
      <w:marLeft w:val="0"/>
      <w:marRight w:val="0"/>
      <w:marTop w:val="0"/>
      <w:marBottom w:val="0"/>
      <w:divBdr>
        <w:top w:val="none" w:sz="0" w:space="0" w:color="auto"/>
        <w:left w:val="none" w:sz="0" w:space="0" w:color="auto"/>
        <w:bottom w:val="none" w:sz="0" w:space="0" w:color="auto"/>
        <w:right w:val="none" w:sz="0" w:space="0" w:color="auto"/>
      </w:divBdr>
    </w:div>
    <w:div w:id="876701290">
      <w:bodyDiv w:val="1"/>
      <w:marLeft w:val="0"/>
      <w:marRight w:val="0"/>
      <w:marTop w:val="0"/>
      <w:marBottom w:val="0"/>
      <w:divBdr>
        <w:top w:val="none" w:sz="0" w:space="0" w:color="auto"/>
        <w:left w:val="none" w:sz="0" w:space="0" w:color="auto"/>
        <w:bottom w:val="none" w:sz="0" w:space="0" w:color="auto"/>
        <w:right w:val="none" w:sz="0" w:space="0" w:color="auto"/>
      </w:divBdr>
      <w:divsChild>
        <w:div w:id="89354713">
          <w:marLeft w:val="1166"/>
          <w:marRight w:val="0"/>
          <w:marTop w:val="96"/>
          <w:marBottom w:val="0"/>
          <w:divBdr>
            <w:top w:val="none" w:sz="0" w:space="0" w:color="auto"/>
            <w:left w:val="none" w:sz="0" w:space="0" w:color="auto"/>
            <w:bottom w:val="none" w:sz="0" w:space="0" w:color="auto"/>
            <w:right w:val="none" w:sz="0" w:space="0" w:color="auto"/>
          </w:divBdr>
        </w:div>
        <w:div w:id="259334684">
          <w:marLeft w:val="547"/>
          <w:marRight w:val="0"/>
          <w:marTop w:val="96"/>
          <w:marBottom w:val="0"/>
          <w:divBdr>
            <w:top w:val="none" w:sz="0" w:space="0" w:color="auto"/>
            <w:left w:val="none" w:sz="0" w:space="0" w:color="auto"/>
            <w:bottom w:val="none" w:sz="0" w:space="0" w:color="auto"/>
            <w:right w:val="none" w:sz="0" w:space="0" w:color="auto"/>
          </w:divBdr>
        </w:div>
        <w:div w:id="739986041">
          <w:marLeft w:val="1166"/>
          <w:marRight w:val="0"/>
          <w:marTop w:val="96"/>
          <w:marBottom w:val="0"/>
          <w:divBdr>
            <w:top w:val="none" w:sz="0" w:space="0" w:color="auto"/>
            <w:left w:val="none" w:sz="0" w:space="0" w:color="auto"/>
            <w:bottom w:val="none" w:sz="0" w:space="0" w:color="auto"/>
            <w:right w:val="none" w:sz="0" w:space="0" w:color="auto"/>
          </w:divBdr>
        </w:div>
        <w:div w:id="778178771">
          <w:marLeft w:val="1166"/>
          <w:marRight w:val="0"/>
          <w:marTop w:val="96"/>
          <w:marBottom w:val="0"/>
          <w:divBdr>
            <w:top w:val="none" w:sz="0" w:space="0" w:color="auto"/>
            <w:left w:val="none" w:sz="0" w:space="0" w:color="auto"/>
            <w:bottom w:val="none" w:sz="0" w:space="0" w:color="auto"/>
            <w:right w:val="none" w:sz="0" w:space="0" w:color="auto"/>
          </w:divBdr>
        </w:div>
      </w:divsChild>
    </w:div>
    <w:div w:id="1039478407">
      <w:bodyDiv w:val="1"/>
      <w:marLeft w:val="0"/>
      <w:marRight w:val="0"/>
      <w:marTop w:val="0"/>
      <w:marBottom w:val="0"/>
      <w:divBdr>
        <w:top w:val="none" w:sz="0" w:space="0" w:color="auto"/>
        <w:left w:val="none" w:sz="0" w:space="0" w:color="auto"/>
        <w:bottom w:val="none" w:sz="0" w:space="0" w:color="auto"/>
        <w:right w:val="none" w:sz="0" w:space="0" w:color="auto"/>
      </w:divBdr>
    </w:div>
    <w:div w:id="1095248383">
      <w:bodyDiv w:val="1"/>
      <w:marLeft w:val="0"/>
      <w:marRight w:val="0"/>
      <w:marTop w:val="0"/>
      <w:marBottom w:val="0"/>
      <w:divBdr>
        <w:top w:val="none" w:sz="0" w:space="0" w:color="auto"/>
        <w:left w:val="none" w:sz="0" w:space="0" w:color="auto"/>
        <w:bottom w:val="none" w:sz="0" w:space="0" w:color="auto"/>
        <w:right w:val="none" w:sz="0" w:space="0" w:color="auto"/>
      </w:divBdr>
    </w:div>
    <w:div w:id="1522158769">
      <w:bodyDiv w:val="1"/>
      <w:marLeft w:val="0"/>
      <w:marRight w:val="0"/>
      <w:marTop w:val="0"/>
      <w:marBottom w:val="0"/>
      <w:divBdr>
        <w:top w:val="none" w:sz="0" w:space="0" w:color="auto"/>
        <w:left w:val="none" w:sz="0" w:space="0" w:color="auto"/>
        <w:bottom w:val="none" w:sz="0" w:space="0" w:color="auto"/>
        <w:right w:val="none" w:sz="0" w:space="0" w:color="auto"/>
      </w:divBdr>
      <w:divsChild>
        <w:div w:id="436675258">
          <w:marLeft w:val="547"/>
          <w:marRight w:val="0"/>
          <w:marTop w:val="106"/>
          <w:marBottom w:val="0"/>
          <w:divBdr>
            <w:top w:val="none" w:sz="0" w:space="0" w:color="auto"/>
            <w:left w:val="none" w:sz="0" w:space="0" w:color="auto"/>
            <w:bottom w:val="none" w:sz="0" w:space="0" w:color="auto"/>
            <w:right w:val="none" w:sz="0" w:space="0" w:color="auto"/>
          </w:divBdr>
        </w:div>
      </w:divsChild>
    </w:div>
    <w:div w:id="182473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www.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3BA50-48A0-4F00-BDE8-973660B3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10851</Words>
  <Characters>6186</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Likuma "Par valsts budžetu 2019.gadam" paskaidrojumi. 6.nodaļa Valsts finansiālo saistību kopsavilkums</vt:lpstr>
      <vt:lpstr>Likuma „Par valsts budžetu 2010. gadam“ paskaidrojumi. 5.1. nodaļa. Valsts budžeta izdevumu plānošanas būtiskākie elementi</vt:lpstr>
    </vt:vector>
  </TitlesOfParts>
  <Manager/>
  <Company>Finanšu ministrija</Company>
  <LinksUpToDate>false</LinksUpToDate>
  <CharactersWithSpaces>17003</CharactersWithSpaces>
  <SharedDoc>false</SharedDoc>
  <HLinks>
    <vt:vector size="66" baseType="variant">
      <vt:variant>
        <vt:i4>1835029</vt:i4>
      </vt:variant>
      <vt:variant>
        <vt:i4>18</vt:i4>
      </vt:variant>
      <vt:variant>
        <vt:i4>0</vt:i4>
      </vt:variant>
      <vt:variant>
        <vt:i4>5</vt:i4>
      </vt:variant>
      <vt:variant>
        <vt:lpwstr>http://www.swiss-contribution.lv/</vt:lpwstr>
      </vt:variant>
      <vt:variant>
        <vt:lpwstr/>
      </vt:variant>
      <vt:variant>
        <vt:i4>8126514</vt:i4>
      </vt:variant>
      <vt:variant>
        <vt:i4>15</vt:i4>
      </vt:variant>
      <vt:variant>
        <vt:i4>0</vt:i4>
      </vt:variant>
      <vt:variant>
        <vt:i4>5</vt:i4>
      </vt:variant>
      <vt:variant>
        <vt:lpwstr>http://www.norwaygrants.lv/</vt:lpwstr>
      </vt:variant>
      <vt:variant>
        <vt:lpwstr/>
      </vt:variant>
      <vt:variant>
        <vt:i4>196639</vt:i4>
      </vt:variant>
      <vt:variant>
        <vt:i4>12</vt:i4>
      </vt:variant>
      <vt:variant>
        <vt:i4>0</vt:i4>
      </vt:variant>
      <vt:variant>
        <vt:i4>5</vt:i4>
      </vt:variant>
      <vt:variant>
        <vt:lpwstr>http://www.eeagrants.lv/</vt:lpwstr>
      </vt:variant>
      <vt:variant>
        <vt:lpwstr/>
      </vt:variant>
      <vt:variant>
        <vt:i4>655436</vt:i4>
      </vt:variant>
      <vt:variant>
        <vt:i4>9</vt:i4>
      </vt:variant>
      <vt:variant>
        <vt:i4>0</vt:i4>
      </vt:variant>
      <vt:variant>
        <vt:i4>5</vt:i4>
      </vt:variant>
      <vt:variant>
        <vt:lpwstr>http://www.esfondi.lv/page.php?id=667</vt:lpwstr>
      </vt:variant>
      <vt:variant>
        <vt:lpwstr/>
      </vt:variant>
      <vt:variant>
        <vt:i4>327758</vt:i4>
      </vt:variant>
      <vt:variant>
        <vt:i4>6</vt:i4>
      </vt:variant>
      <vt:variant>
        <vt:i4>0</vt:i4>
      </vt:variant>
      <vt:variant>
        <vt:i4>5</vt:i4>
      </vt:variant>
      <vt:variant>
        <vt:lpwstr>http://www.esfondi.lv/page.php?id=494</vt:lpwstr>
      </vt:variant>
      <vt:variant>
        <vt:lpwstr/>
      </vt:variant>
      <vt:variant>
        <vt:i4>327758</vt:i4>
      </vt:variant>
      <vt:variant>
        <vt:i4>3</vt:i4>
      </vt:variant>
      <vt:variant>
        <vt:i4>0</vt:i4>
      </vt:variant>
      <vt:variant>
        <vt:i4>5</vt:i4>
      </vt:variant>
      <vt:variant>
        <vt:lpwstr>http://www.esfondi.lv/page.php?id=493</vt:lpwstr>
      </vt:variant>
      <vt:variant>
        <vt:lpwstr/>
      </vt:variant>
      <vt:variant>
        <vt:i4>327758</vt:i4>
      </vt:variant>
      <vt:variant>
        <vt:i4>0</vt:i4>
      </vt:variant>
      <vt:variant>
        <vt:i4>0</vt:i4>
      </vt:variant>
      <vt:variant>
        <vt:i4>5</vt:i4>
      </vt:variant>
      <vt:variant>
        <vt:lpwstr>http://www.esfondi.lv/page.php?id=492</vt:lpwstr>
      </vt:variant>
      <vt:variant>
        <vt:lpwstr/>
      </vt:variant>
      <vt:variant>
        <vt:i4>655436</vt:i4>
      </vt:variant>
      <vt:variant>
        <vt:i4>9</vt:i4>
      </vt:variant>
      <vt:variant>
        <vt:i4>0</vt:i4>
      </vt:variant>
      <vt:variant>
        <vt:i4>5</vt:i4>
      </vt:variant>
      <vt:variant>
        <vt:lpwstr>http://www.esfondi.lv/page.php?id=667</vt:lpwstr>
      </vt:variant>
      <vt:variant>
        <vt:lpwstr/>
      </vt:variant>
      <vt:variant>
        <vt:i4>3407999</vt:i4>
      </vt:variant>
      <vt:variant>
        <vt:i4>6</vt:i4>
      </vt:variant>
      <vt:variant>
        <vt:i4>0</vt:i4>
      </vt:variant>
      <vt:variant>
        <vt:i4>5</vt:i4>
      </vt:variant>
      <vt:variant>
        <vt:lpwstr>http://www.esfondi.lv/page.php?id=1149</vt:lpwstr>
      </vt:variant>
      <vt:variant>
        <vt:lpwstr/>
      </vt:variant>
      <vt:variant>
        <vt:i4>7471229</vt:i4>
      </vt:variant>
      <vt:variant>
        <vt:i4>3</vt:i4>
      </vt:variant>
      <vt:variant>
        <vt:i4>0</vt:i4>
      </vt:variant>
      <vt:variant>
        <vt:i4>5</vt:i4>
      </vt:variant>
      <vt:variant>
        <vt:lpwstr>http://likumi.lv/doc.php?id=211138</vt:lpwstr>
      </vt:variant>
      <vt:variant>
        <vt:lpwstr/>
      </vt:variant>
      <vt:variant>
        <vt:i4>655436</vt:i4>
      </vt:variant>
      <vt:variant>
        <vt:i4>0</vt:i4>
      </vt:variant>
      <vt:variant>
        <vt:i4>0</vt:i4>
      </vt:variant>
      <vt:variant>
        <vt:i4>5</vt:i4>
      </vt:variant>
      <vt:variant>
        <vt:lpwstr>http://www.esfondi.lv/page.php?id=667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6.nodaļa Valsts finansiālo saistību kopsavilkums</dc:title>
  <dc:subject>paskaidrojuma raksts</dc:subject>
  <dc:creator>Aija Freiberga</dc:creator>
  <dc:description>67083874, Aija.Freiberga@fm.gov.lv</dc:description>
  <cp:lastModifiedBy>Māra Aļļēna</cp:lastModifiedBy>
  <cp:revision>3</cp:revision>
  <cp:lastPrinted>2019-03-01T12:57:00Z</cp:lastPrinted>
  <dcterms:created xsi:type="dcterms:W3CDTF">2019-05-13T11:55:00Z</dcterms:created>
  <dcterms:modified xsi:type="dcterms:W3CDTF">2019-05-13T11:56:00Z</dcterms:modified>
</cp:coreProperties>
</file>