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25C" w:rsidRPr="0041630C" w:rsidRDefault="0088325C" w:rsidP="0088325C">
      <w:pPr>
        <w:pStyle w:val="H4"/>
        <w:rPr>
          <w:lang w:eastAsia="lv-LV"/>
        </w:rPr>
      </w:pPr>
      <w:r w:rsidRPr="0041630C">
        <w:rPr>
          <w:lang w:eastAsia="lv-LV"/>
        </w:rPr>
        <w:t>74</w:t>
      </w:r>
      <w:r w:rsidR="00C12E72">
        <w:rPr>
          <w:lang w:eastAsia="lv-LV"/>
        </w:rPr>
        <w:t>. </w:t>
      </w:r>
      <w:r w:rsidR="00255959">
        <w:rPr>
          <w:lang w:eastAsia="lv-LV"/>
        </w:rPr>
        <w:t>G</w:t>
      </w:r>
      <w:r w:rsidR="00C12E72">
        <w:rPr>
          <w:lang w:eastAsia="lv-LV"/>
        </w:rPr>
        <w:t>ad</w:t>
      </w:r>
      <w:r w:rsidRPr="0041630C">
        <w:t>skārtējā valsts budžeta izpildes procesā pārdalāmais finansējums</w:t>
      </w:r>
    </w:p>
    <w:p w:rsidR="001556CC" w:rsidRPr="00553159" w:rsidRDefault="001556CC" w:rsidP="001556CC">
      <w:pPr>
        <w:ind w:firstLine="0"/>
        <w:rPr>
          <w:lang w:eastAsia="lv-LV"/>
        </w:rPr>
      </w:pPr>
    </w:p>
    <w:p w:rsidR="00F1028F" w:rsidRPr="00540EF8" w:rsidRDefault="00F1028F" w:rsidP="00F1028F">
      <w:pPr>
        <w:pStyle w:val="Funkcijasbold"/>
        <w:spacing w:before="120"/>
        <w:rPr>
          <w:szCs w:val="24"/>
          <w:lang w:eastAsia="lv-LV"/>
        </w:rPr>
      </w:pPr>
      <w:r>
        <w:rPr>
          <w:szCs w:val="24"/>
          <w:u w:val="single"/>
          <w:lang w:eastAsia="lv-LV"/>
        </w:rPr>
        <w:t>G</w:t>
      </w:r>
      <w:r w:rsidRPr="00540EF8">
        <w:rPr>
          <w:szCs w:val="24"/>
          <w:u w:val="single"/>
          <w:lang w:eastAsia="lv-LV"/>
        </w:rPr>
        <w:t xml:space="preserve">alvenie pasākumi </w:t>
      </w:r>
      <w:r>
        <w:rPr>
          <w:szCs w:val="24"/>
          <w:u w:val="single"/>
          <w:lang w:eastAsia="lv-LV"/>
        </w:rPr>
        <w:t>2019</w:t>
      </w:r>
      <w:r w:rsidRPr="00540EF8">
        <w:rPr>
          <w:szCs w:val="24"/>
          <w:u w:val="single"/>
          <w:lang w:eastAsia="lv-LV"/>
        </w:rPr>
        <w:t>. gadā</w:t>
      </w:r>
      <w:r w:rsidRPr="00540EF8">
        <w:rPr>
          <w:szCs w:val="24"/>
          <w:lang w:eastAsia="lv-LV"/>
        </w:rPr>
        <w:t>:</w:t>
      </w:r>
    </w:p>
    <w:p w:rsidR="00F1028F" w:rsidRPr="00F633EF" w:rsidRDefault="00F1028F" w:rsidP="00F1028F">
      <w:pPr>
        <w:pStyle w:val="Funkcijasbold"/>
        <w:numPr>
          <w:ilvl w:val="0"/>
          <w:numId w:val="23"/>
        </w:numPr>
        <w:tabs>
          <w:tab w:val="left" w:pos="993"/>
        </w:tabs>
        <w:ind w:left="0" w:firstLine="720"/>
        <w:rPr>
          <w:b w:val="0"/>
          <w:szCs w:val="24"/>
          <w:lang w:eastAsia="lv-LV"/>
        </w:rPr>
      </w:pPr>
      <w:r w:rsidRPr="00F633EF">
        <w:rPr>
          <w:b w:val="0"/>
          <w:szCs w:val="24"/>
          <w:lang w:eastAsia="lv-LV"/>
        </w:rPr>
        <w:t>nodrošināt valsts finanšu politikas īstenošanas nepārtrauktību;</w:t>
      </w:r>
    </w:p>
    <w:p w:rsidR="00F1028F" w:rsidRPr="00F633EF" w:rsidRDefault="00F1028F" w:rsidP="00F1028F">
      <w:pPr>
        <w:pStyle w:val="Funkcijasbold"/>
        <w:numPr>
          <w:ilvl w:val="0"/>
          <w:numId w:val="23"/>
        </w:numPr>
        <w:tabs>
          <w:tab w:val="left" w:pos="993"/>
        </w:tabs>
        <w:ind w:left="0" w:firstLine="720"/>
        <w:rPr>
          <w:b w:val="0"/>
          <w:szCs w:val="24"/>
          <w:lang w:eastAsia="lv-LV"/>
        </w:rPr>
      </w:pPr>
      <w:r w:rsidRPr="00F633EF">
        <w:rPr>
          <w:b w:val="0"/>
          <w:szCs w:val="24"/>
          <w:lang w:eastAsia="lv-LV"/>
        </w:rPr>
        <w:t>nodrošināt finansējumu neparedzētiem izdevumiem katastrofu un dabas stihiju seku novēršanai, to radīto zaudējumu kompensēšanai, citiem neparedzētiem gadījumiem un īpaši nacionāli nozīmīgiem pasākumiem;</w:t>
      </w:r>
    </w:p>
    <w:p w:rsidR="00F1028F" w:rsidRPr="00AF7DA2" w:rsidRDefault="00F1028F" w:rsidP="00AF7DA2">
      <w:pPr>
        <w:pStyle w:val="Funkcijasbold"/>
        <w:numPr>
          <w:ilvl w:val="0"/>
          <w:numId w:val="23"/>
        </w:numPr>
        <w:tabs>
          <w:tab w:val="left" w:pos="993"/>
        </w:tabs>
        <w:ind w:left="0" w:firstLine="720"/>
        <w:rPr>
          <w:b w:val="0"/>
          <w:sz w:val="22"/>
          <w:szCs w:val="22"/>
        </w:rPr>
      </w:pPr>
      <w:r w:rsidRPr="004118FC">
        <w:rPr>
          <w:b w:val="0"/>
          <w:szCs w:val="24"/>
          <w:lang w:eastAsia="lv-LV"/>
        </w:rPr>
        <w:t xml:space="preserve">nodrošināt finansējumu Eiropas Savienības politiku instrumentu un pārējās ārvalstu finanšu palīdzības līdzfinansēto projektu tai skaitā, Eiropas transporta, telekomunikāciju un enerģijas infrastruktūras tīklu un Eiropas infrastruktūras savienošanas instrumenta, Kohēzijas fonda, Eiropas Reģionālās attīstības fonda, Eiropas Sociālā fonda, Eiropas Lauksaimniecības garantiju fonda, Eiropas Lauksaimniecības fonda lauku attīstībai, Eiropas Zivsaimniecības fonda un Eiropas Jūrlietu un zivsaimniecības fonda, Eiropas Kopienas iniciatīvu, 3.mērķa “Eiropas teritoriālā sadarbība”, Citu Eiropas Savienības politiku instrumentu, Eiropas Ekonomikas zonas un Norvēģijas finanšu instrumenta, citu ārvalstu finanšu palīdzības līdzfinansēto projektu un pasākumu, emisijas kvotu izsolīšanas instrumenta, kā arī Eiropas Savienības finansēto institūciju stiprināšanas programmu </w:t>
      </w:r>
      <w:proofErr w:type="spellStart"/>
      <w:r w:rsidRPr="004118FC">
        <w:rPr>
          <w:b w:val="0"/>
          <w:szCs w:val="24"/>
          <w:lang w:eastAsia="lv-LV"/>
        </w:rPr>
        <w:t>mērķsadarbības</w:t>
      </w:r>
      <w:proofErr w:type="spellEnd"/>
      <w:r w:rsidRPr="004118FC">
        <w:rPr>
          <w:b w:val="0"/>
          <w:szCs w:val="24"/>
          <w:lang w:eastAsia="lv-LV"/>
        </w:rPr>
        <w:t xml:space="preserve"> (</w:t>
      </w:r>
      <w:proofErr w:type="spellStart"/>
      <w:r w:rsidRPr="004118FC">
        <w:rPr>
          <w:b w:val="0"/>
          <w:szCs w:val="24"/>
          <w:lang w:eastAsia="lv-LV"/>
        </w:rPr>
        <w:t>Twinning</w:t>
      </w:r>
      <w:proofErr w:type="spellEnd"/>
      <w:r w:rsidRPr="004118FC">
        <w:rPr>
          <w:b w:val="0"/>
          <w:szCs w:val="24"/>
          <w:lang w:eastAsia="lv-LV"/>
        </w:rPr>
        <w:t xml:space="preserve">) un neliela apjoma </w:t>
      </w:r>
      <w:proofErr w:type="spellStart"/>
      <w:r w:rsidRPr="004118FC">
        <w:rPr>
          <w:b w:val="0"/>
          <w:szCs w:val="24"/>
          <w:lang w:eastAsia="lv-LV"/>
        </w:rPr>
        <w:t>mērķsadarbības</w:t>
      </w:r>
      <w:proofErr w:type="spellEnd"/>
      <w:r w:rsidRPr="004118FC">
        <w:rPr>
          <w:b w:val="0"/>
          <w:szCs w:val="24"/>
          <w:lang w:eastAsia="lv-LV"/>
        </w:rPr>
        <w:t xml:space="preserve"> (</w:t>
      </w:r>
      <w:proofErr w:type="spellStart"/>
      <w:r w:rsidRPr="004118FC">
        <w:rPr>
          <w:b w:val="0"/>
          <w:szCs w:val="24"/>
          <w:lang w:eastAsia="lv-LV"/>
        </w:rPr>
        <w:t>Twinning</w:t>
      </w:r>
      <w:proofErr w:type="spellEnd"/>
      <w:r w:rsidRPr="004118FC">
        <w:rPr>
          <w:b w:val="0"/>
          <w:szCs w:val="24"/>
          <w:lang w:eastAsia="lv-LV"/>
        </w:rPr>
        <w:t xml:space="preserve"> </w:t>
      </w:r>
      <w:proofErr w:type="spellStart"/>
      <w:r w:rsidRPr="004118FC">
        <w:rPr>
          <w:b w:val="0"/>
          <w:szCs w:val="24"/>
          <w:lang w:eastAsia="lv-LV"/>
        </w:rPr>
        <w:t>Light</w:t>
      </w:r>
      <w:proofErr w:type="spellEnd"/>
      <w:r w:rsidRPr="004118FC">
        <w:rPr>
          <w:b w:val="0"/>
          <w:szCs w:val="24"/>
          <w:lang w:eastAsia="lv-LV"/>
        </w:rPr>
        <w:t>) ietvaros līdzfinansēto projektu un pasākumu īstenošanai.</w:t>
      </w:r>
    </w:p>
    <w:p w:rsidR="00F1028F" w:rsidRPr="00540EF8" w:rsidRDefault="00F1028F" w:rsidP="00AF7DA2">
      <w:pPr>
        <w:pStyle w:val="Tabuluvirsraksti"/>
        <w:spacing w:before="360"/>
        <w:rPr>
          <w:b/>
          <w:lang w:eastAsia="lv-LV"/>
        </w:rPr>
      </w:pPr>
      <w:r w:rsidRPr="00540EF8">
        <w:rPr>
          <w:b/>
          <w:lang w:eastAsia="lv-LV"/>
        </w:rPr>
        <w:t xml:space="preserve">Budžeta resora “74. Gadskārtējā valsts budžeta izpildes procesā pārdalāmais finansējums” </w:t>
      </w:r>
      <w:r>
        <w:rPr>
          <w:b/>
          <w:lang w:eastAsia="lv-LV"/>
        </w:rPr>
        <w:t>kopējo izdevumu izmaiņas no 2018. līdz 2021</w:t>
      </w:r>
      <w:r w:rsidRPr="00540EF8">
        <w:rPr>
          <w:b/>
          <w:lang w:eastAsia="lv-LV"/>
        </w:rPr>
        <w:t xml:space="preserve">.gadam, </w:t>
      </w:r>
      <w:proofErr w:type="spellStart"/>
      <w:r w:rsidRPr="00540EF8">
        <w:rPr>
          <w:b/>
          <w:i/>
          <w:lang w:eastAsia="lv-LV"/>
        </w:rPr>
        <w:t>euro</w:t>
      </w:r>
      <w:proofErr w:type="spellEnd"/>
    </w:p>
    <w:p w:rsidR="00761E88" w:rsidRPr="00295319" w:rsidRDefault="00F1028F" w:rsidP="00761E88">
      <w:pPr>
        <w:ind w:firstLine="0"/>
        <w:jc w:val="center"/>
        <w:rPr>
          <w:lang w:eastAsia="lv-LV"/>
        </w:rPr>
      </w:pPr>
      <w:r w:rsidRPr="00BC39CB">
        <w:rPr>
          <w:b/>
          <w:noProof/>
          <w:lang w:eastAsia="lv-LV"/>
        </w:rPr>
        <w:drawing>
          <wp:inline distT="0" distB="0" distL="0" distR="0" wp14:anchorId="0C8CA0BA" wp14:editId="09FEC40F">
            <wp:extent cx="5760085" cy="3424527"/>
            <wp:effectExtent l="0" t="0" r="1206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4E60" w:rsidRDefault="004E4E60" w:rsidP="00AC7B1A">
      <w:pPr>
        <w:pStyle w:val="programmas"/>
        <w:spacing w:before="120" w:after="360"/>
        <w:rPr>
          <w:u w:val="single"/>
        </w:rPr>
      </w:pPr>
    </w:p>
    <w:p w:rsidR="004E4E60" w:rsidRDefault="004E4E60" w:rsidP="00AC7B1A">
      <w:pPr>
        <w:pStyle w:val="programmas"/>
        <w:spacing w:before="120" w:after="360"/>
        <w:rPr>
          <w:u w:val="single"/>
        </w:rPr>
      </w:pPr>
    </w:p>
    <w:p w:rsidR="004E4E60" w:rsidRDefault="004E4E60" w:rsidP="00CA7B00">
      <w:pPr>
        <w:pStyle w:val="programmas"/>
        <w:tabs>
          <w:tab w:val="left" w:pos="2445"/>
        </w:tabs>
        <w:spacing w:before="120" w:after="360"/>
        <w:jc w:val="both"/>
        <w:rPr>
          <w:u w:val="single"/>
        </w:rPr>
      </w:pPr>
    </w:p>
    <w:p w:rsidR="00AC7B1A" w:rsidRDefault="00AC7B1A" w:rsidP="00AC7B1A">
      <w:pPr>
        <w:pStyle w:val="programmas"/>
        <w:spacing w:before="120" w:after="360"/>
        <w:rPr>
          <w:u w:val="single"/>
        </w:rPr>
      </w:pPr>
      <w:r>
        <w:rPr>
          <w:u w:val="single"/>
        </w:rPr>
        <w:lastRenderedPageBreak/>
        <w:t>Budžeta programmu paskaidrojumi</w:t>
      </w:r>
    </w:p>
    <w:p w:rsidR="00721032" w:rsidRDefault="00CE4C16" w:rsidP="007D6B33">
      <w:r w:rsidRPr="007A36C2">
        <w:t>Budžeta resorā “74. Gadskārtējā valsts budžeta izpildes procesā pārdalāmais finansējums” 2019.gadam, salīdzinot ar 2018.gadu, ir izveidota jauna budžeta programma 09.00.00 “Valsts nozīmes reformas īstenošanai”.</w:t>
      </w:r>
    </w:p>
    <w:p w:rsidR="004E4E60" w:rsidRPr="00540EF8" w:rsidRDefault="004E4E60" w:rsidP="00E65C04">
      <w:pPr>
        <w:pStyle w:val="programmas"/>
      </w:pPr>
      <w:r w:rsidRPr="00540EF8">
        <w:t xml:space="preserve">01.00.00 Apropriācijas </w:t>
      </w:r>
      <w:r>
        <w:t>rezerve</w:t>
      </w:r>
    </w:p>
    <w:p w:rsidR="004E4E60" w:rsidRPr="00540EF8" w:rsidRDefault="004E4E60" w:rsidP="004E4E60">
      <w:pPr>
        <w:ind w:firstLine="0"/>
        <w:rPr>
          <w:u w:val="single"/>
        </w:rPr>
      </w:pPr>
      <w:r w:rsidRPr="00540EF8">
        <w:rPr>
          <w:u w:val="single"/>
        </w:rPr>
        <w:t>Programmas mērķis:</w:t>
      </w:r>
    </w:p>
    <w:p w:rsidR="004E4E60" w:rsidRPr="00540EF8" w:rsidRDefault="004E4E60" w:rsidP="004E4E60">
      <w:pPr>
        <w:pStyle w:val="ListParagraph"/>
        <w:numPr>
          <w:ilvl w:val="0"/>
          <w:numId w:val="25"/>
        </w:numPr>
        <w:spacing w:after="120"/>
        <w:ind w:left="714" w:hanging="357"/>
        <w:contextualSpacing w:val="0"/>
        <w:jc w:val="both"/>
        <w:rPr>
          <w:lang w:eastAsia="lv-LV"/>
        </w:rPr>
      </w:pPr>
      <w:r w:rsidRPr="00540EF8">
        <w:rPr>
          <w:lang w:eastAsia="lv-LV"/>
        </w:rPr>
        <w:t>nodrošināt valsts finanšu politikas īstenošanas nepārtrauktību;</w:t>
      </w:r>
    </w:p>
    <w:p w:rsidR="004E4E60" w:rsidRPr="00540EF8" w:rsidRDefault="004E4E60" w:rsidP="00AF7DA2">
      <w:pPr>
        <w:pStyle w:val="ListParagraph"/>
        <w:numPr>
          <w:ilvl w:val="0"/>
          <w:numId w:val="25"/>
        </w:numPr>
        <w:spacing w:after="120"/>
        <w:ind w:left="714" w:hanging="357"/>
        <w:contextualSpacing w:val="0"/>
        <w:jc w:val="both"/>
        <w:rPr>
          <w:lang w:eastAsia="lv-LV"/>
        </w:rPr>
      </w:pPr>
      <w:r w:rsidRPr="00540EF8">
        <w:rPr>
          <w:lang w:eastAsia="lv-LV"/>
        </w:rPr>
        <w:t>mazināt negatīvo efektu nelietderīgai un neplānotai budžeta līdzekļu izlietošanai gadījumos, ja objektīvu iemeslu dēļ netiek veikti kārtējā gadā ieplānotie iepirkumi vai realizēti investīciju projekti.</w:t>
      </w:r>
    </w:p>
    <w:p w:rsidR="004E4E60" w:rsidRPr="00540EF8" w:rsidRDefault="004E4E60" w:rsidP="004E4E60">
      <w:pPr>
        <w:pStyle w:val="Tabuluvirsraksti"/>
        <w:spacing w:after="240"/>
        <w:rPr>
          <w:b/>
          <w:lang w:eastAsia="lv-LV"/>
        </w:rPr>
      </w:pPr>
      <w:r w:rsidRPr="00540EF8">
        <w:rPr>
          <w:b/>
          <w:lang w:eastAsia="lv-LV"/>
        </w:rPr>
        <w:t xml:space="preserve">Finansiālie rādītāji no </w:t>
      </w:r>
      <w:r>
        <w:rPr>
          <w:b/>
          <w:lang w:eastAsia="lv-LV"/>
        </w:rPr>
        <w:t>2017</w:t>
      </w:r>
      <w:r w:rsidRPr="00540EF8">
        <w:rPr>
          <w:b/>
          <w:lang w:eastAsia="lv-LV"/>
        </w:rPr>
        <w:t>. līdz</w:t>
      </w:r>
      <w:r>
        <w:rPr>
          <w:b/>
          <w:lang w:eastAsia="lv-LV"/>
        </w:rPr>
        <w:t xml:space="preserve"> 2021</w:t>
      </w:r>
      <w:r w:rsidRPr="00540EF8">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E4E60" w:rsidRPr="00540EF8" w:rsidTr="00804D67">
        <w:trPr>
          <w:trHeight w:val="283"/>
          <w:tblHeader/>
          <w:jc w:val="center"/>
        </w:trPr>
        <w:tc>
          <w:tcPr>
            <w:tcW w:w="3378" w:type="dxa"/>
            <w:vAlign w:val="center"/>
          </w:tcPr>
          <w:p w:rsidR="004E4E60" w:rsidRPr="00540EF8" w:rsidRDefault="004E4E60" w:rsidP="00804D67">
            <w:pPr>
              <w:pStyle w:val="tabteksts"/>
              <w:jc w:val="center"/>
              <w:rPr>
                <w:szCs w:val="24"/>
              </w:rPr>
            </w:pPr>
          </w:p>
        </w:tc>
        <w:tc>
          <w:tcPr>
            <w:tcW w:w="1131" w:type="dxa"/>
          </w:tcPr>
          <w:p w:rsidR="004E4E60" w:rsidRPr="00540EF8" w:rsidRDefault="004E4E60" w:rsidP="00804D67">
            <w:pPr>
              <w:pStyle w:val="tabteksts"/>
              <w:jc w:val="center"/>
              <w:rPr>
                <w:szCs w:val="24"/>
                <w:lang w:eastAsia="lv-LV"/>
              </w:rPr>
            </w:pPr>
            <w:r>
              <w:rPr>
                <w:szCs w:val="18"/>
                <w:lang w:eastAsia="lv-LV"/>
              </w:rPr>
              <w:t>2017</w:t>
            </w:r>
            <w:r w:rsidRPr="00540EF8">
              <w:rPr>
                <w:szCs w:val="18"/>
                <w:lang w:eastAsia="lv-LV"/>
              </w:rPr>
              <w:t>. gads (izpilde)</w:t>
            </w:r>
          </w:p>
        </w:tc>
        <w:tc>
          <w:tcPr>
            <w:tcW w:w="1132" w:type="dxa"/>
            <w:vAlign w:val="center"/>
          </w:tcPr>
          <w:p w:rsidR="004E4E60" w:rsidRPr="00540EF8" w:rsidRDefault="004E4E60" w:rsidP="00804D67">
            <w:pPr>
              <w:pStyle w:val="tabteksts"/>
              <w:jc w:val="center"/>
              <w:rPr>
                <w:szCs w:val="24"/>
                <w:lang w:eastAsia="lv-LV"/>
              </w:rPr>
            </w:pPr>
            <w:r>
              <w:rPr>
                <w:szCs w:val="18"/>
                <w:lang w:eastAsia="lv-LV"/>
              </w:rPr>
              <w:t>2018</w:t>
            </w:r>
            <w:r w:rsidRPr="00540EF8">
              <w:rPr>
                <w:szCs w:val="18"/>
                <w:lang w:eastAsia="lv-LV"/>
              </w:rPr>
              <w:t>. gada plāns</w:t>
            </w:r>
          </w:p>
        </w:tc>
        <w:tc>
          <w:tcPr>
            <w:tcW w:w="1132" w:type="dxa"/>
          </w:tcPr>
          <w:p w:rsidR="004E4E60" w:rsidRPr="00540EF8" w:rsidRDefault="004E4E60" w:rsidP="00804D67">
            <w:pPr>
              <w:pStyle w:val="tabteksts"/>
              <w:jc w:val="center"/>
              <w:rPr>
                <w:szCs w:val="24"/>
                <w:lang w:eastAsia="lv-LV"/>
              </w:rPr>
            </w:pPr>
            <w:r>
              <w:rPr>
                <w:szCs w:val="18"/>
                <w:lang w:eastAsia="lv-LV"/>
              </w:rPr>
              <w:t>2019</w:t>
            </w:r>
            <w:r w:rsidRPr="00540EF8">
              <w:rPr>
                <w:szCs w:val="18"/>
                <w:lang w:eastAsia="lv-LV"/>
              </w:rPr>
              <w:t xml:space="preserve">. </w:t>
            </w:r>
            <w:r w:rsidR="00520606">
              <w:rPr>
                <w:szCs w:val="18"/>
                <w:lang w:eastAsia="lv-LV"/>
              </w:rPr>
              <w:t>gada plāns</w:t>
            </w:r>
          </w:p>
        </w:tc>
        <w:tc>
          <w:tcPr>
            <w:tcW w:w="1132" w:type="dxa"/>
          </w:tcPr>
          <w:p w:rsidR="004E4E60" w:rsidRPr="00540EF8" w:rsidRDefault="004E4E60" w:rsidP="00804D67">
            <w:pPr>
              <w:pStyle w:val="tabteksts"/>
              <w:jc w:val="center"/>
              <w:rPr>
                <w:szCs w:val="24"/>
                <w:lang w:eastAsia="lv-LV"/>
              </w:rPr>
            </w:pPr>
            <w:r>
              <w:rPr>
                <w:szCs w:val="18"/>
                <w:lang w:eastAsia="lv-LV"/>
              </w:rPr>
              <w:t>2020</w:t>
            </w:r>
            <w:r w:rsidRPr="00540EF8">
              <w:rPr>
                <w:szCs w:val="18"/>
                <w:lang w:eastAsia="lv-LV"/>
              </w:rPr>
              <w:t xml:space="preserve">. </w:t>
            </w:r>
            <w:r>
              <w:rPr>
                <w:szCs w:val="18"/>
                <w:lang w:eastAsia="lv-LV"/>
              </w:rPr>
              <w:t>gada prognoze</w:t>
            </w:r>
          </w:p>
        </w:tc>
        <w:tc>
          <w:tcPr>
            <w:tcW w:w="1132" w:type="dxa"/>
          </w:tcPr>
          <w:p w:rsidR="004E4E60" w:rsidRPr="00540EF8" w:rsidRDefault="004E4E60" w:rsidP="00804D67">
            <w:pPr>
              <w:pStyle w:val="tabteksts"/>
              <w:jc w:val="center"/>
              <w:rPr>
                <w:szCs w:val="24"/>
                <w:lang w:eastAsia="lv-LV"/>
              </w:rPr>
            </w:pPr>
            <w:r>
              <w:rPr>
                <w:szCs w:val="18"/>
                <w:lang w:eastAsia="lv-LV"/>
              </w:rPr>
              <w:t>2021</w:t>
            </w:r>
            <w:r w:rsidRPr="00540EF8">
              <w:rPr>
                <w:szCs w:val="18"/>
                <w:lang w:eastAsia="lv-LV"/>
              </w:rPr>
              <w:t xml:space="preserve">. </w:t>
            </w:r>
            <w:r>
              <w:rPr>
                <w:szCs w:val="18"/>
                <w:lang w:eastAsia="lv-LV"/>
              </w:rPr>
              <w:t>gada prognoze</w:t>
            </w:r>
          </w:p>
        </w:tc>
      </w:tr>
      <w:tr w:rsidR="004E4E60" w:rsidRPr="00540EF8" w:rsidTr="00804D67">
        <w:trPr>
          <w:trHeight w:val="142"/>
          <w:jc w:val="center"/>
        </w:trPr>
        <w:tc>
          <w:tcPr>
            <w:tcW w:w="3378" w:type="dxa"/>
            <w:shd w:val="clear" w:color="auto" w:fill="D9D9D9" w:themeFill="background1" w:themeFillShade="D9"/>
            <w:vAlign w:val="center"/>
          </w:tcPr>
          <w:p w:rsidR="004E4E60" w:rsidRPr="00540EF8" w:rsidRDefault="004E4E60" w:rsidP="00804D67">
            <w:pPr>
              <w:pStyle w:val="tabteksts"/>
              <w:rPr>
                <w:lang w:eastAsia="lv-LV"/>
              </w:rPr>
            </w:pPr>
            <w:r w:rsidRPr="00540EF8">
              <w:rPr>
                <w:lang w:eastAsia="lv-LV"/>
              </w:rPr>
              <w:t>Kopējie izdevumi,</w:t>
            </w:r>
            <w:r w:rsidRPr="00540EF8">
              <w:t xml:space="preserve"> </w:t>
            </w:r>
            <w:proofErr w:type="spellStart"/>
            <w:r w:rsidRPr="00540EF8">
              <w:rPr>
                <w:i/>
                <w:szCs w:val="18"/>
              </w:rPr>
              <w:t>euro</w:t>
            </w:r>
            <w:proofErr w:type="spellEnd"/>
          </w:p>
        </w:tc>
        <w:tc>
          <w:tcPr>
            <w:tcW w:w="1131" w:type="dxa"/>
            <w:shd w:val="clear" w:color="auto" w:fill="D9D9D9" w:themeFill="background1" w:themeFillShade="D9"/>
          </w:tcPr>
          <w:p w:rsidR="004E4E60" w:rsidRPr="00A17919" w:rsidRDefault="004E4E60" w:rsidP="00804D67">
            <w:pPr>
              <w:pStyle w:val="tabteksts"/>
              <w:jc w:val="center"/>
              <w:rPr>
                <w:b/>
              </w:rPr>
            </w:pPr>
            <w:r w:rsidRPr="00A17919">
              <w:rPr>
                <w:b/>
              </w:rPr>
              <w:t>-</w:t>
            </w:r>
          </w:p>
        </w:tc>
        <w:tc>
          <w:tcPr>
            <w:tcW w:w="1132" w:type="dxa"/>
            <w:shd w:val="clear" w:color="auto" w:fill="D9D9D9" w:themeFill="background1" w:themeFillShade="D9"/>
          </w:tcPr>
          <w:p w:rsidR="004E4E60" w:rsidRPr="00A17919" w:rsidRDefault="004E4E60" w:rsidP="00804D67">
            <w:pPr>
              <w:pStyle w:val="tabteksts"/>
              <w:jc w:val="right"/>
              <w:rPr>
                <w:b/>
              </w:rPr>
            </w:pPr>
            <w:r w:rsidRPr="00A17919">
              <w:rPr>
                <w:b/>
              </w:rPr>
              <w:t>14 272 179</w:t>
            </w:r>
          </w:p>
        </w:tc>
        <w:tc>
          <w:tcPr>
            <w:tcW w:w="1132" w:type="dxa"/>
            <w:shd w:val="clear" w:color="auto" w:fill="D9D9D9" w:themeFill="background1" w:themeFillShade="D9"/>
          </w:tcPr>
          <w:p w:rsidR="004E4E60" w:rsidRPr="00A17919" w:rsidRDefault="004E4E60" w:rsidP="00804D67">
            <w:pPr>
              <w:pStyle w:val="tabteksts"/>
              <w:jc w:val="right"/>
              <w:rPr>
                <w:b/>
              </w:rPr>
            </w:pPr>
            <w:r w:rsidRPr="00A17919">
              <w:rPr>
                <w:b/>
              </w:rPr>
              <w:t>10 000 000</w:t>
            </w:r>
          </w:p>
        </w:tc>
        <w:tc>
          <w:tcPr>
            <w:tcW w:w="1132" w:type="dxa"/>
            <w:shd w:val="clear" w:color="auto" w:fill="D9D9D9" w:themeFill="background1" w:themeFillShade="D9"/>
          </w:tcPr>
          <w:p w:rsidR="004E4E60" w:rsidRPr="00A17919" w:rsidRDefault="004E4E60" w:rsidP="00804D67">
            <w:pPr>
              <w:pStyle w:val="tabteksts"/>
              <w:jc w:val="right"/>
              <w:rPr>
                <w:b/>
              </w:rPr>
            </w:pPr>
            <w:r w:rsidRPr="00A17919">
              <w:rPr>
                <w:b/>
              </w:rPr>
              <w:t>14 272 179</w:t>
            </w:r>
          </w:p>
        </w:tc>
        <w:tc>
          <w:tcPr>
            <w:tcW w:w="1132" w:type="dxa"/>
            <w:shd w:val="clear" w:color="auto" w:fill="D9D9D9" w:themeFill="background1" w:themeFillShade="D9"/>
          </w:tcPr>
          <w:p w:rsidR="004E4E60" w:rsidRPr="00A17919" w:rsidRDefault="004E4E60" w:rsidP="00804D67">
            <w:pPr>
              <w:pStyle w:val="tabteksts"/>
              <w:jc w:val="right"/>
              <w:rPr>
                <w:b/>
              </w:rPr>
            </w:pPr>
            <w:r w:rsidRPr="00A17919">
              <w:rPr>
                <w:b/>
              </w:rPr>
              <w:t>14 272 179</w:t>
            </w:r>
          </w:p>
        </w:tc>
      </w:tr>
      <w:tr w:rsidR="004E4E60" w:rsidRPr="00540EF8" w:rsidTr="00804D67">
        <w:trPr>
          <w:trHeight w:val="283"/>
          <w:jc w:val="center"/>
        </w:trPr>
        <w:tc>
          <w:tcPr>
            <w:tcW w:w="3378" w:type="dxa"/>
            <w:vAlign w:val="center"/>
          </w:tcPr>
          <w:p w:rsidR="004E4E60" w:rsidRPr="00540EF8" w:rsidRDefault="004E4E60" w:rsidP="00804D67">
            <w:pPr>
              <w:pStyle w:val="tabteksts"/>
              <w:rPr>
                <w:szCs w:val="18"/>
                <w:lang w:eastAsia="lv-LV"/>
              </w:rPr>
            </w:pPr>
            <w:r w:rsidRPr="00540EF8">
              <w:rPr>
                <w:szCs w:val="18"/>
                <w:lang w:eastAsia="lv-LV"/>
              </w:rPr>
              <w:t xml:space="preserve">Kopējo izdevumu izmaiņas, </w:t>
            </w:r>
            <w:proofErr w:type="spellStart"/>
            <w:r w:rsidRPr="00540EF8">
              <w:rPr>
                <w:i/>
                <w:szCs w:val="18"/>
                <w:lang w:eastAsia="lv-LV"/>
              </w:rPr>
              <w:t>euro</w:t>
            </w:r>
            <w:proofErr w:type="spellEnd"/>
            <w:r w:rsidRPr="00540EF8">
              <w:rPr>
                <w:szCs w:val="18"/>
                <w:lang w:eastAsia="lv-LV"/>
              </w:rPr>
              <w:t xml:space="preserve">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E26DA1" w:rsidRDefault="004E4E60" w:rsidP="00804D67">
            <w:pPr>
              <w:pStyle w:val="tabteksts"/>
              <w:jc w:val="right"/>
              <w:rPr>
                <w:b/>
              </w:rPr>
            </w:pPr>
            <w:r w:rsidRPr="00540EF8">
              <w:t>-</w:t>
            </w:r>
            <w:r>
              <w:t>4 272 179</w:t>
            </w:r>
          </w:p>
        </w:tc>
        <w:tc>
          <w:tcPr>
            <w:tcW w:w="1132" w:type="dxa"/>
          </w:tcPr>
          <w:p w:rsidR="004E4E60" w:rsidRPr="00E26DA1" w:rsidRDefault="004E4E60" w:rsidP="00804D67">
            <w:pPr>
              <w:pStyle w:val="tabteksts"/>
              <w:jc w:val="right"/>
              <w:rPr>
                <w:b/>
              </w:rPr>
            </w:pPr>
            <w:r>
              <w:t>4 272 179</w:t>
            </w:r>
          </w:p>
        </w:tc>
        <w:tc>
          <w:tcPr>
            <w:tcW w:w="1132" w:type="dxa"/>
          </w:tcPr>
          <w:p w:rsidR="004E4E60" w:rsidRPr="00540EF8" w:rsidRDefault="004E4E60" w:rsidP="00804D67">
            <w:pPr>
              <w:pStyle w:val="tabteksts"/>
              <w:jc w:val="center"/>
            </w:pPr>
            <w:r w:rsidRPr="00540EF8">
              <w:t>-</w:t>
            </w:r>
          </w:p>
        </w:tc>
      </w:tr>
      <w:tr w:rsidR="004E4E60" w:rsidRPr="00540EF8" w:rsidTr="00804D67">
        <w:trPr>
          <w:trHeight w:val="283"/>
          <w:jc w:val="center"/>
        </w:trPr>
        <w:tc>
          <w:tcPr>
            <w:tcW w:w="3378" w:type="dxa"/>
            <w:vAlign w:val="center"/>
          </w:tcPr>
          <w:p w:rsidR="004E4E60" w:rsidRPr="00540EF8" w:rsidRDefault="004E4E60" w:rsidP="00804D67">
            <w:pPr>
              <w:pStyle w:val="tabteksts"/>
            </w:pPr>
            <w:r w:rsidRPr="00540EF8">
              <w:rPr>
                <w:lang w:eastAsia="lv-LV"/>
              </w:rPr>
              <w:t>Kopējie izdevumi</w:t>
            </w:r>
            <w:r w:rsidRPr="00540EF8">
              <w:t>, %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right"/>
            </w:pPr>
            <w:r w:rsidRPr="00540EF8">
              <w:t>-</w:t>
            </w:r>
            <w:r>
              <w:t>29,9</w:t>
            </w:r>
          </w:p>
        </w:tc>
        <w:tc>
          <w:tcPr>
            <w:tcW w:w="1132" w:type="dxa"/>
          </w:tcPr>
          <w:p w:rsidR="004E4E60" w:rsidRPr="00540EF8" w:rsidRDefault="004E4E60" w:rsidP="00804D67">
            <w:pPr>
              <w:pStyle w:val="tabteksts"/>
              <w:jc w:val="right"/>
            </w:pPr>
            <w:r>
              <w:t>42,7</w:t>
            </w:r>
          </w:p>
        </w:tc>
        <w:tc>
          <w:tcPr>
            <w:tcW w:w="1132" w:type="dxa"/>
          </w:tcPr>
          <w:p w:rsidR="004E4E60" w:rsidRPr="00540EF8" w:rsidRDefault="004E4E60" w:rsidP="00804D67">
            <w:pPr>
              <w:pStyle w:val="tabteksts"/>
              <w:jc w:val="center"/>
            </w:pPr>
            <w:r w:rsidRPr="00540EF8">
              <w:t>-</w:t>
            </w:r>
          </w:p>
        </w:tc>
      </w:tr>
    </w:tbl>
    <w:p w:rsidR="004E4E60" w:rsidRPr="00540EF8" w:rsidRDefault="004E4E60" w:rsidP="004E4E60">
      <w:pPr>
        <w:pStyle w:val="Tabuluvirsraksti"/>
        <w:spacing w:after="0"/>
        <w:jc w:val="both"/>
        <w:rPr>
          <w:lang w:eastAsia="lv-LV"/>
        </w:rPr>
      </w:pPr>
    </w:p>
    <w:p w:rsidR="004E4E60" w:rsidRPr="00540EF8" w:rsidRDefault="004E4E60" w:rsidP="004E4E60">
      <w:pPr>
        <w:spacing w:before="120"/>
        <w:ind w:firstLine="720"/>
        <w:jc w:val="center"/>
        <w:rPr>
          <w:b/>
          <w:color w:val="000000" w:themeColor="text1"/>
          <w:lang w:eastAsia="lv-LV"/>
        </w:rPr>
      </w:pPr>
      <w:r w:rsidRPr="00540EF8">
        <w:rPr>
          <w:b/>
          <w:color w:val="000000" w:themeColor="text1"/>
          <w:lang w:eastAsia="lv-LV"/>
        </w:rPr>
        <w:t>Izmaiņas izdevumos, salīdzinot 201</w:t>
      </w:r>
      <w:r>
        <w:rPr>
          <w:b/>
          <w:color w:val="000000" w:themeColor="text1"/>
          <w:lang w:eastAsia="lv-LV"/>
        </w:rPr>
        <w:t>9</w:t>
      </w:r>
      <w:r w:rsidRPr="00540EF8">
        <w:rPr>
          <w:b/>
          <w:color w:val="000000" w:themeColor="text1"/>
          <w:lang w:eastAsia="lv-LV"/>
        </w:rPr>
        <w:t xml:space="preserve">. </w:t>
      </w:r>
      <w:r w:rsidR="00E22D76">
        <w:rPr>
          <w:b/>
          <w:color w:val="000000" w:themeColor="text1"/>
          <w:lang w:eastAsia="lv-LV"/>
        </w:rPr>
        <w:t>gada plānu</w:t>
      </w:r>
      <w:r w:rsidRPr="00540EF8">
        <w:rPr>
          <w:b/>
          <w:color w:val="000000" w:themeColor="text1"/>
          <w:lang w:eastAsia="lv-LV"/>
        </w:rPr>
        <w:t xml:space="preserve"> ar 201</w:t>
      </w:r>
      <w:r>
        <w:rPr>
          <w:b/>
          <w:color w:val="000000" w:themeColor="text1"/>
          <w:lang w:eastAsia="lv-LV"/>
        </w:rPr>
        <w:t>8</w:t>
      </w:r>
      <w:r w:rsidRPr="00540EF8">
        <w:rPr>
          <w:b/>
          <w:color w:val="000000" w:themeColor="text1"/>
          <w:lang w:eastAsia="lv-LV"/>
        </w:rPr>
        <w:t>. gada plānu</w:t>
      </w:r>
    </w:p>
    <w:p w:rsidR="004E4E60" w:rsidRPr="00540EF8" w:rsidRDefault="004E4E60" w:rsidP="004E4E60">
      <w:pPr>
        <w:spacing w:after="0"/>
        <w:ind w:left="7921" w:firstLine="720"/>
        <w:jc w:val="center"/>
        <w:rPr>
          <w:i/>
          <w:sz w:val="18"/>
          <w:szCs w:val="18"/>
        </w:rPr>
      </w:pPr>
      <w:proofErr w:type="spellStart"/>
      <w:r>
        <w:rPr>
          <w:i/>
          <w:sz w:val="18"/>
          <w:szCs w:val="18"/>
        </w:rPr>
        <w:t>E</w:t>
      </w:r>
      <w:r w:rsidRPr="00540EF8">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E4E60" w:rsidRPr="00540EF8" w:rsidTr="00804D67">
        <w:trPr>
          <w:trHeight w:val="142"/>
          <w:tblHeader/>
          <w:jc w:val="center"/>
        </w:trPr>
        <w:tc>
          <w:tcPr>
            <w:tcW w:w="5241" w:type="dxa"/>
            <w:shd w:val="clear" w:color="auto" w:fill="auto"/>
            <w:vAlign w:val="center"/>
          </w:tcPr>
          <w:p w:rsidR="004E4E60" w:rsidRPr="00324158" w:rsidRDefault="004E4E60" w:rsidP="00804D67">
            <w:pPr>
              <w:pStyle w:val="tabteksts"/>
              <w:jc w:val="center"/>
              <w:rPr>
                <w:szCs w:val="18"/>
              </w:rPr>
            </w:pPr>
            <w:r w:rsidRPr="00324158">
              <w:rPr>
                <w:color w:val="000000" w:themeColor="text1"/>
                <w:szCs w:val="18"/>
                <w:lang w:eastAsia="lv-LV"/>
              </w:rPr>
              <w:t>Pasākums</w:t>
            </w:r>
          </w:p>
        </w:tc>
        <w:tc>
          <w:tcPr>
            <w:tcW w:w="1277" w:type="dxa"/>
            <w:shd w:val="clear" w:color="auto" w:fill="auto"/>
            <w:vAlign w:val="center"/>
          </w:tcPr>
          <w:p w:rsidR="004E4E60" w:rsidRPr="00324158" w:rsidRDefault="004E4E60" w:rsidP="00804D67">
            <w:pPr>
              <w:pStyle w:val="tabteksts"/>
              <w:jc w:val="center"/>
              <w:rPr>
                <w:color w:val="000000" w:themeColor="text1"/>
                <w:szCs w:val="18"/>
                <w:lang w:eastAsia="lv-LV"/>
              </w:rPr>
            </w:pPr>
            <w:r w:rsidRPr="00324158">
              <w:rPr>
                <w:color w:val="000000" w:themeColor="text1"/>
                <w:szCs w:val="18"/>
                <w:lang w:eastAsia="lv-LV"/>
              </w:rPr>
              <w:t>Samazinājums</w:t>
            </w:r>
          </w:p>
        </w:tc>
        <w:tc>
          <w:tcPr>
            <w:tcW w:w="1277" w:type="dxa"/>
            <w:shd w:val="clear" w:color="auto" w:fill="auto"/>
            <w:vAlign w:val="center"/>
          </w:tcPr>
          <w:p w:rsidR="004E4E60" w:rsidRPr="00324158" w:rsidRDefault="004E4E60" w:rsidP="00804D67">
            <w:pPr>
              <w:pStyle w:val="tabteksts"/>
              <w:jc w:val="center"/>
              <w:rPr>
                <w:color w:val="000000" w:themeColor="text1"/>
                <w:szCs w:val="18"/>
                <w:lang w:eastAsia="lv-LV"/>
              </w:rPr>
            </w:pPr>
            <w:r w:rsidRPr="00324158">
              <w:rPr>
                <w:color w:val="000000" w:themeColor="text1"/>
                <w:szCs w:val="18"/>
                <w:lang w:eastAsia="lv-LV"/>
              </w:rPr>
              <w:t>Palielinājums</w:t>
            </w:r>
          </w:p>
        </w:tc>
        <w:tc>
          <w:tcPr>
            <w:tcW w:w="1277" w:type="dxa"/>
            <w:shd w:val="clear" w:color="auto" w:fill="auto"/>
            <w:vAlign w:val="center"/>
          </w:tcPr>
          <w:p w:rsidR="004E4E60" w:rsidRPr="00324158" w:rsidRDefault="004E4E60" w:rsidP="00804D67">
            <w:pPr>
              <w:pStyle w:val="tabteksts"/>
              <w:jc w:val="center"/>
              <w:rPr>
                <w:color w:val="000000" w:themeColor="text1"/>
                <w:szCs w:val="18"/>
                <w:lang w:eastAsia="lv-LV"/>
              </w:rPr>
            </w:pPr>
            <w:r w:rsidRPr="00324158">
              <w:rPr>
                <w:color w:val="000000" w:themeColor="text1"/>
                <w:szCs w:val="18"/>
                <w:lang w:eastAsia="lv-LV"/>
              </w:rPr>
              <w:t>Izmaiņas</w:t>
            </w:r>
          </w:p>
        </w:tc>
      </w:tr>
      <w:tr w:rsidR="004E4E60" w:rsidRPr="00540EF8" w:rsidTr="002B5093">
        <w:trPr>
          <w:trHeight w:val="142"/>
          <w:jc w:val="center"/>
        </w:trPr>
        <w:tc>
          <w:tcPr>
            <w:tcW w:w="5241" w:type="dxa"/>
            <w:shd w:val="clear" w:color="auto" w:fill="D9D9D9"/>
          </w:tcPr>
          <w:p w:rsidR="004E4E60" w:rsidRPr="002B5093" w:rsidRDefault="004E4E60" w:rsidP="00804D67">
            <w:pPr>
              <w:pStyle w:val="tabteksts"/>
              <w:rPr>
                <w:b/>
                <w:bCs/>
                <w:szCs w:val="18"/>
                <w:lang w:eastAsia="lv-LV"/>
              </w:rPr>
            </w:pPr>
            <w:r w:rsidRPr="00324158">
              <w:rPr>
                <w:b/>
                <w:bCs/>
                <w:szCs w:val="18"/>
                <w:lang w:eastAsia="lv-LV"/>
              </w:rPr>
              <w:t>Izdevumi - kopā</w:t>
            </w:r>
          </w:p>
        </w:tc>
        <w:tc>
          <w:tcPr>
            <w:tcW w:w="1277" w:type="dxa"/>
            <w:shd w:val="clear" w:color="auto" w:fill="D9D9D9"/>
          </w:tcPr>
          <w:p w:rsidR="004E4E60" w:rsidRPr="002B5093" w:rsidRDefault="004E4E60" w:rsidP="00804D67">
            <w:pPr>
              <w:pStyle w:val="tabteksts"/>
              <w:jc w:val="right"/>
              <w:rPr>
                <w:b/>
                <w:bCs/>
                <w:szCs w:val="18"/>
                <w:lang w:eastAsia="lv-LV"/>
              </w:rPr>
            </w:pPr>
            <w:r w:rsidRPr="002B5093">
              <w:rPr>
                <w:b/>
                <w:bCs/>
                <w:szCs w:val="18"/>
                <w:lang w:eastAsia="lv-LV"/>
              </w:rPr>
              <w:t xml:space="preserve"> 4 272 179</w:t>
            </w:r>
          </w:p>
        </w:tc>
        <w:tc>
          <w:tcPr>
            <w:tcW w:w="1277" w:type="dxa"/>
            <w:shd w:val="clear" w:color="auto" w:fill="D9D9D9"/>
          </w:tcPr>
          <w:p w:rsidR="004E4E60" w:rsidRPr="002B5093" w:rsidRDefault="004E4E60" w:rsidP="00804D67">
            <w:pPr>
              <w:pStyle w:val="tabteksts"/>
              <w:jc w:val="center"/>
              <w:rPr>
                <w:b/>
                <w:bCs/>
                <w:szCs w:val="18"/>
                <w:lang w:eastAsia="lv-LV"/>
              </w:rPr>
            </w:pPr>
            <w:r w:rsidRPr="002B5093">
              <w:rPr>
                <w:b/>
                <w:bCs/>
                <w:szCs w:val="18"/>
                <w:lang w:eastAsia="lv-LV"/>
              </w:rPr>
              <w:t>-</w:t>
            </w:r>
          </w:p>
        </w:tc>
        <w:tc>
          <w:tcPr>
            <w:tcW w:w="1277" w:type="dxa"/>
            <w:shd w:val="clear" w:color="auto" w:fill="D9D9D9"/>
          </w:tcPr>
          <w:p w:rsidR="004E4E60" w:rsidRPr="002B5093" w:rsidRDefault="004E4E60" w:rsidP="00804D67">
            <w:pPr>
              <w:pStyle w:val="tabteksts"/>
              <w:jc w:val="right"/>
              <w:rPr>
                <w:b/>
                <w:bCs/>
                <w:szCs w:val="18"/>
                <w:lang w:eastAsia="lv-LV"/>
              </w:rPr>
            </w:pPr>
            <w:r w:rsidRPr="002B5093">
              <w:rPr>
                <w:b/>
                <w:bCs/>
                <w:szCs w:val="18"/>
                <w:lang w:eastAsia="lv-LV"/>
              </w:rPr>
              <w:t>-4 272 179</w:t>
            </w:r>
          </w:p>
        </w:tc>
      </w:tr>
      <w:tr w:rsidR="004E4E60" w:rsidRPr="00540EF8" w:rsidTr="00804D67">
        <w:trPr>
          <w:trHeight w:val="142"/>
          <w:jc w:val="center"/>
        </w:trPr>
        <w:tc>
          <w:tcPr>
            <w:tcW w:w="5241" w:type="dxa"/>
            <w:shd w:val="clear" w:color="auto" w:fill="auto"/>
            <w:vAlign w:val="center"/>
          </w:tcPr>
          <w:p w:rsidR="004E4E60" w:rsidRPr="00324158" w:rsidRDefault="004E4E60" w:rsidP="00804D67">
            <w:pPr>
              <w:pStyle w:val="tabteksts"/>
              <w:rPr>
                <w:szCs w:val="18"/>
                <w:u w:val="single"/>
                <w:lang w:eastAsia="lv-LV"/>
              </w:rPr>
            </w:pPr>
            <w:r w:rsidRPr="00324158">
              <w:rPr>
                <w:szCs w:val="18"/>
                <w:u w:val="single"/>
                <w:lang w:eastAsia="lv-LV"/>
              </w:rPr>
              <w:t>Citas izmaiņas</w:t>
            </w:r>
          </w:p>
        </w:tc>
        <w:tc>
          <w:tcPr>
            <w:tcW w:w="1277" w:type="dxa"/>
            <w:shd w:val="clear" w:color="auto" w:fill="auto"/>
          </w:tcPr>
          <w:p w:rsidR="004E4E60" w:rsidRPr="00324158" w:rsidRDefault="004E4E60" w:rsidP="00804D67">
            <w:pPr>
              <w:pStyle w:val="tabteksts"/>
              <w:jc w:val="right"/>
              <w:rPr>
                <w:szCs w:val="18"/>
                <w:u w:val="single"/>
              </w:rPr>
            </w:pPr>
          </w:p>
        </w:tc>
        <w:tc>
          <w:tcPr>
            <w:tcW w:w="1277" w:type="dxa"/>
            <w:shd w:val="clear" w:color="auto" w:fill="auto"/>
          </w:tcPr>
          <w:p w:rsidR="004E4E60" w:rsidRPr="00324158" w:rsidRDefault="004E4E60" w:rsidP="00804D67">
            <w:pPr>
              <w:pStyle w:val="tabteksts"/>
              <w:jc w:val="center"/>
              <w:rPr>
                <w:szCs w:val="18"/>
                <w:u w:val="single"/>
              </w:rPr>
            </w:pPr>
          </w:p>
        </w:tc>
        <w:tc>
          <w:tcPr>
            <w:tcW w:w="1277" w:type="dxa"/>
            <w:shd w:val="clear" w:color="auto" w:fill="auto"/>
          </w:tcPr>
          <w:p w:rsidR="004E4E60" w:rsidRPr="00324158" w:rsidRDefault="004E4E60" w:rsidP="00804D67">
            <w:pPr>
              <w:pStyle w:val="tabteksts"/>
              <w:jc w:val="right"/>
              <w:rPr>
                <w:szCs w:val="18"/>
                <w:u w:val="single"/>
              </w:rPr>
            </w:pPr>
          </w:p>
        </w:tc>
      </w:tr>
      <w:tr w:rsidR="004E4E60" w:rsidRPr="00540EF8" w:rsidTr="00804D67">
        <w:trPr>
          <w:trHeight w:val="142"/>
          <w:jc w:val="center"/>
        </w:trPr>
        <w:tc>
          <w:tcPr>
            <w:tcW w:w="5241" w:type="dxa"/>
            <w:shd w:val="clear" w:color="auto" w:fill="auto"/>
          </w:tcPr>
          <w:p w:rsidR="004E4E60" w:rsidRPr="00324158" w:rsidRDefault="004E4E60" w:rsidP="00804D67">
            <w:pPr>
              <w:pStyle w:val="tabteksts"/>
              <w:rPr>
                <w:i/>
                <w:szCs w:val="18"/>
                <w:lang w:eastAsia="lv-LV"/>
              </w:rPr>
            </w:pPr>
            <w:r>
              <w:rPr>
                <w:i/>
                <w:szCs w:val="18"/>
                <w:lang w:eastAsia="lv-LV"/>
              </w:rPr>
              <w:t>Finansējuma korekcija</w:t>
            </w:r>
          </w:p>
        </w:tc>
        <w:tc>
          <w:tcPr>
            <w:tcW w:w="1277" w:type="dxa"/>
            <w:shd w:val="clear" w:color="auto" w:fill="auto"/>
          </w:tcPr>
          <w:p w:rsidR="004E4E60" w:rsidRPr="00324158" w:rsidRDefault="004E4E60" w:rsidP="00804D67">
            <w:pPr>
              <w:pStyle w:val="tabteksts"/>
              <w:jc w:val="right"/>
              <w:rPr>
                <w:szCs w:val="18"/>
              </w:rPr>
            </w:pPr>
            <w:r w:rsidRPr="00324158">
              <w:rPr>
                <w:szCs w:val="18"/>
              </w:rPr>
              <w:t>4 272 179</w:t>
            </w:r>
          </w:p>
        </w:tc>
        <w:tc>
          <w:tcPr>
            <w:tcW w:w="1277" w:type="dxa"/>
            <w:shd w:val="clear" w:color="auto" w:fill="auto"/>
          </w:tcPr>
          <w:p w:rsidR="004E4E60" w:rsidRPr="00324158" w:rsidRDefault="004E4E60" w:rsidP="00804D67">
            <w:pPr>
              <w:pStyle w:val="tabteksts"/>
              <w:jc w:val="center"/>
              <w:rPr>
                <w:szCs w:val="18"/>
              </w:rPr>
            </w:pPr>
            <w:r w:rsidRPr="00324158">
              <w:rPr>
                <w:szCs w:val="18"/>
              </w:rPr>
              <w:t>-</w:t>
            </w:r>
          </w:p>
        </w:tc>
        <w:tc>
          <w:tcPr>
            <w:tcW w:w="1277" w:type="dxa"/>
            <w:shd w:val="clear" w:color="auto" w:fill="auto"/>
          </w:tcPr>
          <w:p w:rsidR="004E4E60" w:rsidRPr="00324158" w:rsidRDefault="004E4E60" w:rsidP="002B5093">
            <w:pPr>
              <w:pStyle w:val="tabteksts"/>
              <w:jc w:val="right"/>
              <w:rPr>
                <w:szCs w:val="18"/>
              </w:rPr>
            </w:pPr>
            <w:r w:rsidRPr="00324158">
              <w:rPr>
                <w:szCs w:val="18"/>
              </w:rPr>
              <w:t>-4 272 179</w:t>
            </w:r>
          </w:p>
        </w:tc>
      </w:tr>
    </w:tbl>
    <w:p w:rsidR="004E4E60" w:rsidRPr="00540EF8" w:rsidRDefault="004E4E60" w:rsidP="00E65C04">
      <w:pPr>
        <w:pStyle w:val="programmas"/>
      </w:pPr>
      <w:r w:rsidRPr="00540EF8">
        <w:t>02.00.00 Līdzekļi neparedzētiem gadījumiem</w:t>
      </w:r>
    </w:p>
    <w:p w:rsidR="004E4E60" w:rsidRPr="00540EF8" w:rsidRDefault="004E4E60" w:rsidP="004E4E60">
      <w:pPr>
        <w:ind w:firstLine="0"/>
        <w:rPr>
          <w:u w:val="single"/>
        </w:rPr>
      </w:pPr>
      <w:r w:rsidRPr="00540EF8">
        <w:rPr>
          <w:u w:val="single"/>
        </w:rPr>
        <w:t>Programmas mērķis:</w:t>
      </w:r>
    </w:p>
    <w:p w:rsidR="004E4E60" w:rsidRPr="00540EF8" w:rsidRDefault="004E4E60" w:rsidP="004E4E60">
      <w:pPr>
        <w:rPr>
          <w:lang w:eastAsia="lv-LV"/>
        </w:rPr>
      </w:pPr>
      <w:r>
        <w:rPr>
          <w:lang w:eastAsia="lv-LV"/>
        </w:rPr>
        <w:t>N</w:t>
      </w:r>
      <w:r w:rsidRPr="00540EF8">
        <w:rPr>
          <w:lang w:eastAsia="lv-LV"/>
        </w:rPr>
        <w:t>odrošināt valsts pamatbudžeta apropriāciju līdzekļiem neparedzētiem izdevumiem s</w:t>
      </w:r>
      <w:r>
        <w:rPr>
          <w:lang w:eastAsia="lv-LV"/>
        </w:rPr>
        <w:t>askaņā ar Ministru kabineta 2018.gada 17.jūlija noteikumiem Nr.421</w:t>
      </w:r>
      <w:r w:rsidRPr="00540EF8">
        <w:rPr>
          <w:lang w:eastAsia="lv-LV"/>
        </w:rPr>
        <w:t xml:space="preserve"> “</w:t>
      </w:r>
      <w:r w:rsidRPr="00E40B3F">
        <w:rPr>
          <w:lang w:eastAsia="lv-LV"/>
        </w:rPr>
        <w:t>Kārtība, kādā veic gadskārtējā valsts budžeta likumā noteiktās apropriācijas izmaiņas</w:t>
      </w:r>
      <w:r w:rsidRPr="00540EF8">
        <w:rPr>
          <w:lang w:eastAsia="lv-LV"/>
        </w:rPr>
        <w:t xml:space="preserve">” </w:t>
      </w:r>
      <w:r w:rsidRPr="00E40B3F">
        <w:rPr>
          <w:lang w:eastAsia="lv-LV"/>
        </w:rPr>
        <w:t>valstiski īpaši nozīmīgiem pasākumiem, valsts pamatbudžeta apropriācijās neparedzētiem izdevumiem katastrofu un dabas stihiju seku novēršanai un to radīto zaudējumu kompensēšanai un citiem neparedzētiem gadījumiem.</w:t>
      </w:r>
    </w:p>
    <w:p w:rsidR="004E4E60" w:rsidRPr="00540EF8" w:rsidRDefault="004E4E60" w:rsidP="004E4E60">
      <w:pPr>
        <w:pStyle w:val="Tabuluvirsraksti"/>
        <w:spacing w:after="240"/>
        <w:rPr>
          <w:b/>
          <w:lang w:eastAsia="lv-LV"/>
        </w:rPr>
      </w:pPr>
      <w:r>
        <w:rPr>
          <w:b/>
          <w:lang w:eastAsia="lv-LV"/>
        </w:rPr>
        <w:t>Finansiālie rādītāji no 2017</w:t>
      </w:r>
      <w:r w:rsidRPr="00540EF8">
        <w:rPr>
          <w:b/>
          <w:lang w:eastAsia="lv-LV"/>
        </w:rPr>
        <w:t>. līdz 202</w:t>
      </w:r>
      <w:r>
        <w:rPr>
          <w:b/>
          <w:lang w:eastAsia="lv-LV"/>
        </w:rPr>
        <w:t>1</w:t>
      </w:r>
      <w:r w:rsidRPr="00540EF8">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E4E60" w:rsidRPr="00540EF8" w:rsidTr="00804D67">
        <w:trPr>
          <w:trHeight w:val="283"/>
          <w:tblHeader/>
          <w:jc w:val="center"/>
        </w:trPr>
        <w:tc>
          <w:tcPr>
            <w:tcW w:w="3378" w:type="dxa"/>
            <w:vAlign w:val="center"/>
          </w:tcPr>
          <w:p w:rsidR="004E4E60" w:rsidRPr="00540EF8" w:rsidRDefault="004E4E60" w:rsidP="00804D67">
            <w:pPr>
              <w:pStyle w:val="tabteksts"/>
              <w:jc w:val="center"/>
              <w:rPr>
                <w:szCs w:val="24"/>
              </w:rPr>
            </w:pPr>
          </w:p>
        </w:tc>
        <w:tc>
          <w:tcPr>
            <w:tcW w:w="1131" w:type="dxa"/>
          </w:tcPr>
          <w:p w:rsidR="004E4E60" w:rsidRPr="00540EF8" w:rsidRDefault="004E4E60" w:rsidP="00804D67">
            <w:pPr>
              <w:pStyle w:val="tabteksts"/>
              <w:jc w:val="center"/>
              <w:rPr>
                <w:szCs w:val="24"/>
                <w:lang w:eastAsia="lv-LV"/>
              </w:rPr>
            </w:pPr>
            <w:r>
              <w:rPr>
                <w:szCs w:val="18"/>
                <w:lang w:eastAsia="lv-LV"/>
              </w:rPr>
              <w:t>2017</w:t>
            </w:r>
            <w:r w:rsidRPr="00540EF8">
              <w:rPr>
                <w:szCs w:val="18"/>
                <w:lang w:eastAsia="lv-LV"/>
              </w:rPr>
              <w:t>. gads (izpilde)</w:t>
            </w:r>
          </w:p>
        </w:tc>
        <w:tc>
          <w:tcPr>
            <w:tcW w:w="1132" w:type="dxa"/>
            <w:vAlign w:val="center"/>
          </w:tcPr>
          <w:p w:rsidR="004E4E60" w:rsidRPr="00540EF8" w:rsidRDefault="004E4E60" w:rsidP="00804D67">
            <w:pPr>
              <w:pStyle w:val="tabteksts"/>
              <w:jc w:val="center"/>
              <w:rPr>
                <w:szCs w:val="24"/>
                <w:lang w:eastAsia="lv-LV"/>
              </w:rPr>
            </w:pPr>
            <w:r>
              <w:rPr>
                <w:szCs w:val="18"/>
                <w:lang w:eastAsia="lv-LV"/>
              </w:rPr>
              <w:t>2018</w:t>
            </w:r>
            <w:r w:rsidRPr="00540EF8">
              <w:rPr>
                <w:szCs w:val="18"/>
                <w:lang w:eastAsia="lv-LV"/>
              </w:rPr>
              <w:t>. gada plāns</w:t>
            </w:r>
          </w:p>
        </w:tc>
        <w:tc>
          <w:tcPr>
            <w:tcW w:w="1132" w:type="dxa"/>
          </w:tcPr>
          <w:p w:rsidR="004E4E60" w:rsidRPr="00540EF8" w:rsidRDefault="004E4E60" w:rsidP="00804D67">
            <w:pPr>
              <w:pStyle w:val="tabteksts"/>
              <w:jc w:val="center"/>
              <w:rPr>
                <w:szCs w:val="24"/>
                <w:lang w:eastAsia="lv-LV"/>
              </w:rPr>
            </w:pPr>
            <w:r>
              <w:rPr>
                <w:szCs w:val="18"/>
                <w:lang w:eastAsia="lv-LV"/>
              </w:rPr>
              <w:t>2019</w:t>
            </w:r>
            <w:r w:rsidRPr="00540EF8">
              <w:rPr>
                <w:szCs w:val="18"/>
                <w:lang w:eastAsia="lv-LV"/>
              </w:rPr>
              <w:t xml:space="preserve">. </w:t>
            </w:r>
            <w:r w:rsidR="00AB29F1">
              <w:rPr>
                <w:szCs w:val="18"/>
                <w:lang w:eastAsia="lv-LV"/>
              </w:rPr>
              <w:t>gada plāns</w:t>
            </w:r>
          </w:p>
        </w:tc>
        <w:tc>
          <w:tcPr>
            <w:tcW w:w="1132" w:type="dxa"/>
          </w:tcPr>
          <w:p w:rsidR="004E4E60" w:rsidRPr="00540EF8" w:rsidRDefault="004E4E60" w:rsidP="00804D67">
            <w:pPr>
              <w:pStyle w:val="tabteksts"/>
              <w:jc w:val="center"/>
              <w:rPr>
                <w:szCs w:val="24"/>
                <w:lang w:eastAsia="lv-LV"/>
              </w:rPr>
            </w:pPr>
            <w:r>
              <w:rPr>
                <w:szCs w:val="18"/>
                <w:lang w:eastAsia="lv-LV"/>
              </w:rPr>
              <w:t>2020</w:t>
            </w:r>
            <w:r w:rsidRPr="00540EF8">
              <w:rPr>
                <w:szCs w:val="18"/>
                <w:lang w:eastAsia="lv-LV"/>
              </w:rPr>
              <w:t xml:space="preserve">. </w:t>
            </w:r>
            <w:r>
              <w:rPr>
                <w:szCs w:val="18"/>
                <w:lang w:eastAsia="lv-LV"/>
              </w:rPr>
              <w:t>gada prognoze</w:t>
            </w:r>
          </w:p>
        </w:tc>
        <w:tc>
          <w:tcPr>
            <w:tcW w:w="1132" w:type="dxa"/>
          </w:tcPr>
          <w:p w:rsidR="004E4E60" w:rsidRPr="00540EF8" w:rsidRDefault="004E4E60" w:rsidP="00804D67">
            <w:pPr>
              <w:pStyle w:val="tabteksts"/>
              <w:jc w:val="center"/>
              <w:rPr>
                <w:szCs w:val="24"/>
                <w:lang w:eastAsia="lv-LV"/>
              </w:rPr>
            </w:pPr>
            <w:r>
              <w:rPr>
                <w:szCs w:val="18"/>
                <w:lang w:eastAsia="lv-LV"/>
              </w:rPr>
              <w:t>2021</w:t>
            </w:r>
            <w:r w:rsidRPr="00540EF8">
              <w:rPr>
                <w:szCs w:val="18"/>
                <w:lang w:eastAsia="lv-LV"/>
              </w:rPr>
              <w:t xml:space="preserve">. </w:t>
            </w:r>
            <w:r>
              <w:rPr>
                <w:szCs w:val="18"/>
                <w:lang w:eastAsia="lv-LV"/>
              </w:rPr>
              <w:t>gada prognoze</w:t>
            </w:r>
          </w:p>
        </w:tc>
      </w:tr>
      <w:tr w:rsidR="004E4E60" w:rsidRPr="00540EF8" w:rsidTr="002B5093">
        <w:trPr>
          <w:trHeight w:val="142"/>
          <w:jc w:val="center"/>
        </w:trPr>
        <w:tc>
          <w:tcPr>
            <w:tcW w:w="3378" w:type="dxa"/>
            <w:shd w:val="clear" w:color="auto" w:fill="D9D9D9"/>
            <w:vAlign w:val="center"/>
          </w:tcPr>
          <w:p w:rsidR="004E4E60" w:rsidRPr="00540EF8" w:rsidRDefault="004E4E60" w:rsidP="00804D67">
            <w:pPr>
              <w:pStyle w:val="tabteksts"/>
              <w:rPr>
                <w:lang w:eastAsia="lv-LV"/>
              </w:rPr>
            </w:pPr>
            <w:r w:rsidRPr="00540EF8">
              <w:rPr>
                <w:lang w:eastAsia="lv-LV"/>
              </w:rPr>
              <w:t>Kopējie izdevumi,</w:t>
            </w:r>
            <w:r w:rsidRPr="00540EF8">
              <w:t xml:space="preserve"> </w:t>
            </w:r>
            <w:proofErr w:type="spellStart"/>
            <w:r w:rsidRPr="00540EF8">
              <w:rPr>
                <w:i/>
                <w:szCs w:val="18"/>
              </w:rPr>
              <w:t>euro</w:t>
            </w:r>
            <w:proofErr w:type="spellEnd"/>
          </w:p>
        </w:tc>
        <w:tc>
          <w:tcPr>
            <w:tcW w:w="1131" w:type="dxa"/>
            <w:shd w:val="clear" w:color="auto" w:fill="D9D9D9" w:themeFill="background1" w:themeFillShade="D9"/>
          </w:tcPr>
          <w:p w:rsidR="004E4E60" w:rsidRPr="00A17919" w:rsidRDefault="004E4E60" w:rsidP="00804D67">
            <w:pPr>
              <w:pStyle w:val="tabteksts"/>
              <w:jc w:val="center"/>
              <w:rPr>
                <w:b/>
              </w:rPr>
            </w:pPr>
            <w:r w:rsidRPr="00A17919">
              <w:rPr>
                <w:b/>
              </w:rPr>
              <w:t>-</w:t>
            </w:r>
          </w:p>
        </w:tc>
        <w:tc>
          <w:tcPr>
            <w:tcW w:w="1132" w:type="dxa"/>
            <w:shd w:val="clear" w:color="auto" w:fill="D9D9D9" w:themeFill="background1" w:themeFillShade="D9"/>
          </w:tcPr>
          <w:p w:rsidR="004E4E60" w:rsidRPr="00A17919" w:rsidRDefault="004E4E60" w:rsidP="00804D67">
            <w:pPr>
              <w:pStyle w:val="tabteksts"/>
              <w:jc w:val="right"/>
              <w:rPr>
                <w:b/>
              </w:rPr>
            </w:pPr>
            <w:r w:rsidRPr="00A17919">
              <w:rPr>
                <w:b/>
              </w:rPr>
              <w:t>43 545 932</w:t>
            </w:r>
          </w:p>
        </w:tc>
        <w:tc>
          <w:tcPr>
            <w:tcW w:w="1132" w:type="dxa"/>
            <w:shd w:val="clear" w:color="auto" w:fill="D9D9D9" w:themeFill="background1" w:themeFillShade="D9"/>
          </w:tcPr>
          <w:p w:rsidR="004E4E60" w:rsidRPr="007A36C2" w:rsidRDefault="007D4934" w:rsidP="00804D67">
            <w:pPr>
              <w:pStyle w:val="tabteksts"/>
              <w:jc w:val="right"/>
              <w:rPr>
                <w:b/>
              </w:rPr>
            </w:pPr>
            <w:r w:rsidRPr="007A36C2">
              <w:rPr>
                <w:b/>
              </w:rPr>
              <w:t>20 430 962</w:t>
            </w:r>
          </w:p>
        </w:tc>
        <w:tc>
          <w:tcPr>
            <w:tcW w:w="1132" w:type="dxa"/>
            <w:shd w:val="clear" w:color="auto" w:fill="D9D9D9" w:themeFill="background1" w:themeFillShade="D9"/>
          </w:tcPr>
          <w:p w:rsidR="004E4E60" w:rsidRPr="007A36C2" w:rsidRDefault="004E4E60" w:rsidP="00804D67">
            <w:pPr>
              <w:pStyle w:val="tabteksts"/>
              <w:jc w:val="right"/>
              <w:rPr>
                <w:b/>
              </w:rPr>
            </w:pPr>
            <w:r w:rsidRPr="007A36C2">
              <w:rPr>
                <w:b/>
              </w:rPr>
              <w:t>22 781 528</w:t>
            </w:r>
          </w:p>
        </w:tc>
        <w:tc>
          <w:tcPr>
            <w:tcW w:w="1132" w:type="dxa"/>
            <w:shd w:val="clear" w:color="auto" w:fill="D9D9D9" w:themeFill="background1" w:themeFillShade="D9"/>
          </w:tcPr>
          <w:p w:rsidR="004E4E60" w:rsidRPr="007A36C2" w:rsidRDefault="004E4E60" w:rsidP="00804D67">
            <w:pPr>
              <w:pStyle w:val="tabteksts"/>
              <w:jc w:val="right"/>
              <w:rPr>
                <w:b/>
              </w:rPr>
            </w:pPr>
            <w:r w:rsidRPr="007A36C2">
              <w:rPr>
                <w:b/>
              </w:rPr>
              <w:t>24 081 118</w:t>
            </w:r>
          </w:p>
        </w:tc>
      </w:tr>
      <w:tr w:rsidR="004E4E60" w:rsidRPr="00540EF8" w:rsidTr="00804D67">
        <w:trPr>
          <w:trHeight w:val="283"/>
          <w:jc w:val="center"/>
        </w:trPr>
        <w:tc>
          <w:tcPr>
            <w:tcW w:w="3378" w:type="dxa"/>
            <w:vAlign w:val="center"/>
          </w:tcPr>
          <w:p w:rsidR="004E4E60" w:rsidRPr="00540EF8" w:rsidRDefault="004E4E60" w:rsidP="00804D67">
            <w:pPr>
              <w:pStyle w:val="tabteksts"/>
              <w:rPr>
                <w:szCs w:val="18"/>
                <w:lang w:eastAsia="lv-LV"/>
              </w:rPr>
            </w:pPr>
            <w:r w:rsidRPr="00540EF8">
              <w:rPr>
                <w:szCs w:val="18"/>
                <w:lang w:eastAsia="lv-LV"/>
              </w:rPr>
              <w:t xml:space="preserve">Kopējo izdevumu izmaiņas, </w:t>
            </w:r>
            <w:proofErr w:type="spellStart"/>
            <w:r w:rsidRPr="00540EF8">
              <w:rPr>
                <w:i/>
                <w:szCs w:val="18"/>
                <w:lang w:eastAsia="lv-LV"/>
              </w:rPr>
              <w:t>euro</w:t>
            </w:r>
            <w:proofErr w:type="spellEnd"/>
            <w:r w:rsidRPr="00540EF8">
              <w:rPr>
                <w:szCs w:val="18"/>
                <w:lang w:eastAsia="lv-LV"/>
              </w:rPr>
              <w:t xml:space="preserve">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7A36C2" w:rsidRDefault="002B5093" w:rsidP="00804D67">
            <w:pPr>
              <w:spacing w:after="0"/>
              <w:ind w:firstLine="0"/>
              <w:jc w:val="right"/>
              <w:rPr>
                <w:color w:val="000000"/>
                <w:sz w:val="18"/>
                <w:szCs w:val="18"/>
              </w:rPr>
            </w:pPr>
            <w:r w:rsidRPr="007A36C2">
              <w:rPr>
                <w:color w:val="000000"/>
                <w:sz w:val="18"/>
                <w:szCs w:val="18"/>
              </w:rPr>
              <w:t>-</w:t>
            </w:r>
            <w:r w:rsidR="007D4934" w:rsidRPr="007A36C2">
              <w:rPr>
                <w:color w:val="000000"/>
                <w:sz w:val="18"/>
                <w:szCs w:val="18"/>
              </w:rPr>
              <w:t>23 114 970</w:t>
            </w:r>
          </w:p>
        </w:tc>
        <w:tc>
          <w:tcPr>
            <w:tcW w:w="1132" w:type="dxa"/>
          </w:tcPr>
          <w:p w:rsidR="004E4E60" w:rsidRPr="007A36C2" w:rsidRDefault="00A165AD" w:rsidP="00804D67">
            <w:pPr>
              <w:pStyle w:val="tabteksts"/>
              <w:jc w:val="right"/>
            </w:pPr>
            <w:r w:rsidRPr="007A36C2">
              <w:t>2 350 566</w:t>
            </w:r>
          </w:p>
        </w:tc>
        <w:tc>
          <w:tcPr>
            <w:tcW w:w="1132" w:type="dxa"/>
          </w:tcPr>
          <w:p w:rsidR="004E4E60" w:rsidRPr="007A36C2" w:rsidRDefault="004E4E60" w:rsidP="00804D67">
            <w:pPr>
              <w:pStyle w:val="tabteksts"/>
              <w:jc w:val="right"/>
            </w:pPr>
            <w:r w:rsidRPr="007A36C2">
              <w:t>1 299 590</w:t>
            </w:r>
          </w:p>
        </w:tc>
      </w:tr>
      <w:tr w:rsidR="004E4E60" w:rsidRPr="00540EF8" w:rsidTr="00804D67">
        <w:trPr>
          <w:trHeight w:val="283"/>
          <w:jc w:val="center"/>
        </w:trPr>
        <w:tc>
          <w:tcPr>
            <w:tcW w:w="3378" w:type="dxa"/>
            <w:vAlign w:val="center"/>
          </w:tcPr>
          <w:p w:rsidR="004E4E60" w:rsidRPr="00540EF8" w:rsidRDefault="004E4E60" w:rsidP="00804D67">
            <w:pPr>
              <w:pStyle w:val="tabteksts"/>
            </w:pPr>
            <w:r w:rsidRPr="00540EF8">
              <w:rPr>
                <w:lang w:eastAsia="lv-LV"/>
              </w:rPr>
              <w:t>Kopējie izdevumi</w:t>
            </w:r>
            <w:r w:rsidRPr="00540EF8">
              <w:t>, %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7A36C2" w:rsidRDefault="002B5093" w:rsidP="00804D67">
            <w:pPr>
              <w:pStyle w:val="tabteksts"/>
              <w:jc w:val="right"/>
            </w:pPr>
            <w:r w:rsidRPr="007A36C2">
              <w:t>-</w:t>
            </w:r>
            <w:r w:rsidR="00A165AD" w:rsidRPr="007A36C2">
              <w:t>53,1</w:t>
            </w:r>
          </w:p>
        </w:tc>
        <w:tc>
          <w:tcPr>
            <w:tcW w:w="1132" w:type="dxa"/>
          </w:tcPr>
          <w:p w:rsidR="004E4E60" w:rsidRPr="007A36C2" w:rsidRDefault="00A165AD" w:rsidP="00804D67">
            <w:pPr>
              <w:pStyle w:val="tabteksts"/>
              <w:jc w:val="right"/>
            </w:pPr>
            <w:r w:rsidRPr="007A36C2">
              <w:t>11,5</w:t>
            </w:r>
          </w:p>
        </w:tc>
        <w:tc>
          <w:tcPr>
            <w:tcW w:w="1132" w:type="dxa"/>
          </w:tcPr>
          <w:p w:rsidR="004E4E60" w:rsidRPr="007A36C2" w:rsidRDefault="004E4E60" w:rsidP="00804D67">
            <w:pPr>
              <w:pStyle w:val="tabteksts"/>
              <w:jc w:val="right"/>
            </w:pPr>
            <w:r w:rsidRPr="007A36C2">
              <w:t>5,7</w:t>
            </w:r>
          </w:p>
        </w:tc>
      </w:tr>
    </w:tbl>
    <w:p w:rsidR="00A87A1F" w:rsidRDefault="00A87A1F" w:rsidP="00AF7DA2">
      <w:pPr>
        <w:spacing w:before="240"/>
        <w:ind w:firstLine="720"/>
        <w:jc w:val="center"/>
        <w:rPr>
          <w:b/>
          <w:color w:val="000000" w:themeColor="text1"/>
          <w:lang w:eastAsia="lv-LV"/>
        </w:rPr>
      </w:pPr>
    </w:p>
    <w:p w:rsidR="00A87A1F" w:rsidRDefault="00A87A1F" w:rsidP="00AF7DA2">
      <w:pPr>
        <w:spacing w:before="240"/>
        <w:ind w:firstLine="720"/>
        <w:jc w:val="center"/>
        <w:rPr>
          <w:b/>
          <w:color w:val="000000" w:themeColor="text1"/>
          <w:lang w:eastAsia="lv-LV"/>
        </w:rPr>
      </w:pPr>
    </w:p>
    <w:p w:rsidR="00A87A1F" w:rsidRDefault="00A87A1F" w:rsidP="00AF7DA2">
      <w:pPr>
        <w:spacing w:before="240"/>
        <w:ind w:firstLine="720"/>
        <w:jc w:val="center"/>
        <w:rPr>
          <w:b/>
          <w:color w:val="000000" w:themeColor="text1"/>
          <w:lang w:eastAsia="lv-LV"/>
        </w:rPr>
      </w:pPr>
    </w:p>
    <w:p w:rsidR="004E4E60" w:rsidRPr="00540EF8" w:rsidRDefault="004E4E60" w:rsidP="00AF7DA2">
      <w:pPr>
        <w:spacing w:before="240"/>
        <w:ind w:firstLine="720"/>
        <w:jc w:val="center"/>
        <w:rPr>
          <w:b/>
          <w:color w:val="000000" w:themeColor="text1"/>
          <w:lang w:eastAsia="lv-LV"/>
        </w:rPr>
      </w:pPr>
      <w:r w:rsidRPr="00540EF8">
        <w:rPr>
          <w:b/>
          <w:color w:val="000000" w:themeColor="text1"/>
          <w:lang w:eastAsia="lv-LV"/>
        </w:rPr>
        <w:lastRenderedPageBreak/>
        <w:t>Izmaiņas izdevumos, salīdzinot 201</w:t>
      </w:r>
      <w:r>
        <w:rPr>
          <w:b/>
          <w:color w:val="000000" w:themeColor="text1"/>
          <w:lang w:eastAsia="lv-LV"/>
        </w:rPr>
        <w:t>9</w:t>
      </w:r>
      <w:r w:rsidRPr="00540EF8">
        <w:rPr>
          <w:b/>
          <w:color w:val="000000" w:themeColor="text1"/>
          <w:lang w:eastAsia="lv-LV"/>
        </w:rPr>
        <w:t xml:space="preserve">. </w:t>
      </w:r>
      <w:r w:rsidR="00AB29F1">
        <w:rPr>
          <w:b/>
          <w:color w:val="000000" w:themeColor="text1"/>
          <w:lang w:eastAsia="lv-LV"/>
        </w:rPr>
        <w:t>gada pl</w:t>
      </w:r>
      <w:r w:rsidR="003F087A">
        <w:rPr>
          <w:b/>
          <w:color w:val="000000" w:themeColor="text1"/>
          <w:lang w:eastAsia="lv-LV"/>
        </w:rPr>
        <w:t>ānu</w:t>
      </w:r>
      <w:r w:rsidRPr="00540EF8">
        <w:rPr>
          <w:b/>
          <w:color w:val="000000" w:themeColor="text1"/>
          <w:lang w:eastAsia="lv-LV"/>
        </w:rPr>
        <w:t xml:space="preserve"> ar 201</w:t>
      </w:r>
      <w:r>
        <w:rPr>
          <w:b/>
          <w:color w:val="000000" w:themeColor="text1"/>
          <w:lang w:eastAsia="lv-LV"/>
        </w:rPr>
        <w:t>8</w:t>
      </w:r>
      <w:r w:rsidRPr="00540EF8">
        <w:rPr>
          <w:b/>
          <w:color w:val="000000" w:themeColor="text1"/>
          <w:lang w:eastAsia="lv-LV"/>
        </w:rPr>
        <w:t>. gada plānu</w:t>
      </w:r>
    </w:p>
    <w:p w:rsidR="004E4E60" w:rsidRPr="00540EF8" w:rsidRDefault="004E4E60" w:rsidP="004E4E60">
      <w:pPr>
        <w:spacing w:after="0"/>
        <w:ind w:left="7921" w:firstLine="720"/>
        <w:jc w:val="center"/>
        <w:rPr>
          <w:i/>
          <w:sz w:val="18"/>
          <w:szCs w:val="18"/>
        </w:rPr>
      </w:pPr>
      <w:proofErr w:type="spellStart"/>
      <w:r>
        <w:rPr>
          <w:i/>
          <w:sz w:val="18"/>
          <w:szCs w:val="18"/>
        </w:rPr>
        <w:t>E</w:t>
      </w:r>
      <w:r w:rsidRPr="00540EF8">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E4E60" w:rsidRPr="00540EF8" w:rsidTr="00804D67">
        <w:trPr>
          <w:trHeight w:val="142"/>
          <w:tblHeader/>
          <w:jc w:val="center"/>
        </w:trPr>
        <w:tc>
          <w:tcPr>
            <w:tcW w:w="5241" w:type="dxa"/>
            <w:vAlign w:val="center"/>
          </w:tcPr>
          <w:p w:rsidR="004E4E60" w:rsidRPr="00F27D46" w:rsidRDefault="004E4E60" w:rsidP="00804D67">
            <w:pPr>
              <w:pStyle w:val="tabteksts"/>
              <w:jc w:val="center"/>
              <w:rPr>
                <w:szCs w:val="18"/>
              </w:rPr>
            </w:pPr>
            <w:r w:rsidRPr="00F27D46">
              <w:rPr>
                <w:color w:val="000000" w:themeColor="text1"/>
                <w:szCs w:val="18"/>
                <w:lang w:eastAsia="lv-LV"/>
              </w:rPr>
              <w:t>Pasākums</w:t>
            </w:r>
          </w:p>
        </w:tc>
        <w:tc>
          <w:tcPr>
            <w:tcW w:w="1277" w:type="dxa"/>
            <w:vAlign w:val="center"/>
          </w:tcPr>
          <w:p w:rsidR="004E4E60" w:rsidRPr="00F27D46" w:rsidRDefault="004E4E60" w:rsidP="00804D67">
            <w:pPr>
              <w:pStyle w:val="tabteksts"/>
              <w:jc w:val="center"/>
              <w:rPr>
                <w:color w:val="000000" w:themeColor="text1"/>
                <w:szCs w:val="18"/>
                <w:lang w:eastAsia="lv-LV"/>
              </w:rPr>
            </w:pPr>
            <w:r w:rsidRPr="00F27D46">
              <w:rPr>
                <w:color w:val="000000" w:themeColor="text1"/>
                <w:szCs w:val="18"/>
                <w:lang w:eastAsia="lv-LV"/>
              </w:rPr>
              <w:t>Samazinājums</w:t>
            </w:r>
          </w:p>
        </w:tc>
        <w:tc>
          <w:tcPr>
            <w:tcW w:w="1277" w:type="dxa"/>
            <w:vAlign w:val="center"/>
          </w:tcPr>
          <w:p w:rsidR="004E4E60" w:rsidRPr="00F27D46" w:rsidRDefault="004E4E60" w:rsidP="00804D67">
            <w:pPr>
              <w:pStyle w:val="tabteksts"/>
              <w:jc w:val="center"/>
              <w:rPr>
                <w:color w:val="000000" w:themeColor="text1"/>
                <w:szCs w:val="18"/>
                <w:lang w:eastAsia="lv-LV"/>
              </w:rPr>
            </w:pPr>
            <w:r w:rsidRPr="00F27D46">
              <w:rPr>
                <w:color w:val="000000" w:themeColor="text1"/>
                <w:szCs w:val="18"/>
                <w:lang w:eastAsia="lv-LV"/>
              </w:rPr>
              <w:t>Palielinājums</w:t>
            </w:r>
          </w:p>
        </w:tc>
        <w:tc>
          <w:tcPr>
            <w:tcW w:w="1277" w:type="dxa"/>
            <w:vAlign w:val="center"/>
          </w:tcPr>
          <w:p w:rsidR="004E4E60" w:rsidRPr="00F27D46" w:rsidRDefault="004E4E60" w:rsidP="00804D67">
            <w:pPr>
              <w:pStyle w:val="tabteksts"/>
              <w:jc w:val="center"/>
              <w:rPr>
                <w:color w:val="000000" w:themeColor="text1"/>
                <w:szCs w:val="18"/>
                <w:lang w:eastAsia="lv-LV"/>
              </w:rPr>
            </w:pPr>
            <w:r w:rsidRPr="00F27D46">
              <w:rPr>
                <w:color w:val="000000" w:themeColor="text1"/>
                <w:szCs w:val="18"/>
                <w:lang w:eastAsia="lv-LV"/>
              </w:rPr>
              <w:t>Izmaiņas</w:t>
            </w:r>
          </w:p>
        </w:tc>
      </w:tr>
      <w:tr w:rsidR="004E4E60" w:rsidRPr="00540EF8" w:rsidTr="00804D67">
        <w:trPr>
          <w:trHeight w:val="142"/>
          <w:jc w:val="center"/>
        </w:trPr>
        <w:tc>
          <w:tcPr>
            <w:tcW w:w="5241" w:type="dxa"/>
            <w:shd w:val="clear" w:color="auto" w:fill="D9D9D9" w:themeFill="background1" w:themeFillShade="D9"/>
          </w:tcPr>
          <w:p w:rsidR="004E4E60" w:rsidRPr="00F27D46" w:rsidRDefault="004E4E60" w:rsidP="00804D67">
            <w:pPr>
              <w:pStyle w:val="tabteksts"/>
              <w:rPr>
                <w:szCs w:val="18"/>
              </w:rPr>
            </w:pPr>
            <w:r w:rsidRPr="00F27D46">
              <w:rPr>
                <w:b/>
                <w:bCs/>
                <w:szCs w:val="18"/>
                <w:lang w:eastAsia="lv-LV"/>
              </w:rPr>
              <w:t>Izdevumi - kopā</w:t>
            </w:r>
          </w:p>
        </w:tc>
        <w:tc>
          <w:tcPr>
            <w:tcW w:w="1277" w:type="dxa"/>
            <w:shd w:val="clear" w:color="auto" w:fill="D9D9D9" w:themeFill="background1" w:themeFillShade="D9"/>
          </w:tcPr>
          <w:p w:rsidR="004E4E60" w:rsidRPr="00F27D46" w:rsidRDefault="00473C5E" w:rsidP="00804D67">
            <w:pPr>
              <w:pStyle w:val="tabteksts"/>
              <w:jc w:val="right"/>
              <w:rPr>
                <w:b/>
                <w:szCs w:val="18"/>
              </w:rPr>
            </w:pPr>
            <w:r>
              <w:rPr>
                <w:b/>
                <w:szCs w:val="18"/>
              </w:rPr>
              <w:t>23 114 970</w:t>
            </w:r>
          </w:p>
        </w:tc>
        <w:tc>
          <w:tcPr>
            <w:tcW w:w="1277" w:type="dxa"/>
            <w:shd w:val="clear" w:color="auto" w:fill="D9D9D9" w:themeFill="background1" w:themeFillShade="D9"/>
          </w:tcPr>
          <w:p w:rsidR="004E4E60" w:rsidRPr="00F27D46" w:rsidRDefault="004E4E60" w:rsidP="00804D67">
            <w:pPr>
              <w:pStyle w:val="tabteksts"/>
              <w:jc w:val="center"/>
              <w:rPr>
                <w:b/>
                <w:szCs w:val="18"/>
              </w:rPr>
            </w:pPr>
            <w:r w:rsidRPr="00F27D46">
              <w:rPr>
                <w:b/>
                <w:szCs w:val="18"/>
              </w:rPr>
              <w:t>-</w:t>
            </w:r>
          </w:p>
        </w:tc>
        <w:tc>
          <w:tcPr>
            <w:tcW w:w="1277" w:type="dxa"/>
            <w:shd w:val="clear" w:color="auto" w:fill="D9D9D9" w:themeFill="background1" w:themeFillShade="D9"/>
          </w:tcPr>
          <w:p w:rsidR="004E4E60" w:rsidRPr="00F27D46" w:rsidRDefault="002B5093" w:rsidP="00804D67">
            <w:pPr>
              <w:pStyle w:val="tabteksts"/>
              <w:jc w:val="right"/>
              <w:rPr>
                <w:b/>
                <w:szCs w:val="18"/>
              </w:rPr>
            </w:pPr>
            <w:r>
              <w:rPr>
                <w:b/>
                <w:szCs w:val="18"/>
              </w:rPr>
              <w:t>-</w:t>
            </w:r>
            <w:r w:rsidR="00473C5E">
              <w:rPr>
                <w:b/>
                <w:szCs w:val="18"/>
              </w:rPr>
              <w:t>23 114 970</w:t>
            </w:r>
          </w:p>
        </w:tc>
      </w:tr>
      <w:tr w:rsidR="004E4E60" w:rsidRPr="00540EF8" w:rsidTr="00804D67">
        <w:trPr>
          <w:trHeight w:val="142"/>
          <w:jc w:val="center"/>
        </w:trPr>
        <w:tc>
          <w:tcPr>
            <w:tcW w:w="5241" w:type="dxa"/>
            <w:shd w:val="clear" w:color="auto" w:fill="F2F2F2" w:themeFill="background1" w:themeFillShade="F2"/>
            <w:vAlign w:val="center"/>
          </w:tcPr>
          <w:p w:rsidR="004E4E60" w:rsidRPr="00F27D46" w:rsidRDefault="004E4E60" w:rsidP="00804D67">
            <w:pPr>
              <w:pStyle w:val="tabteksts"/>
              <w:rPr>
                <w:szCs w:val="18"/>
                <w:u w:val="single"/>
                <w:lang w:eastAsia="lv-LV"/>
              </w:rPr>
            </w:pPr>
            <w:r w:rsidRPr="00F27D46">
              <w:rPr>
                <w:szCs w:val="18"/>
                <w:u w:val="single"/>
                <w:lang w:eastAsia="lv-LV"/>
              </w:rPr>
              <w:t>Citas izmaiņas</w:t>
            </w:r>
          </w:p>
        </w:tc>
        <w:tc>
          <w:tcPr>
            <w:tcW w:w="1277" w:type="dxa"/>
            <w:shd w:val="clear" w:color="auto" w:fill="F2F2F2" w:themeFill="background1" w:themeFillShade="F2"/>
          </w:tcPr>
          <w:p w:rsidR="004E4E60" w:rsidRPr="00F27D46" w:rsidRDefault="004E4E60" w:rsidP="00804D67">
            <w:pPr>
              <w:pStyle w:val="tabteksts"/>
              <w:jc w:val="center"/>
              <w:rPr>
                <w:szCs w:val="18"/>
                <w:u w:val="single"/>
              </w:rPr>
            </w:pPr>
          </w:p>
        </w:tc>
        <w:tc>
          <w:tcPr>
            <w:tcW w:w="1277" w:type="dxa"/>
            <w:shd w:val="clear" w:color="auto" w:fill="F2F2F2" w:themeFill="background1" w:themeFillShade="F2"/>
          </w:tcPr>
          <w:p w:rsidR="004E4E60" w:rsidRPr="00F27D46" w:rsidRDefault="004E4E60" w:rsidP="00804D67">
            <w:pPr>
              <w:pStyle w:val="tabteksts"/>
              <w:jc w:val="center"/>
              <w:rPr>
                <w:szCs w:val="18"/>
                <w:u w:val="single"/>
              </w:rPr>
            </w:pPr>
          </w:p>
        </w:tc>
        <w:tc>
          <w:tcPr>
            <w:tcW w:w="1277" w:type="dxa"/>
            <w:shd w:val="clear" w:color="auto" w:fill="F2F2F2" w:themeFill="background1" w:themeFillShade="F2"/>
          </w:tcPr>
          <w:p w:rsidR="004E4E60" w:rsidRPr="00F27D46" w:rsidRDefault="004E4E60" w:rsidP="00804D67">
            <w:pPr>
              <w:pStyle w:val="tabteksts"/>
              <w:jc w:val="right"/>
              <w:rPr>
                <w:szCs w:val="18"/>
                <w:u w:val="single"/>
              </w:rPr>
            </w:pPr>
          </w:p>
        </w:tc>
      </w:tr>
      <w:tr w:rsidR="004E4E60" w:rsidRPr="00540EF8" w:rsidTr="00804D67">
        <w:trPr>
          <w:trHeight w:val="142"/>
          <w:jc w:val="center"/>
        </w:trPr>
        <w:tc>
          <w:tcPr>
            <w:tcW w:w="5241" w:type="dxa"/>
          </w:tcPr>
          <w:p w:rsidR="004E4E60" w:rsidRPr="00F27D46" w:rsidRDefault="004E4E60" w:rsidP="00804D67">
            <w:pPr>
              <w:pStyle w:val="tabteksts"/>
              <w:rPr>
                <w:i/>
                <w:szCs w:val="18"/>
                <w:lang w:eastAsia="lv-LV"/>
              </w:rPr>
            </w:pPr>
            <w:r w:rsidRPr="00F27D46">
              <w:rPr>
                <w:i/>
                <w:szCs w:val="18"/>
                <w:lang w:eastAsia="lv-LV"/>
              </w:rPr>
              <w:t xml:space="preserve">Pārdalīts finansējums </w:t>
            </w:r>
            <w:proofErr w:type="spellStart"/>
            <w:r w:rsidRPr="00F27D46">
              <w:rPr>
                <w:i/>
                <w:szCs w:val="18"/>
                <w:lang w:eastAsia="lv-LV"/>
              </w:rPr>
              <w:t>Iekšlietu</w:t>
            </w:r>
            <w:proofErr w:type="spellEnd"/>
            <w:r w:rsidRPr="00F27D46">
              <w:rPr>
                <w:i/>
                <w:szCs w:val="18"/>
                <w:lang w:eastAsia="lv-LV"/>
              </w:rPr>
              <w:t xml:space="preserve"> ministrijai,  lai nodrošinātu Pasu sistēmas un Vienotās migrācijas informācijas sistēmas attīstību elektronisko identifikācijas karšu un elektronisko uzturēšanās atļauju (karšu) izsniegšanai  (MK 28.08.2018. Nr.40 21.§)</w:t>
            </w:r>
          </w:p>
        </w:tc>
        <w:tc>
          <w:tcPr>
            <w:tcW w:w="1277" w:type="dxa"/>
          </w:tcPr>
          <w:p w:rsidR="004E4E60" w:rsidRPr="00F27D46" w:rsidRDefault="004E4E60" w:rsidP="00804D67">
            <w:pPr>
              <w:pStyle w:val="tabteksts"/>
              <w:jc w:val="right"/>
              <w:rPr>
                <w:szCs w:val="18"/>
              </w:rPr>
            </w:pPr>
            <w:r w:rsidRPr="00F27D46">
              <w:rPr>
                <w:szCs w:val="18"/>
              </w:rPr>
              <w:t>2 141 502</w:t>
            </w:r>
          </w:p>
        </w:tc>
        <w:tc>
          <w:tcPr>
            <w:tcW w:w="1277" w:type="dxa"/>
          </w:tcPr>
          <w:p w:rsidR="004E4E60" w:rsidRPr="00F27D46" w:rsidRDefault="004E4E60" w:rsidP="00804D67">
            <w:pPr>
              <w:pStyle w:val="tabteksts"/>
              <w:jc w:val="center"/>
              <w:rPr>
                <w:szCs w:val="18"/>
              </w:rPr>
            </w:pPr>
            <w:r w:rsidRPr="00F27D46">
              <w:rPr>
                <w:szCs w:val="18"/>
              </w:rPr>
              <w:t>-</w:t>
            </w:r>
          </w:p>
        </w:tc>
        <w:tc>
          <w:tcPr>
            <w:tcW w:w="1277" w:type="dxa"/>
          </w:tcPr>
          <w:p w:rsidR="004E4E60" w:rsidRPr="00F27D46" w:rsidRDefault="002B5093" w:rsidP="00804D67">
            <w:pPr>
              <w:pStyle w:val="tabteksts"/>
              <w:jc w:val="right"/>
              <w:rPr>
                <w:szCs w:val="18"/>
              </w:rPr>
            </w:pPr>
            <w:r>
              <w:rPr>
                <w:szCs w:val="18"/>
              </w:rPr>
              <w:t>-</w:t>
            </w:r>
            <w:r w:rsidR="004E4E60" w:rsidRPr="00F27D46">
              <w:rPr>
                <w:szCs w:val="18"/>
              </w:rPr>
              <w:t>2 141 502</w:t>
            </w:r>
          </w:p>
        </w:tc>
      </w:tr>
      <w:tr w:rsidR="004E4E60" w:rsidRPr="00540EF8" w:rsidTr="00804D67">
        <w:trPr>
          <w:trHeight w:val="142"/>
          <w:jc w:val="center"/>
        </w:trPr>
        <w:tc>
          <w:tcPr>
            <w:tcW w:w="5241" w:type="dxa"/>
          </w:tcPr>
          <w:p w:rsidR="004E4E60" w:rsidRPr="00F27D46" w:rsidRDefault="004E4E60" w:rsidP="00804D67">
            <w:pPr>
              <w:pStyle w:val="tabteksts"/>
              <w:rPr>
                <w:i/>
                <w:szCs w:val="18"/>
                <w:lang w:eastAsia="lv-LV"/>
              </w:rPr>
            </w:pPr>
            <w:r w:rsidRPr="00F27D46">
              <w:rPr>
                <w:i/>
                <w:szCs w:val="18"/>
                <w:lang w:eastAsia="lv-LV"/>
              </w:rPr>
              <w:t xml:space="preserve">Pārdalīts finansējums Izglītības un zinātnes ministrijai, Kultūras ministrijai, Labklājības ministrijai, Tieslietu ministrijai un Mērķdotācijām pašvaldībām, lai nodrošinātu pedagogu minimālās algas likmes palielināšanu līdz 710 </w:t>
            </w:r>
            <w:proofErr w:type="spellStart"/>
            <w:r w:rsidRPr="00F27D46">
              <w:rPr>
                <w:i/>
                <w:szCs w:val="18"/>
                <w:lang w:eastAsia="lv-LV"/>
              </w:rPr>
              <w:t>euro</w:t>
            </w:r>
            <w:proofErr w:type="spellEnd"/>
            <w:r w:rsidRPr="00F27D46">
              <w:rPr>
                <w:i/>
                <w:szCs w:val="18"/>
                <w:lang w:eastAsia="lv-LV"/>
              </w:rPr>
              <w:t xml:space="preserve"> (MK 11.09.2018. Nr.42 37.§)</w:t>
            </w:r>
          </w:p>
        </w:tc>
        <w:tc>
          <w:tcPr>
            <w:tcW w:w="1277" w:type="dxa"/>
          </w:tcPr>
          <w:p w:rsidR="004E4E60" w:rsidRPr="00F27D46" w:rsidRDefault="004E4E60" w:rsidP="00804D67">
            <w:pPr>
              <w:pStyle w:val="tabteksts"/>
              <w:jc w:val="right"/>
              <w:rPr>
                <w:szCs w:val="18"/>
              </w:rPr>
            </w:pPr>
            <w:r w:rsidRPr="00F27D46">
              <w:rPr>
                <w:szCs w:val="18"/>
              </w:rPr>
              <w:t>17 587 293</w:t>
            </w:r>
          </w:p>
        </w:tc>
        <w:tc>
          <w:tcPr>
            <w:tcW w:w="1277" w:type="dxa"/>
          </w:tcPr>
          <w:p w:rsidR="004E4E60" w:rsidRPr="00F27D46" w:rsidRDefault="004E4E60" w:rsidP="00804D67">
            <w:pPr>
              <w:pStyle w:val="tabteksts"/>
              <w:jc w:val="center"/>
              <w:rPr>
                <w:szCs w:val="18"/>
              </w:rPr>
            </w:pPr>
            <w:r w:rsidRPr="00F27D46">
              <w:rPr>
                <w:szCs w:val="18"/>
              </w:rPr>
              <w:t>-</w:t>
            </w:r>
          </w:p>
        </w:tc>
        <w:tc>
          <w:tcPr>
            <w:tcW w:w="1277" w:type="dxa"/>
          </w:tcPr>
          <w:p w:rsidR="004E4E60" w:rsidRPr="00F27D46" w:rsidRDefault="002B5093" w:rsidP="00804D67">
            <w:pPr>
              <w:pStyle w:val="tabteksts"/>
              <w:jc w:val="right"/>
              <w:rPr>
                <w:szCs w:val="18"/>
              </w:rPr>
            </w:pPr>
            <w:r>
              <w:rPr>
                <w:szCs w:val="18"/>
              </w:rPr>
              <w:t>-</w:t>
            </w:r>
            <w:r w:rsidR="004E4E60" w:rsidRPr="00F27D46">
              <w:rPr>
                <w:szCs w:val="18"/>
              </w:rPr>
              <w:t>17 587 293</w:t>
            </w:r>
          </w:p>
        </w:tc>
      </w:tr>
      <w:tr w:rsidR="004E4E60" w:rsidRPr="00540EF8" w:rsidTr="00804D67">
        <w:trPr>
          <w:trHeight w:val="142"/>
          <w:jc w:val="center"/>
        </w:trPr>
        <w:tc>
          <w:tcPr>
            <w:tcW w:w="5241" w:type="dxa"/>
          </w:tcPr>
          <w:p w:rsidR="004E4E60" w:rsidRPr="00F27D46" w:rsidRDefault="004E4E60" w:rsidP="00804D67">
            <w:pPr>
              <w:pStyle w:val="tabteksts"/>
              <w:rPr>
                <w:i/>
                <w:szCs w:val="18"/>
                <w:lang w:eastAsia="lv-LV"/>
              </w:rPr>
            </w:pPr>
            <w:r w:rsidRPr="00F27D46">
              <w:rPr>
                <w:i/>
                <w:szCs w:val="18"/>
                <w:lang w:eastAsia="lv-LV"/>
              </w:rPr>
              <w:t xml:space="preserve">Pārdalīts finansējums Ekonomikas ministrijai, lai organizētu Latvijas dalību starptautiskajā izstādē “Expo 2020 </w:t>
            </w:r>
            <w:proofErr w:type="spellStart"/>
            <w:r w:rsidRPr="00F27D46">
              <w:rPr>
                <w:i/>
                <w:szCs w:val="18"/>
                <w:lang w:eastAsia="lv-LV"/>
              </w:rPr>
              <w:t>Dubai</w:t>
            </w:r>
            <w:proofErr w:type="spellEnd"/>
            <w:r w:rsidRPr="00F27D46">
              <w:rPr>
                <w:i/>
                <w:szCs w:val="18"/>
                <w:lang w:eastAsia="lv-LV"/>
              </w:rPr>
              <w:t>” (MK 05.11.2018. Nr.51 47.§)</w:t>
            </w:r>
          </w:p>
        </w:tc>
        <w:tc>
          <w:tcPr>
            <w:tcW w:w="1277" w:type="dxa"/>
          </w:tcPr>
          <w:p w:rsidR="004E4E60" w:rsidRPr="00F27D46" w:rsidRDefault="004E4E60" w:rsidP="00804D67">
            <w:pPr>
              <w:pStyle w:val="tabteksts"/>
              <w:jc w:val="right"/>
              <w:rPr>
                <w:szCs w:val="18"/>
              </w:rPr>
            </w:pPr>
            <w:r w:rsidRPr="00F27D46">
              <w:rPr>
                <w:szCs w:val="18"/>
              </w:rPr>
              <w:t>2 092 000</w:t>
            </w:r>
          </w:p>
        </w:tc>
        <w:tc>
          <w:tcPr>
            <w:tcW w:w="1277" w:type="dxa"/>
          </w:tcPr>
          <w:p w:rsidR="004E4E60" w:rsidRPr="00F27D46" w:rsidRDefault="004E4E60" w:rsidP="00804D67">
            <w:pPr>
              <w:pStyle w:val="tabteksts"/>
              <w:jc w:val="center"/>
              <w:rPr>
                <w:szCs w:val="18"/>
              </w:rPr>
            </w:pPr>
            <w:r w:rsidRPr="00F27D46">
              <w:rPr>
                <w:szCs w:val="18"/>
              </w:rPr>
              <w:t>-</w:t>
            </w:r>
          </w:p>
        </w:tc>
        <w:tc>
          <w:tcPr>
            <w:tcW w:w="1277" w:type="dxa"/>
          </w:tcPr>
          <w:p w:rsidR="004E4E60" w:rsidRPr="00F27D46" w:rsidRDefault="002B5093" w:rsidP="00804D67">
            <w:pPr>
              <w:pStyle w:val="tabteksts"/>
              <w:jc w:val="right"/>
              <w:rPr>
                <w:szCs w:val="18"/>
              </w:rPr>
            </w:pPr>
            <w:r>
              <w:rPr>
                <w:szCs w:val="18"/>
              </w:rPr>
              <w:t>-</w:t>
            </w:r>
            <w:r w:rsidR="004E4E60" w:rsidRPr="00F27D46">
              <w:rPr>
                <w:szCs w:val="18"/>
              </w:rPr>
              <w:t>2 092 000</w:t>
            </w:r>
          </w:p>
        </w:tc>
      </w:tr>
      <w:tr w:rsidR="004E4E60" w:rsidRPr="00540EF8" w:rsidTr="00804D67">
        <w:trPr>
          <w:trHeight w:val="142"/>
          <w:jc w:val="center"/>
        </w:trPr>
        <w:tc>
          <w:tcPr>
            <w:tcW w:w="5241" w:type="dxa"/>
          </w:tcPr>
          <w:p w:rsidR="004E4E60" w:rsidRPr="00F27D46" w:rsidRDefault="004E4E60" w:rsidP="00804D67">
            <w:pPr>
              <w:pStyle w:val="tabteksts"/>
              <w:rPr>
                <w:i/>
                <w:szCs w:val="18"/>
                <w:lang w:eastAsia="lv-LV"/>
              </w:rPr>
            </w:pPr>
            <w:r>
              <w:rPr>
                <w:i/>
                <w:szCs w:val="18"/>
                <w:lang w:eastAsia="lv-LV"/>
              </w:rPr>
              <w:t>Pārdalīts</w:t>
            </w:r>
            <w:r w:rsidRPr="00F27D46">
              <w:rPr>
                <w:i/>
                <w:szCs w:val="18"/>
                <w:lang w:eastAsia="lv-LV"/>
              </w:rPr>
              <w:t xml:space="preserve"> finansējums atbilstoši Ministru kabineta lēmumiem un Finanšu ministrijas rīkojumiem (FM rīkojum</w:t>
            </w:r>
            <w:r>
              <w:rPr>
                <w:i/>
                <w:szCs w:val="18"/>
                <w:lang w:eastAsia="lv-LV"/>
              </w:rPr>
              <w:t>s</w:t>
            </w:r>
            <w:r w:rsidRPr="00F27D46">
              <w:rPr>
                <w:i/>
                <w:szCs w:val="18"/>
                <w:lang w:eastAsia="lv-LV"/>
              </w:rPr>
              <w:t xml:space="preserve"> Nr. 30, Nr.32, Nr. 45, Nr.47, Nr.58</w:t>
            </w:r>
            <w:r>
              <w:rPr>
                <w:i/>
                <w:szCs w:val="18"/>
                <w:lang w:eastAsia="lv-LV"/>
              </w:rPr>
              <w:t>, Nr.68)</w:t>
            </w:r>
          </w:p>
        </w:tc>
        <w:tc>
          <w:tcPr>
            <w:tcW w:w="1277" w:type="dxa"/>
          </w:tcPr>
          <w:p w:rsidR="004E4E60" w:rsidRPr="00F27D46" w:rsidRDefault="004E4E60" w:rsidP="00804D67">
            <w:pPr>
              <w:pStyle w:val="tabteksts"/>
              <w:jc w:val="right"/>
              <w:rPr>
                <w:szCs w:val="18"/>
              </w:rPr>
            </w:pPr>
            <w:r w:rsidRPr="00F27D46">
              <w:rPr>
                <w:szCs w:val="18"/>
              </w:rPr>
              <w:t xml:space="preserve"> </w:t>
            </w:r>
            <w:r>
              <w:rPr>
                <w:szCs w:val="18"/>
              </w:rPr>
              <w:t>644 901</w:t>
            </w:r>
          </w:p>
        </w:tc>
        <w:tc>
          <w:tcPr>
            <w:tcW w:w="1277" w:type="dxa"/>
          </w:tcPr>
          <w:p w:rsidR="004E4E60" w:rsidRPr="00F27D46" w:rsidRDefault="004E4E60" w:rsidP="00804D67">
            <w:pPr>
              <w:pStyle w:val="tabteksts"/>
              <w:jc w:val="center"/>
              <w:rPr>
                <w:szCs w:val="18"/>
              </w:rPr>
            </w:pPr>
            <w:r w:rsidRPr="00F27D46">
              <w:rPr>
                <w:szCs w:val="18"/>
              </w:rPr>
              <w:t>-</w:t>
            </w:r>
          </w:p>
        </w:tc>
        <w:tc>
          <w:tcPr>
            <w:tcW w:w="1277" w:type="dxa"/>
          </w:tcPr>
          <w:p w:rsidR="004E4E60" w:rsidRPr="00F27D46" w:rsidRDefault="002B5093" w:rsidP="00804D67">
            <w:pPr>
              <w:pStyle w:val="tabteksts"/>
              <w:jc w:val="right"/>
              <w:rPr>
                <w:szCs w:val="18"/>
              </w:rPr>
            </w:pPr>
            <w:r>
              <w:rPr>
                <w:szCs w:val="18"/>
              </w:rPr>
              <w:t>-</w:t>
            </w:r>
            <w:r w:rsidR="004E4E60">
              <w:rPr>
                <w:szCs w:val="18"/>
              </w:rPr>
              <w:t>644 901</w:t>
            </w:r>
          </w:p>
        </w:tc>
      </w:tr>
      <w:tr w:rsidR="00473C5E" w:rsidRPr="00540EF8" w:rsidTr="00804D67">
        <w:trPr>
          <w:trHeight w:val="142"/>
          <w:jc w:val="center"/>
        </w:trPr>
        <w:tc>
          <w:tcPr>
            <w:tcW w:w="5241" w:type="dxa"/>
          </w:tcPr>
          <w:p w:rsidR="00473C5E" w:rsidRPr="007A36C2" w:rsidRDefault="00473C5E" w:rsidP="00804D67">
            <w:pPr>
              <w:pStyle w:val="tabteksts"/>
              <w:rPr>
                <w:i/>
                <w:szCs w:val="18"/>
                <w:lang w:eastAsia="lv-LV"/>
              </w:rPr>
            </w:pPr>
            <w:r w:rsidRPr="007A36C2">
              <w:rPr>
                <w:i/>
                <w:szCs w:val="18"/>
                <w:lang w:eastAsia="lv-LV"/>
              </w:rPr>
              <w:t>Izmaiņas atbilstoši Saeimā 2.lasījumā atbalstītajiem priekšlikumiem</w:t>
            </w:r>
          </w:p>
        </w:tc>
        <w:tc>
          <w:tcPr>
            <w:tcW w:w="1277" w:type="dxa"/>
          </w:tcPr>
          <w:p w:rsidR="00473C5E" w:rsidRPr="007A36C2" w:rsidRDefault="00473C5E" w:rsidP="00473C5E">
            <w:pPr>
              <w:pStyle w:val="tabteksts"/>
              <w:jc w:val="right"/>
              <w:rPr>
                <w:szCs w:val="18"/>
              </w:rPr>
            </w:pPr>
            <w:r w:rsidRPr="007A36C2">
              <w:rPr>
                <w:szCs w:val="18"/>
              </w:rPr>
              <w:t>649 274</w:t>
            </w:r>
          </w:p>
        </w:tc>
        <w:tc>
          <w:tcPr>
            <w:tcW w:w="1277" w:type="dxa"/>
          </w:tcPr>
          <w:p w:rsidR="00473C5E" w:rsidRPr="007A36C2" w:rsidRDefault="00473C5E" w:rsidP="00473C5E">
            <w:pPr>
              <w:pStyle w:val="tabteksts"/>
              <w:jc w:val="center"/>
              <w:rPr>
                <w:szCs w:val="18"/>
              </w:rPr>
            </w:pPr>
            <w:r w:rsidRPr="007A36C2">
              <w:rPr>
                <w:szCs w:val="18"/>
              </w:rPr>
              <w:t>-</w:t>
            </w:r>
          </w:p>
        </w:tc>
        <w:tc>
          <w:tcPr>
            <w:tcW w:w="1277" w:type="dxa"/>
          </w:tcPr>
          <w:p w:rsidR="00473C5E" w:rsidRPr="007A36C2" w:rsidRDefault="00473C5E" w:rsidP="00473C5E">
            <w:pPr>
              <w:pStyle w:val="tabteksts"/>
              <w:jc w:val="right"/>
              <w:rPr>
                <w:szCs w:val="18"/>
              </w:rPr>
            </w:pPr>
            <w:r w:rsidRPr="007A36C2">
              <w:rPr>
                <w:szCs w:val="18"/>
              </w:rPr>
              <w:t>-649 274</w:t>
            </w:r>
          </w:p>
        </w:tc>
      </w:tr>
    </w:tbl>
    <w:p w:rsidR="004E4E60" w:rsidRPr="00540EF8" w:rsidRDefault="004E4E60" w:rsidP="004E4E60">
      <w:pPr>
        <w:pStyle w:val="programmas"/>
      </w:pPr>
      <w:r w:rsidRPr="00540EF8">
        <w:t>08.00.00 Veselības aprūpes sistēmas reformas ieviešanas finansējums</w:t>
      </w:r>
    </w:p>
    <w:p w:rsidR="004E4E60" w:rsidRPr="00540EF8" w:rsidRDefault="004E4E60" w:rsidP="004E4E60">
      <w:pPr>
        <w:ind w:firstLine="0"/>
        <w:rPr>
          <w:u w:val="single"/>
        </w:rPr>
      </w:pPr>
      <w:r w:rsidRPr="00540EF8">
        <w:rPr>
          <w:u w:val="single"/>
        </w:rPr>
        <w:t>Programmas mērķis:</w:t>
      </w:r>
    </w:p>
    <w:p w:rsidR="004E4E60" w:rsidRPr="004E4E60" w:rsidRDefault="004E4E60" w:rsidP="004E4E60">
      <w:pPr>
        <w:rPr>
          <w:lang w:eastAsia="lv-LV"/>
        </w:rPr>
      </w:pPr>
      <w:r>
        <w:rPr>
          <w:lang w:eastAsia="lv-LV"/>
        </w:rPr>
        <w:t>N</w:t>
      </w:r>
      <w:r w:rsidRPr="00540EF8">
        <w:rPr>
          <w:lang w:eastAsia="lv-LV"/>
        </w:rPr>
        <w:t>odrošināt finansējumu veselības aprūpes sistēmas reformas ieviešanai.</w:t>
      </w:r>
    </w:p>
    <w:p w:rsidR="004E4E60" w:rsidRPr="00540EF8" w:rsidRDefault="004E4E60" w:rsidP="00AF7DA2">
      <w:pPr>
        <w:pStyle w:val="Tabuluvirsraksti"/>
        <w:spacing w:before="240" w:after="240"/>
        <w:rPr>
          <w:b/>
          <w:lang w:eastAsia="lv-LV"/>
        </w:rPr>
      </w:pPr>
      <w:r>
        <w:rPr>
          <w:b/>
          <w:lang w:eastAsia="lv-LV"/>
        </w:rPr>
        <w:t>Finansiālie rādītāji no 2017. līdz 2021</w:t>
      </w:r>
      <w:r w:rsidRPr="00540EF8">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E4E60" w:rsidRPr="00540EF8" w:rsidTr="00804D67">
        <w:trPr>
          <w:trHeight w:val="283"/>
          <w:tblHeader/>
          <w:jc w:val="center"/>
        </w:trPr>
        <w:tc>
          <w:tcPr>
            <w:tcW w:w="3378" w:type="dxa"/>
            <w:vAlign w:val="center"/>
          </w:tcPr>
          <w:p w:rsidR="004E4E60" w:rsidRPr="00540EF8" w:rsidRDefault="004E4E60" w:rsidP="00804D67">
            <w:pPr>
              <w:pStyle w:val="tabteksts"/>
              <w:jc w:val="center"/>
              <w:rPr>
                <w:szCs w:val="24"/>
              </w:rPr>
            </w:pPr>
          </w:p>
        </w:tc>
        <w:tc>
          <w:tcPr>
            <w:tcW w:w="1131" w:type="dxa"/>
          </w:tcPr>
          <w:p w:rsidR="004E4E60" w:rsidRPr="00540EF8" w:rsidRDefault="004E4E60" w:rsidP="00804D67">
            <w:pPr>
              <w:pStyle w:val="tabteksts"/>
              <w:jc w:val="center"/>
              <w:rPr>
                <w:szCs w:val="24"/>
                <w:lang w:eastAsia="lv-LV"/>
              </w:rPr>
            </w:pPr>
            <w:r>
              <w:rPr>
                <w:szCs w:val="18"/>
                <w:lang w:eastAsia="lv-LV"/>
              </w:rPr>
              <w:t>2017</w:t>
            </w:r>
            <w:r w:rsidRPr="00540EF8">
              <w:rPr>
                <w:szCs w:val="18"/>
                <w:lang w:eastAsia="lv-LV"/>
              </w:rPr>
              <w:t>. gads (izpilde)</w:t>
            </w:r>
          </w:p>
        </w:tc>
        <w:tc>
          <w:tcPr>
            <w:tcW w:w="1132" w:type="dxa"/>
            <w:vAlign w:val="center"/>
          </w:tcPr>
          <w:p w:rsidR="004E4E60" w:rsidRPr="00540EF8" w:rsidRDefault="004E4E60" w:rsidP="00804D67">
            <w:pPr>
              <w:pStyle w:val="tabteksts"/>
              <w:jc w:val="center"/>
              <w:rPr>
                <w:szCs w:val="24"/>
                <w:lang w:eastAsia="lv-LV"/>
              </w:rPr>
            </w:pPr>
            <w:r>
              <w:rPr>
                <w:szCs w:val="18"/>
                <w:lang w:eastAsia="lv-LV"/>
              </w:rPr>
              <w:t>2018</w:t>
            </w:r>
            <w:r w:rsidRPr="00540EF8">
              <w:rPr>
                <w:szCs w:val="18"/>
                <w:lang w:eastAsia="lv-LV"/>
              </w:rPr>
              <w:t>. gada plāns</w:t>
            </w:r>
          </w:p>
        </w:tc>
        <w:tc>
          <w:tcPr>
            <w:tcW w:w="1132" w:type="dxa"/>
          </w:tcPr>
          <w:p w:rsidR="004E4E60" w:rsidRPr="00540EF8" w:rsidRDefault="004E4E60" w:rsidP="00804D67">
            <w:pPr>
              <w:pStyle w:val="tabteksts"/>
              <w:jc w:val="center"/>
              <w:rPr>
                <w:szCs w:val="24"/>
                <w:lang w:eastAsia="lv-LV"/>
              </w:rPr>
            </w:pPr>
            <w:r>
              <w:rPr>
                <w:szCs w:val="18"/>
                <w:lang w:eastAsia="lv-LV"/>
              </w:rPr>
              <w:t>2019</w:t>
            </w:r>
            <w:r w:rsidRPr="00540EF8">
              <w:rPr>
                <w:szCs w:val="18"/>
                <w:lang w:eastAsia="lv-LV"/>
              </w:rPr>
              <w:t xml:space="preserve">. </w:t>
            </w:r>
            <w:r w:rsidR="003F087A">
              <w:rPr>
                <w:szCs w:val="18"/>
                <w:lang w:eastAsia="lv-LV"/>
              </w:rPr>
              <w:t>gada plāns</w:t>
            </w:r>
          </w:p>
        </w:tc>
        <w:tc>
          <w:tcPr>
            <w:tcW w:w="1132" w:type="dxa"/>
          </w:tcPr>
          <w:p w:rsidR="004E4E60" w:rsidRPr="00540EF8" w:rsidRDefault="004E4E60" w:rsidP="00804D67">
            <w:pPr>
              <w:pStyle w:val="tabteksts"/>
              <w:jc w:val="center"/>
              <w:rPr>
                <w:szCs w:val="24"/>
                <w:lang w:eastAsia="lv-LV"/>
              </w:rPr>
            </w:pPr>
            <w:r>
              <w:rPr>
                <w:szCs w:val="18"/>
                <w:lang w:eastAsia="lv-LV"/>
              </w:rPr>
              <w:t>2020</w:t>
            </w:r>
            <w:r w:rsidRPr="00540EF8">
              <w:rPr>
                <w:szCs w:val="18"/>
                <w:lang w:eastAsia="lv-LV"/>
              </w:rPr>
              <w:t xml:space="preserve">. </w:t>
            </w:r>
            <w:r>
              <w:rPr>
                <w:szCs w:val="18"/>
                <w:lang w:eastAsia="lv-LV"/>
              </w:rPr>
              <w:t>gada prognoze</w:t>
            </w:r>
          </w:p>
        </w:tc>
        <w:tc>
          <w:tcPr>
            <w:tcW w:w="1132" w:type="dxa"/>
          </w:tcPr>
          <w:p w:rsidR="004E4E60" w:rsidRPr="00540EF8" w:rsidRDefault="004E4E60" w:rsidP="00804D67">
            <w:pPr>
              <w:pStyle w:val="tabteksts"/>
              <w:jc w:val="center"/>
              <w:rPr>
                <w:szCs w:val="24"/>
                <w:lang w:eastAsia="lv-LV"/>
              </w:rPr>
            </w:pPr>
            <w:r>
              <w:rPr>
                <w:szCs w:val="18"/>
                <w:lang w:eastAsia="lv-LV"/>
              </w:rPr>
              <w:t>2021</w:t>
            </w:r>
            <w:r w:rsidRPr="00540EF8">
              <w:rPr>
                <w:szCs w:val="18"/>
                <w:lang w:eastAsia="lv-LV"/>
              </w:rPr>
              <w:t xml:space="preserve">. </w:t>
            </w:r>
            <w:r>
              <w:rPr>
                <w:szCs w:val="18"/>
                <w:lang w:eastAsia="lv-LV"/>
              </w:rPr>
              <w:t>gada prognoze</w:t>
            </w:r>
          </w:p>
        </w:tc>
      </w:tr>
      <w:tr w:rsidR="004E4E60" w:rsidRPr="00540EF8" w:rsidTr="00804D67">
        <w:trPr>
          <w:trHeight w:val="142"/>
          <w:jc w:val="center"/>
        </w:trPr>
        <w:tc>
          <w:tcPr>
            <w:tcW w:w="3378" w:type="dxa"/>
            <w:shd w:val="clear" w:color="auto" w:fill="D9D9D9" w:themeFill="background1" w:themeFillShade="D9"/>
            <w:vAlign w:val="center"/>
          </w:tcPr>
          <w:p w:rsidR="004E4E60" w:rsidRPr="00540EF8" w:rsidRDefault="004E4E60" w:rsidP="00804D67">
            <w:pPr>
              <w:pStyle w:val="tabteksts"/>
              <w:rPr>
                <w:lang w:eastAsia="lv-LV"/>
              </w:rPr>
            </w:pPr>
            <w:r w:rsidRPr="00540EF8">
              <w:rPr>
                <w:lang w:eastAsia="lv-LV"/>
              </w:rPr>
              <w:t>Kopējie izdevumi,</w:t>
            </w:r>
            <w:r w:rsidRPr="00540EF8">
              <w:t xml:space="preserve"> </w:t>
            </w:r>
            <w:proofErr w:type="spellStart"/>
            <w:r w:rsidRPr="00540EF8">
              <w:rPr>
                <w:i/>
                <w:szCs w:val="18"/>
              </w:rPr>
              <w:t>euro</w:t>
            </w:r>
            <w:proofErr w:type="spellEnd"/>
          </w:p>
        </w:tc>
        <w:tc>
          <w:tcPr>
            <w:tcW w:w="1131" w:type="dxa"/>
            <w:shd w:val="clear" w:color="auto" w:fill="D9D9D9" w:themeFill="background1" w:themeFillShade="D9"/>
          </w:tcPr>
          <w:p w:rsidR="004E4E60" w:rsidRPr="00540EF8" w:rsidRDefault="004E4E60" w:rsidP="00804D67">
            <w:pPr>
              <w:pStyle w:val="tabteksts"/>
              <w:jc w:val="center"/>
            </w:pPr>
            <w:r w:rsidRPr="00540EF8">
              <w:t>-</w:t>
            </w:r>
          </w:p>
        </w:tc>
        <w:tc>
          <w:tcPr>
            <w:tcW w:w="1132" w:type="dxa"/>
            <w:shd w:val="clear" w:color="auto" w:fill="D9D9D9" w:themeFill="background1" w:themeFillShade="D9"/>
          </w:tcPr>
          <w:p w:rsidR="004E4E60" w:rsidRPr="00540EF8" w:rsidRDefault="004E4E60" w:rsidP="00804D67">
            <w:pPr>
              <w:pStyle w:val="tabteksts"/>
              <w:jc w:val="right"/>
              <w:rPr>
                <w:b/>
              </w:rPr>
            </w:pPr>
            <w:r w:rsidRPr="00540EF8">
              <w:rPr>
                <w:b/>
              </w:rPr>
              <w:t>198 702 674</w:t>
            </w:r>
          </w:p>
        </w:tc>
        <w:tc>
          <w:tcPr>
            <w:tcW w:w="1132" w:type="dxa"/>
            <w:shd w:val="clear" w:color="auto" w:fill="D9D9D9" w:themeFill="background1" w:themeFillShade="D9"/>
          </w:tcPr>
          <w:p w:rsidR="004E4E60" w:rsidRPr="00540EF8" w:rsidRDefault="004E4E60" w:rsidP="00804D67">
            <w:pPr>
              <w:pStyle w:val="tabteksts"/>
              <w:jc w:val="right"/>
              <w:rPr>
                <w:b/>
              </w:rPr>
            </w:pPr>
            <w:r>
              <w:rPr>
                <w:b/>
              </w:rPr>
              <w:t>0</w:t>
            </w:r>
          </w:p>
        </w:tc>
        <w:tc>
          <w:tcPr>
            <w:tcW w:w="1132" w:type="dxa"/>
            <w:shd w:val="clear" w:color="auto" w:fill="D9D9D9" w:themeFill="background1" w:themeFillShade="D9"/>
          </w:tcPr>
          <w:p w:rsidR="004E4E60" w:rsidRPr="00540EF8" w:rsidRDefault="004E4E60" w:rsidP="00804D67">
            <w:pPr>
              <w:pStyle w:val="tabteksts"/>
              <w:jc w:val="right"/>
              <w:rPr>
                <w:b/>
              </w:rPr>
            </w:pPr>
            <w:r w:rsidRPr="0092567E">
              <w:rPr>
                <w:b/>
              </w:rPr>
              <w:t>144</w:t>
            </w:r>
            <w:r>
              <w:rPr>
                <w:b/>
              </w:rPr>
              <w:t xml:space="preserve"> </w:t>
            </w:r>
            <w:r w:rsidRPr="0092567E">
              <w:rPr>
                <w:b/>
              </w:rPr>
              <w:t>621</w:t>
            </w:r>
            <w:r>
              <w:rPr>
                <w:b/>
              </w:rPr>
              <w:t xml:space="preserve"> </w:t>
            </w:r>
            <w:r w:rsidRPr="0092567E">
              <w:rPr>
                <w:b/>
              </w:rPr>
              <w:t>597</w:t>
            </w:r>
          </w:p>
        </w:tc>
        <w:tc>
          <w:tcPr>
            <w:tcW w:w="1132" w:type="dxa"/>
            <w:shd w:val="clear" w:color="auto" w:fill="D9D9D9" w:themeFill="background1" w:themeFillShade="D9"/>
          </w:tcPr>
          <w:p w:rsidR="004E4E60" w:rsidRPr="00540EF8" w:rsidRDefault="004E4E60" w:rsidP="00804D67">
            <w:pPr>
              <w:pStyle w:val="tabteksts"/>
              <w:jc w:val="right"/>
              <w:rPr>
                <w:b/>
              </w:rPr>
            </w:pPr>
            <w:r w:rsidRPr="0092567E">
              <w:rPr>
                <w:b/>
              </w:rPr>
              <w:t>150</w:t>
            </w:r>
            <w:r>
              <w:rPr>
                <w:b/>
              </w:rPr>
              <w:t xml:space="preserve"> </w:t>
            </w:r>
            <w:r w:rsidRPr="0092567E">
              <w:rPr>
                <w:b/>
              </w:rPr>
              <w:t>343</w:t>
            </w:r>
            <w:r>
              <w:rPr>
                <w:b/>
              </w:rPr>
              <w:t xml:space="preserve"> </w:t>
            </w:r>
            <w:r w:rsidRPr="0092567E">
              <w:rPr>
                <w:b/>
              </w:rPr>
              <w:t>597</w:t>
            </w:r>
          </w:p>
        </w:tc>
      </w:tr>
      <w:tr w:rsidR="004E4E60" w:rsidRPr="00540EF8" w:rsidTr="00804D67">
        <w:trPr>
          <w:trHeight w:val="283"/>
          <w:jc w:val="center"/>
        </w:trPr>
        <w:tc>
          <w:tcPr>
            <w:tcW w:w="3378" w:type="dxa"/>
            <w:vAlign w:val="center"/>
          </w:tcPr>
          <w:p w:rsidR="004E4E60" w:rsidRPr="00540EF8" w:rsidRDefault="004E4E60" w:rsidP="00804D67">
            <w:pPr>
              <w:pStyle w:val="tabteksts"/>
              <w:rPr>
                <w:szCs w:val="18"/>
                <w:lang w:eastAsia="lv-LV"/>
              </w:rPr>
            </w:pPr>
            <w:r w:rsidRPr="00540EF8">
              <w:rPr>
                <w:szCs w:val="18"/>
                <w:lang w:eastAsia="lv-LV"/>
              </w:rPr>
              <w:t xml:space="preserve">Kopējo izdevumu izmaiņas, </w:t>
            </w:r>
            <w:proofErr w:type="spellStart"/>
            <w:r w:rsidRPr="00540EF8">
              <w:rPr>
                <w:i/>
                <w:szCs w:val="18"/>
                <w:lang w:eastAsia="lv-LV"/>
              </w:rPr>
              <w:t>euro</w:t>
            </w:r>
            <w:proofErr w:type="spellEnd"/>
            <w:r w:rsidRPr="00540EF8">
              <w:rPr>
                <w:szCs w:val="18"/>
                <w:lang w:eastAsia="lv-LV"/>
              </w:rPr>
              <w:t xml:space="preserve">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ind w:left="-89"/>
              <w:jc w:val="right"/>
            </w:pPr>
            <w:r>
              <w:t>-198 702 674</w:t>
            </w:r>
          </w:p>
        </w:tc>
        <w:tc>
          <w:tcPr>
            <w:tcW w:w="1132" w:type="dxa"/>
          </w:tcPr>
          <w:p w:rsidR="004E4E60" w:rsidRPr="00334AE0" w:rsidRDefault="004E4E60" w:rsidP="00804D67">
            <w:pPr>
              <w:pStyle w:val="tabteksts"/>
              <w:jc w:val="center"/>
              <w:rPr>
                <w:highlight w:val="yellow"/>
              </w:rPr>
            </w:pPr>
            <w:r w:rsidRPr="00BA0A8C">
              <w:t>144 621 597</w:t>
            </w:r>
          </w:p>
        </w:tc>
        <w:tc>
          <w:tcPr>
            <w:tcW w:w="1132" w:type="dxa"/>
          </w:tcPr>
          <w:p w:rsidR="004E4E60" w:rsidRPr="00540EF8" w:rsidRDefault="004E4E60" w:rsidP="00804D67">
            <w:pPr>
              <w:pStyle w:val="tabteksts"/>
              <w:jc w:val="right"/>
            </w:pPr>
            <w:r>
              <w:t>5 722 000</w:t>
            </w:r>
          </w:p>
        </w:tc>
      </w:tr>
      <w:tr w:rsidR="004E4E60" w:rsidRPr="00540EF8" w:rsidTr="00804D67">
        <w:trPr>
          <w:trHeight w:val="283"/>
          <w:jc w:val="center"/>
        </w:trPr>
        <w:tc>
          <w:tcPr>
            <w:tcW w:w="3378" w:type="dxa"/>
            <w:vAlign w:val="center"/>
          </w:tcPr>
          <w:p w:rsidR="004E4E60" w:rsidRPr="00540EF8" w:rsidRDefault="004E4E60" w:rsidP="00804D67">
            <w:pPr>
              <w:pStyle w:val="tabteksts"/>
            </w:pPr>
            <w:r w:rsidRPr="00540EF8">
              <w:rPr>
                <w:lang w:eastAsia="lv-LV"/>
              </w:rPr>
              <w:t>Kopējie izdevumi</w:t>
            </w:r>
            <w:r w:rsidRPr="00540EF8">
              <w:t>, %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right"/>
            </w:pPr>
            <w:r>
              <w:t>-100,0</w:t>
            </w:r>
          </w:p>
        </w:tc>
        <w:tc>
          <w:tcPr>
            <w:tcW w:w="1132" w:type="dxa"/>
          </w:tcPr>
          <w:p w:rsidR="004E4E60" w:rsidRPr="00334AE0" w:rsidRDefault="004E4E60" w:rsidP="00804D67">
            <w:pPr>
              <w:pStyle w:val="tabteksts"/>
              <w:jc w:val="center"/>
              <w:rPr>
                <w:highlight w:val="yellow"/>
              </w:rPr>
            </w:pPr>
            <w:r w:rsidRPr="00540EF8">
              <w:rPr>
                <w:b/>
                <w:bCs/>
              </w:rPr>
              <w:t>×</w:t>
            </w:r>
          </w:p>
        </w:tc>
        <w:tc>
          <w:tcPr>
            <w:tcW w:w="1132" w:type="dxa"/>
          </w:tcPr>
          <w:p w:rsidR="004E4E60" w:rsidRPr="00540EF8" w:rsidRDefault="004E4E60" w:rsidP="00804D67">
            <w:pPr>
              <w:pStyle w:val="tabteksts"/>
              <w:jc w:val="right"/>
            </w:pPr>
            <w:r>
              <w:t>4,0</w:t>
            </w:r>
          </w:p>
        </w:tc>
      </w:tr>
    </w:tbl>
    <w:p w:rsidR="004E4E60" w:rsidRPr="00540EF8" w:rsidRDefault="004E4E60" w:rsidP="00AF7DA2">
      <w:pPr>
        <w:spacing w:before="240"/>
        <w:ind w:firstLine="720"/>
        <w:jc w:val="center"/>
        <w:rPr>
          <w:b/>
          <w:color w:val="000000" w:themeColor="text1"/>
          <w:lang w:eastAsia="lv-LV"/>
        </w:rPr>
      </w:pPr>
      <w:r w:rsidRPr="00F72822">
        <w:rPr>
          <w:b/>
          <w:color w:val="000000" w:themeColor="text1"/>
          <w:lang w:eastAsia="lv-LV"/>
        </w:rPr>
        <w:t>Izmaiņas izdevumo</w:t>
      </w:r>
      <w:r w:rsidR="003F087A">
        <w:rPr>
          <w:b/>
          <w:color w:val="000000" w:themeColor="text1"/>
          <w:lang w:eastAsia="lv-LV"/>
        </w:rPr>
        <w:t>s, salīdzinot 2019. gada plān</w:t>
      </w:r>
      <w:r w:rsidRPr="00F72822">
        <w:rPr>
          <w:b/>
          <w:color w:val="000000" w:themeColor="text1"/>
          <w:lang w:eastAsia="lv-LV"/>
        </w:rPr>
        <w:t>u ar 2018. gada plānu</w:t>
      </w:r>
    </w:p>
    <w:p w:rsidR="004E4E60" w:rsidRPr="00540EF8" w:rsidRDefault="004E4E60" w:rsidP="004E4E60">
      <w:pPr>
        <w:spacing w:after="0"/>
        <w:ind w:left="7921" w:firstLine="720"/>
        <w:jc w:val="center"/>
        <w:rPr>
          <w:i/>
          <w:sz w:val="18"/>
          <w:szCs w:val="18"/>
        </w:rPr>
      </w:pPr>
      <w:proofErr w:type="spellStart"/>
      <w:r>
        <w:rPr>
          <w:i/>
          <w:sz w:val="18"/>
          <w:szCs w:val="18"/>
        </w:rPr>
        <w:t>E</w:t>
      </w:r>
      <w:r w:rsidRPr="00540EF8">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E4E60" w:rsidRPr="00540EF8" w:rsidTr="00804D67">
        <w:trPr>
          <w:trHeight w:val="142"/>
          <w:tblHeader/>
          <w:jc w:val="center"/>
        </w:trPr>
        <w:tc>
          <w:tcPr>
            <w:tcW w:w="5241" w:type="dxa"/>
            <w:vAlign w:val="center"/>
          </w:tcPr>
          <w:p w:rsidR="004E4E60" w:rsidRPr="00092DDB" w:rsidRDefault="004E4E60" w:rsidP="00804D67">
            <w:pPr>
              <w:pStyle w:val="tabteksts"/>
              <w:jc w:val="center"/>
              <w:rPr>
                <w:szCs w:val="18"/>
              </w:rPr>
            </w:pPr>
            <w:r w:rsidRPr="00092DDB">
              <w:rPr>
                <w:color w:val="000000" w:themeColor="text1"/>
                <w:szCs w:val="18"/>
                <w:lang w:eastAsia="lv-LV"/>
              </w:rPr>
              <w:t>Pasākums</w:t>
            </w:r>
          </w:p>
        </w:tc>
        <w:tc>
          <w:tcPr>
            <w:tcW w:w="1277" w:type="dxa"/>
            <w:vAlign w:val="center"/>
          </w:tcPr>
          <w:p w:rsidR="004E4E60" w:rsidRPr="00092DDB" w:rsidRDefault="004E4E60" w:rsidP="00804D67">
            <w:pPr>
              <w:pStyle w:val="tabteksts"/>
              <w:jc w:val="center"/>
              <w:rPr>
                <w:color w:val="000000" w:themeColor="text1"/>
                <w:szCs w:val="18"/>
                <w:lang w:eastAsia="lv-LV"/>
              </w:rPr>
            </w:pPr>
            <w:r w:rsidRPr="00092DDB">
              <w:rPr>
                <w:color w:val="000000" w:themeColor="text1"/>
                <w:szCs w:val="18"/>
                <w:lang w:eastAsia="lv-LV"/>
              </w:rPr>
              <w:t>Samazinājums</w:t>
            </w:r>
          </w:p>
        </w:tc>
        <w:tc>
          <w:tcPr>
            <w:tcW w:w="1277" w:type="dxa"/>
            <w:vAlign w:val="center"/>
          </w:tcPr>
          <w:p w:rsidR="004E4E60" w:rsidRPr="00092DDB" w:rsidRDefault="004E4E60" w:rsidP="00804D67">
            <w:pPr>
              <w:pStyle w:val="tabteksts"/>
              <w:jc w:val="center"/>
              <w:rPr>
                <w:color w:val="000000" w:themeColor="text1"/>
                <w:szCs w:val="18"/>
                <w:lang w:eastAsia="lv-LV"/>
              </w:rPr>
            </w:pPr>
            <w:r w:rsidRPr="00092DDB">
              <w:rPr>
                <w:color w:val="000000" w:themeColor="text1"/>
                <w:szCs w:val="18"/>
                <w:lang w:eastAsia="lv-LV"/>
              </w:rPr>
              <w:t>Palielinājums</w:t>
            </w:r>
          </w:p>
        </w:tc>
        <w:tc>
          <w:tcPr>
            <w:tcW w:w="1277" w:type="dxa"/>
            <w:vAlign w:val="center"/>
          </w:tcPr>
          <w:p w:rsidR="004E4E60" w:rsidRPr="00092DDB" w:rsidRDefault="004E4E60" w:rsidP="00804D67">
            <w:pPr>
              <w:pStyle w:val="tabteksts"/>
              <w:jc w:val="center"/>
              <w:rPr>
                <w:color w:val="000000" w:themeColor="text1"/>
                <w:szCs w:val="18"/>
                <w:lang w:eastAsia="lv-LV"/>
              </w:rPr>
            </w:pPr>
            <w:r w:rsidRPr="00092DDB">
              <w:rPr>
                <w:color w:val="000000" w:themeColor="text1"/>
                <w:szCs w:val="18"/>
                <w:lang w:eastAsia="lv-LV"/>
              </w:rPr>
              <w:t>Izmaiņas</w:t>
            </w:r>
          </w:p>
        </w:tc>
      </w:tr>
      <w:tr w:rsidR="004E4E60" w:rsidRPr="00540EF8" w:rsidTr="00804D67">
        <w:trPr>
          <w:trHeight w:val="142"/>
          <w:jc w:val="center"/>
        </w:trPr>
        <w:tc>
          <w:tcPr>
            <w:tcW w:w="5241" w:type="dxa"/>
            <w:shd w:val="clear" w:color="auto" w:fill="D9D9D9" w:themeFill="background1" w:themeFillShade="D9"/>
          </w:tcPr>
          <w:p w:rsidR="004E4E60" w:rsidRPr="00092DDB" w:rsidRDefault="004E4E60" w:rsidP="00804D67">
            <w:pPr>
              <w:pStyle w:val="tabteksts"/>
              <w:rPr>
                <w:szCs w:val="18"/>
              </w:rPr>
            </w:pPr>
            <w:r w:rsidRPr="00092DDB">
              <w:rPr>
                <w:b/>
                <w:bCs/>
                <w:szCs w:val="18"/>
                <w:lang w:eastAsia="lv-LV"/>
              </w:rPr>
              <w:t>Izdevumi - kopā</w:t>
            </w:r>
          </w:p>
        </w:tc>
        <w:tc>
          <w:tcPr>
            <w:tcW w:w="1277" w:type="dxa"/>
            <w:shd w:val="clear" w:color="auto" w:fill="D9D9D9" w:themeFill="background1" w:themeFillShade="D9"/>
          </w:tcPr>
          <w:p w:rsidR="004E4E60" w:rsidRPr="00F72822" w:rsidRDefault="004E4E60" w:rsidP="00804D67">
            <w:pPr>
              <w:pStyle w:val="tabteksts"/>
              <w:jc w:val="right"/>
              <w:rPr>
                <w:b/>
                <w:szCs w:val="18"/>
              </w:rPr>
            </w:pPr>
            <w:r w:rsidRPr="00F72822">
              <w:rPr>
                <w:b/>
                <w:szCs w:val="18"/>
              </w:rPr>
              <w:t>255 389 230</w:t>
            </w:r>
          </w:p>
        </w:tc>
        <w:tc>
          <w:tcPr>
            <w:tcW w:w="1277" w:type="dxa"/>
            <w:shd w:val="clear" w:color="auto" w:fill="D9D9D9" w:themeFill="background1" w:themeFillShade="D9"/>
          </w:tcPr>
          <w:p w:rsidR="004E4E60" w:rsidRPr="00F72822" w:rsidRDefault="004E4E60" w:rsidP="00804D67">
            <w:pPr>
              <w:pStyle w:val="tabteksts"/>
              <w:jc w:val="right"/>
              <w:rPr>
                <w:b/>
                <w:szCs w:val="18"/>
              </w:rPr>
            </w:pPr>
            <w:r w:rsidRPr="00F72822">
              <w:rPr>
                <w:b/>
                <w:szCs w:val="18"/>
              </w:rPr>
              <w:t>56 686 556</w:t>
            </w:r>
          </w:p>
        </w:tc>
        <w:tc>
          <w:tcPr>
            <w:tcW w:w="1277" w:type="dxa"/>
            <w:shd w:val="clear" w:color="auto" w:fill="D9D9D9" w:themeFill="background1" w:themeFillShade="D9"/>
          </w:tcPr>
          <w:p w:rsidR="004E4E60" w:rsidRPr="00F72822" w:rsidRDefault="004E4E60" w:rsidP="00804D67">
            <w:pPr>
              <w:pStyle w:val="tabteksts"/>
              <w:jc w:val="right"/>
              <w:rPr>
                <w:b/>
                <w:szCs w:val="18"/>
              </w:rPr>
            </w:pPr>
            <w:r w:rsidRPr="00F72822">
              <w:rPr>
                <w:b/>
                <w:szCs w:val="18"/>
              </w:rPr>
              <w:t>-198 702 674</w:t>
            </w:r>
          </w:p>
        </w:tc>
      </w:tr>
      <w:tr w:rsidR="004E4E60" w:rsidRPr="00540EF8" w:rsidTr="00804D67">
        <w:trPr>
          <w:trHeight w:val="142"/>
          <w:jc w:val="center"/>
        </w:trPr>
        <w:tc>
          <w:tcPr>
            <w:tcW w:w="5241" w:type="dxa"/>
            <w:shd w:val="clear" w:color="auto" w:fill="F2F2F2" w:themeFill="background1" w:themeFillShade="F2"/>
            <w:vAlign w:val="center"/>
          </w:tcPr>
          <w:p w:rsidR="004E4E60" w:rsidRPr="00092DDB" w:rsidRDefault="004E4E60" w:rsidP="00804D67">
            <w:pPr>
              <w:pStyle w:val="tabteksts"/>
              <w:rPr>
                <w:szCs w:val="18"/>
                <w:u w:val="single"/>
                <w:lang w:eastAsia="lv-LV"/>
              </w:rPr>
            </w:pPr>
            <w:r w:rsidRPr="00092DDB">
              <w:rPr>
                <w:szCs w:val="18"/>
                <w:u w:val="single"/>
                <w:lang w:eastAsia="lv-LV"/>
              </w:rPr>
              <w:t>Citas izmaiņas</w:t>
            </w:r>
          </w:p>
        </w:tc>
        <w:tc>
          <w:tcPr>
            <w:tcW w:w="1277" w:type="dxa"/>
            <w:shd w:val="clear" w:color="auto" w:fill="F2F2F2" w:themeFill="background1" w:themeFillShade="F2"/>
          </w:tcPr>
          <w:p w:rsidR="004E4E60" w:rsidRPr="00F72822" w:rsidRDefault="004E4E60" w:rsidP="00804D67">
            <w:pPr>
              <w:pStyle w:val="tabteksts"/>
              <w:jc w:val="center"/>
              <w:rPr>
                <w:szCs w:val="18"/>
                <w:u w:val="single"/>
              </w:rPr>
            </w:pPr>
          </w:p>
        </w:tc>
        <w:tc>
          <w:tcPr>
            <w:tcW w:w="1277" w:type="dxa"/>
            <w:shd w:val="clear" w:color="auto" w:fill="F2F2F2" w:themeFill="background1" w:themeFillShade="F2"/>
          </w:tcPr>
          <w:p w:rsidR="004E4E60" w:rsidRPr="00F72822" w:rsidRDefault="004E4E60" w:rsidP="00804D67">
            <w:pPr>
              <w:pStyle w:val="tabteksts"/>
              <w:jc w:val="center"/>
              <w:rPr>
                <w:szCs w:val="18"/>
                <w:u w:val="single"/>
              </w:rPr>
            </w:pPr>
          </w:p>
        </w:tc>
        <w:tc>
          <w:tcPr>
            <w:tcW w:w="1277" w:type="dxa"/>
            <w:shd w:val="clear" w:color="auto" w:fill="F2F2F2" w:themeFill="background1" w:themeFillShade="F2"/>
          </w:tcPr>
          <w:p w:rsidR="004E4E60" w:rsidRPr="00F72822" w:rsidRDefault="004E4E60" w:rsidP="00804D67">
            <w:pPr>
              <w:pStyle w:val="tabteksts"/>
              <w:jc w:val="right"/>
              <w:rPr>
                <w:szCs w:val="18"/>
                <w:u w:val="single"/>
              </w:rPr>
            </w:pP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Pr>
                <w:i/>
                <w:szCs w:val="18"/>
                <w:lang w:eastAsia="lv-LV"/>
              </w:rPr>
              <w:t>Koriģēts finansējums</w:t>
            </w:r>
            <w:r w:rsidRPr="00EC1487">
              <w:rPr>
                <w:i/>
                <w:szCs w:val="18"/>
                <w:lang w:eastAsia="lv-LV"/>
              </w:rPr>
              <w:t xml:space="preserve"> atbilstoši valsts pamatbudžetā plānotajiem ieņēmumiem no VSAOI sadales veselības aprūpes finansēšanai</w:t>
            </w:r>
          </w:p>
        </w:tc>
        <w:tc>
          <w:tcPr>
            <w:tcW w:w="1277" w:type="dxa"/>
          </w:tcPr>
          <w:p w:rsidR="004E4E60" w:rsidRPr="00F72822" w:rsidRDefault="004E4E60" w:rsidP="00804D67">
            <w:pPr>
              <w:spacing w:after="0"/>
              <w:ind w:firstLine="0"/>
              <w:jc w:val="right"/>
              <w:rPr>
                <w:rFonts w:ascii="TimesNewRoman" w:hAnsi="TimesNewRoman" w:cs="Arial"/>
                <w:sz w:val="20"/>
              </w:rPr>
            </w:pPr>
            <w:r w:rsidRPr="00F72822">
              <w:rPr>
                <w:rFonts w:ascii="TimesNewRoman" w:hAnsi="TimesNewRoman" w:cs="Arial"/>
                <w:sz w:val="20"/>
              </w:rPr>
              <w:t xml:space="preserve"> 3 423 230</w:t>
            </w:r>
          </w:p>
        </w:tc>
        <w:tc>
          <w:tcPr>
            <w:tcW w:w="1277" w:type="dxa"/>
          </w:tcPr>
          <w:p w:rsidR="004E4E60" w:rsidRPr="007E1275" w:rsidRDefault="004E4E60" w:rsidP="00804D67">
            <w:pPr>
              <w:spacing w:after="0"/>
              <w:ind w:firstLine="0"/>
              <w:jc w:val="right"/>
              <w:rPr>
                <w:rFonts w:ascii="TimesNewRoman" w:hAnsi="TimesNewRoman" w:cs="Arial"/>
                <w:bCs/>
                <w:sz w:val="18"/>
                <w:szCs w:val="18"/>
              </w:rPr>
            </w:pPr>
            <w:r w:rsidRPr="007E1275">
              <w:rPr>
                <w:rFonts w:ascii="TimesNewRoman" w:hAnsi="TimesNewRoman" w:cs="Arial"/>
                <w:bCs/>
                <w:sz w:val="18"/>
                <w:szCs w:val="18"/>
              </w:rPr>
              <w:t xml:space="preserve">   15 881 556</w:t>
            </w:r>
          </w:p>
        </w:tc>
        <w:tc>
          <w:tcPr>
            <w:tcW w:w="1277" w:type="dxa"/>
          </w:tcPr>
          <w:p w:rsidR="004E4E60" w:rsidRPr="00F72822" w:rsidRDefault="004E4E60" w:rsidP="00804D67">
            <w:pPr>
              <w:pStyle w:val="tabteksts"/>
              <w:jc w:val="right"/>
              <w:rPr>
                <w:szCs w:val="18"/>
              </w:rPr>
            </w:pPr>
            <w:r>
              <w:rPr>
                <w:szCs w:val="18"/>
              </w:rPr>
              <w:t>12 458 326</w:t>
            </w:r>
          </w:p>
        </w:tc>
      </w:tr>
      <w:tr w:rsidR="004E4E60" w:rsidRPr="00540EF8" w:rsidTr="00804D67">
        <w:trPr>
          <w:trHeight w:val="142"/>
          <w:jc w:val="center"/>
        </w:trPr>
        <w:tc>
          <w:tcPr>
            <w:tcW w:w="5241" w:type="dxa"/>
          </w:tcPr>
          <w:p w:rsidR="004E4E60" w:rsidRDefault="004E4E60" w:rsidP="00804D67">
            <w:pPr>
              <w:pStyle w:val="tabteksts"/>
              <w:rPr>
                <w:i/>
                <w:szCs w:val="18"/>
                <w:lang w:eastAsia="lv-LV"/>
              </w:rPr>
            </w:pPr>
            <w:r w:rsidRPr="00F72822">
              <w:rPr>
                <w:i/>
                <w:szCs w:val="18"/>
                <w:lang w:eastAsia="lv-LV"/>
              </w:rPr>
              <w:t>Papildu finansējums veselības aprūpes sistēmas reformas ieviešanai atbilstoši Eiropas komisijas pieļautajai deficīta atkāpei (22.08.2017. MK sēdes prot. Nr.40, 43.§ 14.2.punkts)</w:t>
            </w:r>
          </w:p>
        </w:tc>
        <w:tc>
          <w:tcPr>
            <w:tcW w:w="1277" w:type="dxa"/>
          </w:tcPr>
          <w:p w:rsidR="004E4E60" w:rsidRPr="00407C62" w:rsidRDefault="004E4E60" w:rsidP="00804D67">
            <w:pPr>
              <w:pStyle w:val="tabteksts"/>
              <w:jc w:val="center"/>
              <w:rPr>
                <w:szCs w:val="18"/>
              </w:rPr>
            </w:pPr>
            <w:r>
              <w:rPr>
                <w:szCs w:val="18"/>
              </w:rPr>
              <w:t>-</w:t>
            </w:r>
          </w:p>
        </w:tc>
        <w:tc>
          <w:tcPr>
            <w:tcW w:w="1277" w:type="dxa"/>
          </w:tcPr>
          <w:p w:rsidR="004E4E60" w:rsidRPr="007E1275" w:rsidRDefault="004E4E60" w:rsidP="00804D67">
            <w:pPr>
              <w:pStyle w:val="tabteksts"/>
              <w:jc w:val="right"/>
              <w:rPr>
                <w:szCs w:val="18"/>
              </w:rPr>
            </w:pPr>
            <w:r w:rsidRPr="007E1275">
              <w:rPr>
                <w:szCs w:val="18"/>
              </w:rPr>
              <w:t>36 500 000</w:t>
            </w:r>
          </w:p>
        </w:tc>
        <w:tc>
          <w:tcPr>
            <w:tcW w:w="1277" w:type="dxa"/>
          </w:tcPr>
          <w:p w:rsidR="004E4E60" w:rsidRPr="00407C62" w:rsidRDefault="004E4E60" w:rsidP="00804D67">
            <w:pPr>
              <w:pStyle w:val="tabteksts"/>
              <w:jc w:val="right"/>
              <w:rPr>
                <w:szCs w:val="18"/>
              </w:rPr>
            </w:pPr>
            <w:r>
              <w:rPr>
                <w:szCs w:val="18"/>
              </w:rPr>
              <w:t>36 500 000</w:t>
            </w: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Pr>
                <w:i/>
                <w:szCs w:val="18"/>
                <w:lang w:eastAsia="lv-LV"/>
              </w:rPr>
              <w:t>Pārdalīts finansējums Veselības ministrijai, lai turpinātu</w:t>
            </w:r>
            <w:r w:rsidRPr="005A3079">
              <w:rPr>
                <w:i/>
                <w:szCs w:val="18"/>
                <w:lang w:eastAsia="lv-LV"/>
              </w:rPr>
              <w:t xml:space="preserve"> 2018.gadā uzsākto pasākumu īstenošanu veselības aprūpes pakalpojumu pieejamības uzlabošanai</w:t>
            </w:r>
            <w:r>
              <w:rPr>
                <w:i/>
                <w:szCs w:val="18"/>
                <w:lang w:eastAsia="lv-LV"/>
              </w:rPr>
              <w:t xml:space="preserve"> (</w:t>
            </w:r>
            <w:r w:rsidRPr="005A3079">
              <w:rPr>
                <w:i/>
                <w:szCs w:val="18"/>
                <w:lang w:eastAsia="lv-LV"/>
              </w:rPr>
              <w:t xml:space="preserve">MK 08.01.2019. prot. Nr.1 33.§ </w:t>
            </w:r>
            <w:r>
              <w:rPr>
                <w:i/>
                <w:szCs w:val="18"/>
                <w:lang w:eastAsia="lv-LV"/>
              </w:rPr>
              <w:t>3. un 4.punkts)</w:t>
            </w:r>
          </w:p>
        </w:tc>
        <w:tc>
          <w:tcPr>
            <w:tcW w:w="1277" w:type="dxa"/>
          </w:tcPr>
          <w:p w:rsidR="004E4E60" w:rsidRPr="00407C62" w:rsidRDefault="004E4E60" w:rsidP="00804D67">
            <w:pPr>
              <w:pStyle w:val="tabteksts"/>
              <w:jc w:val="right"/>
              <w:rPr>
                <w:szCs w:val="18"/>
              </w:rPr>
            </w:pPr>
            <w:r w:rsidRPr="00407C62">
              <w:rPr>
                <w:szCs w:val="18"/>
              </w:rPr>
              <w:t>154 205 000</w:t>
            </w:r>
          </w:p>
        </w:tc>
        <w:tc>
          <w:tcPr>
            <w:tcW w:w="1277" w:type="dxa"/>
          </w:tcPr>
          <w:p w:rsidR="004E4E60" w:rsidRPr="00407C62" w:rsidRDefault="004E4E60" w:rsidP="00804D67">
            <w:pPr>
              <w:pStyle w:val="tabteksts"/>
              <w:jc w:val="center"/>
              <w:rPr>
                <w:szCs w:val="18"/>
              </w:rPr>
            </w:pPr>
            <w:r w:rsidRPr="00407C62">
              <w:rPr>
                <w:szCs w:val="18"/>
              </w:rPr>
              <w:t>-</w:t>
            </w:r>
          </w:p>
        </w:tc>
        <w:tc>
          <w:tcPr>
            <w:tcW w:w="1277" w:type="dxa"/>
          </w:tcPr>
          <w:p w:rsidR="004E4E60" w:rsidRPr="00407C62" w:rsidRDefault="004E4E60" w:rsidP="00804D67">
            <w:pPr>
              <w:pStyle w:val="tabteksts"/>
              <w:jc w:val="right"/>
              <w:rPr>
                <w:szCs w:val="18"/>
              </w:rPr>
            </w:pPr>
            <w:r w:rsidRPr="00407C62">
              <w:rPr>
                <w:szCs w:val="18"/>
              </w:rPr>
              <w:t>-154 205 000</w:t>
            </w: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Pr>
                <w:i/>
                <w:szCs w:val="18"/>
                <w:lang w:eastAsia="lv-LV"/>
              </w:rPr>
              <w:t xml:space="preserve">Pārdalīts finansējums Veselības ministrijai, </w:t>
            </w:r>
            <w:r w:rsidRPr="00B11A22">
              <w:rPr>
                <w:i/>
                <w:szCs w:val="18"/>
                <w:lang w:eastAsia="lv-LV"/>
              </w:rPr>
              <w:t xml:space="preserve">pagarināta normāla darba laika atcelšanas nodrošināšanai ārstniecības personām un neatliekamās medicīniskās palīdzības brigāžu personālam, kas nav ārstniecības personas, pamatojoties uz Satversmes tiesas </w:t>
            </w:r>
            <w:r>
              <w:rPr>
                <w:i/>
                <w:szCs w:val="18"/>
                <w:lang w:eastAsia="lv-LV"/>
              </w:rPr>
              <w:t>15.05.2018.</w:t>
            </w:r>
            <w:r w:rsidRPr="00B11A22">
              <w:rPr>
                <w:i/>
                <w:szCs w:val="18"/>
                <w:lang w:eastAsia="lv-LV"/>
              </w:rPr>
              <w:t xml:space="preserve"> spriedumu lietā Nr. 2017-15-01 “Par Ārstniecības likuma 53.</w:t>
            </w:r>
            <w:r w:rsidRPr="00407C62">
              <w:rPr>
                <w:i/>
                <w:szCs w:val="18"/>
                <w:vertAlign w:val="superscript"/>
                <w:lang w:eastAsia="lv-LV"/>
              </w:rPr>
              <w:t>1</w:t>
            </w:r>
            <w:r w:rsidRPr="00B11A22">
              <w:rPr>
                <w:i/>
                <w:szCs w:val="18"/>
                <w:lang w:eastAsia="lv-LV"/>
              </w:rPr>
              <w:t xml:space="preserve"> panta septītās daļas atbilstību Latvijas Republikas Satversmes 91.panta pirmajam teikumam un 107.pantam”</w:t>
            </w:r>
          </w:p>
        </w:tc>
        <w:tc>
          <w:tcPr>
            <w:tcW w:w="1277" w:type="dxa"/>
          </w:tcPr>
          <w:p w:rsidR="004E4E60" w:rsidRPr="00407C62" w:rsidRDefault="004E4E60" w:rsidP="00804D67">
            <w:pPr>
              <w:pStyle w:val="tabteksts"/>
              <w:jc w:val="right"/>
              <w:rPr>
                <w:szCs w:val="18"/>
              </w:rPr>
            </w:pPr>
            <w:r w:rsidRPr="00407C62">
              <w:rPr>
                <w:szCs w:val="18"/>
              </w:rPr>
              <w:t>11 297 326</w:t>
            </w:r>
          </w:p>
        </w:tc>
        <w:tc>
          <w:tcPr>
            <w:tcW w:w="1277" w:type="dxa"/>
          </w:tcPr>
          <w:p w:rsidR="004E4E60" w:rsidRPr="00407C62" w:rsidRDefault="004E4E60" w:rsidP="00804D67">
            <w:pPr>
              <w:pStyle w:val="tabteksts"/>
              <w:jc w:val="center"/>
              <w:rPr>
                <w:szCs w:val="18"/>
              </w:rPr>
            </w:pPr>
            <w:r>
              <w:rPr>
                <w:szCs w:val="18"/>
              </w:rPr>
              <w:t>-</w:t>
            </w:r>
          </w:p>
        </w:tc>
        <w:tc>
          <w:tcPr>
            <w:tcW w:w="1277" w:type="dxa"/>
          </w:tcPr>
          <w:p w:rsidR="004E4E60" w:rsidRPr="00407C62" w:rsidRDefault="002B5093" w:rsidP="00804D67">
            <w:pPr>
              <w:pStyle w:val="tabteksts"/>
              <w:jc w:val="right"/>
              <w:rPr>
                <w:szCs w:val="18"/>
              </w:rPr>
            </w:pPr>
            <w:r>
              <w:rPr>
                <w:szCs w:val="18"/>
              </w:rPr>
              <w:t>-</w:t>
            </w:r>
            <w:r w:rsidR="004E4E60">
              <w:rPr>
                <w:szCs w:val="18"/>
              </w:rPr>
              <w:t>11 297 326</w:t>
            </w: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sidRPr="00B43EF1">
              <w:rPr>
                <w:i/>
                <w:szCs w:val="18"/>
                <w:lang w:eastAsia="lv-LV"/>
              </w:rPr>
              <w:t xml:space="preserve">Pārdalīts finansējums Veselības ministrijai, </w:t>
            </w:r>
            <w:proofErr w:type="spellStart"/>
            <w:r w:rsidRPr="00B43EF1">
              <w:rPr>
                <w:i/>
                <w:szCs w:val="18"/>
                <w:lang w:eastAsia="lv-LV"/>
              </w:rPr>
              <w:t>Ieksļietu</w:t>
            </w:r>
            <w:proofErr w:type="spellEnd"/>
            <w:r w:rsidRPr="00B43EF1">
              <w:rPr>
                <w:i/>
                <w:szCs w:val="18"/>
                <w:lang w:eastAsia="lv-LV"/>
              </w:rPr>
              <w:t xml:space="preserve"> ministrijai, Labklājības ministrijai, Tieslietu ministrijai, Izglītības un zinātnes ministrijai un Mērķdotācijām pašvaldībām, lai nodrošinātu veselības aprūpes darbinieku darba samaksas paaugstināšanu (MK 05.12.17. prot. Nr.60 30.§ 4.punkts)</w:t>
            </w:r>
          </w:p>
        </w:tc>
        <w:tc>
          <w:tcPr>
            <w:tcW w:w="1277" w:type="dxa"/>
            <w:shd w:val="clear" w:color="auto" w:fill="auto"/>
          </w:tcPr>
          <w:p w:rsidR="004E4E60" w:rsidRPr="00B43EF1" w:rsidRDefault="004E4E60" w:rsidP="00804D67">
            <w:pPr>
              <w:pStyle w:val="tabteksts"/>
              <w:jc w:val="right"/>
              <w:rPr>
                <w:szCs w:val="18"/>
              </w:rPr>
            </w:pPr>
            <w:r w:rsidRPr="00B43EF1">
              <w:rPr>
                <w:szCs w:val="18"/>
              </w:rPr>
              <w:t>85 302 674</w:t>
            </w:r>
          </w:p>
        </w:tc>
        <w:tc>
          <w:tcPr>
            <w:tcW w:w="1277" w:type="dxa"/>
            <w:shd w:val="clear" w:color="auto" w:fill="auto"/>
          </w:tcPr>
          <w:p w:rsidR="004E4E60" w:rsidRPr="00B43EF1" w:rsidRDefault="004E4E60" w:rsidP="00804D67">
            <w:pPr>
              <w:pStyle w:val="tabteksts"/>
              <w:jc w:val="center"/>
              <w:rPr>
                <w:szCs w:val="18"/>
              </w:rPr>
            </w:pPr>
            <w:r>
              <w:rPr>
                <w:szCs w:val="18"/>
              </w:rPr>
              <w:t>-</w:t>
            </w:r>
          </w:p>
        </w:tc>
        <w:tc>
          <w:tcPr>
            <w:tcW w:w="1277" w:type="dxa"/>
            <w:shd w:val="clear" w:color="auto" w:fill="auto"/>
          </w:tcPr>
          <w:p w:rsidR="004E4E60" w:rsidRPr="00B43EF1" w:rsidRDefault="004E4E60" w:rsidP="00804D67">
            <w:pPr>
              <w:pStyle w:val="tabteksts"/>
              <w:jc w:val="right"/>
              <w:rPr>
                <w:szCs w:val="18"/>
              </w:rPr>
            </w:pPr>
            <w:r>
              <w:rPr>
                <w:szCs w:val="18"/>
              </w:rPr>
              <w:t>-85 302 674</w:t>
            </w: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Pr>
                <w:i/>
                <w:szCs w:val="18"/>
                <w:lang w:eastAsia="lv-LV"/>
              </w:rPr>
              <w:lastRenderedPageBreak/>
              <w:t xml:space="preserve">Palielināts finansējums </w:t>
            </w:r>
            <w:r w:rsidRPr="00F633CE">
              <w:rPr>
                <w:i/>
                <w:szCs w:val="18"/>
                <w:lang w:eastAsia="lv-LV"/>
              </w:rPr>
              <w:t>Veselības reformas atkāpei (MK 12.04.2016. prot.Nr.17 52.§, MK 22.08.2017. prot.Nr.40 43.§) atbilstoši 2018.gada septembra IKP prognozei</w:t>
            </w:r>
          </w:p>
        </w:tc>
        <w:tc>
          <w:tcPr>
            <w:tcW w:w="1277" w:type="dxa"/>
            <w:shd w:val="clear" w:color="auto" w:fill="auto"/>
          </w:tcPr>
          <w:p w:rsidR="004E4E60" w:rsidRPr="00B43EF1" w:rsidRDefault="004E4E60" w:rsidP="00804D67">
            <w:pPr>
              <w:pStyle w:val="tabteksts"/>
              <w:jc w:val="center"/>
              <w:rPr>
                <w:szCs w:val="18"/>
              </w:rPr>
            </w:pPr>
            <w:r>
              <w:rPr>
                <w:szCs w:val="18"/>
              </w:rPr>
              <w:t>-</w:t>
            </w:r>
          </w:p>
        </w:tc>
        <w:tc>
          <w:tcPr>
            <w:tcW w:w="1277" w:type="dxa"/>
            <w:shd w:val="clear" w:color="auto" w:fill="auto"/>
          </w:tcPr>
          <w:p w:rsidR="004E4E60" w:rsidRPr="00B43EF1" w:rsidRDefault="004E4E60" w:rsidP="00804D67">
            <w:pPr>
              <w:pStyle w:val="tabteksts"/>
              <w:jc w:val="right"/>
              <w:rPr>
                <w:szCs w:val="18"/>
              </w:rPr>
            </w:pPr>
            <w:r>
              <w:rPr>
                <w:szCs w:val="18"/>
              </w:rPr>
              <w:t>4 305 000</w:t>
            </w:r>
          </w:p>
        </w:tc>
        <w:tc>
          <w:tcPr>
            <w:tcW w:w="1277" w:type="dxa"/>
            <w:shd w:val="clear" w:color="auto" w:fill="auto"/>
          </w:tcPr>
          <w:p w:rsidR="004E4E60" w:rsidRPr="00B43EF1" w:rsidRDefault="004E4E60" w:rsidP="00804D67">
            <w:pPr>
              <w:pStyle w:val="tabteksts"/>
              <w:jc w:val="right"/>
              <w:rPr>
                <w:szCs w:val="18"/>
              </w:rPr>
            </w:pPr>
            <w:r>
              <w:rPr>
                <w:szCs w:val="18"/>
              </w:rPr>
              <w:t>4 305 000</w:t>
            </w:r>
          </w:p>
        </w:tc>
      </w:tr>
      <w:tr w:rsidR="004E4E60" w:rsidRPr="00540EF8" w:rsidTr="00804D67">
        <w:trPr>
          <w:trHeight w:val="142"/>
          <w:jc w:val="center"/>
        </w:trPr>
        <w:tc>
          <w:tcPr>
            <w:tcW w:w="5241" w:type="dxa"/>
          </w:tcPr>
          <w:p w:rsidR="004E4E60" w:rsidRPr="003B4232" w:rsidRDefault="004E4E60" w:rsidP="00804D67">
            <w:pPr>
              <w:pStyle w:val="tabteksts"/>
              <w:rPr>
                <w:i/>
                <w:szCs w:val="18"/>
                <w:highlight w:val="yellow"/>
                <w:lang w:eastAsia="lv-LV"/>
              </w:rPr>
            </w:pPr>
            <w:r w:rsidRPr="007947CC">
              <w:rPr>
                <w:i/>
                <w:szCs w:val="18"/>
                <w:lang w:eastAsia="lv-LV"/>
              </w:rPr>
              <w:t>Pārdalīts finansējums Veselības ministrijai lai nodrošinātu mēnešalgu izlīdzināšanu atbilstoši amatam noteiktajai kvalifikācijas kategorijai NMPD ārstniecības personām un NMP brigādes operatīvā medicīniskās transportlīdzekļa vadītājiem (</w:t>
            </w:r>
            <w:r>
              <w:rPr>
                <w:i/>
                <w:szCs w:val="18"/>
                <w:lang w:eastAsia="lv-LV"/>
              </w:rPr>
              <w:t xml:space="preserve">MK 08.02.2019. </w:t>
            </w:r>
            <w:r w:rsidRPr="007947CC">
              <w:rPr>
                <w:i/>
                <w:szCs w:val="18"/>
                <w:lang w:eastAsia="lv-LV"/>
              </w:rPr>
              <w:t>prot. Nr.6 1.§ 25.punkts)</w:t>
            </w:r>
          </w:p>
        </w:tc>
        <w:tc>
          <w:tcPr>
            <w:tcW w:w="1277" w:type="dxa"/>
            <w:shd w:val="clear" w:color="auto" w:fill="auto"/>
          </w:tcPr>
          <w:p w:rsidR="004E4E60" w:rsidRPr="00B43EF1" w:rsidRDefault="004E4E60" w:rsidP="00804D67">
            <w:pPr>
              <w:pStyle w:val="tabteksts"/>
              <w:jc w:val="right"/>
              <w:rPr>
                <w:szCs w:val="18"/>
              </w:rPr>
            </w:pPr>
            <w:r>
              <w:rPr>
                <w:szCs w:val="18"/>
              </w:rPr>
              <w:t>1 161 000</w:t>
            </w:r>
          </w:p>
        </w:tc>
        <w:tc>
          <w:tcPr>
            <w:tcW w:w="1277" w:type="dxa"/>
            <w:shd w:val="clear" w:color="auto" w:fill="auto"/>
          </w:tcPr>
          <w:p w:rsidR="004E4E60" w:rsidRPr="00B43EF1" w:rsidRDefault="004E4E60" w:rsidP="00804D67">
            <w:pPr>
              <w:pStyle w:val="tabteksts"/>
              <w:jc w:val="center"/>
              <w:rPr>
                <w:szCs w:val="18"/>
              </w:rPr>
            </w:pPr>
            <w:r>
              <w:rPr>
                <w:szCs w:val="18"/>
              </w:rPr>
              <w:t>-</w:t>
            </w:r>
          </w:p>
        </w:tc>
        <w:tc>
          <w:tcPr>
            <w:tcW w:w="1277" w:type="dxa"/>
            <w:shd w:val="clear" w:color="auto" w:fill="auto"/>
          </w:tcPr>
          <w:p w:rsidR="004E4E60" w:rsidRPr="00B43EF1" w:rsidRDefault="004E4E60" w:rsidP="00804D67">
            <w:pPr>
              <w:pStyle w:val="tabteksts"/>
              <w:jc w:val="right"/>
              <w:rPr>
                <w:szCs w:val="18"/>
              </w:rPr>
            </w:pPr>
            <w:r>
              <w:rPr>
                <w:szCs w:val="18"/>
              </w:rPr>
              <w:t>-1 161 000</w:t>
            </w:r>
          </w:p>
        </w:tc>
      </w:tr>
    </w:tbl>
    <w:p w:rsidR="00313724" w:rsidRPr="007A36C2" w:rsidRDefault="00313724" w:rsidP="007A36C2">
      <w:pPr>
        <w:pStyle w:val="programmas"/>
      </w:pPr>
      <w:r w:rsidRPr="007A36C2">
        <w:t>09.00.00 Valsts nozīmes reformas īstenošanai</w:t>
      </w:r>
    </w:p>
    <w:p w:rsidR="00313724" w:rsidRPr="007A36C2" w:rsidRDefault="00313724" w:rsidP="007A36C2">
      <w:pPr>
        <w:ind w:firstLine="0"/>
        <w:rPr>
          <w:u w:val="single"/>
        </w:rPr>
      </w:pPr>
      <w:r w:rsidRPr="007A36C2">
        <w:rPr>
          <w:u w:val="single"/>
        </w:rPr>
        <w:t>Programmas mērķis:</w:t>
      </w:r>
    </w:p>
    <w:p w:rsidR="00313724" w:rsidRPr="007A36C2" w:rsidRDefault="00313724" w:rsidP="007A36C2">
      <w:pPr>
        <w:rPr>
          <w:lang w:eastAsia="lv-LV"/>
        </w:rPr>
      </w:pPr>
      <w:r w:rsidRPr="007A36C2">
        <w:rPr>
          <w:lang w:eastAsia="lv-LV"/>
        </w:rPr>
        <w:t>Nodrošināt finansējumu valsts nozīmes reformas ieviešanai.</w:t>
      </w:r>
    </w:p>
    <w:p w:rsidR="00313724" w:rsidRPr="007A36C2" w:rsidRDefault="00313724" w:rsidP="007A36C2">
      <w:pPr>
        <w:pStyle w:val="Tabuluvirsraksti"/>
        <w:spacing w:before="240" w:after="240"/>
        <w:rPr>
          <w:b/>
          <w:lang w:eastAsia="lv-LV"/>
        </w:rPr>
      </w:pPr>
      <w:r w:rsidRPr="007A36C2">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3724" w:rsidRPr="007A36C2" w:rsidTr="007333CD">
        <w:trPr>
          <w:trHeight w:val="283"/>
          <w:tblHeader/>
          <w:jc w:val="center"/>
        </w:trPr>
        <w:tc>
          <w:tcPr>
            <w:tcW w:w="3378" w:type="dxa"/>
            <w:vAlign w:val="center"/>
          </w:tcPr>
          <w:p w:rsidR="00313724" w:rsidRPr="007A36C2" w:rsidRDefault="00313724" w:rsidP="007A36C2">
            <w:pPr>
              <w:pStyle w:val="tabteksts"/>
              <w:jc w:val="center"/>
              <w:rPr>
                <w:szCs w:val="24"/>
              </w:rPr>
            </w:pPr>
          </w:p>
        </w:tc>
        <w:tc>
          <w:tcPr>
            <w:tcW w:w="1131" w:type="dxa"/>
          </w:tcPr>
          <w:p w:rsidR="00313724" w:rsidRPr="007A36C2" w:rsidRDefault="00313724" w:rsidP="007A36C2">
            <w:pPr>
              <w:pStyle w:val="tabteksts"/>
              <w:jc w:val="center"/>
              <w:rPr>
                <w:szCs w:val="24"/>
                <w:lang w:eastAsia="lv-LV"/>
              </w:rPr>
            </w:pPr>
            <w:r w:rsidRPr="007A36C2">
              <w:rPr>
                <w:szCs w:val="18"/>
                <w:lang w:eastAsia="lv-LV"/>
              </w:rPr>
              <w:t>2017. gads (izpilde)</w:t>
            </w:r>
          </w:p>
        </w:tc>
        <w:tc>
          <w:tcPr>
            <w:tcW w:w="1132" w:type="dxa"/>
            <w:vAlign w:val="center"/>
          </w:tcPr>
          <w:p w:rsidR="00313724" w:rsidRPr="007A36C2" w:rsidRDefault="00313724" w:rsidP="007A36C2">
            <w:pPr>
              <w:pStyle w:val="tabteksts"/>
              <w:jc w:val="center"/>
              <w:rPr>
                <w:szCs w:val="24"/>
                <w:lang w:eastAsia="lv-LV"/>
              </w:rPr>
            </w:pPr>
            <w:r w:rsidRPr="007A36C2">
              <w:rPr>
                <w:szCs w:val="18"/>
                <w:lang w:eastAsia="lv-LV"/>
              </w:rPr>
              <w:t>2018. gada plāns</w:t>
            </w:r>
          </w:p>
        </w:tc>
        <w:tc>
          <w:tcPr>
            <w:tcW w:w="1132" w:type="dxa"/>
          </w:tcPr>
          <w:p w:rsidR="00313724" w:rsidRPr="007A36C2" w:rsidRDefault="00313724" w:rsidP="007A36C2">
            <w:pPr>
              <w:pStyle w:val="tabteksts"/>
              <w:jc w:val="center"/>
              <w:rPr>
                <w:szCs w:val="24"/>
                <w:lang w:eastAsia="lv-LV"/>
              </w:rPr>
            </w:pPr>
            <w:r w:rsidRPr="007A36C2">
              <w:rPr>
                <w:szCs w:val="18"/>
                <w:lang w:eastAsia="lv-LV"/>
              </w:rPr>
              <w:t>2019. gada plāns</w:t>
            </w:r>
          </w:p>
        </w:tc>
        <w:tc>
          <w:tcPr>
            <w:tcW w:w="1132" w:type="dxa"/>
          </w:tcPr>
          <w:p w:rsidR="00313724" w:rsidRPr="007A36C2" w:rsidRDefault="00313724" w:rsidP="007A36C2">
            <w:pPr>
              <w:pStyle w:val="tabteksts"/>
              <w:jc w:val="center"/>
              <w:rPr>
                <w:szCs w:val="24"/>
                <w:lang w:eastAsia="lv-LV"/>
              </w:rPr>
            </w:pPr>
            <w:r w:rsidRPr="007A36C2">
              <w:rPr>
                <w:szCs w:val="18"/>
                <w:lang w:eastAsia="lv-LV"/>
              </w:rPr>
              <w:t>2020. gada prognoze</w:t>
            </w:r>
          </w:p>
        </w:tc>
        <w:tc>
          <w:tcPr>
            <w:tcW w:w="1132" w:type="dxa"/>
          </w:tcPr>
          <w:p w:rsidR="00313724" w:rsidRPr="007A36C2" w:rsidRDefault="00313724" w:rsidP="007A36C2">
            <w:pPr>
              <w:pStyle w:val="tabteksts"/>
              <w:jc w:val="center"/>
              <w:rPr>
                <w:szCs w:val="24"/>
                <w:lang w:eastAsia="lv-LV"/>
              </w:rPr>
            </w:pPr>
            <w:r w:rsidRPr="007A36C2">
              <w:rPr>
                <w:szCs w:val="18"/>
                <w:lang w:eastAsia="lv-LV"/>
              </w:rPr>
              <w:t>2021. gada prognoze</w:t>
            </w:r>
          </w:p>
        </w:tc>
      </w:tr>
      <w:tr w:rsidR="00313724" w:rsidRPr="007A36C2" w:rsidTr="007333CD">
        <w:trPr>
          <w:trHeight w:val="142"/>
          <w:jc w:val="center"/>
        </w:trPr>
        <w:tc>
          <w:tcPr>
            <w:tcW w:w="3378" w:type="dxa"/>
            <w:shd w:val="clear" w:color="auto" w:fill="D9D9D9" w:themeFill="background1" w:themeFillShade="D9"/>
            <w:vAlign w:val="center"/>
          </w:tcPr>
          <w:p w:rsidR="00313724" w:rsidRPr="007A36C2" w:rsidRDefault="00313724" w:rsidP="007A36C2">
            <w:pPr>
              <w:pStyle w:val="tabteksts"/>
              <w:rPr>
                <w:lang w:eastAsia="lv-LV"/>
              </w:rPr>
            </w:pPr>
            <w:r w:rsidRPr="007A36C2">
              <w:rPr>
                <w:lang w:eastAsia="lv-LV"/>
              </w:rPr>
              <w:t>Kopējie izdevumi,</w:t>
            </w:r>
            <w:r w:rsidRPr="007A36C2">
              <w:t xml:space="preserve"> </w:t>
            </w:r>
            <w:proofErr w:type="spellStart"/>
            <w:r w:rsidRPr="007A36C2">
              <w:rPr>
                <w:i/>
                <w:szCs w:val="18"/>
              </w:rPr>
              <w:t>euro</w:t>
            </w:r>
            <w:proofErr w:type="spellEnd"/>
          </w:p>
        </w:tc>
        <w:tc>
          <w:tcPr>
            <w:tcW w:w="1131" w:type="dxa"/>
            <w:shd w:val="clear" w:color="auto" w:fill="D9D9D9" w:themeFill="background1" w:themeFillShade="D9"/>
          </w:tcPr>
          <w:p w:rsidR="00313724" w:rsidRPr="007A36C2" w:rsidRDefault="00313724" w:rsidP="007A36C2">
            <w:pPr>
              <w:pStyle w:val="tabteksts"/>
              <w:jc w:val="center"/>
            </w:pPr>
            <w:r w:rsidRPr="007A36C2">
              <w:t>-</w:t>
            </w:r>
          </w:p>
        </w:tc>
        <w:tc>
          <w:tcPr>
            <w:tcW w:w="1132" w:type="dxa"/>
            <w:shd w:val="clear" w:color="auto" w:fill="D9D9D9" w:themeFill="background1" w:themeFillShade="D9"/>
          </w:tcPr>
          <w:p w:rsidR="00313724" w:rsidRPr="007A36C2" w:rsidRDefault="009303FA" w:rsidP="007A36C2">
            <w:pPr>
              <w:pStyle w:val="tabteksts"/>
              <w:jc w:val="center"/>
              <w:rPr>
                <w:b/>
              </w:rPr>
            </w:pPr>
            <w:r w:rsidRPr="007A36C2">
              <w:t>-</w:t>
            </w:r>
          </w:p>
        </w:tc>
        <w:tc>
          <w:tcPr>
            <w:tcW w:w="1132" w:type="dxa"/>
            <w:shd w:val="clear" w:color="auto" w:fill="D9D9D9" w:themeFill="background1" w:themeFillShade="D9"/>
          </w:tcPr>
          <w:p w:rsidR="00313724" w:rsidRPr="007A36C2" w:rsidRDefault="00F71895" w:rsidP="007A36C2">
            <w:pPr>
              <w:pStyle w:val="tabteksts"/>
              <w:jc w:val="right"/>
              <w:rPr>
                <w:b/>
              </w:rPr>
            </w:pPr>
            <w:r w:rsidRPr="007A36C2">
              <w:rPr>
                <w:b/>
              </w:rPr>
              <w:t>7 070 000</w:t>
            </w:r>
          </w:p>
        </w:tc>
        <w:tc>
          <w:tcPr>
            <w:tcW w:w="1132" w:type="dxa"/>
            <w:shd w:val="clear" w:color="auto" w:fill="D9D9D9" w:themeFill="background1" w:themeFillShade="D9"/>
          </w:tcPr>
          <w:p w:rsidR="00313724" w:rsidRPr="007A36C2" w:rsidRDefault="009303FA" w:rsidP="007A36C2">
            <w:pPr>
              <w:pStyle w:val="tabteksts"/>
              <w:jc w:val="center"/>
              <w:rPr>
                <w:b/>
              </w:rPr>
            </w:pPr>
            <w:r w:rsidRPr="007A36C2">
              <w:t>-</w:t>
            </w:r>
          </w:p>
        </w:tc>
        <w:tc>
          <w:tcPr>
            <w:tcW w:w="1132" w:type="dxa"/>
            <w:shd w:val="clear" w:color="auto" w:fill="D9D9D9" w:themeFill="background1" w:themeFillShade="D9"/>
          </w:tcPr>
          <w:p w:rsidR="00313724" w:rsidRPr="007A36C2" w:rsidRDefault="009303FA" w:rsidP="007A36C2">
            <w:pPr>
              <w:pStyle w:val="tabteksts"/>
              <w:jc w:val="center"/>
              <w:rPr>
                <w:b/>
              </w:rPr>
            </w:pPr>
            <w:r w:rsidRPr="007A36C2">
              <w:t>-</w:t>
            </w:r>
          </w:p>
        </w:tc>
      </w:tr>
      <w:tr w:rsidR="00313724" w:rsidRPr="007A36C2" w:rsidTr="007333CD">
        <w:trPr>
          <w:trHeight w:val="283"/>
          <w:jc w:val="center"/>
        </w:trPr>
        <w:tc>
          <w:tcPr>
            <w:tcW w:w="3378" w:type="dxa"/>
            <w:vAlign w:val="center"/>
          </w:tcPr>
          <w:p w:rsidR="00313724" w:rsidRPr="007A36C2" w:rsidRDefault="00313724" w:rsidP="007A36C2">
            <w:pPr>
              <w:pStyle w:val="tabteksts"/>
              <w:rPr>
                <w:szCs w:val="18"/>
                <w:lang w:eastAsia="lv-LV"/>
              </w:rPr>
            </w:pPr>
            <w:r w:rsidRPr="007A36C2">
              <w:rPr>
                <w:szCs w:val="18"/>
                <w:lang w:eastAsia="lv-LV"/>
              </w:rPr>
              <w:t xml:space="preserve">Kopējo izdevumu izmaiņas, </w:t>
            </w:r>
            <w:proofErr w:type="spellStart"/>
            <w:r w:rsidRPr="007A36C2">
              <w:rPr>
                <w:i/>
                <w:szCs w:val="18"/>
                <w:lang w:eastAsia="lv-LV"/>
              </w:rPr>
              <w:t>euro</w:t>
            </w:r>
            <w:proofErr w:type="spellEnd"/>
            <w:r w:rsidRPr="007A36C2">
              <w:rPr>
                <w:szCs w:val="18"/>
                <w:lang w:eastAsia="lv-LV"/>
              </w:rPr>
              <w:t xml:space="preserve"> (+/–) pret iepriekšējo gadu</w:t>
            </w:r>
          </w:p>
        </w:tc>
        <w:tc>
          <w:tcPr>
            <w:tcW w:w="1131" w:type="dxa"/>
          </w:tcPr>
          <w:p w:rsidR="00313724" w:rsidRPr="007A36C2" w:rsidRDefault="00225E61" w:rsidP="007A36C2">
            <w:pPr>
              <w:pStyle w:val="tabteksts"/>
              <w:jc w:val="center"/>
            </w:pPr>
            <w:r w:rsidRPr="007A36C2">
              <w:rPr>
                <w:b/>
                <w:bCs/>
              </w:rPr>
              <w:t>×</w:t>
            </w:r>
          </w:p>
        </w:tc>
        <w:tc>
          <w:tcPr>
            <w:tcW w:w="1132" w:type="dxa"/>
          </w:tcPr>
          <w:p w:rsidR="00313724" w:rsidRPr="007A36C2" w:rsidRDefault="00225E61" w:rsidP="007A36C2">
            <w:pPr>
              <w:pStyle w:val="tabteksts"/>
              <w:jc w:val="center"/>
            </w:pPr>
            <w:r w:rsidRPr="007A36C2">
              <w:rPr>
                <w:b/>
                <w:bCs/>
              </w:rPr>
              <w:t>×</w:t>
            </w:r>
          </w:p>
        </w:tc>
        <w:tc>
          <w:tcPr>
            <w:tcW w:w="1132" w:type="dxa"/>
          </w:tcPr>
          <w:p w:rsidR="00313724" w:rsidRPr="007A36C2" w:rsidRDefault="00F71895" w:rsidP="007A36C2">
            <w:pPr>
              <w:pStyle w:val="tabteksts"/>
              <w:ind w:left="-89"/>
              <w:jc w:val="right"/>
            </w:pPr>
            <w:r w:rsidRPr="007A36C2">
              <w:t>7 070 000</w:t>
            </w:r>
          </w:p>
        </w:tc>
        <w:tc>
          <w:tcPr>
            <w:tcW w:w="1132" w:type="dxa"/>
          </w:tcPr>
          <w:p w:rsidR="00313724" w:rsidRPr="007A36C2" w:rsidRDefault="00F71895" w:rsidP="007A36C2">
            <w:pPr>
              <w:pStyle w:val="tabteksts"/>
              <w:jc w:val="right"/>
            </w:pPr>
            <w:r w:rsidRPr="007A36C2">
              <w:t>-7 070 000</w:t>
            </w:r>
          </w:p>
        </w:tc>
        <w:tc>
          <w:tcPr>
            <w:tcW w:w="1132" w:type="dxa"/>
          </w:tcPr>
          <w:p w:rsidR="00313724" w:rsidRPr="007A36C2" w:rsidRDefault="00225E61" w:rsidP="007A36C2">
            <w:pPr>
              <w:pStyle w:val="tabteksts"/>
              <w:jc w:val="center"/>
            </w:pPr>
            <w:r w:rsidRPr="007A36C2">
              <w:rPr>
                <w:b/>
                <w:bCs/>
              </w:rPr>
              <w:t>×</w:t>
            </w:r>
          </w:p>
        </w:tc>
      </w:tr>
      <w:tr w:rsidR="00313724" w:rsidRPr="007A36C2" w:rsidTr="007333CD">
        <w:trPr>
          <w:trHeight w:val="283"/>
          <w:jc w:val="center"/>
        </w:trPr>
        <w:tc>
          <w:tcPr>
            <w:tcW w:w="3378" w:type="dxa"/>
            <w:vAlign w:val="center"/>
          </w:tcPr>
          <w:p w:rsidR="00313724" w:rsidRPr="007A36C2" w:rsidRDefault="00313724" w:rsidP="007A36C2">
            <w:pPr>
              <w:pStyle w:val="tabteksts"/>
            </w:pPr>
            <w:r w:rsidRPr="007A36C2">
              <w:rPr>
                <w:lang w:eastAsia="lv-LV"/>
              </w:rPr>
              <w:t>Kopējie izdevumi</w:t>
            </w:r>
            <w:r w:rsidRPr="007A36C2">
              <w:t>, % (+/–) pret iepriekšējo gadu</w:t>
            </w:r>
          </w:p>
        </w:tc>
        <w:tc>
          <w:tcPr>
            <w:tcW w:w="1131" w:type="dxa"/>
          </w:tcPr>
          <w:p w:rsidR="00313724" w:rsidRPr="007A36C2" w:rsidRDefault="00225E61" w:rsidP="007A36C2">
            <w:pPr>
              <w:pStyle w:val="tabteksts"/>
              <w:jc w:val="center"/>
            </w:pPr>
            <w:r w:rsidRPr="007A36C2">
              <w:rPr>
                <w:b/>
                <w:bCs/>
              </w:rPr>
              <w:t>×</w:t>
            </w:r>
          </w:p>
        </w:tc>
        <w:tc>
          <w:tcPr>
            <w:tcW w:w="1132" w:type="dxa"/>
          </w:tcPr>
          <w:p w:rsidR="00313724" w:rsidRPr="007A36C2" w:rsidRDefault="00225E61" w:rsidP="007A36C2">
            <w:pPr>
              <w:pStyle w:val="tabteksts"/>
              <w:jc w:val="center"/>
            </w:pPr>
            <w:r w:rsidRPr="007A36C2">
              <w:rPr>
                <w:b/>
                <w:bCs/>
              </w:rPr>
              <w:t>×</w:t>
            </w:r>
          </w:p>
        </w:tc>
        <w:tc>
          <w:tcPr>
            <w:tcW w:w="1132" w:type="dxa"/>
          </w:tcPr>
          <w:p w:rsidR="00313724" w:rsidRPr="007A36C2" w:rsidRDefault="00F71895" w:rsidP="007A36C2">
            <w:pPr>
              <w:pStyle w:val="tabteksts"/>
              <w:jc w:val="center"/>
            </w:pPr>
            <w:r w:rsidRPr="007A36C2">
              <w:rPr>
                <w:b/>
                <w:bCs/>
              </w:rPr>
              <w:t>×</w:t>
            </w:r>
          </w:p>
        </w:tc>
        <w:tc>
          <w:tcPr>
            <w:tcW w:w="1132" w:type="dxa"/>
          </w:tcPr>
          <w:p w:rsidR="00313724" w:rsidRPr="007A36C2" w:rsidRDefault="00F71895" w:rsidP="007A36C2">
            <w:pPr>
              <w:pStyle w:val="tabteksts"/>
              <w:jc w:val="right"/>
            </w:pPr>
            <w:r w:rsidRPr="007A36C2">
              <w:t>-100,0</w:t>
            </w:r>
          </w:p>
        </w:tc>
        <w:tc>
          <w:tcPr>
            <w:tcW w:w="1132" w:type="dxa"/>
          </w:tcPr>
          <w:p w:rsidR="00313724" w:rsidRPr="007A36C2" w:rsidRDefault="00225E61" w:rsidP="007A36C2">
            <w:pPr>
              <w:pStyle w:val="tabteksts"/>
              <w:jc w:val="center"/>
            </w:pPr>
            <w:r w:rsidRPr="007A36C2">
              <w:rPr>
                <w:b/>
                <w:bCs/>
              </w:rPr>
              <w:t>×</w:t>
            </w:r>
          </w:p>
        </w:tc>
      </w:tr>
    </w:tbl>
    <w:p w:rsidR="00313724" w:rsidRPr="007A36C2" w:rsidRDefault="00313724" w:rsidP="007A36C2">
      <w:pPr>
        <w:spacing w:before="240"/>
        <w:ind w:firstLine="720"/>
        <w:jc w:val="center"/>
        <w:rPr>
          <w:b/>
          <w:color w:val="000000" w:themeColor="text1"/>
          <w:lang w:eastAsia="lv-LV"/>
        </w:rPr>
      </w:pPr>
      <w:r w:rsidRPr="007A36C2">
        <w:rPr>
          <w:b/>
          <w:color w:val="000000" w:themeColor="text1"/>
          <w:lang w:eastAsia="lv-LV"/>
        </w:rPr>
        <w:t>Izmaiņas izdevumos, salīdzinot 2019. gada plānu ar 2018. gada plānu</w:t>
      </w:r>
    </w:p>
    <w:p w:rsidR="00313724" w:rsidRPr="007A36C2" w:rsidRDefault="00313724" w:rsidP="007A36C2">
      <w:pPr>
        <w:spacing w:after="0"/>
        <w:ind w:left="7921" w:firstLine="720"/>
        <w:jc w:val="center"/>
        <w:rPr>
          <w:i/>
          <w:sz w:val="18"/>
          <w:szCs w:val="18"/>
        </w:rPr>
      </w:pPr>
      <w:proofErr w:type="spellStart"/>
      <w:r w:rsidRPr="007A36C2">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3724" w:rsidRPr="007A36C2" w:rsidTr="007333CD">
        <w:trPr>
          <w:trHeight w:val="142"/>
          <w:tblHeader/>
          <w:jc w:val="center"/>
        </w:trPr>
        <w:tc>
          <w:tcPr>
            <w:tcW w:w="5241" w:type="dxa"/>
            <w:vAlign w:val="center"/>
          </w:tcPr>
          <w:p w:rsidR="00313724" w:rsidRPr="007A36C2" w:rsidRDefault="00313724" w:rsidP="007A36C2">
            <w:pPr>
              <w:pStyle w:val="tabteksts"/>
              <w:jc w:val="center"/>
              <w:rPr>
                <w:szCs w:val="18"/>
              </w:rPr>
            </w:pPr>
            <w:r w:rsidRPr="007A36C2">
              <w:rPr>
                <w:color w:val="000000" w:themeColor="text1"/>
                <w:szCs w:val="18"/>
                <w:lang w:eastAsia="lv-LV"/>
              </w:rPr>
              <w:t>Pasākums</w:t>
            </w:r>
          </w:p>
        </w:tc>
        <w:tc>
          <w:tcPr>
            <w:tcW w:w="1277" w:type="dxa"/>
            <w:vAlign w:val="center"/>
          </w:tcPr>
          <w:p w:rsidR="00313724" w:rsidRPr="007A36C2" w:rsidRDefault="00313724" w:rsidP="007A36C2">
            <w:pPr>
              <w:pStyle w:val="tabteksts"/>
              <w:jc w:val="center"/>
              <w:rPr>
                <w:color w:val="000000" w:themeColor="text1"/>
                <w:szCs w:val="18"/>
                <w:lang w:eastAsia="lv-LV"/>
              </w:rPr>
            </w:pPr>
            <w:r w:rsidRPr="007A36C2">
              <w:rPr>
                <w:color w:val="000000" w:themeColor="text1"/>
                <w:szCs w:val="18"/>
                <w:lang w:eastAsia="lv-LV"/>
              </w:rPr>
              <w:t>Samazinājums</w:t>
            </w:r>
          </w:p>
        </w:tc>
        <w:tc>
          <w:tcPr>
            <w:tcW w:w="1277" w:type="dxa"/>
            <w:vAlign w:val="center"/>
          </w:tcPr>
          <w:p w:rsidR="00313724" w:rsidRPr="007A36C2" w:rsidRDefault="00313724" w:rsidP="007A36C2">
            <w:pPr>
              <w:pStyle w:val="tabteksts"/>
              <w:jc w:val="center"/>
              <w:rPr>
                <w:color w:val="000000" w:themeColor="text1"/>
                <w:szCs w:val="18"/>
                <w:lang w:eastAsia="lv-LV"/>
              </w:rPr>
            </w:pPr>
            <w:r w:rsidRPr="007A36C2">
              <w:rPr>
                <w:color w:val="000000" w:themeColor="text1"/>
                <w:szCs w:val="18"/>
                <w:lang w:eastAsia="lv-LV"/>
              </w:rPr>
              <w:t>Palielinājums</w:t>
            </w:r>
          </w:p>
        </w:tc>
        <w:tc>
          <w:tcPr>
            <w:tcW w:w="1277" w:type="dxa"/>
            <w:vAlign w:val="center"/>
          </w:tcPr>
          <w:p w:rsidR="00313724" w:rsidRPr="007A36C2" w:rsidRDefault="00313724" w:rsidP="007A36C2">
            <w:pPr>
              <w:pStyle w:val="tabteksts"/>
              <w:jc w:val="center"/>
              <w:rPr>
                <w:color w:val="000000" w:themeColor="text1"/>
                <w:szCs w:val="18"/>
                <w:lang w:eastAsia="lv-LV"/>
              </w:rPr>
            </w:pPr>
            <w:r w:rsidRPr="007A36C2">
              <w:rPr>
                <w:color w:val="000000" w:themeColor="text1"/>
                <w:szCs w:val="18"/>
                <w:lang w:eastAsia="lv-LV"/>
              </w:rPr>
              <w:t>Izmaiņas</w:t>
            </w:r>
          </w:p>
        </w:tc>
      </w:tr>
      <w:tr w:rsidR="00313724" w:rsidRPr="007A36C2" w:rsidTr="007333CD">
        <w:trPr>
          <w:trHeight w:val="142"/>
          <w:jc w:val="center"/>
        </w:trPr>
        <w:tc>
          <w:tcPr>
            <w:tcW w:w="5241" w:type="dxa"/>
            <w:shd w:val="clear" w:color="auto" w:fill="D9D9D9" w:themeFill="background1" w:themeFillShade="D9"/>
          </w:tcPr>
          <w:p w:rsidR="00313724" w:rsidRPr="007A36C2" w:rsidRDefault="00313724" w:rsidP="007A36C2">
            <w:pPr>
              <w:pStyle w:val="tabteksts"/>
              <w:rPr>
                <w:szCs w:val="18"/>
              </w:rPr>
            </w:pPr>
            <w:r w:rsidRPr="007A36C2">
              <w:rPr>
                <w:b/>
                <w:bCs/>
                <w:szCs w:val="18"/>
                <w:lang w:eastAsia="lv-LV"/>
              </w:rPr>
              <w:t>Izdevumi - kopā</w:t>
            </w:r>
          </w:p>
        </w:tc>
        <w:tc>
          <w:tcPr>
            <w:tcW w:w="1277" w:type="dxa"/>
            <w:shd w:val="clear" w:color="auto" w:fill="D9D9D9" w:themeFill="background1" w:themeFillShade="D9"/>
          </w:tcPr>
          <w:p w:rsidR="00313724" w:rsidRPr="007A36C2" w:rsidRDefault="00313724" w:rsidP="007A36C2">
            <w:pPr>
              <w:pStyle w:val="tabteksts"/>
              <w:jc w:val="right"/>
              <w:rPr>
                <w:b/>
                <w:szCs w:val="18"/>
              </w:rPr>
            </w:pPr>
          </w:p>
        </w:tc>
        <w:tc>
          <w:tcPr>
            <w:tcW w:w="1277" w:type="dxa"/>
            <w:shd w:val="clear" w:color="auto" w:fill="D9D9D9" w:themeFill="background1" w:themeFillShade="D9"/>
          </w:tcPr>
          <w:p w:rsidR="00313724" w:rsidRPr="007A36C2" w:rsidRDefault="00313724" w:rsidP="007A36C2">
            <w:pPr>
              <w:pStyle w:val="tabteksts"/>
              <w:jc w:val="right"/>
              <w:rPr>
                <w:b/>
                <w:szCs w:val="18"/>
              </w:rPr>
            </w:pPr>
          </w:p>
        </w:tc>
        <w:tc>
          <w:tcPr>
            <w:tcW w:w="1277" w:type="dxa"/>
            <w:shd w:val="clear" w:color="auto" w:fill="D9D9D9" w:themeFill="background1" w:themeFillShade="D9"/>
          </w:tcPr>
          <w:p w:rsidR="00313724" w:rsidRPr="007A36C2" w:rsidRDefault="00313724" w:rsidP="007A36C2">
            <w:pPr>
              <w:pStyle w:val="tabteksts"/>
              <w:jc w:val="right"/>
              <w:rPr>
                <w:b/>
                <w:szCs w:val="18"/>
              </w:rPr>
            </w:pPr>
          </w:p>
        </w:tc>
      </w:tr>
      <w:tr w:rsidR="00313724" w:rsidRPr="007A36C2" w:rsidTr="007333CD">
        <w:trPr>
          <w:trHeight w:val="142"/>
          <w:jc w:val="center"/>
        </w:trPr>
        <w:tc>
          <w:tcPr>
            <w:tcW w:w="5241" w:type="dxa"/>
            <w:shd w:val="clear" w:color="auto" w:fill="F2F2F2" w:themeFill="background1" w:themeFillShade="F2"/>
            <w:vAlign w:val="center"/>
          </w:tcPr>
          <w:p w:rsidR="00313724" w:rsidRPr="007A36C2" w:rsidRDefault="00313724" w:rsidP="007A36C2">
            <w:pPr>
              <w:pStyle w:val="tabteksts"/>
              <w:rPr>
                <w:szCs w:val="18"/>
                <w:u w:val="single"/>
                <w:lang w:eastAsia="lv-LV"/>
              </w:rPr>
            </w:pPr>
            <w:r w:rsidRPr="007A36C2">
              <w:rPr>
                <w:szCs w:val="18"/>
                <w:u w:val="single"/>
                <w:lang w:eastAsia="lv-LV"/>
              </w:rPr>
              <w:t>Citas izmaiņas</w:t>
            </w:r>
          </w:p>
        </w:tc>
        <w:tc>
          <w:tcPr>
            <w:tcW w:w="1277" w:type="dxa"/>
            <w:shd w:val="clear" w:color="auto" w:fill="F2F2F2" w:themeFill="background1" w:themeFillShade="F2"/>
          </w:tcPr>
          <w:p w:rsidR="00313724" w:rsidRPr="007A36C2" w:rsidRDefault="00313724" w:rsidP="007A36C2">
            <w:pPr>
              <w:pStyle w:val="tabteksts"/>
              <w:jc w:val="center"/>
              <w:rPr>
                <w:szCs w:val="18"/>
                <w:u w:val="single"/>
              </w:rPr>
            </w:pPr>
          </w:p>
        </w:tc>
        <w:tc>
          <w:tcPr>
            <w:tcW w:w="1277" w:type="dxa"/>
            <w:shd w:val="clear" w:color="auto" w:fill="F2F2F2" w:themeFill="background1" w:themeFillShade="F2"/>
          </w:tcPr>
          <w:p w:rsidR="00313724" w:rsidRPr="007A36C2" w:rsidRDefault="00313724" w:rsidP="007A36C2">
            <w:pPr>
              <w:pStyle w:val="tabteksts"/>
              <w:jc w:val="right"/>
              <w:rPr>
                <w:szCs w:val="18"/>
                <w:u w:val="single"/>
              </w:rPr>
            </w:pPr>
          </w:p>
        </w:tc>
        <w:tc>
          <w:tcPr>
            <w:tcW w:w="1277" w:type="dxa"/>
            <w:shd w:val="clear" w:color="auto" w:fill="F2F2F2" w:themeFill="background1" w:themeFillShade="F2"/>
          </w:tcPr>
          <w:p w:rsidR="00313724" w:rsidRPr="007A36C2" w:rsidRDefault="00313724" w:rsidP="007A36C2">
            <w:pPr>
              <w:pStyle w:val="tabteksts"/>
              <w:jc w:val="right"/>
              <w:rPr>
                <w:szCs w:val="18"/>
                <w:u w:val="single"/>
              </w:rPr>
            </w:pPr>
          </w:p>
        </w:tc>
      </w:tr>
      <w:tr w:rsidR="00313724" w:rsidRPr="00540EF8" w:rsidTr="007333CD">
        <w:trPr>
          <w:trHeight w:val="142"/>
          <w:jc w:val="center"/>
        </w:trPr>
        <w:tc>
          <w:tcPr>
            <w:tcW w:w="5241" w:type="dxa"/>
          </w:tcPr>
          <w:p w:rsidR="00313724" w:rsidRPr="007A36C2" w:rsidRDefault="007E1275" w:rsidP="007A36C2">
            <w:pPr>
              <w:pStyle w:val="tabteksts"/>
              <w:rPr>
                <w:i/>
                <w:szCs w:val="18"/>
                <w:lang w:eastAsia="lv-LV"/>
              </w:rPr>
            </w:pPr>
            <w:r w:rsidRPr="007A36C2">
              <w:rPr>
                <w:i/>
                <w:szCs w:val="18"/>
                <w:lang w:eastAsia="lv-LV"/>
              </w:rPr>
              <w:t>Izmaiņas atbilstoši Saeimā 2.lasījumā atbalstītajiem priekšlikumiem</w:t>
            </w:r>
          </w:p>
        </w:tc>
        <w:tc>
          <w:tcPr>
            <w:tcW w:w="1277" w:type="dxa"/>
          </w:tcPr>
          <w:p w:rsidR="00313724" w:rsidRPr="007A36C2" w:rsidRDefault="00313724" w:rsidP="007A36C2">
            <w:pPr>
              <w:spacing w:after="0"/>
              <w:ind w:firstLine="0"/>
              <w:jc w:val="right"/>
              <w:rPr>
                <w:rFonts w:ascii="TimesNewRoman" w:hAnsi="TimesNewRoman" w:cs="Arial"/>
                <w:sz w:val="20"/>
              </w:rPr>
            </w:pPr>
          </w:p>
        </w:tc>
        <w:tc>
          <w:tcPr>
            <w:tcW w:w="1277" w:type="dxa"/>
          </w:tcPr>
          <w:p w:rsidR="00313724" w:rsidRPr="007A36C2" w:rsidRDefault="007E1275" w:rsidP="007A36C2">
            <w:pPr>
              <w:spacing w:after="0"/>
              <w:ind w:firstLine="0"/>
              <w:jc w:val="right"/>
              <w:rPr>
                <w:rFonts w:ascii="TimesNewRoman" w:hAnsi="TimesNewRoman" w:cs="Arial"/>
                <w:bCs/>
                <w:sz w:val="18"/>
                <w:szCs w:val="18"/>
              </w:rPr>
            </w:pPr>
            <w:r w:rsidRPr="007A36C2">
              <w:rPr>
                <w:rFonts w:ascii="TimesNewRoman" w:hAnsi="TimesNewRoman" w:cs="Arial"/>
                <w:bCs/>
                <w:sz w:val="18"/>
                <w:szCs w:val="18"/>
              </w:rPr>
              <w:t>7 070 000</w:t>
            </w:r>
          </w:p>
        </w:tc>
        <w:tc>
          <w:tcPr>
            <w:tcW w:w="1277" w:type="dxa"/>
          </w:tcPr>
          <w:p w:rsidR="00313724" w:rsidRPr="00F72822" w:rsidRDefault="007E1275" w:rsidP="007A36C2">
            <w:pPr>
              <w:pStyle w:val="tabteksts"/>
              <w:jc w:val="right"/>
              <w:rPr>
                <w:szCs w:val="18"/>
              </w:rPr>
            </w:pPr>
            <w:r w:rsidRPr="007A36C2">
              <w:rPr>
                <w:szCs w:val="18"/>
              </w:rPr>
              <w:t>7 070 000</w:t>
            </w:r>
          </w:p>
        </w:tc>
      </w:tr>
    </w:tbl>
    <w:p w:rsidR="004E4E60" w:rsidRPr="00540EF8" w:rsidRDefault="004E4E60" w:rsidP="00E65C04">
      <w:pPr>
        <w:pStyle w:val="programmas"/>
      </w:pPr>
      <w:r w:rsidRPr="00540EF8">
        <w:t>80.00.00 Nesadalītais finansējums Eiropas Savienības politiku instrumentu un pārējās ārvalstu finanšu palīdzības līdzfinansēto projektu un pasākumu īstenošanai</w:t>
      </w:r>
    </w:p>
    <w:p w:rsidR="004E4E60" w:rsidRPr="00540EF8" w:rsidRDefault="004E4E60" w:rsidP="004E4E60">
      <w:pPr>
        <w:ind w:firstLine="0"/>
        <w:rPr>
          <w:u w:val="single"/>
        </w:rPr>
      </w:pPr>
      <w:r w:rsidRPr="00540EF8">
        <w:rPr>
          <w:u w:val="single"/>
        </w:rPr>
        <w:t>Programmas mērķis:</w:t>
      </w:r>
    </w:p>
    <w:p w:rsidR="004E4E60" w:rsidRPr="00540EF8" w:rsidRDefault="004E4E60" w:rsidP="004E4E60">
      <w:pPr>
        <w:rPr>
          <w:lang w:eastAsia="lv-LV"/>
        </w:rPr>
      </w:pPr>
      <w:r>
        <w:rPr>
          <w:lang w:eastAsia="lv-LV"/>
        </w:rPr>
        <w:t>N</w:t>
      </w:r>
      <w:r w:rsidRPr="00540EF8">
        <w:rPr>
          <w:lang w:eastAsia="lv-LV"/>
        </w:rPr>
        <w:t>odrošināt finansējumu ES struktūrfondu, Kohēzijas fonda, Eiropas Lauksaimniecības garantiju fonda, Eiropas Lauksaimniecības fonda lauku attīstībai, Eiropas Zivsaimniecības fonda un Eiropas Jūrlietu un zivsaimniecības fonda, Eiropas Kopienas iniciatīvu, 3.mērķa “Eiropas teritoriālā sadarbība”, Citu Eiropas Savienības politiku instrumentu, Eiropas Ekonomikas zonas un Norvēģijas finanšu instrumentu finansēto projektu, pārējās ārvalstu finanšu palīdzības</w:t>
      </w:r>
      <w:r>
        <w:rPr>
          <w:lang w:eastAsia="lv-LV"/>
        </w:rPr>
        <w:t xml:space="preserve"> finansēto projektu un pasākumu,</w:t>
      </w:r>
      <w:r>
        <w:rPr>
          <w:szCs w:val="24"/>
          <w:lang w:eastAsia="lv-LV"/>
        </w:rPr>
        <w:t xml:space="preserve"> </w:t>
      </w:r>
      <w:r w:rsidRPr="008E3686">
        <w:rPr>
          <w:szCs w:val="24"/>
          <w:lang w:eastAsia="lv-LV"/>
        </w:rPr>
        <w:t xml:space="preserve">emisijas kvotu izsolīšanas instrumenta, kā arī Eiropas Savienības finansēto institūciju stiprināšanas programmu </w:t>
      </w:r>
      <w:proofErr w:type="spellStart"/>
      <w:r w:rsidRPr="008E3686">
        <w:rPr>
          <w:szCs w:val="24"/>
          <w:lang w:eastAsia="lv-LV"/>
        </w:rPr>
        <w:t>mērķsadarbības</w:t>
      </w:r>
      <w:proofErr w:type="spellEnd"/>
      <w:r w:rsidRPr="008E3686">
        <w:rPr>
          <w:szCs w:val="24"/>
          <w:lang w:eastAsia="lv-LV"/>
        </w:rPr>
        <w:t xml:space="preserve"> (</w:t>
      </w:r>
      <w:proofErr w:type="spellStart"/>
      <w:r w:rsidRPr="008E3686">
        <w:rPr>
          <w:szCs w:val="24"/>
          <w:lang w:eastAsia="lv-LV"/>
        </w:rPr>
        <w:t>Twinning</w:t>
      </w:r>
      <w:proofErr w:type="spellEnd"/>
      <w:r w:rsidRPr="008E3686">
        <w:rPr>
          <w:szCs w:val="24"/>
          <w:lang w:eastAsia="lv-LV"/>
        </w:rPr>
        <w:t xml:space="preserve">) un neliela apjoma </w:t>
      </w:r>
      <w:proofErr w:type="spellStart"/>
      <w:r w:rsidRPr="008E3686">
        <w:rPr>
          <w:szCs w:val="24"/>
          <w:lang w:eastAsia="lv-LV"/>
        </w:rPr>
        <w:t>mērķsadarbības</w:t>
      </w:r>
      <w:proofErr w:type="spellEnd"/>
      <w:r w:rsidRPr="008E3686">
        <w:rPr>
          <w:szCs w:val="24"/>
          <w:lang w:eastAsia="lv-LV"/>
        </w:rPr>
        <w:t xml:space="preserve"> (</w:t>
      </w:r>
      <w:proofErr w:type="spellStart"/>
      <w:r w:rsidRPr="008E3686">
        <w:rPr>
          <w:szCs w:val="24"/>
          <w:lang w:eastAsia="lv-LV"/>
        </w:rPr>
        <w:t>Twinning</w:t>
      </w:r>
      <w:proofErr w:type="spellEnd"/>
      <w:r w:rsidRPr="008E3686">
        <w:rPr>
          <w:szCs w:val="24"/>
          <w:lang w:eastAsia="lv-LV"/>
        </w:rPr>
        <w:t xml:space="preserve"> </w:t>
      </w:r>
      <w:proofErr w:type="spellStart"/>
      <w:r w:rsidRPr="008E3686">
        <w:rPr>
          <w:szCs w:val="24"/>
          <w:lang w:eastAsia="lv-LV"/>
        </w:rPr>
        <w:t>Light</w:t>
      </w:r>
      <w:proofErr w:type="spellEnd"/>
      <w:r w:rsidRPr="008E3686">
        <w:rPr>
          <w:szCs w:val="24"/>
          <w:lang w:eastAsia="lv-LV"/>
        </w:rPr>
        <w:t>) ietvaros līdzfinansēto projektu un pasākumu</w:t>
      </w:r>
      <w:r>
        <w:rPr>
          <w:szCs w:val="24"/>
          <w:lang w:eastAsia="lv-LV"/>
        </w:rPr>
        <w:t xml:space="preserve"> </w:t>
      </w:r>
      <w:r w:rsidRPr="00F633EF">
        <w:rPr>
          <w:szCs w:val="24"/>
          <w:lang w:eastAsia="lv-LV"/>
        </w:rPr>
        <w:t>īstenošanai</w:t>
      </w:r>
      <w:r w:rsidRPr="00540EF8">
        <w:rPr>
          <w:lang w:eastAsia="lv-LV"/>
        </w:rPr>
        <w:t xml:space="preserve"> līdzfinansēto projektu un pasākumu īstenošanai.</w:t>
      </w:r>
    </w:p>
    <w:p w:rsidR="004E4E60" w:rsidRPr="00540EF8" w:rsidRDefault="004E4E60" w:rsidP="00AF7DA2">
      <w:pPr>
        <w:pStyle w:val="Tabuluvirsraksti"/>
        <w:spacing w:before="240" w:after="240"/>
        <w:rPr>
          <w:b/>
          <w:lang w:eastAsia="lv-LV"/>
        </w:rPr>
      </w:pPr>
      <w:r w:rsidRPr="00540EF8">
        <w:rPr>
          <w:b/>
          <w:lang w:eastAsia="lv-LV"/>
        </w:rPr>
        <w:t>Finansiālie rādītāji no 201</w:t>
      </w:r>
      <w:r>
        <w:rPr>
          <w:b/>
          <w:lang w:eastAsia="lv-LV"/>
        </w:rPr>
        <w:t>7. līdz 2021</w:t>
      </w:r>
      <w:r w:rsidRPr="00540EF8">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E4E60" w:rsidRPr="00540EF8" w:rsidTr="00804D67">
        <w:trPr>
          <w:trHeight w:val="283"/>
          <w:tblHeader/>
          <w:jc w:val="center"/>
        </w:trPr>
        <w:tc>
          <w:tcPr>
            <w:tcW w:w="3378" w:type="dxa"/>
            <w:vAlign w:val="center"/>
          </w:tcPr>
          <w:p w:rsidR="004E4E60" w:rsidRPr="00540EF8" w:rsidRDefault="004E4E60" w:rsidP="00804D67">
            <w:pPr>
              <w:pStyle w:val="tabteksts"/>
              <w:jc w:val="center"/>
              <w:rPr>
                <w:szCs w:val="24"/>
              </w:rPr>
            </w:pPr>
          </w:p>
        </w:tc>
        <w:tc>
          <w:tcPr>
            <w:tcW w:w="1131" w:type="dxa"/>
          </w:tcPr>
          <w:p w:rsidR="004E4E60" w:rsidRPr="00540EF8" w:rsidRDefault="004E4E60" w:rsidP="00804D67">
            <w:pPr>
              <w:pStyle w:val="tabteksts"/>
              <w:jc w:val="center"/>
              <w:rPr>
                <w:szCs w:val="24"/>
                <w:lang w:eastAsia="lv-LV"/>
              </w:rPr>
            </w:pPr>
            <w:r>
              <w:rPr>
                <w:szCs w:val="18"/>
                <w:lang w:eastAsia="lv-LV"/>
              </w:rPr>
              <w:t>2017</w:t>
            </w:r>
            <w:r w:rsidRPr="00540EF8">
              <w:rPr>
                <w:szCs w:val="18"/>
                <w:lang w:eastAsia="lv-LV"/>
              </w:rPr>
              <w:t>. gads (izpilde)</w:t>
            </w:r>
          </w:p>
        </w:tc>
        <w:tc>
          <w:tcPr>
            <w:tcW w:w="1132" w:type="dxa"/>
            <w:vAlign w:val="center"/>
          </w:tcPr>
          <w:p w:rsidR="004E4E60" w:rsidRPr="00540EF8" w:rsidRDefault="004E4E60" w:rsidP="00804D67">
            <w:pPr>
              <w:pStyle w:val="tabteksts"/>
              <w:jc w:val="center"/>
              <w:rPr>
                <w:szCs w:val="24"/>
                <w:lang w:eastAsia="lv-LV"/>
              </w:rPr>
            </w:pPr>
            <w:r>
              <w:rPr>
                <w:szCs w:val="18"/>
                <w:lang w:eastAsia="lv-LV"/>
              </w:rPr>
              <w:t>2018</w:t>
            </w:r>
            <w:r w:rsidRPr="00540EF8">
              <w:rPr>
                <w:szCs w:val="18"/>
                <w:lang w:eastAsia="lv-LV"/>
              </w:rPr>
              <w:t>. gada plāns</w:t>
            </w:r>
          </w:p>
        </w:tc>
        <w:tc>
          <w:tcPr>
            <w:tcW w:w="1132" w:type="dxa"/>
          </w:tcPr>
          <w:p w:rsidR="004E4E60" w:rsidRPr="00540EF8" w:rsidRDefault="004E4E60" w:rsidP="00804D67">
            <w:pPr>
              <w:pStyle w:val="tabteksts"/>
              <w:jc w:val="center"/>
              <w:rPr>
                <w:szCs w:val="24"/>
                <w:lang w:eastAsia="lv-LV"/>
              </w:rPr>
            </w:pPr>
            <w:r>
              <w:rPr>
                <w:szCs w:val="18"/>
                <w:lang w:eastAsia="lv-LV"/>
              </w:rPr>
              <w:t>2019</w:t>
            </w:r>
            <w:r w:rsidRPr="00540EF8">
              <w:rPr>
                <w:szCs w:val="18"/>
                <w:lang w:eastAsia="lv-LV"/>
              </w:rPr>
              <w:t xml:space="preserve">. </w:t>
            </w:r>
            <w:r w:rsidR="003F087A">
              <w:rPr>
                <w:szCs w:val="18"/>
                <w:lang w:eastAsia="lv-LV"/>
              </w:rPr>
              <w:t>gada plāns</w:t>
            </w:r>
          </w:p>
        </w:tc>
        <w:tc>
          <w:tcPr>
            <w:tcW w:w="1132" w:type="dxa"/>
          </w:tcPr>
          <w:p w:rsidR="004E4E60" w:rsidRPr="00540EF8" w:rsidRDefault="004E4E60" w:rsidP="00804D67">
            <w:pPr>
              <w:pStyle w:val="tabteksts"/>
              <w:jc w:val="center"/>
              <w:rPr>
                <w:szCs w:val="24"/>
                <w:lang w:eastAsia="lv-LV"/>
              </w:rPr>
            </w:pPr>
            <w:r>
              <w:rPr>
                <w:szCs w:val="18"/>
                <w:lang w:eastAsia="lv-LV"/>
              </w:rPr>
              <w:t>2020</w:t>
            </w:r>
            <w:r w:rsidRPr="00540EF8">
              <w:rPr>
                <w:szCs w:val="18"/>
                <w:lang w:eastAsia="lv-LV"/>
              </w:rPr>
              <w:t xml:space="preserve">. </w:t>
            </w:r>
            <w:r>
              <w:rPr>
                <w:szCs w:val="18"/>
                <w:lang w:eastAsia="lv-LV"/>
              </w:rPr>
              <w:t>gada prognoze</w:t>
            </w:r>
          </w:p>
        </w:tc>
        <w:tc>
          <w:tcPr>
            <w:tcW w:w="1132" w:type="dxa"/>
          </w:tcPr>
          <w:p w:rsidR="004E4E60" w:rsidRPr="00540EF8" w:rsidRDefault="004E4E60" w:rsidP="00804D67">
            <w:pPr>
              <w:pStyle w:val="tabteksts"/>
              <w:jc w:val="center"/>
              <w:rPr>
                <w:szCs w:val="24"/>
                <w:lang w:eastAsia="lv-LV"/>
              </w:rPr>
            </w:pPr>
            <w:r>
              <w:rPr>
                <w:szCs w:val="18"/>
                <w:lang w:eastAsia="lv-LV"/>
              </w:rPr>
              <w:t>2021</w:t>
            </w:r>
            <w:r w:rsidRPr="00540EF8">
              <w:rPr>
                <w:szCs w:val="18"/>
                <w:lang w:eastAsia="lv-LV"/>
              </w:rPr>
              <w:t xml:space="preserve">. </w:t>
            </w:r>
            <w:r>
              <w:rPr>
                <w:szCs w:val="18"/>
                <w:lang w:eastAsia="lv-LV"/>
              </w:rPr>
              <w:t>gada prognoze</w:t>
            </w:r>
          </w:p>
        </w:tc>
      </w:tr>
      <w:tr w:rsidR="004E4E60" w:rsidRPr="00540EF8" w:rsidTr="00804D67">
        <w:trPr>
          <w:trHeight w:val="142"/>
          <w:jc w:val="center"/>
        </w:trPr>
        <w:tc>
          <w:tcPr>
            <w:tcW w:w="3378" w:type="dxa"/>
            <w:shd w:val="clear" w:color="auto" w:fill="D9D9D9" w:themeFill="background1" w:themeFillShade="D9"/>
            <w:vAlign w:val="center"/>
          </w:tcPr>
          <w:p w:rsidR="004E4E60" w:rsidRPr="00540EF8" w:rsidRDefault="004E4E60" w:rsidP="00804D67">
            <w:pPr>
              <w:pStyle w:val="tabteksts"/>
              <w:rPr>
                <w:lang w:eastAsia="lv-LV"/>
              </w:rPr>
            </w:pPr>
            <w:r w:rsidRPr="00540EF8">
              <w:rPr>
                <w:lang w:eastAsia="lv-LV"/>
              </w:rPr>
              <w:t>Kopējie izdevumi,</w:t>
            </w:r>
            <w:r w:rsidRPr="00540EF8">
              <w:t xml:space="preserve"> </w:t>
            </w:r>
            <w:proofErr w:type="spellStart"/>
            <w:r w:rsidRPr="00540EF8">
              <w:rPr>
                <w:i/>
                <w:szCs w:val="18"/>
              </w:rPr>
              <w:t>euro</w:t>
            </w:r>
            <w:proofErr w:type="spellEnd"/>
          </w:p>
        </w:tc>
        <w:tc>
          <w:tcPr>
            <w:tcW w:w="1131" w:type="dxa"/>
            <w:shd w:val="clear" w:color="auto" w:fill="D9D9D9" w:themeFill="background1" w:themeFillShade="D9"/>
          </w:tcPr>
          <w:p w:rsidR="004E4E60" w:rsidRPr="003B4232" w:rsidRDefault="004E4E60" w:rsidP="00804D67">
            <w:pPr>
              <w:pStyle w:val="tabteksts"/>
              <w:jc w:val="center"/>
              <w:rPr>
                <w:b/>
              </w:rPr>
            </w:pPr>
            <w:r w:rsidRPr="003B4232">
              <w:rPr>
                <w:b/>
              </w:rPr>
              <w:t>-</w:t>
            </w:r>
          </w:p>
        </w:tc>
        <w:tc>
          <w:tcPr>
            <w:tcW w:w="1132" w:type="dxa"/>
            <w:shd w:val="clear" w:color="auto" w:fill="D9D9D9" w:themeFill="background1" w:themeFillShade="D9"/>
          </w:tcPr>
          <w:p w:rsidR="004E4E60" w:rsidRPr="003B4232" w:rsidRDefault="004E4E60" w:rsidP="00804D67">
            <w:pPr>
              <w:pStyle w:val="tabteksts"/>
              <w:jc w:val="right"/>
              <w:rPr>
                <w:b/>
              </w:rPr>
            </w:pPr>
            <w:r w:rsidRPr="003B4232">
              <w:rPr>
                <w:b/>
              </w:rPr>
              <w:t>125 595 978</w:t>
            </w:r>
          </w:p>
        </w:tc>
        <w:tc>
          <w:tcPr>
            <w:tcW w:w="1132" w:type="dxa"/>
            <w:shd w:val="clear" w:color="auto" w:fill="D9D9D9" w:themeFill="background1" w:themeFillShade="D9"/>
          </w:tcPr>
          <w:p w:rsidR="004E4E60" w:rsidRPr="003B4232" w:rsidRDefault="004E4E60" w:rsidP="00804D67">
            <w:pPr>
              <w:pStyle w:val="tabteksts"/>
              <w:jc w:val="right"/>
              <w:rPr>
                <w:b/>
              </w:rPr>
            </w:pPr>
            <w:r w:rsidRPr="003B4232">
              <w:rPr>
                <w:b/>
              </w:rPr>
              <w:t xml:space="preserve">  29 156 411</w:t>
            </w:r>
          </w:p>
        </w:tc>
        <w:tc>
          <w:tcPr>
            <w:tcW w:w="1132" w:type="dxa"/>
            <w:shd w:val="clear" w:color="auto" w:fill="D9D9D9" w:themeFill="background1" w:themeFillShade="D9"/>
          </w:tcPr>
          <w:p w:rsidR="004E4E60" w:rsidRPr="003B4232" w:rsidRDefault="004E4E60" w:rsidP="00804D67">
            <w:pPr>
              <w:pStyle w:val="tabteksts"/>
              <w:jc w:val="right"/>
              <w:rPr>
                <w:b/>
              </w:rPr>
            </w:pPr>
            <w:r w:rsidRPr="003B4232">
              <w:rPr>
                <w:b/>
              </w:rPr>
              <w:t>368 470 066</w:t>
            </w:r>
          </w:p>
        </w:tc>
        <w:tc>
          <w:tcPr>
            <w:tcW w:w="1132" w:type="dxa"/>
            <w:shd w:val="clear" w:color="auto" w:fill="D9D9D9" w:themeFill="background1" w:themeFillShade="D9"/>
          </w:tcPr>
          <w:p w:rsidR="004E4E60" w:rsidRPr="003B4232" w:rsidRDefault="004E4E60" w:rsidP="00804D67">
            <w:pPr>
              <w:pStyle w:val="tabteksts"/>
              <w:ind w:left="-86" w:right="-131"/>
              <w:jc w:val="center"/>
              <w:rPr>
                <w:b/>
              </w:rPr>
            </w:pPr>
            <w:r w:rsidRPr="003B4232">
              <w:rPr>
                <w:b/>
              </w:rPr>
              <w:t>1 034 974 938</w:t>
            </w:r>
          </w:p>
        </w:tc>
      </w:tr>
      <w:tr w:rsidR="004E4E60" w:rsidRPr="00540EF8" w:rsidTr="00804D67">
        <w:trPr>
          <w:trHeight w:val="283"/>
          <w:jc w:val="center"/>
        </w:trPr>
        <w:tc>
          <w:tcPr>
            <w:tcW w:w="3378" w:type="dxa"/>
            <w:vAlign w:val="center"/>
          </w:tcPr>
          <w:p w:rsidR="004E4E60" w:rsidRPr="00540EF8" w:rsidRDefault="004E4E60" w:rsidP="00804D67">
            <w:pPr>
              <w:pStyle w:val="tabteksts"/>
              <w:rPr>
                <w:szCs w:val="18"/>
                <w:lang w:eastAsia="lv-LV"/>
              </w:rPr>
            </w:pPr>
            <w:r w:rsidRPr="00540EF8">
              <w:rPr>
                <w:szCs w:val="18"/>
                <w:lang w:eastAsia="lv-LV"/>
              </w:rPr>
              <w:t xml:space="preserve">Kopējo izdevumu izmaiņas, </w:t>
            </w:r>
            <w:proofErr w:type="spellStart"/>
            <w:r w:rsidRPr="00540EF8">
              <w:rPr>
                <w:i/>
                <w:szCs w:val="18"/>
                <w:lang w:eastAsia="lv-LV"/>
              </w:rPr>
              <w:t>euro</w:t>
            </w:r>
            <w:proofErr w:type="spellEnd"/>
            <w:r w:rsidRPr="00540EF8">
              <w:rPr>
                <w:szCs w:val="18"/>
                <w:lang w:eastAsia="lv-LV"/>
              </w:rPr>
              <w:t xml:space="preserve">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AB3F46" w:rsidRDefault="004E4E60" w:rsidP="00804D67">
            <w:pPr>
              <w:pStyle w:val="tabteksts"/>
              <w:ind w:left="-89"/>
              <w:jc w:val="right"/>
            </w:pPr>
            <w:r w:rsidRPr="003B4232">
              <w:t>-96 439 567</w:t>
            </w:r>
          </w:p>
        </w:tc>
        <w:tc>
          <w:tcPr>
            <w:tcW w:w="1132" w:type="dxa"/>
          </w:tcPr>
          <w:p w:rsidR="004E4E60" w:rsidRPr="00AB3F46" w:rsidRDefault="004E4E60" w:rsidP="00804D67">
            <w:pPr>
              <w:pStyle w:val="tabteksts"/>
              <w:jc w:val="right"/>
            </w:pPr>
            <w:r w:rsidRPr="003B4232">
              <w:t>339 313 655</w:t>
            </w:r>
          </w:p>
        </w:tc>
        <w:tc>
          <w:tcPr>
            <w:tcW w:w="1132" w:type="dxa"/>
          </w:tcPr>
          <w:p w:rsidR="004E4E60" w:rsidRPr="00AB3F46" w:rsidRDefault="004E4E60" w:rsidP="00804D67">
            <w:pPr>
              <w:pStyle w:val="tabteksts"/>
              <w:jc w:val="right"/>
            </w:pPr>
            <w:r w:rsidRPr="003B4232">
              <w:t>666 504 872</w:t>
            </w:r>
          </w:p>
        </w:tc>
      </w:tr>
      <w:tr w:rsidR="004E4E60" w:rsidRPr="00540EF8" w:rsidTr="00804D67">
        <w:trPr>
          <w:trHeight w:val="283"/>
          <w:jc w:val="center"/>
        </w:trPr>
        <w:tc>
          <w:tcPr>
            <w:tcW w:w="3378" w:type="dxa"/>
            <w:vAlign w:val="center"/>
          </w:tcPr>
          <w:p w:rsidR="004E4E60" w:rsidRPr="00540EF8" w:rsidRDefault="004E4E60" w:rsidP="00804D67">
            <w:pPr>
              <w:pStyle w:val="tabteksts"/>
            </w:pPr>
            <w:r w:rsidRPr="00540EF8">
              <w:rPr>
                <w:lang w:eastAsia="lv-LV"/>
              </w:rPr>
              <w:t>Kopējie izdevumi</w:t>
            </w:r>
            <w:r w:rsidRPr="00540EF8">
              <w:t>, % (+/–) pret iepriekšējo gadu</w:t>
            </w:r>
          </w:p>
        </w:tc>
        <w:tc>
          <w:tcPr>
            <w:tcW w:w="1131" w:type="dxa"/>
          </w:tcPr>
          <w:p w:rsidR="004E4E60" w:rsidRPr="00540EF8" w:rsidRDefault="004E4E60" w:rsidP="00804D67">
            <w:pPr>
              <w:pStyle w:val="tabteksts"/>
              <w:jc w:val="center"/>
            </w:pPr>
            <w:r w:rsidRPr="00540EF8">
              <w:rPr>
                <w:b/>
                <w:bCs/>
              </w:rPr>
              <w:t>×</w:t>
            </w:r>
          </w:p>
        </w:tc>
        <w:tc>
          <w:tcPr>
            <w:tcW w:w="1132" w:type="dxa"/>
          </w:tcPr>
          <w:p w:rsidR="004E4E60" w:rsidRPr="00540EF8" w:rsidRDefault="004E4E60" w:rsidP="00804D67">
            <w:pPr>
              <w:pStyle w:val="tabteksts"/>
              <w:jc w:val="center"/>
            </w:pPr>
            <w:r w:rsidRPr="00540EF8">
              <w:rPr>
                <w:b/>
                <w:bCs/>
              </w:rPr>
              <w:t>×</w:t>
            </w:r>
          </w:p>
        </w:tc>
        <w:tc>
          <w:tcPr>
            <w:tcW w:w="1132" w:type="dxa"/>
          </w:tcPr>
          <w:p w:rsidR="004E4E60" w:rsidRPr="00AB3F46" w:rsidRDefault="004E4E60" w:rsidP="00804D67">
            <w:pPr>
              <w:pStyle w:val="tabteksts"/>
              <w:jc w:val="right"/>
            </w:pPr>
            <w:r>
              <w:t>-76,8</w:t>
            </w:r>
          </w:p>
        </w:tc>
        <w:tc>
          <w:tcPr>
            <w:tcW w:w="1132" w:type="dxa"/>
          </w:tcPr>
          <w:p w:rsidR="004E4E60" w:rsidRPr="00AB3F46" w:rsidRDefault="004E4E60" w:rsidP="00804D67">
            <w:pPr>
              <w:pStyle w:val="tabteksts"/>
              <w:jc w:val="right"/>
            </w:pPr>
            <w:r>
              <w:t>1 163,8</w:t>
            </w:r>
          </w:p>
        </w:tc>
        <w:tc>
          <w:tcPr>
            <w:tcW w:w="1132" w:type="dxa"/>
          </w:tcPr>
          <w:p w:rsidR="004E4E60" w:rsidRPr="00AB3F46" w:rsidRDefault="004E4E60" w:rsidP="00804D67">
            <w:pPr>
              <w:pStyle w:val="tabteksts"/>
              <w:jc w:val="right"/>
            </w:pPr>
            <w:r>
              <w:t>180,9</w:t>
            </w:r>
          </w:p>
        </w:tc>
      </w:tr>
    </w:tbl>
    <w:p w:rsidR="00A87A1F" w:rsidRDefault="00A87A1F" w:rsidP="00AF7DA2">
      <w:pPr>
        <w:spacing w:before="240"/>
        <w:ind w:firstLine="720"/>
        <w:jc w:val="center"/>
        <w:rPr>
          <w:b/>
          <w:color w:val="000000" w:themeColor="text1"/>
          <w:lang w:eastAsia="lv-LV"/>
        </w:rPr>
      </w:pPr>
    </w:p>
    <w:p w:rsidR="004E4E60" w:rsidRPr="00540EF8" w:rsidRDefault="004E4E60" w:rsidP="00AF7DA2">
      <w:pPr>
        <w:spacing w:before="240"/>
        <w:ind w:firstLine="720"/>
        <w:jc w:val="center"/>
        <w:rPr>
          <w:b/>
          <w:color w:val="000000" w:themeColor="text1"/>
          <w:lang w:eastAsia="lv-LV"/>
        </w:rPr>
      </w:pPr>
      <w:bookmarkStart w:id="0" w:name="_GoBack"/>
      <w:bookmarkEnd w:id="0"/>
      <w:r w:rsidRPr="00540EF8">
        <w:rPr>
          <w:b/>
          <w:color w:val="000000" w:themeColor="text1"/>
          <w:lang w:eastAsia="lv-LV"/>
        </w:rPr>
        <w:lastRenderedPageBreak/>
        <w:t>Izmaiņas izdevumos, salīdzinot 201</w:t>
      </w:r>
      <w:r>
        <w:rPr>
          <w:b/>
          <w:color w:val="000000" w:themeColor="text1"/>
          <w:lang w:eastAsia="lv-LV"/>
        </w:rPr>
        <w:t>9</w:t>
      </w:r>
      <w:r w:rsidRPr="00540EF8">
        <w:rPr>
          <w:b/>
          <w:color w:val="000000" w:themeColor="text1"/>
          <w:lang w:eastAsia="lv-LV"/>
        </w:rPr>
        <w:t xml:space="preserve">. </w:t>
      </w:r>
      <w:r w:rsidR="003F087A">
        <w:rPr>
          <w:b/>
          <w:color w:val="000000" w:themeColor="text1"/>
          <w:lang w:eastAsia="lv-LV"/>
        </w:rPr>
        <w:t>gada plān</w:t>
      </w:r>
      <w:r>
        <w:rPr>
          <w:b/>
          <w:color w:val="000000" w:themeColor="text1"/>
          <w:lang w:eastAsia="lv-LV"/>
        </w:rPr>
        <w:t>u</w:t>
      </w:r>
      <w:r w:rsidRPr="00540EF8">
        <w:rPr>
          <w:b/>
          <w:color w:val="000000" w:themeColor="text1"/>
          <w:lang w:eastAsia="lv-LV"/>
        </w:rPr>
        <w:t xml:space="preserve"> ar 201</w:t>
      </w:r>
      <w:r>
        <w:rPr>
          <w:b/>
          <w:color w:val="000000" w:themeColor="text1"/>
          <w:lang w:eastAsia="lv-LV"/>
        </w:rPr>
        <w:t>8</w:t>
      </w:r>
      <w:r w:rsidRPr="00540EF8">
        <w:rPr>
          <w:b/>
          <w:color w:val="000000" w:themeColor="text1"/>
          <w:lang w:eastAsia="lv-LV"/>
        </w:rPr>
        <w:t>. gada plānu</w:t>
      </w:r>
    </w:p>
    <w:p w:rsidR="004E4E60" w:rsidRPr="00540EF8" w:rsidRDefault="004E4E60" w:rsidP="004E4E60">
      <w:pPr>
        <w:spacing w:after="0"/>
        <w:ind w:left="7921" w:firstLine="720"/>
        <w:jc w:val="center"/>
        <w:rPr>
          <w:i/>
          <w:sz w:val="18"/>
          <w:szCs w:val="18"/>
        </w:rPr>
      </w:pPr>
      <w:proofErr w:type="spellStart"/>
      <w:r>
        <w:rPr>
          <w:i/>
          <w:sz w:val="18"/>
          <w:szCs w:val="18"/>
        </w:rPr>
        <w:t>E</w:t>
      </w:r>
      <w:r w:rsidRPr="00540EF8">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E4E60" w:rsidRPr="00540EF8" w:rsidTr="00804D67">
        <w:trPr>
          <w:trHeight w:val="142"/>
          <w:tblHeader/>
          <w:jc w:val="center"/>
        </w:trPr>
        <w:tc>
          <w:tcPr>
            <w:tcW w:w="5241" w:type="dxa"/>
            <w:vAlign w:val="center"/>
          </w:tcPr>
          <w:p w:rsidR="004E4E60" w:rsidRPr="007E6643" w:rsidRDefault="004E4E60" w:rsidP="00804D67">
            <w:pPr>
              <w:pStyle w:val="tabteksts"/>
              <w:jc w:val="center"/>
              <w:rPr>
                <w:szCs w:val="18"/>
              </w:rPr>
            </w:pPr>
            <w:r w:rsidRPr="007E6643">
              <w:rPr>
                <w:color w:val="000000" w:themeColor="text1"/>
                <w:szCs w:val="18"/>
                <w:lang w:eastAsia="lv-LV"/>
              </w:rPr>
              <w:t>Pasākums</w:t>
            </w:r>
          </w:p>
        </w:tc>
        <w:tc>
          <w:tcPr>
            <w:tcW w:w="1277" w:type="dxa"/>
            <w:vAlign w:val="center"/>
          </w:tcPr>
          <w:p w:rsidR="004E4E60" w:rsidRPr="007E6643" w:rsidRDefault="004E4E60" w:rsidP="00804D67">
            <w:pPr>
              <w:pStyle w:val="tabteksts"/>
              <w:jc w:val="center"/>
              <w:rPr>
                <w:color w:val="000000" w:themeColor="text1"/>
                <w:szCs w:val="18"/>
                <w:lang w:eastAsia="lv-LV"/>
              </w:rPr>
            </w:pPr>
            <w:r w:rsidRPr="007E6643">
              <w:rPr>
                <w:color w:val="000000" w:themeColor="text1"/>
                <w:szCs w:val="18"/>
                <w:lang w:eastAsia="lv-LV"/>
              </w:rPr>
              <w:t>Samazinājums</w:t>
            </w:r>
          </w:p>
        </w:tc>
        <w:tc>
          <w:tcPr>
            <w:tcW w:w="1277" w:type="dxa"/>
            <w:vAlign w:val="center"/>
          </w:tcPr>
          <w:p w:rsidR="004E4E60" w:rsidRPr="007E6643" w:rsidRDefault="004E4E60" w:rsidP="00804D67">
            <w:pPr>
              <w:pStyle w:val="tabteksts"/>
              <w:jc w:val="center"/>
              <w:rPr>
                <w:color w:val="000000" w:themeColor="text1"/>
                <w:szCs w:val="18"/>
                <w:lang w:eastAsia="lv-LV"/>
              </w:rPr>
            </w:pPr>
            <w:r w:rsidRPr="007E6643">
              <w:rPr>
                <w:color w:val="000000" w:themeColor="text1"/>
                <w:szCs w:val="18"/>
                <w:lang w:eastAsia="lv-LV"/>
              </w:rPr>
              <w:t>Palielinājums</w:t>
            </w:r>
          </w:p>
        </w:tc>
        <w:tc>
          <w:tcPr>
            <w:tcW w:w="1277" w:type="dxa"/>
            <w:vAlign w:val="center"/>
          </w:tcPr>
          <w:p w:rsidR="004E4E60" w:rsidRPr="007E6643" w:rsidRDefault="004E4E60" w:rsidP="00804D67">
            <w:pPr>
              <w:pStyle w:val="tabteksts"/>
              <w:jc w:val="center"/>
              <w:rPr>
                <w:color w:val="000000" w:themeColor="text1"/>
                <w:szCs w:val="18"/>
                <w:lang w:eastAsia="lv-LV"/>
              </w:rPr>
            </w:pPr>
            <w:r w:rsidRPr="007E6643">
              <w:rPr>
                <w:color w:val="000000" w:themeColor="text1"/>
                <w:szCs w:val="18"/>
                <w:lang w:eastAsia="lv-LV"/>
              </w:rPr>
              <w:t>Izmaiņas</w:t>
            </w:r>
          </w:p>
        </w:tc>
      </w:tr>
      <w:tr w:rsidR="004E4E60" w:rsidRPr="00540EF8" w:rsidTr="00804D67">
        <w:trPr>
          <w:trHeight w:val="142"/>
          <w:jc w:val="center"/>
        </w:trPr>
        <w:tc>
          <w:tcPr>
            <w:tcW w:w="5241" w:type="dxa"/>
            <w:shd w:val="clear" w:color="auto" w:fill="D9D9D9" w:themeFill="background1" w:themeFillShade="D9"/>
          </w:tcPr>
          <w:p w:rsidR="004E4E60" w:rsidRPr="007E6643" w:rsidRDefault="004E4E60" w:rsidP="00804D67">
            <w:pPr>
              <w:pStyle w:val="tabteksts"/>
              <w:rPr>
                <w:szCs w:val="18"/>
              </w:rPr>
            </w:pPr>
            <w:r w:rsidRPr="007E6643">
              <w:rPr>
                <w:b/>
                <w:bCs/>
                <w:szCs w:val="18"/>
                <w:lang w:eastAsia="lv-LV"/>
              </w:rPr>
              <w:t>Izdevumi - kopā</w:t>
            </w:r>
          </w:p>
        </w:tc>
        <w:tc>
          <w:tcPr>
            <w:tcW w:w="1277" w:type="dxa"/>
            <w:shd w:val="clear" w:color="auto" w:fill="D9D9D9" w:themeFill="background1" w:themeFillShade="D9"/>
          </w:tcPr>
          <w:p w:rsidR="004E4E60" w:rsidRPr="007E6643" w:rsidRDefault="004E4E60" w:rsidP="00804D67">
            <w:pPr>
              <w:pStyle w:val="tabteksts"/>
              <w:tabs>
                <w:tab w:val="center" w:pos="530"/>
                <w:tab w:val="right" w:pos="1061"/>
              </w:tabs>
              <w:rPr>
                <w:b/>
                <w:szCs w:val="18"/>
              </w:rPr>
            </w:pPr>
            <w:r>
              <w:rPr>
                <w:b/>
                <w:szCs w:val="18"/>
              </w:rPr>
              <w:tab/>
              <w:t>274 531 422</w:t>
            </w:r>
          </w:p>
        </w:tc>
        <w:tc>
          <w:tcPr>
            <w:tcW w:w="1277" w:type="dxa"/>
            <w:shd w:val="clear" w:color="auto" w:fill="D9D9D9" w:themeFill="background1" w:themeFillShade="D9"/>
          </w:tcPr>
          <w:p w:rsidR="004E4E60" w:rsidRPr="007E6643" w:rsidRDefault="004E4E60" w:rsidP="00804D67">
            <w:pPr>
              <w:pStyle w:val="tabteksts"/>
              <w:jc w:val="center"/>
              <w:rPr>
                <w:b/>
                <w:szCs w:val="18"/>
              </w:rPr>
            </w:pPr>
            <w:r>
              <w:rPr>
                <w:b/>
                <w:szCs w:val="18"/>
              </w:rPr>
              <w:t>178 091 855</w:t>
            </w:r>
          </w:p>
        </w:tc>
        <w:tc>
          <w:tcPr>
            <w:tcW w:w="1277" w:type="dxa"/>
            <w:shd w:val="clear" w:color="auto" w:fill="D9D9D9" w:themeFill="background1" w:themeFillShade="D9"/>
          </w:tcPr>
          <w:p w:rsidR="004E4E60" w:rsidRPr="007E6643" w:rsidRDefault="004E4E60" w:rsidP="00804D67">
            <w:pPr>
              <w:pStyle w:val="tabteksts"/>
              <w:jc w:val="right"/>
              <w:rPr>
                <w:b/>
                <w:szCs w:val="18"/>
              </w:rPr>
            </w:pPr>
            <w:r w:rsidRPr="007E6643">
              <w:rPr>
                <w:b/>
                <w:szCs w:val="18"/>
              </w:rPr>
              <w:t>-96 439 567</w:t>
            </w:r>
          </w:p>
        </w:tc>
      </w:tr>
      <w:tr w:rsidR="004E4E60" w:rsidRPr="00540EF8" w:rsidTr="00804D67">
        <w:trPr>
          <w:trHeight w:val="142"/>
          <w:jc w:val="center"/>
        </w:trPr>
        <w:tc>
          <w:tcPr>
            <w:tcW w:w="5241" w:type="dxa"/>
            <w:shd w:val="clear" w:color="auto" w:fill="F2F2F2" w:themeFill="background1" w:themeFillShade="F2"/>
            <w:vAlign w:val="center"/>
          </w:tcPr>
          <w:p w:rsidR="004E4E60" w:rsidRPr="007E6643" w:rsidRDefault="004E4E60" w:rsidP="00804D67">
            <w:pPr>
              <w:pStyle w:val="tabteksts"/>
              <w:rPr>
                <w:szCs w:val="18"/>
                <w:u w:val="single"/>
                <w:lang w:eastAsia="lv-LV"/>
              </w:rPr>
            </w:pPr>
            <w:r w:rsidRPr="007E6643">
              <w:rPr>
                <w:szCs w:val="18"/>
                <w:u w:val="single"/>
                <w:lang w:eastAsia="lv-LV"/>
              </w:rPr>
              <w:t>Ilgtermiņa saistības</w:t>
            </w:r>
          </w:p>
        </w:tc>
        <w:tc>
          <w:tcPr>
            <w:tcW w:w="1277" w:type="dxa"/>
            <w:shd w:val="clear" w:color="auto" w:fill="F2F2F2" w:themeFill="background1" w:themeFillShade="F2"/>
          </w:tcPr>
          <w:p w:rsidR="004E4E60" w:rsidRPr="007E6643" w:rsidRDefault="004E4E60" w:rsidP="00804D67">
            <w:pPr>
              <w:pStyle w:val="tabteksts"/>
              <w:jc w:val="right"/>
              <w:rPr>
                <w:szCs w:val="18"/>
                <w:u w:val="single"/>
              </w:rPr>
            </w:pPr>
          </w:p>
        </w:tc>
        <w:tc>
          <w:tcPr>
            <w:tcW w:w="1277" w:type="dxa"/>
            <w:shd w:val="clear" w:color="auto" w:fill="F2F2F2" w:themeFill="background1" w:themeFillShade="F2"/>
          </w:tcPr>
          <w:p w:rsidR="004E4E60" w:rsidRPr="007E6643" w:rsidRDefault="004E4E60" w:rsidP="00804D67">
            <w:pPr>
              <w:pStyle w:val="tabteksts"/>
              <w:jc w:val="center"/>
              <w:rPr>
                <w:szCs w:val="18"/>
                <w:u w:val="single"/>
              </w:rPr>
            </w:pPr>
          </w:p>
        </w:tc>
        <w:tc>
          <w:tcPr>
            <w:tcW w:w="1277" w:type="dxa"/>
            <w:shd w:val="clear" w:color="auto" w:fill="F2F2F2" w:themeFill="background1" w:themeFillShade="F2"/>
          </w:tcPr>
          <w:p w:rsidR="004E4E60" w:rsidRPr="007E6643" w:rsidRDefault="004E4E60" w:rsidP="00804D67">
            <w:pPr>
              <w:pStyle w:val="tabteksts"/>
              <w:jc w:val="right"/>
              <w:rPr>
                <w:szCs w:val="18"/>
                <w:u w:val="single"/>
              </w:rPr>
            </w:pPr>
          </w:p>
        </w:tc>
      </w:tr>
      <w:tr w:rsidR="004E4E60" w:rsidRPr="00540EF8" w:rsidTr="00804D67">
        <w:trPr>
          <w:trHeight w:val="142"/>
          <w:jc w:val="center"/>
        </w:trPr>
        <w:tc>
          <w:tcPr>
            <w:tcW w:w="5241" w:type="dxa"/>
          </w:tcPr>
          <w:p w:rsidR="004E4E60" w:rsidRPr="007E6643" w:rsidRDefault="004E4E60" w:rsidP="00804D67">
            <w:pPr>
              <w:pStyle w:val="tabteksts"/>
              <w:rPr>
                <w:i/>
                <w:szCs w:val="18"/>
                <w:lang w:eastAsia="lv-LV"/>
              </w:rPr>
            </w:pPr>
            <w:r w:rsidRPr="007E6643">
              <w:rPr>
                <w:i/>
                <w:szCs w:val="18"/>
                <w:lang w:eastAsia="lv-LV"/>
              </w:rPr>
              <w:t xml:space="preserve">Pārdalīts finansējums </w:t>
            </w:r>
            <w:r>
              <w:rPr>
                <w:i/>
                <w:iCs/>
                <w:szCs w:val="18"/>
              </w:rPr>
              <w:t xml:space="preserve">ES politikas instrumentu un pārējās ārvalstu finanšu palīdzības projektu īstenošanai no/ uz budžeta resoriem </w:t>
            </w:r>
            <w:r w:rsidRPr="007E6643">
              <w:rPr>
                <w:i/>
                <w:szCs w:val="18"/>
                <w:lang w:eastAsia="lv-LV"/>
              </w:rPr>
              <w:t>atbilstoši Finanšu ministrijas rīkojumiem (FM rīkojums Nr. 28, Nr. 34, Nr. 35, Nr. 54)</w:t>
            </w:r>
          </w:p>
        </w:tc>
        <w:tc>
          <w:tcPr>
            <w:tcW w:w="1277" w:type="dxa"/>
          </w:tcPr>
          <w:p w:rsidR="004E4E60" w:rsidRPr="007E6643" w:rsidRDefault="004E4E60" w:rsidP="00804D67">
            <w:pPr>
              <w:pStyle w:val="tabteksts"/>
              <w:jc w:val="right"/>
              <w:rPr>
                <w:szCs w:val="18"/>
              </w:rPr>
            </w:pPr>
            <w:r w:rsidRPr="007E6643">
              <w:rPr>
                <w:szCs w:val="18"/>
              </w:rPr>
              <w:t>46 399 529</w:t>
            </w:r>
          </w:p>
        </w:tc>
        <w:tc>
          <w:tcPr>
            <w:tcW w:w="1277" w:type="dxa"/>
          </w:tcPr>
          <w:p w:rsidR="004E4E60" w:rsidRPr="007E6643" w:rsidRDefault="004E4E60" w:rsidP="00804D67">
            <w:pPr>
              <w:pStyle w:val="tabteksts"/>
              <w:jc w:val="center"/>
              <w:rPr>
                <w:szCs w:val="18"/>
              </w:rPr>
            </w:pPr>
            <w:r w:rsidRPr="007E6643">
              <w:rPr>
                <w:szCs w:val="18"/>
              </w:rPr>
              <w:t>-</w:t>
            </w:r>
          </w:p>
        </w:tc>
        <w:tc>
          <w:tcPr>
            <w:tcW w:w="1277" w:type="dxa"/>
          </w:tcPr>
          <w:p w:rsidR="004E4E60" w:rsidRPr="007E6643" w:rsidRDefault="002B5093" w:rsidP="00804D67">
            <w:pPr>
              <w:pStyle w:val="tabteksts"/>
              <w:jc w:val="right"/>
              <w:rPr>
                <w:szCs w:val="18"/>
              </w:rPr>
            </w:pPr>
            <w:r>
              <w:rPr>
                <w:szCs w:val="18"/>
              </w:rPr>
              <w:t>-</w:t>
            </w:r>
            <w:r w:rsidR="004E4E60" w:rsidRPr="007E6643">
              <w:rPr>
                <w:szCs w:val="18"/>
              </w:rPr>
              <w:t>46 399 529</w:t>
            </w:r>
          </w:p>
        </w:tc>
      </w:tr>
      <w:tr w:rsidR="004E4E60" w:rsidRPr="00540EF8" w:rsidTr="00804D67">
        <w:trPr>
          <w:trHeight w:val="142"/>
          <w:jc w:val="center"/>
        </w:trPr>
        <w:tc>
          <w:tcPr>
            <w:tcW w:w="5241" w:type="dxa"/>
          </w:tcPr>
          <w:p w:rsidR="004E4E60" w:rsidRPr="002C075E" w:rsidRDefault="004E4E60" w:rsidP="00804D67">
            <w:pPr>
              <w:pStyle w:val="Default"/>
              <w:rPr>
                <w:i/>
                <w:iCs/>
                <w:color w:val="auto"/>
                <w:sz w:val="18"/>
                <w:szCs w:val="18"/>
              </w:rPr>
            </w:pPr>
            <w:r w:rsidRPr="002C075E">
              <w:rPr>
                <w:i/>
                <w:iCs/>
                <w:color w:val="auto"/>
                <w:sz w:val="18"/>
                <w:szCs w:val="18"/>
              </w:rPr>
              <w:t>Palielināts finansējums atbilstoši aktualizētajām prognozēm</w:t>
            </w:r>
          </w:p>
        </w:tc>
        <w:tc>
          <w:tcPr>
            <w:tcW w:w="1277" w:type="dxa"/>
          </w:tcPr>
          <w:p w:rsidR="004E4E60" w:rsidRPr="002C075E" w:rsidRDefault="004E4E60" w:rsidP="00804D67">
            <w:pPr>
              <w:pStyle w:val="tabteksts"/>
              <w:jc w:val="right"/>
              <w:rPr>
                <w:szCs w:val="18"/>
              </w:rPr>
            </w:pPr>
          </w:p>
        </w:tc>
        <w:tc>
          <w:tcPr>
            <w:tcW w:w="1277" w:type="dxa"/>
          </w:tcPr>
          <w:p w:rsidR="004E4E60" w:rsidRPr="002C075E" w:rsidRDefault="004E4E60" w:rsidP="007E1275">
            <w:pPr>
              <w:pStyle w:val="tabteksts"/>
              <w:jc w:val="right"/>
              <w:rPr>
                <w:szCs w:val="18"/>
              </w:rPr>
            </w:pPr>
            <w:r w:rsidRPr="002C075E">
              <w:rPr>
                <w:szCs w:val="18"/>
              </w:rPr>
              <w:t>177 698 108</w:t>
            </w:r>
          </w:p>
        </w:tc>
        <w:tc>
          <w:tcPr>
            <w:tcW w:w="1277" w:type="dxa"/>
          </w:tcPr>
          <w:p w:rsidR="004E4E60" w:rsidRPr="002C075E" w:rsidRDefault="004E4E60" w:rsidP="00804D67">
            <w:pPr>
              <w:pStyle w:val="tabteksts"/>
              <w:jc w:val="right"/>
              <w:rPr>
                <w:szCs w:val="18"/>
              </w:rPr>
            </w:pPr>
            <w:r w:rsidRPr="002C075E">
              <w:rPr>
                <w:szCs w:val="18"/>
              </w:rPr>
              <w:t>177 698 108</w:t>
            </w:r>
          </w:p>
        </w:tc>
      </w:tr>
      <w:tr w:rsidR="004E4E60" w:rsidRPr="00540EF8" w:rsidTr="00804D67">
        <w:trPr>
          <w:trHeight w:val="142"/>
          <w:jc w:val="center"/>
        </w:trPr>
        <w:tc>
          <w:tcPr>
            <w:tcW w:w="5241" w:type="dxa"/>
          </w:tcPr>
          <w:p w:rsidR="004E4E60" w:rsidRPr="00A079B9" w:rsidRDefault="004E4E60" w:rsidP="00804D67">
            <w:pPr>
              <w:pStyle w:val="Default"/>
              <w:rPr>
                <w:sz w:val="18"/>
                <w:szCs w:val="18"/>
              </w:rPr>
            </w:pPr>
            <w:r>
              <w:rPr>
                <w:i/>
                <w:iCs/>
                <w:sz w:val="18"/>
                <w:szCs w:val="18"/>
              </w:rPr>
              <w:t>Pārdalīts finansējums ES politikas instrumentu un pārējās ārvalstu finanšu palīdzības projektu īstenošanai no/ uz budžeta resoriem (</w:t>
            </w:r>
            <w:r w:rsidRPr="00A079B9">
              <w:rPr>
                <w:i/>
                <w:iCs/>
                <w:sz w:val="18"/>
                <w:szCs w:val="18"/>
              </w:rPr>
              <w:t>MK 05.02.2019. prot. Nr.5 30.§ 20.2.punkts un MK 10.04.2018. prot. Nr.19 36.§ 30.punkts</w:t>
            </w:r>
            <w:r>
              <w:rPr>
                <w:i/>
                <w:iCs/>
                <w:sz w:val="18"/>
                <w:szCs w:val="18"/>
              </w:rPr>
              <w:t>)</w:t>
            </w:r>
          </w:p>
        </w:tc>
        <w:tc>
          <w:tcPr>
            <w:tcW w:w="1277" w:type="dxa"/>
          </w:tcPr>
          <w:p w:rsidR="004E4E60" w:rsidRPr="005E6E4B" w:rsidRDefault="004E4E60" w:rsidP="00804D67">
            <w:pPr>
              <w:pStyle w:val="tabteksts"/>
              <w:jc w:val="right"/>
              <w:rPr>
                <w:szCs w:val="18"/>
              </w:rPr>
            </w:pPr>
            <w:r w:rsidRPr="005E6E4B">
              <w:rPr>
                <w:szCs w:val="18"/>
              </w:rPr>
              <w:t>227 334 433</w:t>
            </w:r>
          </w:p>
          <w:p w:rsidR="004E4E60" w:rsidRDefault="004E4E60" w:rsidP="00804D67">
            <w:pPr>
              <w:pStyle w:val="tabteksts"/>
              <w:jc w:val="right"/>
              <w:rPr>
                <w:szCs w:val="18"/>
              </w:rPr>
            </w:pPr>
          </w:p>
          <w:p w:rsidR="004E4E60" w:rsidRPr="007E6643" w:rsidRDefault="004E4E60" w:rsidP="00804D67">
            <w:pPr>
              <w:pStyle w:val="tabteksts"/>
              <w:jc w:val="right"/>
              <w:rPr>
                <w:szCs w:val="18"/>
              </w:rPr>
            </w:pPr>
          </w:p>
        </w:tc>
        <w:tc>
          <w:tcPr>
            <w:tcW w:w="1277" w:type="dxa"/>
          </w:tcPr>
          <w:p w:rsidR="004E4E60" w:rsidRPr="007E6643" w:rsidRDefault="004E4E60" w:rsidP="00804D67">
            <w:pPr>
              <w:pStyle w:val="tabteksts"/>
              <w:jc w:val="center"/>
              <w:rPr>
                <w:szCs w:val="18"/>
              </w:rPr>
            </w:pPr>
            <w:r>
              <w:rPr>
                <w:szCs w:val="18"/>
              </w:rPr>
              <w:t>-</w:t>
            </w:r>
          </w:p>
        </w:tc>
        <w:tc>
          <w:tcPr>
            <w:tcW w:w="1277" w:type="dxa"/>
          </w:tcPr>
          <w:p w:rsidR="004E4E60" w:rsidRPr="007E6643" w:rsidRDefault="002B5093" w:rsidP="00804D67">
            <w:pPr>
              <w:pStyle w:val="tabteksts"/>
              <w:jc w:val="right"/>
              <w:rPr>
                <w:szCs w:val="18"/>
              </w:rPr>
            </w:pPr>
            <w:r>
              <w:rPr>
                <w:szCs w:val="18"/>
              </w:rPr>
              <w:t>-</w:t>
            </w:r>
            <w:r w:rsidR="004E4E60" w:rsidRPr="005E6E4B">
              <w:rPr>
                <w:szCs w:val="18"/>
              </w:rPr>
              <w:t>227 334</w:t>
            </w:r>
            <w:r w:rsidR="004E4E60">
              <w:rPr>
                <w:szCs w:val="18"/>
              </w:rPr>
              <w:t> </w:t>
            </w:r>
            <w:r w:rsidR="004E4E60" w:rsidRPr="005E6E4B">
              <w:rPr>
                <w:szCs w:val="18"/>
              </w:rPr>
              <w:t>433</w:t>
            </w:r>
          </w:p>
        </w:tc>
      </w:tr>
      <w:tr w:rsidR="004E4E60" w:rsidRPr="00540EF8" w:rsidTr="00804D67">
        <w:trPr>
          <w:trHeight w:val="142"/>
          <w:jc w:val="center"/>
        </w:trPr>
        <w:tc>
          <w:tcPr>
            <w:tcW w:w="5241" w:type="dxa"/>
          </w:tcPr>
          <w:p w:rsidR="004E4E60" w:rsidRPr="007E6643" w:rsidRDefault="004E4E60" w:rsidP="00804D67">
            <w:pPr>
              <w:pStyle w:val="tabteksts"/>
              <w:rPr>
                <w:i/>
                <w:szCs w:val="18"/>
                <w:lang w:eastAsia="lv-LV"/>
              </w:rPr>
            </w:pPr>
            <w:r w:rsidRPr="007E6643">
              <w:rPr>
                <w:i/>
                <w:szCs w:val="18"/>
                <w:lang w:eastAsia="lv-LV"/>
              </w:rPr>
              <w:t>Pārdalīts finansējums Aizsardzības ministrijai, NATO investīciju projekta "Infrastruktūras nodrošināšana sabiedroto uzņemšanai" īstenošanai (MK 05.02.2019. prot. Nr.5 30.§ 19.1.punkts)</w:t>
            </w:r>
          </w:p>
        </w:tc>
        <w:tc>
          <w:tcPr>
            <w:tcW w:w="1277" w:type="dxa"/>
          </w:tcPr>
          <w:p w:rsidR="004E4E60" w:rsidRPr="007E6643" w:rsidRDefault="004E4E60" w:rsidP="00804D67">
            <w:pPr>
              <w:pStyle w:val="tabteksts"/>
              <w:jc w:val="right"/>
              <w:rPr>
                <w:szCs w:val="18"/>
              </w:rPr>
            </w:pPr>
            <w:r w:rsidRPr="007E6643">
              <w:rPr>
                <w:szCs w:val="18"/>
              </w:rPr>
              <w:t>797 460</w:t>
            </w:r>
          </w:p>
        </w:tc>
        <w:tc>
          <w:tcPr>
            <w:tcW w:w="1277" w:type="dxa"/>
          </w:tcPr>
          <w:p w:rsidR="004E4E60" w:rsidRPr="007E6643" w:rsidRDefault="004E4E60" w:rsidP="00804D67">
            <w:pPr>
              <w:pStyle w:val="tabteksts"/>
              <w:jc w:val="center"/>
              <w:rPr>
                <w:szCs w:val="18"/>
              </w:rPr>
            </w:pPr>
            <w:r w:rsidRPr="007E6643">
              <w:rPr>
                <w:szCs w:val="18"/>
              </w:rPr>
              <w:t>-</w:t>
            </w:r>
          </w:p>
        </w:tc>
        <w:tc>
          <w:tcPr>
            <w:tcW w:w="1277" w:type="dxa"/>
          </w:tcPr>
          <w:p w:rsidR="004E4E60" w:rsidRPr="007E6643" w:rsidRDefault="002B5093" w:rsidP="00804D67">
            <w:pPr>
              <w:pStyle w:val="tabteksts"/>
              <w:jc w:val="right"/>
              <w:rPr>
                <w:szCs w:val="18"/>
              </w:rPr>
            </w:pPr>
            <w:r>
              <w:rPr>
                <w:szCs w:val="18"/>
              </w:rPr>
              <w:t>-</w:t>
            </w:r>
            <w:r w:rsidR="004E4E60">
              <w:rPr>
                <w:szCs w:val="18"/>
              </w:rPr>
              <w:t>797 460</w:t>
            </w:r>
          </w:p>
        </w:tc>
      </w:tr>
      <w:tr w:rsidR="004E4E60" w:rsidRPr="00540EF8" w:rsidTr="00804D67">
        <w:trPr>
          <w:trHeight w:val="142"/>
          <w:jc w:val="center"/>
        </w:trPr>
        <w:tc>
          <w:tcPr>
            <w:tcW w:w="5241" w:type="dxa"/>
          </w:tcPr>
          <w:p w:rsidR="004E4E60" w:rsidRPr="007E6643" w:rsidRDefault="004E4E60" w:rsidP="00804D67">
            <w:pPr>
              <w:pStyle w:val="tabteksts"/>
              <w:rPr>
                <w:i/>
                <w:szCs w:val="18"/>
                <w:lang w:eastAsia="lv-LV"/>
              </w:rPr>
            </w:pPr>
            <w:r w:rsidRPr="007E6643">
              <w:rPr>
                <w:i/>
                <w:szCs w:val="18"/>
                <w:lang w:eastAsia="lv-LV"/>
              </w:rPr>
              <w:t>Pārdalīts finansējums no Vides aizsardzības un reģionālās attīstības ministrijas apakšprogrammas 33.01.00 "Emisijas kvotu izsolīšanas instrumenta administrācija" (MK 05.02.2019. prot. Nr.5 33.§ 15.punkts)</w:t>
            </w:r>
          </w:p>
        </w:tc>
        <w:tc>
          <w:tcPr>
            <w:tcW w:w="1277" w:type="dxa"/>
          </w:tcPr>
          <w:p w:rsidR="004E4E60" w:rsidRPr="007E6643" w:rsidRDefault="004E4E60" w:rsidP="00804D67">
            <w:pPr>
              <w:pStyle w:val="tabteksts"/>
              <w:jc w:val="center"/>
              <w:rPr>
                <w:szCs w:val="18"/>
              </w:rPr>
            </w:pPr>
            <w:r>
              <w:rPr>
                <w:szCs w:val="18"/>
              </w:rPr>
              <w:t>-</w:t>
            </w:r>
          </w:p>
        </w:tc>
        <w:tc>
          <w:tcPr>
            <w:tcW w:w="1277" w:type="dxa"/>
          </w:tcPr>
          <w:p w:rsidR="004E4E60" w:rsidRPr="007E6643" w:rsidRDefault="004E4E60" w:rsidP="00804D67">
            <w:pPr>
              <w:pStyle w:val="tabteksts"/>
              <w:jc w:val="right"/>
              <w:rPr>
                <w:szCs w:val="18"/>
              </w:rPr>
            </w:pPr>
            <w:r w:rsidRPr="007E6643">
              <w:rPr>
                <w:szCs w:val="18"/>
              </w:rPr>
              <w:t>393 747</w:t>
            </w:r>
          </w:p>
        </w:tc>
        <w:tc>
          <w:tcPr>
            <w:tcW w:w="1277" w:type="dxa"/>
          </w:tcPr>
          <w:p w:rsidR="004E4E60" w:rsidRPr="007E6643" w:rsidRDefault="004E4E60" w:rsidP="00804D67">
            <w:pPr>
              <w:pStyle w:val="tabteksts"/>
              <w:jc w:val="right"/>
              <w:rPr>
                <w:szCs w:val="18"/>
              </w:rPr>
            </w:pPr>
            <w:r w:rsidRPr="007E6643">
              <w:rPr>
                <w:szCs w:val="18"/>
              </w:rPr>
              <w:t>393 747</w:t>
            </w:r>
          </w:p>
        </w:tc>
      </w:tr>
    </w:tbl>
    <w:p w:rsidR="0088325C" w:rsidRPr="00E84D7E" w:rsidRDefault="0088325C" w:rsidP="004E4E60">
      <w:pPr>
        <w:ind w:firstLine="0"/>
        <w:rPr>
          <w:szCs w:val="24"/>
          <w:highlight w:val="yellow"/>
          <w:lang w:eastAsia="lv-LV"/>
        </w:rPr>
      </w:pPr>
    </w:p>
    <w:sectPr w:rsidR="0088325C" w:rsidRPr="00E84D7E" w:rsidSect="00DE10FE">
      <w:headerReference w:type="default" r:id="rId9"/>
      <w:footerReference w:type="default" r:id="rId10"/>
      <w:pgSz w:w="11906" w:h="16838"/>
      <w:pgMar w:top="1418" w:right="1134" w:bottom="1134" w:left="1701" w:header="709" w:footer="709" w:gutter="0"/>
      <w:pgNumType w:start="9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49" w:rsidRDefault="000D7B49" w:rsidP="005F0727">
      <w:r>
        <w:separator/>
      </w:r>
    </w:p>
  </w:endnote>
  <w:endnote w:type="continuationSeparator" w:id="0">
    <w:p w:rsidR="000D7B49" w:rsidRDefault="000D7B49"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FD" w:rsidRPr="00046457" w:rsidRDefault="00046457" w:rsidP="00046457">
    <w:pPr>
      <w:pStyle w:val="Footer"/>
      <w:ind w:firstLine="0"/>
      <w:rPr>
        <w:sz w:val="20"/>
      </w:rPr>
    </w:pPr>
    <w:r w:rsidRPr="00046457">
      <w:rPr>
        <w:sz w:val="20"/>
      </w:rPr>
      <w:fldChar w:fldCharType="begin"/>
    </w:r>
    <w:r w:rsidRPr="00046457">
      <w:rPr>
        <w:sz w:val="20"/>
      </w:rPr>
      <w:instrText xml:space="preserve"> FILENAME \* MERGEFORMAT </w:instrText>
    </w:r>
    <w:r w:rsidRPr="00046457">
      <w:rPr>
        <w:sz w:val="20"/>
      </w:rPr>
      <w:fldChar w:fldCharType="separate"/>
    </w:r>
    <w:r w:rsidR="006F0D34">
      <w:rPr>
        <w:noProof/>
        <w:sz w:val="20"/>
      </w:rPr>
      <w:t>FMPask_L_74res_090519_bud2019</w:t>
    </w:r>
    <w:r w:rsidRPr="00046457">
      <w:rPr>
        <w:sz w:val="20"/>
      </w:rPr>
      <w:fldChar w:fldCharType="end"/>
    </w:r>
    <w:r w:rsidR="006F0D34" w:rsidRPr="0004645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49" w:rsidRDefault="000D7B49" w:rsidP="00E81CF6">
      <w:pPr>
        <w:spacing w:after="0"/>
        <w:ind w:firstLine="0"/>
      </w:pPr>
      <w:r>
        <w:separator/>
      </w:r>
    </w:p>
  </w:footnote>
  <w:footnote w:type="continuationSeparator" w:id="0">
    <w:p w:rsidR="000D7B49" w:rsidRDefault="000D7B49"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FD" w:rsidRPr="00094CCE" w:rsidRDefault="00B56BFD"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A87A1F">
      <w:rPr>
        <w:noProof/>
        <w:szCs w:val="24"/>
      </w:rPr>
      <w:t>929</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00F89"/>
    <w:multiLevelType w:val="hybridMultilevel"/>
    <w:tmpl w:val="BFB63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25C5F"/>
    <w:multiLevelType w:val="hybridMultilevel"/>
    <w:tmpl w:val="5BD687C8"/>
    <w:lvl w:ilvl="0" w:tplc="88EEAB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BB56229"/>
    <w:multiLevelType w:val="multilevel"/>
    <w:tmpl w:val="F0021C88"/>
    <w:lvl w:ilvl="0">
      <w:start w:val="1"/>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400" w:hanging="108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200" w:hanging="1440"/>
      </w:pPr>
      <w:rPr>
        <w:rFonts w:eastAsia="Times New Roman" w:hint="default"/>
        <w:b/>
      </w:r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0E26DC5"/>
    <w:multiLevelType w:val="hybridMultilevel"/>
    <w:tmpl w:val="44445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13956"/>
    <w:multiLevelType w:val="hybridMultilevel"/>
    <w:tmpl w:val="11ECCD3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702655D"/>
    <w:multiLevelType w:val="hybridMultilevel"/>
    <w:tmpl w:val="E1925230"/>
    <w:lvl w:ilvl="0" w:tplc="CAFA7F82">
      <w:start w:val="1"/>
      <w:numFmt w:val="bullet"/>
      <w:lvlText w:val=""/>
      <w:lvlJc w:val="left"/>
      <w:pPr>
        <w:ind w:left="144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6E0D4F"/>
    <w:multiLevelType w:val="hybridMultilevel"/>
    <w:tmpl w:val="F244B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77368D"/>
    <w:multiLevelType w:val="multilevel"/>
    <w:tmpl w:val="1FCC48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37" w:hanging="360"/>
      </w:pPr>
      <w:rPr>
        <w:rFonts w:ascii="Times New Roman" w:eastAsia="Times New Roman" w:hAnsi="Times New Roman" w:cs="Times New Roman"/>
      </w:rPr>
    </w:lvl>
    <w:lvl w:ilvl="2">
      <w:start w:val="1"/>
      <w:numFmt w:val="decimal"/>
      <w:isLgl/>
      <w:lvlText w:val="%1.%2.%3."/>
      <w:lvlJc w:val="left"/>
      <w:pPr>
        <w:ind w:left="2514" w:hanging="720"/>
      </w:pPr>
      <w:rPr>
        <w:rFonts w:hint="default"/>
      </w:rPr>
    </w:lvl>
    <w:lvl w:ilvl="3">
      <w:start w:val="1"/>
      <w:numFmt w:val="decimal"/>
      <w:isLgl/>
      <w:lvlText w:val="%1.%2.%3.%4."/>
      <w:lvlJc w:val="left"/>
      <w:pPr>
        <w:ind w:left="3231" w:hanging="72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6819" w:hanging="1440"/>
      </w:pPr>
      <w:rPr>
        <w:rFonts w:hint="default"/>
      </w:rPr>
    </w:lvl>
    <w:lvl w:ilvl="8">
      <w:start w:val="1"/>
      <w:numFmt w:val="decimal"/>
      <w:isLgl/>
      <w:lvlText w:val="%1.%2.%3.%4.%5.%6.%7.%8.%9."/>
      <w:lvlJc w:val="left"/>
      <w:pPr>
        <w:ind w:left="7896" w:hanging="1800"/>
      </w:pPr>
      <w:rPr>
        <w:rFonts w:hint="default"/>
      </w:rPr>
    </w:lvl>
  </w:abstractNum>
  <w:abstractNum w:abstractNumId="10" w15:restartNumberingAfterBreak="0">
    <w:nsid w:val="1EA54F0A"/>
    <w:multiLevelType w:val="hybridMultilevel"/>
    <w:tmpl w:val="13529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2234BF5"/>
    <w:multiLevelType w:val="singleLevel"/>
    <w:tmpl w:val="A5C4CC46"/>
    <w:lvl w:ilvl="0">
      <w:start w:val="1"/>
      <w:numFmt w:val="decimal"/>
      <w:lvlText w:val="%1)"/>
      <w:lvlJc w:val="left"/>
      <w:pPr>
        <w:tabs>
          <w:tab w:val="num" w:pos="0"/>
        </w:tabs>
        <w:ind w:left="720" w:hanging="360"/>
      </w:pPr>
      <w:rPr>
        <w:rFonts w:ascii="Times New Roman" w:eastAsia="Times New Roman" w:hAnsi="Times New Roman" w:cs="Times New Roman"/>
        <w:sz w:val="18"/>
      </w:rPr>
    </w:lvl>
  </w:abstractNum>
  <w:abstractNum w:abstractNumId="13"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EE3C5E"/>
    <w:multiLevelType w:val="multilevel"/>
    <w:tmpl w:val="68E0B16C"/>
    <w:lvl w:ilvl="0">
      <w:start w:val="1"/>
      <w:numFmt w:val="decimal"/>
      <w:lvlText w:val="%1)"/>
      <w:lvlJc w:val="left"/>
      <w:pPr>
        <w:ind w:left="360" w:hanging="360"/>
      </w:p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15" w15:restartNumberingAfterBreak="0">
    <w:nsid w:val="2D6E7E2C"/>
    <w:multiLevelType w:val="hybridMultilevel"/>
    <w:tmpl w:val="96F0F6CE"/>
    <w:lvl w:ilvl="0" w:tplc="3D1E14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ECC05BC"/>
    <w:multiLevelType w:val="hybridMultilevel"/>
    <w:tmpl w:val="E83AA566"/>
    <w:lvl w:ilvl="0" w:tplc="00480C44">
      <w:start w:val="3"/>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DBE5F8B"/>
    <w:multiLevelType w:val="hybridMultilevel"/>
    <w:tmpl w:val="69904B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ECA02AE"/>
    <w:multiLevelType w:val="hybridMultilevel"/>
    <w:tmpl w:val="DEB676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8F13EA"/>
    <w:multiLevelType w:val="multilevel"/>
    <w:tmpl w:val="62B42BA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3" w15:restartNumberingAfterBreak="0">
    <w:nsid w:val="42155483"/>
    <w:multiLevelType w:val="hybridMultilevel"/>
    <w:tmpl w:val="CBC02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3805694"/>
    <w:multiLevelType w:val="hybridMultilevel"/>
    <w:tmpl w:val="701073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EA286D"/>
    <w:multiLevelType w:val="hybridMultilevel"/>
    <w:tmpl w:val="BDF4E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A207EF"/>
    <w:multiLevelType w:val="hybridMultilevel"/>
    <w:tmpl w:val="22B6239A"/>
    <w:lvl w:ilvl="0" w:tplc="48626DD6">
      <w:start w:val="3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A556C80"/>
    <w:multiLevelType w:val="hybridMultilevel"/>
    <w:tmpl w:val="BC127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3A560C"/>
    <w:multiLevelType w:val="hybridMultilevel"/>
    <w:tmpl w:val="1082C0D2"/>
    <w:lvl w:ilvl="0" w:tplc="54C6B60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2C81BF0"/>
    <w:multiLevelType w:val="hybridMultilevel"/>
    <w:tmpl w:val="55FE4A04"/>
    <w:lvl w:ilvl="0" w:tplc="6F3E152A">
      <w:start w:val="6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F714361"/>
    <w:multiLevelType w:val="multilevel"/>
    <w:tmpl w:val="5128012A"/>
    <w:lvl w:ilvl="0">
      <w:start w:val="1"/>
      <w:numFmt w:val="decimalZero"/>
      <w:lvlText w:val="%1"/>
      <w:lvlJc w:val="left"/>
      <w:pPr>
        <w:ind w:left="675" w:hanging="675"/>
      </w:pPr>
      <w:rPr>
        <w:rFonts w:hint="default"/>
      </w:rPr>
    </w:lvl>
    <w:lvl w:ilvl="1">
      <w:numFmt w:val="decimalZero"/>
      <w:lvlText w:val="%1.%2.0"/>
      <w:lvlJc w:val="left"/>
      <w:pPr>
        <w:ind w:left="675" w:hanging="675"/>
      </w:pPr>
      <w:rPr>
        <w:rFonts w:hint="default"/>
      </w:rPr>
    </w:lvl>
    <w:lvl w:ilvl="2">
      <w:start w:val="1"/>
      <w:numFmt w:val="decimalZero"/>
      <w:lvlText w:val="%1.%2.%3"/>
      <w:lvlJc w:val="left"/>
      <w:pPr>
        <w:ind w:left="675" w:hanging="6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66686A0F"/>
    <w:multiLevelType w:val="hybridMultilevel"/>
    <w:tmpl w:val="F29C0B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9076BB"/>
    <w:multiLevelType w:val="hybridMultilevel"/>
    <w:tmpl w:val="7FEE63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8"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11"/>
  </w:num>
  <w:num w:numId="3">
    <w:abstractNumId w:val="38"/>
  </w:num>
  <w:num w:numId="4">
    <w:abstractNumId w:val="29"/>
  </w:num>
  <w:num w:numId="5">
    <w:abstractNumId w:val="35"/>
  </w:num>
  <w:num w:numId="6">
    <w:abstractNumId w:val="39"/>
  </w:num>
  <w:num w:numId="7">
    <w:abstractNumId w:val="18"/>
  </w:num>
  <w:num w:numId="8">
    <w:abstractNumId w:val="17"/>
  </w:num>
  <w:num w:numId="9">
    <w:abstractNumId w:val="0"/>
  </w:num>
  <w:num w:numId="10">
    <w:abstractNumId w:val="24"/>
  </w:num>
  <w:num w:numId="11">
    <w:abstractNumId w:val="20"/>
  </w:num>
  <w:num w:numId="12">
    <w:abstractNumId w:val="37"/>
  </w:num>
  <w:num w:numId="13">
    <w:abstractNumId w:val="30"/>
  </w:num>
  <w:num w:numId="14">
    <w:abstractNumId w:val="3"/>
  </w:num>
  <w:num w:numId="15">
    <w:abstractNumId w:val="6"/>
  </w:num>
  <w:num w:numId="16">
    <w:abstractNumId w:val="10"/>
  </w:num>
  <w:num w:numId="17">
    <w:abstractNumId w:val="12"/>
  </w:num>
  <w:num w:numId="18">
    <w:abstractNumId w:val="1"/>
  </w:num>
  <w:num w:numId="19">
    <w:abstractNumId w:val="16"/>
  </w:num>
  <w:num w:numId="20">
    <w:abstractNumId w:val="2"/>
  </w:num>
  <w:num w:numId="21">
    <w:abstractNumId w:val="26"/>
  </w:num>
  <w:num w:numId="22">
    <w:abstractNumId w:val="23"/>
  </w:num>
  <w:num w:numId="23">
    <w:abstractNumId w:val="34"/>
  </w:num>
  <w:num w:numId="24">
    <w:abstractNumId w:val="32"/>
  </w:num>
  <w:num w:numId="25">
    <w:abstractNumId w:val="36"/>
  </w:num>
  <w:num w:numId="26">
    <w:abstractNumId w:val="4"/>
  </w:num>
  <w:num w:numId="27">
    <w:abstractNumId w:val="19"/>
  </w:num>
  <w:num w:numId="28">
    <w:abstractNumId w:val="9"/>
  </w:num>
  <w:num w:numId="29">
    <w:abstractNumId w:val="28"/>
  </w:num>
  <w:num w:numId="30">
    <w:abstractNumId w:val="5"/>
  </w:num>
  <w:num w:numId="31">
    <w:abstractNumId w:val="31"/>
  </w:num>
  <w:num w:numId="32">
    <w:abstractNumId w:val="25"/>
  </w:num>
  <w:num w:numId="33">
    <w:abstractNumId w:val="21"/>
  </w:num>
  <w:num w:numId="34">
    <w:abstractNumId w:val="8"/>
  </w:num>
  <w:num w:numId="35">
    <w:abstractNumId w:val="15"/>
  </w:num>
  <w:num w:numId="36">
    <w:abstractNumId w:val="33"/>
  </w:num>
  <w:num w:numId="37">
    <w:abstractNumId w:val="22"/>
  </w:num>
  <w:num w:numId="38">
    <w:abstractNumId w:val="14"/>
  </w:num>
  <w:num w:numId="39">
    <w:abstractNumId w:val="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4850"/>
    <w:rsid w:val="00013809"/>
    <w:rsid w:val="00016579"/>
    <w:rsid w:val="00024FC2"/>
    <w:rsid w:val="00027427"/>
    <w:rsid w:val="00027CE1"/>
    <w:rsid w:val="00037EC3"/>
    <w:rsid w:val="0004128D"/>
    <w:rsid w:val="00046457"/>
    <w:rsid w:val="00047484"/>
    <w:rsid w:val="00050C4D"/>
    <w:rsid w:val="000519FE"/>
    <w:rsid w:val="00057A59"/>
    <w:rsid w:val="000624F3"/>
    <w:rsid w:val="00062720"/>
    <w:rsid w:val="00062EE8"/>
    <w:rsid w:val="000630FF"/>
    <w:rsid w:val="00066E95"/>
    <w:rsid w:val="000714BE"/>
    <w:rsid w:val="00077A76"/>
    <w:rsid w:val="000836AC"/>
    <w:rsid w:val="00083A33"/>
    <w:rsid w:val="00084F53"/>
    <w:rsid w:val="00091F10"/>
    <w:rsid w:val="00094CCE"/>
    <w:rsid w:val="000953B5"/>
    <w:rsid w:val="00097324"/>
    <w:rsid w:val="000B0DBF"/>
    <w:rsid w:val="000B448E"/>
    <w:rsid w:val="000B4CE2"/>
    <w:rsid w:val="000C1C19"/>
    <w:rsid w:val="000C4996"/>
    <w:rsid w:val="000D0A9D"/>
    <w:rsid w:val="000D2A08"/>
    <w:rsid w:val="000D740C"/>
    <w:rsid w:val="000D7B49"/>
    <w:rsid w:val="000E0E9F"/>
    <w:rsid w:val="000F084B"/>
    <w:rsid w:val="000F153F"/>
    <w:rsid w:val="000F43BA"/>
    <w:rsid w:val="000F5164"/>
    <w:rsid w:val="00102A30"/>
    <w:rsid w:val="001050B6"/>
    <w:rsid w:val="001144E8"/>
    <w:rsid w:val="001147A8"/>
    <w:rsid w:val="00115899"/>
    <w:rsid w:val="001254B0"/>
    <w:rsid w:val="00126296"/>
    <w:rsid w:val="00131CFE"/>
    <w:rsid w:val="001352F1"/>
    <w:rsid w:val="00147519"/>
    <w:rsid w:val="00153923"/>
    <w:rsid w:val="001556CC"/>
    <w:rsid w:val="00161168"/>
    <w:rsid w:val="00162B1F"/>
    <w:rsid w:val="00166708"/>
    <w:rsid w:val="001705C7"/>
    <w:rsid w:val="00174A7F"/>
    <w:rsid w:val="00184A4D"/>
    <w:rsid w:val="00191364"/>
    <w:rsid w:val="00195C55"/>
    <w:rsid w:val="00196D15"/>
    <w:rsid w:val="001A1908"/>
    <w:rsid w:val="001A28B3"/>
    <w:rsid w:val="001A3359"/>
    <w:rsid w:val="001A5DF1"/>
    <w:rsid w:val="001B2B50"/>
    <w:rsid w:val="001B649F"/>
    <w:rsid w:val="001C5268"/>
    <w:rsid w:val="001C6B44"/>
    <w:rsid w:val="001D31B9"/>
    <w:rsid w:val="001D6024"/>
    <w:rsid w:val="001D71DE"/>
    <w:rsid w:val="001E0C10"/>
    <w:rsid w:val="001E23F0"/>
    <w:rsid w:val="001E53E0"/>
    <w:rsid w:val="001E6C02"/>
    <w:rsid w:val="001F073E"/>
    <w:rsid w:val="001F1560"/>
    <w:rsid w:val="001F6239"/>
    <w:rsid w:val="001F6912"/>
    <w:rsid w:val="001F7937"/>
    <w:rsid w:val="00200271"/>
    <w:rsid w:val="00207BED"/>
    <w:rsid w:val="00210FAF"/>
    <w:rsid w:val="002117B3"/>
    <w:rsid w:val="00212205"/>
    <w:rsid w:val="00212EC4"/>
    <w:rsid w:val="00213B1D"/>
    <w:rsid w:val="00221C33"/>
    <w:rsid w:val="00225E61"/>
    <w:rsid w:val="0022630C"/>
    <w:rsid w:val="00234691"/>
    <w:rsid w:val="00244520"/>
    <w:rsid w:val="00255959"/>
    <w:rsid w:val="00261952"/>
    <w:rsid w:val="00271AD2"/>
    <w:rsid w:val="00273F6E"/>
    <w:rsid w:val="0027622E"/>
    <w:rsid w:val="00284B0C"/>
    <w:rsid w:val="00285F09"/>
    <w:rsid w:val="00290E51"/>
    <w:rsid w:val="00293DCF"/>
    <w:rsid w:val="002962A5"/>
    <w:rsid w:val="002978EC"/>
    <w:rsid w:val="002A22E5"/>
    <w:rsid w:val="002A5904"/>
    <w:rsid w:val="002A6633"/>
    <w:rsid w:val="002B5093"/>
    <w:rsid w:val="002B53C2"/>
    <w:rsid w:val="002B687D"/>
    <w:rsid w:val="002B6B30"/>
    <w:rsid w:val="002B6B7C"/>
    <w:rsid w:val="002C317A"/>
    <w:rsid w:val="002C3A8F"/>
    <w:rsid w:val="002C5661"/>
    <w:rsid w:val="002C57B3"/>
    <w:rsid w:val="002C6B3C"/>
    <w:rsid w:val="002D228C"/>
    <w:rsid w:val="002D2A80"/>
    <w:rsid w:val="002D372C"/>
    <w:rsid w:val="002D5F35"/>
    <w:rsid w:val="002E1D57"/>
    <w:rsid w:val="002E2C75"/>
    <w:rsid w:val="002E52A3"/>
    <w:rsid w:val="002E7B93"/>
    <w:rsid w:val="002F39AE"/>
    <w:rsid w:val="003116EB"/>
    <w:rsid w:val="00313724"/>
    <w:rsid w:val="0031666C"/>
    <w:rsid w:val="00317872"/>
    <w:rsid w:val="00340D63"/>
    <w:rsid w:val="00342ABB"/>
    <w:rsid w:val="00343874"/>
    <w:rsid w:val="00347F97"/>
    <w:rsid w:val="00350039"/>
    <w:rsid w:val="00351D07"/>
    <w:rsid w:val="0035261A"/>
    <w:rsid w:val="00352CC3"/>
    <w:rsid w:val="00354391"/>
    <w:rsid w:val="00355398"/>
    <w:rsid w:val="0036049D"/>
    <w:rsid w:val="00362AAA"/>
    <w:rsid w:val="00363B34"/>
    <w:rsid w:val="00366C1C"/>
    <w:rsid w:val="00374998"/>
    <w:rsid w:val="00381010"/>
    <w:rsid w:val="00382273"/>
    <w:rsid w:val="00390DF1"/>
    <w:rsid w:val="003928FF"/>
    <w:rsid w:val="00392D94"/>
    <w:rsid w:val="003951CC"/>
    <w:rsid w:val="00396D42"/>
    <w:rsid w:val="003971EA"/>
    <w:rsid w:val="003A038A"/>
    <w:rsid w:val="003A0A84"/>
    <w:rsid w:val="003A3845"/>
    <w:rsid w:val="003B193A"/>
    <w:rsid w:val="003B425B"/>
    <w:rsid w:val="003B5E23"/>
    <w:rsid w:val="003C1645"/>
    <w:rsid w:val="003C411E"/>
    <w:rsid w:val="003C5471"/>
    <w:rsid w:val="003D2CDA"/>
    <w:rsid w:val="003D3DFB"/>
    <w:rsid w:val="003D46BB"/>
    <w:rsid w:val="003E6026"/>
    <w:rsid w:val="003F087A"/>
    <w:rsid w:val="003F6E6B"/>
    <w:rsid w:val="0041630C"/>
    <w:rsid w:val="00423798"/>
    <w:rsid w:val="004264F7"/>
    <w:rsid w:val="004342F6"/>
    <w:rsid w:val="0043758B"/>
    <w:rsid w:val="00437B3E"/>
    <w:rsid w:val="0044065A"/>
    <w:rsid w:val="00441953"/>
    <w:rsid w:val="00446778"/>
    <w:rsid w:val="0045304B"/>
    <w:rsid w:val="00454C24"/>
    <w:rsid w:val="0046159F"/>
    <w:rsid w:val="00473BE8"/>
    <w:rsid w:val="00473C5E"/>
    <w:rsid w:val="0048432F"/>
    <w:rsid w:val="00490482"/>
    <w:rsid w:val="00494399"/>
    <w:rsid w:val="004968F7"/>
    <w:rsid w:val="004A3C47"/>
    <w:rsid w:val="004B0B0E"/>
    <w:rsid w:val="004B1F91"/>
    <w:rsid w:val="004B2ABA"/>
    <w:rsid w:val="004B449F"/>
    <w:rsid w:val="004B6390"/>
    <w:rsid w:val="004C0E88"/>
    <w:rsid w:val="004C1B05"/>
    <w:rsid w:val="004C3808"/>
    <w:rsid w:val="004C3ACB"/>
    <w:rsid w:val="004C4CF9"/>
    <w:rsid w:val="004C701A"/>
    <w:rsid w:val="004C743A"/>
    <w:rsid w:val="004D153C"/>
    <w:rsid w:val="004D47E4"/>
    <w:rsid w:val="004D66C3"/>
    <w:rsid w:val="004D68BE"/>
    <w:rsid w:val="004D73B5"/>
    <w:rsid w:val="004E13BC"/>
    <w:rsid w:val="004E14CA"/>
    <w:rsid w:val="004E4E60"/>
    <w:rsid w:val="004E7071"/>
    <w:rsid w:val="004F2B94"/>
    <w:rsid w:val="004F50D5"/>
    <w:rsid w:val="004F5562"/>
    <w:rsid w:val="005050BB"/>
    <w:rsid w:val="00506E79"/>
    <w:rsid w:val="00512E31"/>
    <w:rsid w:val="0052028C"/>
    <w:rsid w:val="00520606"/>
    <w:rsid w:val="00526CB7"/>
    <w:rsid w:val="00530B04"/>
    <w:rsid w:val="00531FBB"/>
    <w:rsid w:val="00532EF7"/>
    <w:rsid w:val="0053313A"/>
    <w:rsid w:val="00535248"/>
    <w:rsid w:val="00545AAB"/>
    <w:rsid w:val="00554044"/>
    <w:rsid w:val="00554C38"/>
    <w:rsid w:val="00563A35"/>
    <w:rsid w:val="00563FCE"/>
    <w:rsid w:val="00565444"/>
    <w:rsid w:val="00573E3B"/>
    <w:rsid w:val="0057738A"/>
    <w:rsid w:val="0058163F"/>
    <w:rsid w:val="00585304"/>
    <w:rsid w:val="00592354"/>
    <w:rsid w:val="0059298F"/>
    <w:rsid w:val="005932A8"/>
    <w:rsid w:val="0059551C"/>
    <w:rsid w:val="0059659D"/>
    <w:rsid w:val="005970AC"/>
    <w:rsid w:val="005A1BF0"/>
    <w:rsid w:val="005A2314"/>
    <w:rsid w:val="005A2987"/>
    <w:rsid w:val="005A3481"/>
    <w:rsid w:val="005A3DCC"/>
    <w:rsid w:val="005A5FB5"/>
    <w:rsid w:val="005B0BB3"/>
    <w:rsid w:val="005B37B8"/>
    <w:rsid w:val="005B6BD0"/>
    <w:rsid w:val="005C3757"/>
    <w:rsid w:val="005D012D"/>
    <w:rsid w:val="005D4524"/>
    <w:rsid w:val="005D6596"/>
    <w:rsid w:val="005E6D4D"/>
    <w:rsid w:val="005E7CB8"/>
    <w:rsid w:val="005E7FDF"/>
    <w:rsid w:val="005F0727"/>
    <w:rsid w:val="005F1538"/>
    <w:rsid w:val="005F397E"/>
    <w:rsid w:val="005F414B"/>
    <w:rsid w:val="005F4FF2"/>
    <w:rsid w:val="00600830"/>
    <w:rsid w:val="00604440"/>
    <w:rsid w:val="0060646C"/>
    <w:rsid w:val="006078B1"/>
    <w:rsid w:val="006111AC"/>
    <w:rsid w:val="006118A5"/>
    <w:rsid w:val="00614C64"/>
    <w:rsid w:val="006210FB"/>
    <w:rsid w:val="006221D8"/>
    <w:rsid w:val="00622B5D"/>
    <w:rsid w:val="006249CB"/>
    <w:rsid w:val="00625580"/>
    <w:rsid w:val="00625743"/>
    <w:rsid w:val="00631158"/>
    <w:rsid w:val="00631FB3"/>
    <w:rsid w:val="00633965"/>
    <w:rsid w:val="00633E88"/>
    <w:rsid w:val="00633EDE"/>
    <w:rsid w:val="00634A80"/>
    <w:rsid w:val="0063670B"/>
    <w:rsid w:val="00643678"/>
    <w:rsid w:val="00647739"/>
    <w:rsid w:val="0065077E"/>
    <w:rsid w:val="006532DF"/>
    <w:rsid w:val="00653374"/>
    <w:rsid w:val="0065369A"/>
    <w:rsid w:val="006605C9"/>
    <w:rsid w:val="00660E3F"/>
    <w:rsid w:val="006636CE"/>
    <w:rsid w:val="00664B2E"/>
    <w:rsid w:val="00667157"/>
    <w:rsid w:val="006678A5"/>
    <w:rsid w:val="006713C5"/>
    <w:rsid w:val="00673A42"/>
    <w:rsid w:val="00676D7A"/>
    <w:rsid w:val="006826C7"/>
    <w:rsid w:val="00690E16"/>
    <w:rsid w:val="00694C1E"/>
    <w:rsid w:val="006A0F13"/>
    <w:rsid w:val="006A2A41"/>
    <w:rsid w:val="006A2DC8"/>
    <w:rsid w:val="006A5045"/>
    <w:rsid w:val="006B0EC9"/>
    <w:rsid w:val="006C4B51"/>
    <w:rsid w:val="006D03CB"/>
    <w:rsid w:val="006D27B2"/>
    <w:rsid w:val="006D6BA6"/>
    <w:rsid w:val="006D7938"/>
    <w:rsid w:val="006F0D34"/>
    <w:rsid w:val="006F1D2F"/>
    <w:rsid w:val="006F3450"/>
    <w:rsid w:val="006F64BA"/>
    <w:rsid w:val="00700D2A"/>
    <w:rsid w:val="0070317D"/>
    <w:rsid w:val="0070562E"/>
    <w:rsid w:val="00707003"/>
    <w:rsid w:val="00710707"/>
    <w:rsid w:val="00711ED8"/>
    <w:rsid w:val="00715289"/>
    <w:rsid w:val="00715A85"/>
    <w:rsid w:val="00717561"/>
    <w:rsid w:val="00721032"/>
    <w:rsid w:val="00721706"/>
    <w:rsid w:val="00724DCC"/>
    <w:rsid w:val="00732BEC"/>
    <w:rsid w:val="0073468E"/>
    <w:rsid w:val="0073611B"/>
    <w:rsid w:val="0074353D"/>
    <w:rsid w:val="00743F92"/>
    <w:rsid w:val="007464FA"/>
    <w:rsid w:val="007535F0"/>
    <w:rsid w:val="00755054"/>
    <w:rsid w:val="00756284"/>
    <w:rsid w:val="007577DF"/>
    <w:rsid w:val="007577EE"/>
    <w:rsid w:val="00760731"/>
    <w:rsid w:val="00761B1C"/>
    <w:rsid w:val="00761E88"/>
    <w:rsid w:val="0076725C"/>
    <w:rsid w:val="0076784A"/>
    <w:rsid w:val="00781314"/>
    <w:rsid w:val="00782EDF"/>
    <w:rsid w:val="007834E7"/>
    <w:rsid w:val="007A0306"/>
    <w:rsid w:val="007A1376"/>
    <w:rsid w:val="007A36C2"/>
    <w:rsid w:val="007A6CBC"/>
    <w:rsid w:val="007B35D2"/>
    <w:rsid w:val="007B42FF"/>
    <w:rsid w:val="007B4E3B"/>
    <w:rsid w:val="007C3A85"/>
    <w:rsid w:val="007C5628"/>
    <w:rsid w:val="007C7E68"/>
    <w:rsid w:val="007D4934"/>
    <w:rsid w:val="007D6B33"/>
    <w:rsid w:val="007E1275"/>
    <w:rsid w:val="007F24A7"/>
    <w:rsid w:val="008039DE"/>
    <w:rsid w:val="00807168"/>
    <w:rsid w:val="008121DA"/>
    <w:rsid w:val="00816C37"/>
    <w:rsid w:val="00822D18"/>
    <w:rsid w:val="00823467"/>
    <w:rsid w:val="00826F95"/>
    <w:rsid w:val="008326E9"/>
    <w:rsid w:val="00833A8D"/>
    <w:rsid w:val="00836077"/>
    <w:rsid w:val="00844DC8"/>
    <w:rsid w:val="0085077D"/>
    <w:rsid w:val="00862581"/>
    <w:rsid w:val="0086293F"/>
    <w:rsid w:val="008670DB"/>
    <w:rsid w:val="00873C10"/>
    <w:rsid w:val="00876330"/>
    <w:rsid w:val="00877226"/>
    <w:rsid w:val="00877C4D"/>
    <w:rsid w:val="008828A3"/>
    <w:rsid w:val="00882A41"/>
    <w:rsid w:val="0088325C"/>
    <w:rsid w:val="008B0D93"/>
    <w:rsid w:val="008C1572"/>
    <w:rsid w:val="008C1DED"/>
    <w:rsid w:val="008C46D7"/>
    <w:rsid w:val="008C5A0E"/>
    <w:rsid w:val="008D0C49"/>
    <w:rsid w:val="008D365D"/>
    <w:rsid w:val="008D5D0C"/>
    <w:rsid w:val="008F0F8E"/>
    <w:rsid w:val="008F1E54"/>
    <w:rsid w:val="008F221C"/>
    <w:rsid w:val="008F6281"/>
    <w:rsid w:val="00900FBB"/>
    <w:rsid w:val="00902698"/>
    <w:rsid w:val="00903B5A"/>
    <w:rsid w:val="00904625"/>
    <w:rsid w:val="00904BE1"/>
    <w:rsid w:val="0090727B"/>
    <w:rsid w:val="00913506"/>
    <w:rsid w:val="00916AF6"/>
    <w:rsid w:val="0091753C"/>
    <w:rsid w:val="00920AC5"/>
    <w:rsid w:val="0092517B"/>
    <w:rsid w:val="009265E6"/>
    <w:rsid w:val="009303FA"/>
    <w:rsid w:val="00932D0E"/>
    <w:rsid w:val="00937391"/>
    <w:rsid w:val="009401DE"/>
    <w:rsid w:val="009530E2"/>
    <w:rsid w:val="00954180"/>
    <w:rsid w:val="00960DB2"/>
    <w:rsid w:val="00967A14"/>
    <w:rsid w:val="00970FF7"/>
    <w:rsid w:val="009723EE"/>
    <w:rsid w:val="00976EB7"/>
    <w:rsid w:val="00983894"/>
    <w:rsid w:val="00984393"/>
    <w:rsid w:val="0098490E"/>
    <w:rsid w:val="009855C3"/>
    <w:rsid w:val="0098698E"/>
    <w:rsid w:val="00991958"/>
    <w:rsid w:val="00994F11"/>
    <w:rsid w:val="009A23DC"/>
    <w:rsid w:val="009A74D8"/>
    <w:rsid w:val="009C1195"/>
    <w:rsid w:val="009D1F72"/>
    <w:rsid w:val="009D2F7F"/>
    <w:rsid w:val="009D70B8"/>
    <w:rsid w:val="009F0E96"/>
    <w:rsid w:val="009F1DD0"/>
    <w:rsid w:val="009F5A3F"/>
    <w:rsid w:val="009F78ED"/>
    <w:rsid w:val="009F7F30"/>
    <w:rsid w:val="00A01000"/>
    <w:rsid w:val="00A11E87"/>
    <w:rsid w:val="00A165AD"/>
    <w:rsid w:val="00A17AAE"/>
    <w:rsid w:val="00A23E3F"/>
    <w:rsid w:val="00A24283"/>
    <w:rsid w:val="00A33C4E"/>
    <w:rsid w:val="00A3658B"/>
    <w:rsid w:val="00A36BAA"/>
    <w:rsid w:val="00A41882"/>
    <w:rsid w:val="00A43551"/>
    <w:rsid w:val="00A46CAD"/>
    <w:rsid w:val="00A505BD"/>
    <w:rsid w:val="00A5322E"/>
    <w:rsid w:val="00A5583E"/>
    <w:rsid w:val="00A619A3"/>
    <w:rsid w:val="00A667F9"/>
    <w:rsid w:val="00A71A30"/>
    <w:rsid w:val="00A74AE8"/>
    <w:rsid w:val="00A75DA8"/>
    <w:rsid w:val="00A76116"/>
    <w:rsid w:val="00A77EF1"/>
    <w:rsid w:val="00A843B7"/>
    <w:rsid w:val="00A85641"/>
    <w:rsid w:val="00A86BD4"/>
    <w:rsid w:val="00A87A1F"/>
    <w:rsid w:val="00A87A86"/>
    <w:rsid w:val="00A9066A"/>
    <w:rsid w:val="00A920FA"/>
    <w:rsid w:val="00A97C51"/>
    <w:rsid w:val="00AA24B5"/>
    <w:rsid w:val="00AA3EDF"/>
    <w:rsid w:val="00AA4046"/>
    <w:rsid w:val="00AA43D1"/>
    <w:rsid w:val="00AA7DE9"/>
    <w:rsid w:val="00AB192F"/>
    <w:rsid w:val="00AB29F1"/>
    <w:rsid w:val="00AB4510"/>
    <w:rsid w:val="00AB5469"/>
    <w:rsid w:val="00AB5BF9"/>
    <w:rsid w:val="00AB5F6F"/>
    <w:rsid w:val="00AC28D9"/>
    <w:rsid w:val="00AC5436"/>
    <w:rsid w:val="00AC760C"/>
    <w:rsid w:val="00AC7B1A"/>
    <w:rsid w:val="00AD40A2"/>
    <w:rsid w:val="00AE3E29"/>
    <w:rsid w:val="00AE4F97"/>
    <w:rsid w:val="00AE509E"/>
    <w:rsid w:val="00AF7CAC"/>
    <w:rsid w:val="00AF7DA2"/>
    <w:rsid w:val="00B00FA8"/>
    <w:rsid w:val="00B01D89"/>
    <w:rsid w:val="00B03D5E"/>
    <w:rsid w:val="00B05EE1"/>
    <w:rsid w:val="00B06F29"/>
    <w:rsid w:val="00B11019"/>
    <w:rsid w:val="00B1196C"/>
    <w:rsid w:val="00B12825"/>
    <w:rsid w:val="00B14C37"/>
    <w:rsid w:val="00B16D98"/>
    <w:rsid w:val="00B23D58"/>
    <w:rsid w:val="00B2517D"/>
    <w:rsid w:val="00B25BD3"/>
    <w:rsid w:val="00B266EA"/>
    <w:rsid w:val="00B34758"/>
    <w:rsid w:val="00B3658B"/>
    <w:rsid w:val="00B4064F"/>
    <w:rsid w:val="00B43DCE"/>
    <w:rsid w:val="00B52E1D"/>
    <w:rsid w:val="00B54E7E"/>
    <w:rsid w:val="00B566A7"/>
    <w:rsid w:val="00B56BFD"/>
    <w:rsid w:val="00B5764F"/>
    <w:rsid w:val="00B62167"/>
    <w:rsid w:val="00B64FAF"/>
    <w:rsid w:val="00B665A7"/>
    <w:rsid w:val="00B70F6C"/>
    <w:rsid w:val="00B75620"/>
    <w:rsid w:val="00B76393"/>
    <w:rsid w:val="00B80A7B"/>
    <w:rsid w:val="00B820A3"/>
    <w:rsid w:val="00B822C7"/>
    <w:rsid w:val="00B83361"/>
    <w:rsid w:val="00B8440A"/>
    <w:rsid w:val="00B8524B"/>
    <w:rsid w:val="00B902BB"/>
    <w:rsid w:val="00BA28BC"/>
    <w:rsid w:val="00BA60A9"/>
    <w:rsid w:val="00BB7404"/>
    <w:rsid w:val="00BB7CE4"/>
    <w:rsid w:val="00BC5E1A"/>
    <w:rsid w:val="00BC7B02"/>
    <w:rsid w:val="00BD273F"/>
    <w:rsid w:val="00BD73D3"/>
    <w:rsid w:val="00BE2CAA"/>
    <w:rsid w:val="00BE7C02"/>
    <w:rsid w:val="00BF015C"/>
    <w:rsid w:val="00BF0709"/>
    <w:rsid w:val="00C068CA"/>
    <w:rsid w:val="00C074E9"/>
    <w:rsid w:val="00C12E72"/>
    <w:rsid w:val="00C209EB"/>
    <w:rsid w:val="00C24648"/>
    <w:rsid w:val="00C25E5D"/>
    <w:rsid w:val="00C274DB"/>
    <w:rsid w:val="00C30A41"/>
    <w:rsid w:val="00C314FD"/>
    <w:rsid w:val="00C32AC6"/>
    <w:rsid w:val="00C35261"/>
    <w:rsid w:val="00C42DD7"/>
    <w:rsid w:val="00C441C7"/>
    <w:rsid w:val="00C46807"/>
    <w:rsid w:val="00C52374"/>
    <w:rsid w:val="00C52C76"/>
    <w:rsid w:val="00C55A3C"/>
    <w:rsid w:val="00C55A63"/>
    <w:rsid w:val="00C60208"/>
    <w:rsid w:val="00C634C7"/>
    <w:rsid w:val="00C67163"/>
    <w:rsid w:val="00C70049"/>
    <w:rsid w:val="00C73A77"/>
    <w:rsid w:val="00C8007B"/>
    <w:rsid w:val="00C84AED"/>
    <w:rsid w:val="00C85A78"/>
    <w:rsid w:val="00C92549"/>
    <w:rsid w:val="00C92B37"/>
    <w:rsid w:val="00CA2CD2"/>
    <w:rsid w:val="00CA682E"/>
    <w:rsid w:val="00CA7B00"/>
    <w:rsid w:val="00CB0952"/>
    <w:rsid w:val="00CB464F"/>
    <w:rsid w:val="00CB55FC"/>
    <w:rsid w:val="00CB6629"/>
    <w:rsid w:val="00CB7869"/>
    <w:rsid w:val="00CC3645"/>
    <w:rsid w:val="00CC6297"/>
    <w:rsid w:val="00CC6D2C"/>
    <w:rsid w:val="00CD2079"/>
    <w:rsid w:val="00CD46F0"/>
    <w:rsid w:val="00CD4E68"/>
    <w:rsid w:val="00CD569B"/>
    <w:rsid w:val="00CD64B2"/>
    <w:rsid w:val="00CD6AB3"/>
    <w:rsid w:val="00CD7394"/>
    <w:rsid w:val="00CE10EB"/>
    <w:rsid w:val="00CE1D19"/>
    <w:rsid w:val="00CE27D5"/>
    <w:rsid w:val="00CE3450"/>
    <w:rsid w:val="00CE4C16"/>
    <w:rsid w:val="00D00E64"/>
    <w:rsid w:val="00D01A92"/>
    <w:rsid w:val="00D050B6"/>
    <w:rsid w:val="00D06F7F"/>
    <w:rsid w:val="00D147F9"/>
    <w:rsid w:val="00D175BC"/>
    <w:rsid w:val="00D24212"/>
    <w:rsid w:val="00D25BD9"/>
    <w:rsid w:val="00D330F4"/>
    <w:rsid w:val="00D3576F"/>
    <w:rsid w:val="00D36595"/>
    <w:rsid w:val="00D40AB7"/>
    <w:rsid w:val="00D41825"/>
    <w:rsid w:val="00D41E59"/>
    <w:rsid w:val="00D42A6F"/>
    <w:rsid w:val="00D443F4"/>
    <w:rsid w:val="00D51F2E"/>
    <w:rsid w:val="00D5548C"/>
    <w:rsid w:val="00D565B0"/>
    <w:rsid w:val="00D6131C"/>
    <w:rsid w:val="00D61BE0"/>
    <w:rsid w:val="00D65A66"/>
    <w:rsid w:val="00D75D0E"/>
    <w:rsid w:val="00D84F1D"/>
    <w:rsid w:val="00D92715"/>
    <w:rsid w:val="00D939B1"/>
    <w:rsid w:val="00DA026F"/>
    <w:rsid w:val="00DA39D5"/>
    <w:rsid w:val="00DB470D"/>
    <w:rsid w:val="00DB5513"/>
    <w:rsid w:val="00DC5B01"/>
    <w:rsid w:val="00DE10FE"/>
    <w:rsid w:val="00DE4709"/>
    <w:rsid w:val="00DF01D4"/>
    <w:rsid w:val="00DF02D4"/>
    <w:rsid w:val="00DF283F"/>
    <w:rsid w:val="00DF4AD8"/>
    <w:rsid w:val="00E05947"/>
    <w:rsid w:val="00E0670C"/>
    <w:rsid w:val="00E07093"/>
    <w:rsid w:val="00E07773"/>
    <w:rsid w:val="00E100F9"/>
    <w:rsid w:val="00E22D76"/>
    <w:rsid w:val="00E304B6"/>
    <w:rsid w:val="00E42F1D"/>
    <w:rsid w:val="00E43F97"/>
    <w:rsid w:val="00E525BB"/>
    <w:rsid w:val="00E5280D"/>
    <w:rsid w:val="00E53E2F"/>
    <w:rsid w:val="00E54EFF"/>
    <w:rsid w:val="00E629A7"/>
    <w:rsid w:val="00E63618"/>
    <w:rsid w:val="00E63AD9"/>
    <w:rsid w:val="00E65C04"/>
    <w:rsid w:val="00E662C2"/>
    <w:rsid w:val="00E8004F"/>
    <w:rsid w:val="00E81CF6"/>
    <w:rsid w:val="00E82C4B"/>
    <w:rsid w:val="00E84D7E"/>
    <w:rsid w:val="00E85B47"/>
    <w:rsid w:val="00E919AA"/>
    <w:rsid w:val="00E93F40"/>
    <w:rsid w:val="00E94175"/>
    <w:rsid w:val="00E94390"/>
    <w:rsid w:val="00E96D5D"/>
    <w:rsid w:val="00E976D8"/>
    <w:rsid w:val="00EA6B02"/>
    <w:rsid w:val="00EA7ABB"/>
    <w:rsid w:val="00EB41AF"/>
    <w:rsid w:val="00EB6705"/>
    <w:rsid w:val="00EC3013"/>
    <w:rsid w:val="00EC339C"/>
    <w:rsid w:val="00EC5EC8"/>
    <w:rsid w:val="00EC78AC"/>
    <w:rsid w:val="00ED1166"/>
    <w:rsid w:val="00ED2B82"/>
    <w:rsid w:val="00ED4102"/>
    <w:rsid w:val="00EE161C"/>
    <w:rsid w:val="00EE273D"/>
    <w:rsid w:val="00EE5672"/>
    <w:rsid w:val="00EE7C24"/>
    <w:rsid w:val="00EF3BCB"/>
    <w:rsid w:val="00EF6CEF"/>
    <w:rsid w:val="00F01115"/>
    <w:rsid w:val="00F1028F"/>
    <w:rsid w:val="00F132C9"/>
    <w:rsid w:val="00F150A8"/>
    <w:rsid w:val="00F2068C"/>
    <w:rsid w:val="00F302FC"/>
    <w:rsid w:val="00F31051"/>
    <w:rsid w:val="00F32C09"/>
    <w:rsid w:val="00F336E1"/>
    <w:rsid w:val="00F3511E"/>
    <w:rsid w:val="00F429D9"/>
    <w:rsid w:val="00F52365"/>
    <w:rsid w:val="00F56416"/>
    <w:rsid w:val="00F57DB1"/>
    <w:rsid w:val="00F6224C"/>
    <w:rsid w:val="00F65378"/>
    <w:rsid w:val="00F71895"/>
    <w:rsid w:val="00F75584"/>
    <w:rsid w:val="00F84BDC"/>
    <w:rsid w:val="00F86FC6"/>
    <w:rsid w:val="00F87858"/>
    <w:rsid w:val="00FA3938"/>
    <w:rsid w:val="00FA4357"/>
    <w:rsid w:val="00FA5D6D"/>
    <w:rsid w:val="00FA6900"/>
    <w:rsid w:val="00FB09C6"/>
    <w:rsid w:val="00FB48D5"/>
    <w:rsid w:val="00FB6598"/>
    <w:rsid w:val="00FC512F"/>
    <w:rsid w:val="00FE36DF"/>
    <w:rsid w:val="00FE37FA"/>
    <w:rsid w:val="00FE3A21"/>
    <w:rsid w:val="00FE46CE"/>
    <w:rsid w:val="00FF024F"/>
    <w:rsid w:val="00FF5E27"/>
    <w:rsid w:val="00FF7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47814"/>
  <w15:docId w15:val="{64A41DE8-7E2F-4C20-B831-1231181C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57"/>
    <w:pPr>
      <w:spacing w:after="120"/>
      <w:ind w:firstLine="709"/>
      <w:jc w:val="both"/>
    </w:pPr>
    <w:rPr>
      <w:rFonts w:eastAsia="Times New Roman" w:cs="Times New Roman"/>
      <w:szCs w:val="20"/>
    </w:rPr>
  </w:style>
  <w:style w:type="paragraph" w:styleId="Heading2">
    <w:name w:val="heading 2"/>
    <w:basedOn w:val="Normal"/>
    <w:next w:val="Normal"/>
    <w:link w:val="Heading2Char"/>
    <w:unhideWhenUsed/>
    <w:rsid w:val="000C4996"/>
    <w:pPr>
      <w:keepNext/>
      <w:spacing w:before="240" w:after="60"/>
      <w:ind w:firstLine="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37EC3"/>
    <w:pPr>
      <w:widowControl w:val="0"/>
      <w:ind w:firstLine="0"/>
    </w:pPr>
    <w:rPr>
      <w:b/>
      <w:u w:val="single"/>
    </w:rPr>
  </w:style>
  <w:style w:type="paragraph" w:customStyle="1" w:styleId="cipari">
    <w:name w:val="cipari"/>
    <w:basedOn w:val="Normal"/>
    <w:link w:val="cipariChar"/>
    <w:qFormat/>
    <w:rsid w:val="00037EC3"/>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sz w:val="20"/>
    </w:rPr>
  </w:style>
  <w:style w:type="character" w:customStyle="1" w:styleId="CommentTextChar">
    <w:name w:val="Comment Text Char"/>
    <w:basedOn w:val="DefaultParagraphFont"/>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41630C"/>
    <w:pPr>
      <w:spacing w:before="120" w:after="0"/>
      <w:ind w:firstLine="0"/>
    </w:pPr>
    <w:rPr>
      <w:i/>
      <w:sz w:val="18"/>
    </w:rPr>
  </w:style>
  <w:style w:type="paragraph" w:customStyle="1" w:styleId="programmas">
    <w:name w:val="programmas"/>
    <w:basedOn w:val="Normal"/>
    <w:qFormat/>
    <w:rsid w:val="00037EC3"/>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37EC3"/>
    <w:pPr>
      <w:spacing w:after="0"/>
      <w:ind w:firstLine="0"/>
      <w:jc w:val="left"/>
    </w:pPr>
    <w:rPr>
      <w:sz w:val="18"/>
    </w:rPr>
  </w:style>
  <w:style w:type="paragraph" w:customStyle="1" w:styleId="Tabuluvirsraksti">
    <w:name w:val="Tabulu_virsraksti"/>
    <w:basedOn w:val="Normal"/>
    <w:qFormat/>
    <w:rsid w:val="00037EC3"/>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37EC3"/>
    <w:pPr>
      <w:ind w:left="709" w:firstLine="0"/>
    </w:pPr>
    <w:rPr>
      <w:bCs w:val="0"/>
    </w:rPr>
  </w:style>
  <w:style w:type="paragraph" w:customStyle="1" w:styleId="funkcijas">
    <w:name w:val="funkcijas"/>
    <w:basedOn w:val="Normal"/>
    <w:qFormat/>
    <w:rsid w:val="00037EC3"/>
    <w:pPr>
      <w:ind w:firstLine="0"/>
    </w:pPr>
    <w:rPr>
      <w:bCs/>
      <w:u w:val="single"/>
    </w:rPr>
  </w:style>
  <w:style w:type="paragraph" w:customStyle="1" w:styleId="Funkcijasbold">
    <w:name w:val="Funkcijas_bold"/>
    <w:basedOn w:val="funkcijas"/>
    <w:qFormat/>
    <w:rsid w:val="00037EC3"/>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037EC3"/>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92F"/>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C4996"/>
    <w:rPr>
      <w:rFonts w:ascii="Cambria" w:eastAsia="Times New Roman" w:hAnsi="Cambria" w:cs="Times New Roman"/>
      <w:b/>
      <w:bCs/>
      <w:i/>
      <w:iCs/>
      <w:sz w:val="28"/>
      <w:szCs w:val="28"/>
    </w:rPr>
  </w:style>
  <w:style w:type="table" w:customStyle="1" w:styleId="TableGrid2">
    <w:name w:val="Table Grid2"/>
    <w:basedOn w:val="TableNormal"/>
    <w:next w:val="TableGrid"/>
    <w:uiPriority w:val="59"/>
    <w:rsid w:val="000C4996"/>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3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484"/>
    <w:pPr>
      <w:spacing w:after="0"/>
      <w:ind w:left="720" w:firstLine="0"/>
      <w:contextualSpacing/>
      <w:jc w:val="left"/>
    </w:pPr>
    <w:rPr>
      <w:szCs w:val="24"/>
    </w:rPr>
  </w:style>
  <w:style w:type="paragraph" w:customStyle="1" w:styleId="Default">
    <w:name w:val="Default"/>
    <w:rsid w:val="001705C7"/>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17293164441402"/>
          <c:y val="0.11513464926473232"/>
          <c:w val="0.83731982197877441"/>
          <c:h val="0.62812382698738001"/>
        </c:manualLayout>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paraugi!$B$3:$E$3</c:f>
              <c:strCache>
                <c:ptCount val="4"/>
                <c:pt idx="0">
                  <c:v>2018.gada 
plāns</c:v>
                </c:pt>
                <c:pt idx="1">
                  <c:v>2019.gada 
plāns</c:v>
                </c:pt>
                <c:pt idx="2">
                  <c:v>2020.gada 
prognoze</c:v>
                </c:pt>
                <c:pt idx="3">
                  <c:v>2021.gada 
prognoze</c:v>
                </c:pt>
              </c:strCache>
            </c:strRef>
          </c:cat>
          <c:val>
            <c:numRef>
              <c:f>paraugi!$B$5:$E$5</c:f>
              <c:numCache>
                <c:formatCode>#,##0</c:formatCode>
                <c:ptCount val="4"/>
                <c:pt idx="0">
                  <c:v>256520785</c:v>
                </c:pt>
                <c:pt idx="1">
                  <c:v>37500962</c:v>
                </c:pt>
                <c:pt idx="2">
                  <c:v>181675304</c:v>
                </c:pt>
                <c:pt idx="3">
                  <c:v>188696894</c:v>
                </c:pt>
              </c:numCache>
            </c:numRef>
          </c:val>
          <c:extLst>
            <c:ext xmlns:c16="http://schemas.microsoft.com/office/drawing/2014/chart" uri="{C3380CC4-5D6E-409C-BE32-E72D297353CC}">
              <c16:uniqueId val="{00000000-AC7B-4F23-B6BE-8C038BC3010F}"/>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2.1717884678032358E-3"/>
                  <c:y val="-3.6529680365296802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C7B-4F23-B6BE-8C038BC3010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paraugi!$B$3:$E$3</c:f>
              <c:strCache>
                <c:ptCount val="4"/>
                <c:pt idx="0">
                  <c:v>2018.gada 
plāns</c:v>
                </c:pt>
                <c:pt idx="1">
                  <c:v>2019.gada 
plāns</c:v>
                </c:pt>
                <c:pt idx="2">
                  <c:v>2020.gada 
prognoze</c:v>
                </c:pt>
                <c:pt idx="3">
                  <c:v>2021.gada 
prognoze</c:v>
                </c:pt>
              </c:strCache>
            </c:strRef>
          </c:cat>
          <c:val>
            <c:numRef>
              <c:f>paraugi!$B$6:$E$6</c:f>
              <c:numCache>
                <c:formatCode>#,##0</c:formatCode>
                <c:ptCount val="4"/>
                <c:pt idx="0">
                  <c:v>125595978</c:v>
                </c:pt>
                <c:pt idx="1">
                  <c:v>29156411</c:v>
                </c:pt>
                <c:pt idx="2">
                  <c:v>368470066</c:v>
                </c:pt>
                <c:pt idx="3">
                  <c:v>1034974938</c:v>
                </c:pt>
              </c:numCache>
            </c:numRef>
          </c:val>
          <c:extLst>
            <c:ext xmlns:c16="http://schemas.microsoft.com/office/drawing/2014/chart" uri="{C3380CC4-5D6E-409C-BE32-E72D297353CC}">
              <c16:uniqueId val="{00000002-AC7B-4F23-B6BE-8C038BC3010F}"/>
            </c:ext>
          </c:extLst>
        </c:ser>
        <c:dLbls>
          <c:showLegendKey val="0"/>
          <c:showVal val="0"/>
          <c:showCatName val="0"/>
          <c:showSerName val="0"/>
          <c:showPercent val="0"/>
          <c:showBubbleSize val="0"/>
        </c:dLbls>
        <c:gapWidth val="50"/>
        <c:overlap val="100"/>
        <c:axId val="139009416"/>
        <c:axId val="13900980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paraugi!$B$3:$E$3</c15:sqref>
                        </c15:formulaRef>
                      </c:ext>
                    </c:extLst>
                    <c:strCache>
                      <c:ptCount val="4"/>
                      <c:pt idx="0">
                        <c:v>2018.gada 
plāns</c:v>
                      </c:pt>
                      <c:pt idx="1">
                        <c:v>2019.gada 
plāns</c:v>
                      </c:pt>
                      <c:pt idx="2">
                        <c:v>2020.gada 
prognoze</c:v>
                      </c:pt>
                      <c:pt idx="3">
                        <c:v>2021.gada 
prognoze</c:v>
                      </c:pt>
                    </c:strCache>
                  </c:strRef>
                </c:cat>
                <c:val>
                  <c:numRef>
                    <c:extLst>
                      <c:ext uri="{02D57815-91ED-43cb-92C2-25804820EDAC}">
                        <c15:formulaRef>
                          <c15:sqref>paraugi!$B$4:$E$4</c15:sqref>
                        </c15:formulaRef>
                      </c:ext>
                    </c:extLst>
                    <c:numCache>
                      <c:formatCode>#,##0</c:formatCode>
                      <c:ptCount val="4"/>
                      <c:pt idx="0">
                        <c:v>382116763</c:v>
                      </c:pt>
                      <c:pt idx="1">
                        <c:v>66657373</c:v>
                      </c:pt>
                      <c:pt idx="2">
                        <c:v>550145370</c:v>
                      </c:pt>
                      <c:pt idx="3">
                        <c:v>1223671832</c:v>
                      </c:pt>
                    </c:numCache>
                  </c:numRef>
                </c:val>
                <c:extLst>
                  <c:ext xmlns:c16="http://schemas.microsoft.com/office/drawing/2014/chart" uri="{C3380CC4-5D6E-409C-BE32-E72D297353CC}">
                    <c16:uniqueId val="{00000003-AC7B-4F23-B6BE-8C038BC3010F}"/>
                  </c:ext>
                </c:extLst>
              </c15:ser>
            </c15:filteredBarSeries>
          </c:ext>
        </c:extLst>
      </c:barChart>
      <c:catAx>
        <c:axId val="13900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9009800"/>
        <c:crosses val="autoZero"/>
        <c:auto val="1"/>
        <c:lblAlgn val="ctr"/>
        <c:lblOffset val="100"/>
        <c:noMultiLvlLbl val="0"/>
      </c:catAx>
      <c:valAx>
        <c:axId val="139009800"/>
        <c:scaling>
          <c:orientation val="minMax"/>
          <c:max val="12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39009416"/>
        <c:crosses val="autoZero"/>
        <c:crossBetween val="between"/>
        <c:minorUnit val="40000000"/>
      </c:valAx>
      <c:spPr>
        <a:noFill/>
        <a:ln>
          <a:noFill/>
        </a:ln>
        <a:effectLst/>
      </c:spPr>
    </c:plotArea>
    <c:legend>
      <c:legendPos val="b"/>
      <c:layout>
        <c:manualLayout>
          <c:xMode val="edge"/>
          <c:yMode val="edge"/>
          <c:x val="1.6640506713520315E-2"/>
          <c:y val="0.8621975137723169"/>
          <c:w val="0.98295067899121291"/>
          <c:h val="0.126128497393916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0.15901</cdr:x>
      <cdr:y>0.41695</cdr:y>
    </cdr:from>
    <cdr:to>
      <cdr:x>0.32412</cdr:x>
      <cdr:y>0.48634</cdr:y>
    </cdr:to>
    <cdr:sp macro="" textlink="">
      <cdr:nvSpPr>
        <cdr:cNvPr id="2" name="TextBox 1"/>
        <cdr:cNvSpPr txBox="1"/>
      </cdr:nvSpPr>
      <cdr:spPr>
        <a:xfrm xmlns:a="http://schemas.openxmlformats.org/drawingml/2006/main">
          <a:off x="915916" y="1427602"/>
          <a:ext cx="951048" cy="23758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382 116 763</a:t>
          </a:r>
        </a:p>
      </cdr:txBody>
    </cdr:sp>
  </cdr:relSizeAnchor>
  <cdr:relSizeAnchor xmlns:cdr="http://schemas.openxmlformats.org/drawingml/2006/chartDrawing">
    <cdr:from>
      <cdr:x>0.37119</cdr:x>
      <cdr:y>0.51969</cdr:y>
    </cdr:from>
    <cdr:to>
      <cdr:x>0.53506</cdr:x>
      <cdr:y>0.59416</cdr:y>
    </cdr:to>
    <cdr:sp macro="" textlink="">
      <cdr:nvSpPr>
        <cdr:cNvPr id="3" name="TextBox 1"/>
        <cdr:cNvSpPr txBox="1"/>
      </cdr:nvSpPr>
      <cdr:spPr>
        <a:xfrm xmlns:a="http://schemas.openxmlformats.org/drawingml/2006/main">
          <a:off x="2138075" y="1779390"/>
          <a:ext cx="943905" cy="254979"/>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66 657 373</a:t>
          </a:r>
        </a:p>
      </cdr:txBody>
    </cdr:sp>
  </cdr:relSizeAnchor>
  <cdr:relSizeAnchor xmlns:cdr="http://schemas.openxmlformats.org/drawingml/2006/chartDrawing">
    <cdr:from>
      <cdr:x>0.57959</cdr:x>
      <cdr:y>0.35914</cdr:y>
    </cdr:from>
    <cdr:to>
      <cdr:x>0.75074</cdr:x>
      <cdr:y>0.43247</cdr:y>
    </cdr:to>
    <cdr:sp macro="" textlink="">
      <cdr:nvSpPr>
        <cdr:cNvPr id="4" name="TextBox 1"/>
        <cdr:cNvSpPr txBox="1"/>
      </cdr:nvSpPr>
      <cdr:spPr>
        <a:xfrm xmlns:a="http://schemas.openxmlformats.org/drawingml/2006/main">
          <a:off x="3338482" y="1229651"/>
          <a:ext cx="985838" cy="25107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550 145 370</a:t>
          </a:r>
        </a:p>
      </cdr:txBody>
    </cdr:sp>
  </cdr:relSizeAnchor>
  <cdr:relSizeAnchor xmlns:cdr="http://schemas.openxmlformats.org/drawingml/2006/chartDrawing">
    <cdr:from>
      <cdr:x>0.77942</cdr:x>
      <cdr:y>0.01926</cdr:y>
    </cdr:from>
    <cdr:to>
      <cdr:x>0.96447</cdr:x>
      <cdr:y>0.09344</cdr:y>
    </cdr:to>
    <cdr:sp macro="" textlink="">
      <cdr:nvSpPr>
        <cdr:cNvPr id="5" name="TextBox 1"/>
        <cdr:cNvSpPr txBox="1"/>
      </cdr:nvSpPr>
      <cdr:spPr>
        <a:xfrm xmlns:a="http://schemas.openxmlformats.org/drawingml/2006/main">
          <a:off x="4489520" y="65958"/>
          <a:ext cx="1065903" cy="25398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1 223 671 832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B3DC-B290-4DE1-9104-24AE0255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6738</Words>
  <Characters>3842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krista.belija@fm.gov.lv</dc:creator>
  <dc:description>67083625, Krista.Beilija@fm.gov.lv</dc:description>
  <cp:lastModifiedBy>Aija Freiberga</cp:lastModifiedBy>
  <cp:revision>5</cp:revision>
  <cp:lastPrinted>2014-12-08T06:24:00Z</cp:lastPrinted>
  <dcterms:created xsi:type="dcterms:W3CDTF">2019-05-08T08:11:00Z</dcterms:created>
  <dcterms:modified xsi:type="dcterms:W3CDTF">2019-05-10T07:36:00Z</dcterms:modified>
</cp:coreProperties>
</file>