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F2E78" w14:textId="6E2613CF" w:rsidR="00FE6C07" w:rsidRPr="000E2874" w:rsidRDefault="00D55CA4" w:rsidP="009B7652">
      <w:pPr>
        <w:jc w:val="center"/>
        <w:rPr>
          <w:rFonts w:cs="Times New Roman"/>
          <w:b/>
          <w:szCs w:val="24"/>
        </w:rPr>
      </w:pPr>
      <w:r w:rsidRPr="000E2874">
        <w:rPr>
          <w:rFonts w:cs="Times New Roman"/>
          <w:b/>
          <w:szCs w:val="24"/>
        </w:rPr>
        <w:t>Detalizēta saskaņošanas tabula</w:t>
      </w:r>
    </w:p>
    <w:p w14:paraId="605CEC87" w14:textId="45D2D77F" w:rsidR="00C670FF" w:rsidRDefault="00C670FF" w:rsidP="000E2874">
      <w:pPr>
        <w:jc w:val="center"/>
        <w:rPr>
          <w:rFonts w:cs="Times New Roman"/>
          <w:b/>
          <w:i/>
          <w:szCs w:val="24"/>
        </w:rPr>
      </w:pPr>
      <w:r w:rsidRPr="000E2874">
        <w:rPr>
          <w:rFonts w:cs="Times New Roman"/>
          <w:b/>
          <w:i/>
          <w:szCs w:val="24"/>
        </w:rPr>
        <w:t>(metodoloģija pārejai no datiem, kas balstīti uz skaidru naudu</w:t>
      </w:r>
      <w:r w:rsidR="004257FA" w:rsidRPr="000E2874">
        <w:rPr>
          <w:rFonts w:cs="Times New Roman"/>
          <w:b/>
          <w:i/>
          <w:szCs w:val="24"/>
        </w:rPr>
        <w:t xml:space="preserve"> (naudas plūsmas metodoloģija)</w:t>
      </w:r>
      <w:r w:rsidRPr="000E2874">
        <w:rPr>
          <w:rFonts w:cs="Times New Roman"/>
          <w:b/>
          <w:i/>
          <w:szCs w:val="24"/>
        </w:rPr>
        <w:t>, uz datiem, kas balstīti uz</w:t>
      </w:r>
      <w:r w:rsidR="001F43C5" w:rsidRPr="000E2874">
        <w:rPr>
          <w:sz w:val="22"/>
        </w:rPr>
        <w:t xml:space="preserve"> </w:t>
      </w:r>
      <w:r w:rsidR="001F43C5" w:rsidRPr="000E2874">
        <w:rPr>
          <w:rFonts w:cs="Times New Roman"/>
          <w:b/>
          <w:i/>
          <w:szCs w:val="24"/>
        </w:rPr>
        <w:t>Eiropas nacionālo un reģionālo kontu sistēmai Eiropas Savienībā</w:t>
      </w:r>
      <w:r w:rsidRPr="000E2874">
        <w:rPr>
          <w:rFonts w:cs="Times New Roman"/>
          <w:b/>
          <w:i/>
          <w:szCs w:val="24"/>
        </w:rPr>
        <w:t xml:space="preserve"> </w:t>
      </w:r>
      <w:r w:rsidR="001F43C5" w:rsidRPr="000E2874">
        <w:rPr>
          <w:rFonts w:cs="Times New Roman"/>
          <w:b/>
          <w:i/>
          <w:szCs w:val="24"/>
        </w:rPr>
        <w:t>(</w:t>
      </w:r>
      <w:r w:rsidRPr="000E2874">
        <w:rPr>
          <w:rFonts w:cs="Times New Roman"/>
          <w:b/>
          <w:i/>
          <w:szCs w:val="24"/>
        </w:rPr>
        <w:t>EKS</w:t>
      </w:r>
      <w:r w:rsidR="001F43C5" w:rsidRPr="000E2874">
        <w:rPr>
          <w:rFonts w:cs="Times New Roman"/>
          <w:b/>
          <w:i/>
          <w:szCs w:val="24"/>
        </w:rPr>
        <w:t>)</w:t>
      </w:r>
      <w:r w:rsidRPr="000E2874">
        <w:rPr>
          <w:rFonts w:cs="Times New Roman"/>
          <w:b/>
          <w:i/>
          <w:szCs w:val="24"/>
        </w:rPr>
        <w:t xml:space="preserve"> standartu)</w:t>
      </w:r>
    </w:p>
    <w:p w14:paraId="17962E3F" w14:textId="77777777" w:rsidR="000E2874" w:rsidRPr="000E2874" w:rsidRDefault="000E2874" w:rsidP="000E2874">
      <w:pPr>
        <w:jc w:val="center"/>
        <w:rPr>
          <w:rFonts w:cs="Times New Roman"/>
          <w:b/>
          <w:i/>
          <w:szCs w:val="24"/>
        </w:rPr>
      </w:pPr>
    </w:p>
    <w:p w14:paraId="67EAF1B3" w14:textId="0388759C" w:rsidR="00824C0F" w:rsidRPr="001A45F4" w:rsidRDefault="00115A19" w:rsidP="00920403">
      <w:pPr>
        <w:ind w:firstLine="720"/>
        <w:jc w:val="both"/>
        <w:rPr>
          <w:i/>
          <w:szCs w:val="24"/>
        </w:rPr>
      </w:pPr>
      <w:r w:rsidRPr="001A45F4">
        <w:rPr>
          <w:szCs w:val="24"/>
        </w:rPr>
        <w:t xml:space="preserve">Detalizēta saskaņošanas tabula ir sagatavota saskaņā ar </w:t>
      </w:r>
      <w:r w:rsidR="00920403" w:rsidRPr="001A45F4">
        <w:rPr>
          <w:szCs w:val="24"/>
        </w:rPr>
        <w:t xml:space="preserve">Padomes </w:t>
      </w:r>
      <w:r w:rsidR="00114B76" w:rsidRPr="001A45F4">
        <w:rPr>
          <w:szCs w:val="24"/>
        </w:rPr>
        <w:t xml:space="preserve">2011. gada 8. novembra direktīvas </w:t>
      </w:r>
      <w:r w:rsidRPr="001A45F4">
        <w:rPr>
          <w:szCs w:val="24"/>
        </w:rPr>
        <w:t>2011/85/ES par prasībām dalībvalstu budžeta struktūrām 2. nodaļas „Uzskaite un statistika” 3. panta otrā punkta b) apakšpunktu:</w:t>
      </w:r>
      <w:r w:rsidRPr="001A45F4">
        <w:rPr>
          <w:i/>
          <w:szCs w:val="24"/>
        </w:rPr>
        <w:t xml:space="preserve"> „detalizētu saskaņošanas tabulu, kurā parādīta metodoloģija pārejai no datiem, kas balstīti uz skaidru naudu (vai ekvivalentiem skaitļiem no publiskās uzskaites, ja uz skaidru naudu balstīti dati nav pieejami), uz datiem, kas balstīti uz EKS standartu.”</w:t>
      </w:r>
    </w:p>
    <w:p w14:paraId="3B474721" w14:textId="5F96DEF0" w:rsidR="00660294" w:rsidRPr="001A45F4" w:rsidRDefault="00660294" w:rsidP="00920403">
      <w:pPr>
        <w:ind w:firstLine="720"/>
        <w:jc w:val="both"/>
        <w:rPr>
          <w:szCs w:val="24"/>
        </w:rPr>
      </w:pPr>
      <w:r w:rsidRPr="001A45F4">
        <w:rPr>
          <w:szCs w:val="24"/>
        </w:rPr>
        <w:t xml:space="preserve">Detalizēta saskaņošanas tabula ir sagatavota, lai būtu uzskatāmi parādīta </w:t>
      </w:r>
      <w:r w:rsidR="009078EE" w:rsidRPr="001A45F4">
        <w:rPr>
          <w:szCs w:val="24"/>
        </w:rPr>
        <w:t xml:space="preserve">konceptuālas </w:t>
      </w:r>
      <w:r w:rsidRPr="001A45F4">
        <w:rPr>
          <w:szCs w:val="24"/>
        </w:rPr>
        <w:t>metodolo</w:t>
      </w:r>
      <w:r w:rsidR="009078EE" w:rsidRPr="001A45F4">
        <w:rPr>
          <w:szCs w:val="24"/>
        </w:rPr>
        <w:t xml:space="preserve">ģiskas atšķirības starp </w:t>
      </w:r>
      <w:r w:rsidR="00E65A50" w:rsidRPr="001A45F4">
        <w:t>konsolidēto kopbudžeta bilanci (nacionālā metodoloģija) un vispārējās valdības budžeta bilanci (EKS metodoloģija)</w:t>
      </w:r>
      <w:r w:rsidR="009078EE" w:rsidRPr="001A45F4">
        <w:rPr>
          <w:szCs w:val="24"/>
        </w:rPr>
        <w:t xml:space="preserve">, lai lietotājs saprotamā veidā </w:t>
      </w:r>
      <w:r w:rsidR="00515519" w:rsidRPr="001A45F4">
        <w:rPr>
          <w:szCs w:val="24"/>
        </w:rPr>
        <w:t>varētu izsekot datu atšķirībām.</w:t>
      </w:r>
    </w:p>
    <w:tbl>
      <w:tblPr>
        <w:tblStyle w:val="GridTable5Dark-Accent1"/>
        <w:tblW w:w="1544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8"/>
        <w:gridCol w:w="7408"/>
        <w:gridCol w:w="5540"/>
      </w:tblGrid>
      <w:tr w:rsidR="001A45F4" w:rsidRPr="001A45F4" w14:paraId="3DB7C741" w14:textId="77777777" w:rsidTr="000E2874">
        <w:trPr>
          <w:cnfStyle w:val="100000000000" w:firstRow="1" w:lastRow="0" w:firstColumn="0" w:lastColumn="0" w:oddVBand="0" w:evenVBand="0" w:oddHBand="0" w:evenHBand="0" w:firstRowFirstColumn="0" w:firstRowLastColumn="0" w:lastRowFirstColumn="0" w:lastRowLastColumn="0"/>
          <w:trHeight w:val="759"/>
          <w:tblHeader/>
          <w:jc w:val="center"/>
        </w:trPr>
        <w:tc>
          <w:tcPr>
            <w:cnfStyle w:val="001000000000" w:firstRow="0" w:lastRow="0" w:firstColumn="1" w:lastColumn="0" w:oddVBand="0" w:evenVBand="0" w:oddHBand="0" w:evenHBand="0" w:firstRowFirstColumn="0" w:firstRowLastColumn="0" w:lastRowFirstColumn="0" w:lastRowLastColumn="0"/>
            <w:tcW w:w="2498" w:type="dxa"/>
            <w:shd w:val="clear" w:color="auto" w:fill="auto"/>
          </w:tcPr>
          <w:p w14:paraId="3880946E" w14:textId="77777777" w:rsidR="00D649B4" w:rsidRPr="001A45F4" w:rsidRDefault="007E6C76" w:rsidP="00022F8C">
            <w:pPr>
              <w:jc w:val="center"/>
              <w:rPr>
                <w:rFonts w:cs="Times New Roman"/>
                <w:color w:val="auto"/>
                <w:sz w:val="20"/>
                <w:szCs w:val="20"/>
              </w:rPr>
            </w:pPr>
            <w:r w:rsidRPr="001A45F4">
              <w:rPr>
                <w:rFonts w:cs="Times New Roman"/>
                <w:color w:val="auto"/>
                <w:sz w:val="20"/>
                <w:szCs w:val="20"/>
              </w:rPr>
              <w:br w:type="page"/>
            </w:r>
          </w:p>
        </w:tc>
        <w:tc>
          <w:tcPr>
            <w:tcW w:w="7408" w:type="dxa"/>
            <w:shd w:val="clear" w:color="auto" w:fill="auto"/>
            <w:vAlign w:val="center"/>
          </w:tcPr>
          <w:p w14:paraId="37CB18D4" w14:textId="77777777" w:rsidR="00D649B4" w:rsidRPr="001A45F4" w:rsidRDefault="007E6C76" w:rsidP="008769AF">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1A45F4">
              <w:rPr>
                <w:rFonts w:cs="Times New Roman"/>
                <w:color w:val="auto"/>
                <w:sz w:val="20"/>
                <w:szCs w:val="20"/>
              </w:rPr>
              <w:t>V</w:t>
            </w:r>
            <w:r w:rsidR="00D649B4" w:rsidRPr="001A45F4">
              <w:rPr>
                <w:rFonts w:cs="Times New Roman"/>
                <w:color w:val="auto"/>
                <w:sz w:val="20"/>
                <w:szCs w:val="20"/>
              </w:rPr>
              <w:t>alsts budžeta izpilde</w:t>
            </w:r>
          </w:p>
        </w:tc>
        <w:tc>
          <w:tcPr>
            <w:tcW w:w="5540" w:type="dxa"/>
            <w:shd w:val="clear" w:color="auto" w:fill="auto"/>
            <w:vAlign w:val="center"/>
          </w:tcPr>
          <w:p w14:paraId="058440D4" w14:textId="4FB713ED" w:rsidR="00D649B4" w:rsidRPr="001A45F4" w:rsidRDefault="007E6C76" w:rsidP="00D42169">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1A45F4">
              <w:rPr>
                <w:rFonts w:cs="Times New Roman"/>
                <w:color w:val="auto"/>
                <w:sz w:val="20"/>
                <w:szCs w:val="20"/>
              </w:rPr>
              <w:t>V</w:t>
            </w:r>
            <w:r w:rsidR="00D649B4" w:rsidRPr="001A45F4">
              <w:rPr>
                <w:rFonts w:cs="Times New Roman"/>
                <w:color w:val="auto"/>
                <w:sz w:val="20"/>
                <w:szCs w:val="20"/>
              </w:rPr>
              <w:t xml:space="preserve">ispārējās valdības budžeta </w:t>
            </w:r>
            <w:r w:rsidR="00D42169" w:rsidRPr="001A45F4">
              <w:rPr>
                <w:rFonts w:cs="Times New Roman"/>
                <w:color w:val="auto"/>
                <w:sz w:val="20"/>
                <w:szCs w:val="20"/>
              </w:rPr>
              <w:t>izpilde</w:t>
            </w:r>
            <w:r w:rsidR="00D649B4" w:rsidRPr="001A45F4">
              <w:rPr>
                <w:rFonts w:cs="Times New Roman"/>
                <w:color w:val="auto"/>
                <w:sz w:val="20"/>
                <w:szCs w:val="20"/>
              </w:rPr>
              <w:t xml:space="preserve"> atbilstoši</w:t>
            </w:r>
            <w:r w:rsidRPr="001A45F4">
              <w:rPr>
                <w:rFonts w:cs="Times New Roman"/>
                <w:color w:val="auto"/>
                <w:sz w:val="20"/>
                <w:szCs w:val="20"/>
              </w:rPr>
              <w:t xml:space="preserve"> EKS</w:t>
            </w:r>
            <w:r w:rsidR="000E2874" w:rsidRPr="001A45F4">
              <w:rPr>
                <w:rFonts w:cs="Times New Roman"/>
                <w:color w:val="auto"/>
                <w:sz w:val="20"/>
                <w:szCs w:val="20"/>
              </w:rPr>
              <w:t xml:space="preserve"> metodoloģijai</w:t>
            </w:r>
          </w:p>
        </w:tc>
      </w:tr>
      <w:tr w:rsidR="001A45F4" w:rsidRPr="001A45F4" w14:paraId="71184AFA" w14:textId="77777777" w:rsidTr="000E28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8" w:type="dxa"/>
            <w:shd w:val="clear" w:color="auto" w:fill="auto"/>
          </w:tcPr>
          <w:p w14:paraId="4E63D1F8" w14:textId="77777777" w:rsidR="004540CE" w:rsidRPr="001A45F4" w:rsidRDefault="005B1955" w:rsidP="004540CE">
            <w:pPr>
              <w:jc w:val="both"/>
              <w:rPr>
                <w:rFonts w:cs="Times New Roman"/>
                <w:bCs w:val="0"/>
                <w:color w:val="auto"/>
                <w:sz w:val="20"/>
                <w:szCs w:val="20"/>
              </w:rPr>
            </w:pPr>
            <w:r w:rsidRPr="001A45F4">
              <w:rPr>
                <w:rFonts w:cs="Times New Roman"/>
                <w:bCs w:val="0"/>
                <w:color w:val="auto"/>
                <w:sz w:val="20"/>
                <w:szCs w:val="20"/>
              </w:rPr>
              <w:t xml:space="preserve">INFORMĀCIJAS AVOTS </w:t>
            </w:r>
          </w:p>
          <w:p w14:paraId="667AEA43" w14:textId="77777777" w:rsidR="00D649B4" w:rsidRPr="001A45F4" w:rsidRDefault="00D649B4" w:rsidP="00D42169">
            <w:pPr>
              <w:jc w:val="both"/>
              <w:rPr>
                <w:rFonts w:cs="Times New Roman"/>
                <w:bCs w:val="0"/>
                <w:color w:val="auto"/>
                <w:sz w:val="20"/>
                <w:szCs w:val="20"/>
              </w:rPr>
            </w:pPr>
          </w:p>
        </w:tc>
        <w:tc>
          <w:tcPr>
            <w:tcW w:w="7408" w:type="dxa"/>
            <w:shd w:val="clear" w:color="auto" w:fill="auto"/>
          </w:tcPr>
          <w:p w14:paraId="1479FE02" w14:textId="39CABCC2" w:rsidR="00BE45EF" w:rsidRPr="001A45F4" w:rsidRDefault="009830A8" w:rsidP="00AB49B1">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Valsts budžeta izpildes d</w:t>
            </w:r>
            <w:r w:rsidR="00BE45EF" w:rsidRPr="001A45F4">
              <w:rPr>
                <w:rFonts w:cs="Times New Roman"/>
                <w:sz w:val="20"/>
                <w:szCs w:val="20"/>
              </w:rPr>
              <w:t>ati tiek sagatavoti un apkopoti saskaņā ar Likumu par budžetu un finanšu vadību un uz minētā likuma pamata izdot</w:t>
            </w:r>
            <w:r w:rsidRPr="001A45F4">
              <w:rPr>
                <w:rFonts w:cs="Times New Roman"/>
                <w:sz w:val="20"/>
                <w:szCs w:val="20"/>
              </w:rPr>
              <w:t xml:space="preserve">ajiem </w:t>
            </w:r>
            <w:r w:rsidR="00BE45EF" w:rsidRPr="001A45F4">
              <w:rPr>
                <w:rFonts w:cs="Times New Roman"/>
                <w:sz w:val="20"/>
                <w:szCs w:val="20"/>
              </w:rPr>
              <w:t>Ministru kabineta</w:t>
            </w:r>
            <w:r w:rsidR="00114B76" w:rsidRPr="001A45F4">
              <w:rPr>
                <w:rFonts w:cs="Times New Roman"/>
                <w:sz w:val="20"/>
                <w:szCs w:val="20"/>
              </w:rPr>
              <w:t xml:space="preserve"> (turpmāk – MK)</w:t>
            </w:r>
            <w:r w:rsidR="00BE45EF" w:rsidRPr="001A45F4">
              <w:rPr>
                <w:rFonts w:cs="Times New Roman"/>
                <w:sz w:val="20"/>
                <w:szCs w:val="20"/>
              </w:rPr>
              <w:t xml:space="preserve"> 2010. gada 17. augusta </w:t>
            </w:r>
            <w:r w:rsidR="00777028" w:rsidRPr="001A45F4">
              <w:rPr>
                <w:rFonts w:cs="Times New Roman"/>
                <w:sz w:val="20"/>
                <w:szCs w:val="20"/>
              </w:rPr>
              <w:t>noteikumi</w:t>
            </w:r>
            <w:r w:rsidRPr="001A45F4">
              <w:rPr>
                <w:rFonts w:cs="Times New Roman"/>
                <w:sz w:val="20"/>
                <w:szCs w:val="20"/>
              </w:rPr>
              <w:t>em</w:t>
            </w:r>
            <w:r w:rsidR="00777028" w:rsidRPr="001A45F4">
              <w:rPr>
                <w:rFonts w:cs="Times New Roman"/>
                <w:sz w:val="20"/>
                <w:szCs w:val="20"/>
              </w:rPr>
              <w:t xml:space="preserve"> Nr.</w:t>
            </w:r>
            <w:r w:rsidR="00BE45EF" w:rsidRPr="001A45F4">
              <w:rPr>
                <w:rFonts w:cs="Times New Roman"/>
                <w:sz w:val="20"/>
                <w:szCs w:val="20"/>
              </w:rPr>
              <w:t> </w:t>
            </w:r>
            <w:r w:rsidR="00777028" w:rsidRPr="001A45F4">
              <w:rPr>
                <w:rFonts w:cs="Times New Roman"/>
                <w:sz w:val="20"/>
                <w:szCs w:val="20"/>
              </w:rPr>
              <w:t xml:space="preserve">776 </w:t>
            </w:r>
            <w:r w:rsidR="00777028" w:rsidRPr="001A45F4">
              <w:rPr>
                <w:rFonts w:cs="Times New Roman"/>
                <w:i/>
                <w:sz w:val="20"/>
                <w:szCs w:val="20"/>
              </w:rPr>
              <w:t>"Mēneša pārskatu sagatav</w:t>
            </w:r>
            <w:r w:rsidR="00BE45EF" w:rsidRPr="001A45F4">
              <w:rPr>
                <w:rFonts w:cs="Times New Roman"/>
                <w:i/>
                <w:sz w:val="20"/>
                <w:szCs w:val="20"/>
              </w:rPr>
              <w:t>ošanas un iesniegšanas kārtība"</w:t>
            </w:r>
            <w:r w:rsidR="006419B9" w:rsidRPr="001A45F4">
              <w:rPr>
                <w:rFonts w:cs="Times New Roman"/>
                <w:i/>
                <w:sz w:val="20"/>
                <w:szCs w:val="20"/>
              </w:rPr>
              <w:t>,</w:t>
            </w:r>
            <w:r w:rsidR="00BE45EF" w:rsidRPr="001A45F4">
              <w:rPr>
                <w:rFonts w:cs="Times New Roman"/>
                <w:sz w:val="20"/>
                <w:szCs w:val="20"/>
              </w:rPr>
              <w:t xml:space="preserve"> </w:t>
            </w:r>
            <w:r w:rsidR="00777028" w:rsidRPr="001A45F4">
              <w:rPr>
                <w:rFonts w:cs="Times New Roman"/>
                <w:sz w:val="20"/>
                <w:szCs w:val="20"/>
              </w:rPr>
              <w:t xml:space="preserve">MK </w:t>
            </w:r>
            <w:r w:rsidR="00AB49B1" w:rsidRPr="001A45F4">
              <w:rPr>
                <w:rFonts w:cs="Times New Roman"/>
                <w:sz w:val="20"/>
                <w:szCs w:val="20"/>
              </w:rPr>
              <w:t>20</w:t>
            </w:r>
            <w:r w:rsidR="0028495F" w:rsidRPr="001A45F4">
              <w:rPr>
                <w:rFonts w:cs="Times New Roman"/>
                <w:sz w:val="20"/>
                <w:szCs w:val="20"/>
              </w:rPr>
              <w:t>2</w:t>
            </w:r>
            <w:r w:rsidR="006E5C1C">
              <w:rPr>
                <w:rFonts w:cs="Times New Roman"/>
                <w:sz w:val="20"/>
                <w:szCs w:val="20"/>
              </w:rPr>
              <w:t>4</w:t>
            </w:r>
            <w:r w:rsidR="00BE45EF" w:rsidRPr="001A45F4">
              <w:rPr>
                <w:rFonts w:cs="Times New Roman"/>
                <w:sz w:val="20"/>
                <w:szCs w:val="20"/>
              </w:rPr>
              <w:t xml:space="preserve">. gada </w:t>
            </w:r>
            <w:r w:rsidR="006E5C1C">
              <w:rPr>
                <w:rFonts w:cs="Times New Roman"/>
                <w:sz w:val="20"/>
                <w:szCs w:val="20"/>
              </w:rPr>
              <w:t>11</w:t>
            </w:r>
            <w:r w:rsidR="00AB49B1" w:rsidRPr="001A45F4">
              <w:rPr>
                <w:rFonts w:cs="Times New Roman"/>
                <w:sz w:val="20"/>
                <w:szCs w:val="20"/>
              </w:rPr>
              <w:t xml:space="preserve">. </w:t>
            </w:r>
            <w:r w:rsidR="006E5C1C">
              <w:rPr>
                <w:rFonts w:cs="Times New Roman"/>
                <w:sz w:val="20"/>
                <w:szCs w:val="20"/>
              </w:rPr>
              <w:t>jūnija</w:t>
            </w:r>
            <w:r w:rsidR="00BE45EF" w:rsidRPr="001A45F4">
              <w:rPr>
                <w:rFonts w:cs="Times New Roman"/>
                <w:sz w:val="20"/>
                <w:szCs w:val="20"/>
              </w:rPr>
              <w:t xml:space="preserve"> noteikumi</w:t>
            </w:r>
            <w:r w:rsidRPr="001A45F4">
              <w:rPr>
                <w:rFonts w:cs="Times New Roman"/>
                <w:sz w:val="20"/>
                <w:szCs w:val="20"/>
              </w:rPr>
              <w:t>em</w:t>
            </w:r>
            <w:r w:rsidR="00BE45EF" w:rsidRPr="001A45F4">
              <w:rPr>
                <w:rFonts w:cs="Times New Roman"/>
                <w:sz w:val="20"/>
                <w:szCs w:val="20"/>
              </w:rPr>
              <w:t xml:space="preserve"> Nr. </w:t>
            </w:r>
            <w:r w:rsidR="006E5C1C">
              <w:rPr>
                <w:rFonts w:cs="Times New Roman"/>
                <w:sz w:val="20"/>
                <w:szCs w:val="20"/>
              </w:rPr>
              <w:t>344</w:t>
            </w:r>
            <w:r w:rsidR="00777028" w:rsidRPr="001A45F4">
              <w:rPr>
                <w:rFonts w:cs="Times New Roman"/>
                <w:sz w:val="20"/>
                <w:szCs w:val="20"/>
              </w:rPr>
              <w:t xml:space="preserve"> </w:t>
            </w:r>
            <w:r w:rsidR="00777028" w:rsidRPr="001A45F4">
              <w:rPr>
                <w:rFonts w:cs="Times New Roman"/>
                <w:i/>
                <w:sz w:val="20"/>
                <w:szCs w:val="20"/>
              </w:rPr>
              <w:t>"</w:t>
            </w:r>
            <w:r w:rsidR="00AB49B1" w:rsidRPr="001A45F4">
              <w:t xml:space="preserve"> </w:t>
            </w:r>
            <w:r w:rsidR="00AB49B1" w:rsidRPr="001A45F4">
              <w:rPr>
                <w:rFonts w:cs="Times New Roman"/>
                <w:i/>
                <w:sz w:val="20"/>
                <w:szCs w:val="20"/>
              </w:rPr>
              <w:t>Ceturkšņa pārskat</w:t>
            </w:r>
            <w:r w:rsidR="0028495F" w:rsidRPr="001A45F4">
              <w:rPr>
                <w:rFonts w:cs="Times New Roman"/>
                <w:i/>
                <w:sz w:val="20"/>
                <w:szCs w:val="20"/>
              </w:rPr>
              <w:t>a</w:t>
            </w:r>
            <w:r w:rsidR="00AB49B1" w:rsidRPr="001A45F4">
              <w:rPr>
                <w:rFonts w:cs="Times New Roman"/>
                <w:i/>
                <w:sz w:val="20"/>
                <w:szCs w:val="20"/>
              </w:rPr>
              <w:t xml:space="preserve"> sagatavošanas kārtība</w:t>
            </w:r>
            <w:r w:rsidR="00BE45EF" w:rsidRPr="001A45F4">
              <w:rPr>
                <w:rFonts w:cs="Times New Roman"/>
                <w:i/>
                <w:sz w:val="20"/>
                <w:szCs w:val="20"/>
              </w:rPr>
              <w:t>"</w:t>
            </w:r>
            <w:r w:rsidR="006419B9" w:rsidRPr="001A45F4">
              <w:rPr>
                <w:rFonts w:cs="Times New Roman"/>
                <w:i/>
                <w:sz w:val="20"/>
                <w:szCs w:val="20"/>
              </w:rPr>
              <w:t xml:space="preserve"> un 20</w:t>
            </w:r>
            <w:r w:rsidR="0028495F" w:rsidRPr="001A45F4">
              <w:rPr>
                <w:rFonts w:cs="Times New Roman"/>
                <w:i/>
                <w:sz w:val="20"/>
                <w:szCs w:val="20"/>
              </w:rPr>
              <w:t>21</w:t>
            </w:r>
            <w:r w:rsidR="006419B9" w:rsidRPr="001A45F4">
              <w:rPr>
                <w:rFonts w:cs="Times New Roman"/>
                <w:i/>
                <w:sz w:val="20"/>
                <w:szCs w:val="20"/>
              </w:rPr>
              <w:t xml:space="preserve">. gada </w:t>
            </w:r>
            <w:r w:rsidR="0028495F" w:rsidRPr="001A45F4">
              <w:rPr>
                <w:rFonts w:cs="Times New Roman"/>
                <w:i/>
                <w:sz w:val="20"/>
                <w:szCs w:val="20"/>
              </w:rPr>
              <w:t>28</w:t>
            </w:r>
            <w:r w:rsidR="006419B9" w:rsidRPr="001A45F4">
              <w:rPr>
                <w:rFonts w:cs="Times New Roman"/>
                <w:i/>
                <w:sz w:val="20"/>
                <w:szCs w:val="20"/>
              </w:rPr>
              <w:t xml:space="preserve">. </w:t>
            </w:r>
            <w:r w:rsidR="0028495F" w:rsidRPr="001A45F4">
              <w:rPr>
                <w:rFonts w:cs="Times New Roman"/>
                <w:i/>
                <w:sz w:val="20"/>
                <w:szCs w:val="20"/>
              </w:rPr>
              <w:t>septembra</w:t>
            </w:r>
            <w:r w:rsidR="006419B9" w:rsidRPr="001A45F4">
              <w:rPr>
                <w:rFonts w:cs="Times New Roman"/>
                <w:i/>
                <w:sz w:val="20"/>
                <w:szCs w:val="20"/>
              </w:rPr>
              <w:t xml:space="preserve"> noteikumiem Nr. </w:t>
            </w:r>
            <w:r w:rsidR="0028495F" w:rsidRPr="001A45F4">
              <w:rPr>
                <w:rFonts w:cs="Times New Roman"/>
                <w:i/>
                <w:sz w:val="20"/>
                <w:szCs w:val="20"/>
              </w:rPr>
              <w:t>652</w:t>
            </w:r>
            <w:r w:rsidR="006419B9" w:rsidRPr="001A45F4">
              <w:rPr>
                <w:rFonts w:cs="Times New Roman"/>
                <w:i/>
                <w:sz w:val="20"/>
                <w:szCs w:val="20"/>
              </w:rPr>
              <w:t xml:space="preserve"> “Gada pārskata sagatavošanas kārtība”.</w:t>
            </w:r>
          </w:p>
        </w:tc>
        <w:tc>
          <w:tcPr>
            <w:tcW w:w="5540" w:type="dxa"/>
            <w:shd w:val="clear" w:color="auto" w:fill="auto"/>
          </w:tcPr>
          <w:p w14:paraId="0643C63A" w14:textId="3C40D539" w:rsidR="004540CE" w:rsidRPr="001A45F4" w:rsidRDefault="008769AF" w:rsidP="008400AF">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Papildus valsts budžeta izpildes informācijas avotam tiek izmantota šāda informācija</w:t>
            </w:r>
            <w:r w:rsidR="004540CE" w:rsidRPr="001A45F4">
              <w:rPr>
                <w:rFonts w:cs="Times New Roman"/>
                <w:sz w:val="20"/>
                <w:szCs w:val="20"/>
              </w:rPr>
              <w:t>: Centrālās statistikas pārvaldes</w:t>
            </w:r>
            <w:r w:rsidR="00503928" w:rsidRPr="001A45F4">
              <w:rPr>
                <w:rFonts w:cs="Times New Roman"/>
                <w:sz w:val="20"/>
                <w:szCs w:val="20"/>
              </w:rPr>
              <w:t xml:space="preserve"> (CSP)</w:t>
            </w:r>
            <w:r w:rsidR="004540CE" w:rsidRPr="001A45F4">
              <w:rPr>
                <w:rFonts w:cs="Times New Roman"/>
                <w:sz w:val="20"/>
                <w:szCs w:val="20"/>
              </w:rPr>
              <w:t xml:space="preserve"> sagatavotā un izplatītā aptaujas veidlapa</w:t>
            </w:r>
            <w:r w:rsidR="001F671C" w:rsidRPr="001A45F4">
              <w:rPr>
                <w:rFonts w:cs="Times New Roman"/>
                <w:sz w:val="20"/>
                <w:szCs w:val="20"/>
              </w:rPr>
              <w:t xml:space="preserve"> par </w:t>
            </w:r>
            <w:r w:rsidR="008400AF" w:rsidRPr="001A45F4">
              <w:rPr>
                <w:rFonts w:cs="Times New Roman"/>
                <w:sz w:val="20"/>
                <w:szCs w:val="20"/>
              </w:rPr>
              <w:t xml:space="preserve">valsts un pašvaldību kontrolēto un finansēto komersantu darbības rezultātiem </w:t>
            </w:r>
            <w:r w:rsidR="006419B9" w:rsidRPr="001A45F4">
              <w:rPr>
                <w:rFonts w:cs="Times New Roman"/>
                <w:sz w:val="20"/>
                <w:szCs w:val="20"/>
              </w:rPr>
              <w:t>(</w:t>
            </w:r>
            <w:r w:rsidR="00A20708" w:rsidRPr="001A45F4">
              <w:rPr>
                <w:rFonts w:cs="Times New Roman"/>
                <w:sz w:val="20"/>
                <w:szCs w:val="20"/>
              </w:rPr>
              <w:t>1-FAP un 2</w:t>
            </w:r>
            <w:r w:rsidR="006419B9" w:rsidRPr="001A45F4">
              <w:rPr>
                <w:rFonts w:cs="Times New Roman"/>
                <w:sz w:val="20"/>
                <w:szCs w:val="20"/>
              </w:rPr>
              <w:t xml:space="preserve">-FAP “Finanšu aktīvi un pasīvi”) </w:t>
            </w:r>
            <w:r w:rsidR="008400AF" w:rsidRPr="001A45F4">
              <w:rPr>
                <w:rFonts w:cs="Times New Roman"/>
                <w:sz w:val="20"/>
                <w:szCs w:val="20"/>
              </w:rPr>
              <w:t xml:space="preserve">un </w:t>
            </w:r>
            <w:r w:rsidR="00D6405C" w:rsidRPr="001A45F4">
              <w:rPr>
                <w:rFonts w:cs="Times New Roman"/>
                <w:sz w:val="20"/>
                <w:szCs w:val="20"/>
              </w:rPr>
              <w:t>aptaujas veidlapa par Eiropas Savienības un citu ārvalstu finanšu palīdzības līdzekļu apguvi.</w:t>
            </w:r>
          </w:p>
        </w:tc>
      </w:tr>
      <w:tr w:rsidR="001A45F4" w:rsidRPr="001A45F4" w14:paraId="53AA11F4" w14:textId="77777777" w:rsidTr="000E2874">
        <w:trPr>
          <w:jc w:val="center"/>
        </w:trPr>
        <w:tc>
          <w:tcPr>
            <w:cnfStyle w:val="001000000000" w:firstRow="0" w:lastRow="0" w:firstColumn="1" w:lastColumn="0" w:oddVBand="0" w:evenVBand="0" w:oddHBand="0" w:evenHBand="0" w:firstRowFirstColumn="0" w:firstRowLastColumn="0" w:lastRowFirstColumn="0" w:lastRowLastColumn="0"/>
            <w:tcW w:w="2498" w:type="dxa"/>
            <w:shd w:val="clear" w:color="auto" w:fill="auto"/>
          </w:tcPr>
          <w:p w14:paraId="4C014398" w14:textId="77777777" w:rsidR="00A31745" w:rsidRPr="001A45F4" w:rsidRDefault="00A31745" w:rsidP="00A31745">
            <w:pPr>
              <w:jc w:val="both"/>
              <w:rPr>
                <w:rFonts w:cs="Times New Roman"/>
                <w:bCs w:val="0"/>
                <w:color w:val="auto"/>
                <w:sz w:val="20"/>
                <w:szCs w:val="20"/>
              </w:rPr>
            </w:pPr>
            <w:r w:rsidRPr="001A45F4">
              <w:rPr>
                <w:rFonts w:cs="Times New Roman"/>
                <w:bCs w:val="0"/>
                <w:color w:val="auto"/>
                <w:sz w:val="20"/>
                <w:szCs w:val="20"/>
              </w:rPr>
              <w:t xml:space="preserve">METODOLOĢIJA </w:t>
            </w:r>
          </w:p>
        </w:tc>
        <w:tc>
          <w:tcPr>
            <w:tcW w:w="7408" w:type="dxa"/>
            <w:shd w:val="clear" w:color="auto" w:fill="auto"/>
          </w:tcPr>
          <w:p w14:paraId="678AF1E9" w14:textId="77777777" w:rsidR="00A31745" w:rsidRPr="001A45F4" w:rsidRDefault="00A31745" w:rsidP="00A31745">
            <w:pPr>
              <w:jc w:val="both"/>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p w14:paraId="586F73BA" w14:textId="77777777" w:rsidR="00A31745" w:rsidRPr="001A45F4" w:rsidRDefault="00A31745" w:rsidP="00A31745">
            <w:pPr>
              <w:jc w:val="both"/>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p w14:paraId="46B7789E" w14:textId="77777777" w:rsidR="00A31745" w:rsidRPr="001A45F4" w:rsidRDefault="00A31745" w:rsidP="00A31745">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540" w:type="dxa"/>
            <w:shd w:val="clear" w:color="auto" w:fill="auto"/>
          </w:tcPr>
          <w:p w14:paraId="6471DFAF" w14:textId="416CB68C" w:rsidR="004D6A45" w:rsidRPr="001A45F4" w:rsidRDefault="00B90BE8" w:rsidP="00A4238E">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A45F4">
              <w:rPr>
                <w:rFonts w:cs="Times New Roman"/>
                <w:sz w:val="20"/>
                <w:szCs w:val="20"/>
              </w:rPr>
              <w:t>Valsts</w:t>
            </w:r>
            <w:r w:rsidR="004305F4" w:rsidRPr="001A45F4">
              <w:rPr>
                <w:rFonts w:cs="Times New Roman"/>
                <w:sz w:val="20"/>
                <w:szCs w:val="20"/>
              </w:rPr>
              <w:t xml:space="preserve"> budžeta institucionālo vienību saraksti pēc būtības atbilst EKS metodoloģijai (nosaukumi ir balstīti uz Likuma par budžetu un finanšu vadību terminoloģiju un nepārprotamībai ir pievienoti iekavās nosaukumi saskaņā ar 2013. gada 21. maija Eiropas Parlamenta un Padomes Regulu Nr. 549/2013 par Eiropas nacionālo un reģionālo kontu sistēmu Eiropas Savienībā). </w:t>
            </w:r>
          </w:p>
          <w:p w14:paraId="7F9F308F" w14:textId="77777777" w:rsidR="00B90BE8" w:rsidRPr="001A45F4" w:rsidRDefault="00B90BE8" w:rsidP="00B90BE8">
            <w:pPr>
              <w:cnfStyle w:val="000000000000" w:firstRow="0" w:lastRow="0" w:firstColumn="0" w:lastColumn="0" w:oddVBand="0" w:evenVBand="0" w:oddHBand="0" w:evenHBand="0" w:firstRowFirstColumn="0" w:firstRowLastColumn="0" w:lastRowFirstColumn="0" w:lastRowLastColumn="0"/>
            </w:pPr>
          </w:p>
          <w:tbl>
            <w:tblPr>
              <w:tblStyle w:val="TableGrid"/>
              <w:tblW w:w="0" w:type="auto"/>
              <w:tblInd w:w="147" w:type="dxa"/>
              <w:tblLook w:val="04A0" w:firstRow="1" w:lastRow="0" w:firstColumn="1" w:lastColumn="0" w:noHBand="0" w:noVBand="1"/>
            </w:tblPr>
            <w:tblGrid>
              <w:gridCol w:w="2509"/>
              <w:gridCol w:w="2508"/>
            </w:tblGrid>
            <w:tr w:rsidR="001A45F4" w:rsidRPr="001A45F4" w14:paraId="0E35B24F" w14:textId="77777777" w:rsidTr="005D22FE">
              <w:tc>
                <w:tcPr>
                  <w:tcW w:w="2509" w:type="dxa"/>
                  <w:shd w:val="clear" w:color="auto" w:fill="D5DCE4" w:themeFill="text2" w:themeFillTint="33"/>
                </w:tcPr>
                <w:p w14:paraId="1916E50C"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 xml:space="preserve">Regulas un nerezidentu  institucionālā sektora S130000 "Vispārējā valdība" </w:t>
                  </w:r>
                  <w:proofErr w:type="spellStart"/>
                  <w:r w:rsidRPr="001A45F4">
                    <w:rPr>
                      <w:rFonts w:eastAsiaTheme="minorHAnsi"/>
                      <w:sz w:val="20"/>
                      <w:szCs w:val="20"/>
                      <w:lang w:eastAsia="en-US"/>
                    </w:rPr>
                    <w:t>apakšsektoru</w:t>
                  </w:r>
                  <w:proofErr w:type="spellEnd"/>
                  <w:r w:rsidRPr="001A45F4">
                    <w:rPr>
                      <w:rFonts w:eastAsiaTheme="minorHAnsi"/>
                      <w:sz w:val="20"/>
                      <w:szCs w:val="20"/>
                      <w:lang w:eastAsia="en-US"/>
                    </w:rPr>
                    <w:t xml:space="preserve"> nosaukumi</w:t>
                  </w:r>
                </w:p>
              </w:tc>
              <w:tc>
                <w:tcPr>
                  <w:tcW w:w="2508" w:type="dxa"/>
                  <w:shd w:val="clear" w:color="auto" w:fill="D5DCE4" w:themeFill="text2" w:themeFillTint="33"/>
                </w:tcPr>
                <w:p w14:paraId="1E5DC405" w14:textId="6F237A1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 xml:space="preserve">Noteikumu projektā Rezidentu institucionālā sektora S130000 "Vispārējā valdība" </w:t>
                  </w:r>
                  <w:proofErr w:type="spellStart"/>
                  <w:r w:rsidRPr="001A45F4">
                    <w:rPr>
                      <w:rFonts w:eastAsiaTheme="minorHAnsi"/>
                      <w:sz w:val="20"/>
                      <w:szCs w:val="20"/>
                      <w:lang w:eastAsia="en-US"/>
                    </w:rPr>
                    <w:t>apakšsektoru</w:t>
                  </w:r>
                  <w:proofErr w:type="spellEnd"/>
                  <w:r w:rsidRPr="001A45F4">
                    <w:rPr>
                      <w:rFonts w:eastAsiaTheme="minorHAnsi"/>
                      <w:sz w:val="20"/>
                      <w:szCs w:val="20"/>
                      <w:lang w:eastAsia="en-US"/>
                    </w:rPr>
                    <w:t xml:space="preserve"> nosaukumi</w:t>
                  </w:r>
                </w:p>
              </w:tc>
            </w:tr>
            <w:tr w:rsidR="001A45F4" w:rsidRPr="001A45F4" w14:paraId="538F25DF" w14:textId="77777777" w:rsidTr="005D22FE">
              <w:tc>
                <w:tcPr>
                  <w:tcW w:w="2509" w:type="dxa"/>
                </w:tcPr>
                <w:p w14:paraId="3D0646E8"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Centrālās valdība</w:t>
                  </w:r>
                </w:p>
              </w:tc>
              <w:tc>
                <w:tcPr>
                  <w:tcW w:w="2508" w:type="dxa"/>
                </w:tcPr>
                <w:p w14:paraId="34DB13B0"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Valsts struktūras (Centrālās valdība)</w:t>
                  </w:r>
                </w:p>
              </w:tc>
            </w:tr>
            <w:tr w:rsidR="001A45F4" w:rsidRPr="001A45F4" w14:paraId="01DEA547" w14:textId="77777777" w:rsidTr="005D22FE">
              <w:tc>
                <w:tcPr>
                  <w:tcW w:w="2509" w:type="dxa"/>
                </w:tcPr>
                <w:p w14:paraId="35ACBB2C"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Pavalstu valdība</w:t>
                  </w:r>
                </w:p>
              </w:tc>
              <w:tc>
                <w:tcPr>
                  <w:tcW w:w="2508" w:type="dxa"/>
                </w:tcPr>
                <w:p w14:paraId="3E9554AF"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Nav attiecināms uz Latvijas gadījumu (Pavalstu valdība)</w:t>
                  </w:r>
                </w:p>
              </w:tc>
            </w:tr>
            <w:tr w:rsidR="001A45F4" w:rsidRPr="001A45F4" w14:paraId="6C550D2F" w14:textId="77777777" w:rsidTr="005D22FE">
              <w:tc>
                <w:tcPr>
                  <w:tcW w:w="2509" w:type="dxa"/>
                </w:tcPr>
                <w:p w14:paraId="55775741"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Vietējās valdības</w:t>
                  </w:r>
                </w:p>
              </w:tc>
              <w:tc>
                <w:tcPr>
                  <w:tcW w:w="2508" w:type="dxa"/>
                </w:tcPr>
                <w:p w14:paraId="5E5B36E0"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Pašvaldību struktūras (Vietējās valdības)</w:t>
                  </w:r>
                </w:p>
              </w:tc>
            </w:tr>
            <w:tr w:rsidR="001A45F4" w:rsidRPr="001A45F4" w14:paraId="3E2DDC4B" w14:textId="77777777" w:rsidTr="005D22FE">
              <w:tc>
                <w:tcPr>
                  <w:tcW w:w="2509" w:type="dxa"/>
                </w:tcPr>
                <w:p w14:paraId="15E7ADCD"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lastRenderedPageBreak/>
                    <w:t>Sociālās nodrošināšanas fondi</w:t>
                  </w:r>
                </w:p>
              </w:tc>
              <w:tc>
                <w:tcPr>
                  <w:tcW w:w="2508" w:type="dxa"/>
                </w:tcPr>
                <w:p w14:paraId="74035056"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Valsts sociālās apdrošināšanas struktūras (Sociālās nodrošināšanas fondi)</w:t>
                  </w:r>
                </w:p>
              </w:tc>
            </w:tr>
          </w:tbl>
          <w:p w14:paraId="0068F634" w14:textId="77777777" w:rsidR="00A31745" w:rsidRPr="001A45F4" w:rsidRDefault="00A31745" w:rsidP="004305F4">
            <w:pPr>
              <w:pStyle w:val="NormalWeb"/>
              <w:spacing w:before="100" w:after="100"/>
              <w:jc w:val="both"/>
              <w:cnfStyle w:val="000000000000" w:firstRow="0" w:lastRow="0" w:firstColumn="0" w:lastColumn="0" w:oddVBand="0" w:evenVBand="0" w:oddHBand="0" w:evenHBand="0" w:firstRowFirstColumn="0" w:firstRowLastColumn="0" w:lastRowFirstColumn="0" w:lastRowLastColumn="0"/>
              <w:rPr>
                <w:sz w:val="20"/>
                <w:szCs w:val="20"/>
              </w:rPr>
            </w:pPr>
            <w:r w:rsidRPr="001A45F4">
              <w:rPr>
                <w:sz w:val="20"/>
                <w:szCs w:val="20"/>
              </w:rPr>
              <w:t xml:space="preserve">Lai pārietu no valsts budžeta deficīta vai pārpalikuma uz neto aizņēmumiem, neto aizdevumiem (B.9) pēc EKS, tiek veiktas korekcijas, kuru pamatā ir uzkrājuma principa piemērošana uzskaitē. Ieņēmumi un izdevumi </w:t>
            </w:r>
            <w:r w:rsidR="00BD25D0" w:rsidRPr="001A45F4">
              <w:rPr>
                <w:sz w:val="20"/>
                <w:szCs w:val="20"/>
              </w:rPr>
              <w:t xml:space="preserve">valsts </w:t>
            </w:r>
            <w:r w:rsidRPr="001A45F4">
              <w:rPr>
                <w:sz w:val="20"/>
                <w:szCs w:val="20"/>
              </w:rPr>
              <w:t xml:space="preserve">budžetā tiek uzskaitīti pēc naudas plūsmas principa, t.i., pēc naudas ienākšanas brīža kontos, taču nacionālo kontu metodoloģija prasa veikt plūsmu ierakstu pēc to veidošanās laika. </w:t>
            </w:r>
          </w:p>
          <w:p w14:paraId="55B9CAE8" w14:textId="77777777" w:rsidR="00A31745" w:rsidRPr="001A45F4" w:rsidRDefault="00A31745" w:rsidP="004305F4">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A45F4">
              <w:rPr>
                <w:rFonts w:cs="Times New Roman"/>
                <w:sz w:val="20"/>
                <w:szCs w:val="20"/>
              </w:rPr>
              <w:t>Turklāt budžeta dati tiek koriģēti</w:t>
            </w:r>
            <w:r w:rsidR="004065EE" w:rsidRPr="001A45F4">
              <w:rPr>
                <w:rFonts w:cs="Times New Roman"/>
                <w:sz w:val="20"/>
                <w:szCs w:val="20"/>
              </w:rPr>
              <w:t xml:space="preserve"> pēc ekonomiskās būtības saskaņā ar </w:t>
            </w:r>
            <w:r w:rsidRPr="001A45F4">
              <w:rPr>
                <w:rFonts w:cs="Times New Roman"/>
                <w:sz w:val="20"/>
                <w:szCs w:val="20"/>
              </w:rPr>
              <w:t xml:space="preserve"> </w:t>
            </w:r>
            <w:r w:rsidR="00D30ACF" w:rsidRPr="001A45F4">
              <w:rPr>
                <w:rFonts w:cs="Times New Roman"/>
                <w:sz w:val="20"/>
                <w:szCs w:val="20"/>
              </w:rPr>
              <w:t xml:space="preserve">ESA </w:t>
            </w:r>
            <w:r w:rsidR="004065EE" w:rsidRPr="001A45F4">
              <w:rPr>
                <w:rFonts w:cs="Times New Roman"/>
                <w:sz w:val="20"/>
                <w:szCs w:val="20"/>
              </w:rPr>
              <w:t>metodoloģiju</w:t>
            </w:r>
            <w:r w:rsidR="00D30ACF" w:rsidRPr="001A45F4">
              <w:rPr>
                <w:rFonts w:cs="Times New Roman"/>
                <w:sz w:val="20"/>
                <w:szCs w:val="20"/>
              </w:rPr>
              <w:t xml:space="preserve"> </w:t>
            </w:r>
            <w:r w:rsidRPr="001A45F4">
              <w:rPr>
                <w:rFonts w:cs="Times New Roman"/>
                <w:sz w:val="20"/>
                <w:szCs w:val="20"/>
              </w:rPr>
              <w:t>finanšu darījumiem, parādiem un saistībām, ieņēmumiem no nekustamā īpašuma pārdošanas, kā arī papildināti ar datiem par valsts un pašvaldību kontrolēto un finansēto komersantu darbības rezultātiem</w:t>
            </w:r>
            <w:r w:rsidR="00D30ACF" w:rsidRPr="001A45F4">
              <w:rPr>
                <w:rFonts w:cs="Times New Roman"/>
                <w:sz w:val="20"/>
                <w:szCs w:val="20"/>
              </w:rPr>
              <w:t>.</w:t>
            </w:r>
          </w:p>
        </w:tc>
      </w:tr>
      <w:tr w:rsidR="001A45F4" w:rsidRPr="001A45F4" w14:paraId="3695B74B" w14:textId="77777777" w:rsidTr="000E28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8" w:type="dxa"/>
            <w:shd w:val="clear" w:color="auto" w:fill="auto"/>
          </w:tcPr>
          <w:p w14:paraId="3E7FA68A" w14:textId="78233896" w:rsidR="00A31745" w:rsidRPr="001A45F4" w:rsidRDefault="00A31745" w:rsidP="000E2874">
            <w:pPr>
              <w:pStyle w:val="ListParagraph"/>
              <w:numPr>
                <w:ilvl w:val="0"/>
                <w:numId w:val="12"/>
              </w:numPr>
              <w:jc w:val="both"/>
              <w:rPr>
                <w:rFonts w:cs="Times New Roman"/>
                <w:color w:val="auto"/>
                <w:sz w:val="20"/>
                <w:szCs w:val="20"/>
              </w:rPr>
            </w:pPr>
            <w:r w:rsidRPr="001A45F4">
              <w:rPr>
                <w:rFonts w:cs="Times New Roman"/>
                <w:color w:val="auto"/>
                <w:sz w:val="20"/>
                <w:szCs w:val="20"/>
              </w:rPr>
              <w:lastRenderedPageBreak/>
              <w:t>Ieņēmumu, izdevumu un finansēšanas kodi</w:t>
            </w:r>
          </w:p>
        </w:tc>
        <w:tc>
          <w:tcPr>
            <w:tcW w:w="12948" w:type="dxa"/>
            <w:gridSpan w:val="2"/>
            <w:shd w:val="clear" w:color="auto" w:fill="auto"/>
          </w:tcPr>
          <w:p w14:paraId="4224E15C" w14:textId="77777777" w:rsidR="00A31745" w:rsidRPr="001A45F4" w:rsidRDefault="00A31745" w:rsidP="00A31745">
            <w:pPr>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bCs/>
                <w:sz w:val="20"/>
                <w:szCs w:val="20"/>
              </w:rPr>
              <w:t>Ieņēmumi, izdevumi un finansēšana budžetā tiek uzskaitīti pēc naudas plūsmas principa, t.i., pēc naudas ienākšanas brīža kontos.</w:t>
            </w:r>
          </w:p>
          <w:p w14:paraId="1BE66F79" w14:textId="77777777" w:rsidR="00A31745" w:rsidRPr="001A45F4" w:rsidRDefault="00A31745" w:rsidP="00A31745">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Normatīvajos aktos budžeta un finanšu vadības jomā noteikto budžetu plānošanā, uzskaitē un pārskatu sagatavošanā i</w:t>
            </w:r>
            <w:r w:rsidRPr="001A45F4">
              <w:rPr>
                <w:rFonts w:cs="Times New Roman"/>
                <w:bCs/>
                <w:sz w:val="20"/>
                <w:szCs w:val="20"/>
              </w:rPr>
              <w:t>eņēmumi, izdevumi un finansēšana t</w:t>
            </w:r>
            <w:r w:rsidRPr="001A45F4">
              <w:rPr>
                <w:rFonts w:cs="Times New Roman"/>
                <w:sz w:val="20"/>
                <w:szCs w:val="20"/>
              </w:rPr>
              <w:t>iek klasificēts atbilstoši šādiem normatīvajiem aktiem:</w:t>
            </w:r>
          </w:p>
          <w:p w14:paraId="724F41C1" w14:textId="201A81AD" w:rsidR="00A31745" w:rsidRPr="001A45F4" w:rsidRDefault="00A31745" w:rsidP="004E6763">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MK</w:t>
            </w:r>
            <w:r w:rsidR="00114B76" w:rsidRPr="001A45F4">
              <w:rPr>
                <w:rFonts w:cs="Times New Roman"/>
                <w:sz w:val="20"/>
                <w:szCs w:val="20"/>
              </w:rPr>
              <w:t xml:space="preserve"> 2005. gada 27. decembra noteikumi Nr. 1032 </w:t>
            </w:r>
            <w:r w:rsidRPr="001A45F4">
              <w:rPr>
                <w:rFonts w:cs="Times New Roman"/>
                <w:sz w:val="20"/>
                <w:szCs w:val="20"/>
              </w:rPr>
              <w:t>"Noteikumi par budžetu ieņēmumu klasifikāciju"</w:t>
            </w:r>
            <w:r w:rsidR="00184547" w:rsidRPr="001A45F4">
              <w:rPr>
                <w:rFonts w:cs="Times New Roman"/>
                <w:sz w:val="20"/>
                <w:szCs w:val="20"/>
              </w:rPr>
              <w:t xml:space="preserve"> (</w:t>
            </w:r>
            <w:hyperlink r:id="rId8" w:history="1">
              <w:r w:rsidR="006419B9" w:rsidRPr="001A45F4">
                <w:rPr>
                  <w:rStyle w:val="Hyperlink"/>
                  <w:color w:val="auto"/>
                  <w:sz w:val="20"/>
                  <w:szCs w:val="20"/>
                </w:rPr>
                <w:t>http://likumi.lv/doc.php?id=124831</w:t>
              </w:r>
            </w:hyperlink>
            <w:r w:rsidR="00184547" w:rsidRPr="001A45F4">
              <w:rPr>
                <w:sz w:val="20"/>
                <w:szCs w:val="20"/>
              </w:rPr>
              <w:t>)</w:t>
            </w:r>
            <w:r w:rsidRPr="001A45F4">
              <w:rPr>
                <w:rFonts w:cs="Times New Roman"/>
                <w:sz w:val="20"/>
                <w:szCs w:val="20"/>
              </w:rPr>
              <w:t>, kas raksturo ieņēmumu veidu pēc ekonomiskās būtības:</w:t>
            </w:r>
          </w:p>
          <w:p w14:paraId="659A9048" w14:textId="77777777" w:rsidR="00A31745" w:rsidRPr="001A45F4" w:rsidRDefault="00A31745"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nodokļu ieņēmumi (ieņēmumi no iedzīvotāju ienākuma nodokļa, ieņēmumi no juridisko personu ienākuma nodokļa, sociālās apdrošināšanas iemaksas, īpašuma nodokļi, pievienotās vērtības nodoklis, akcīzes nodoklis, muitas nodoklis; nodokļi atsevišķām precēm un pakalpojumu veidiem, nodokļi un maksājumi par tiesībām lietot atsevišķas preces;</w:t>
            </w:r>
          </w:p>
          <w:p w14:paraId="759E0E11" w14:textId="77777777" w:rsidR="00A31745" w:rsidRPr="001A45F4" w:rsidRDefault="00A31745"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roofErr w:type="spellStart"/>
            <w:r w:rsidRPr="001A45F4">
              <w:rPr>
                <w:rFonts w:cs="Times New Roman"/>
                <w:sz w:val="20"/>
                <w:szCs w:val="20"/>
              </w:rPr>
              <w:t>nenodokļu</w:t>
            </w:r>
            <w:proofErr w:type="spellEnd"/>
            <w:r w:rsidRPr="001A45F4">
              <w:rPr>
                <w:rFonts w:cs="Times New Roman"/>
                <w:sz w:val="20"/>
                <w:szCs w:val="20"/>
              </w:rPr>
              <w:t xml:space="preserve"> ieņēmumi;</w:t>
            </w:r>
          </w:p>
          <w:p w14:paraId="4B8EA24E" w14:textId="77777777" w:rsidR="00A31745" w:rsidRPr="001A45F4" w:rsidRDefault="00A31745"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maksas pakalpojumi un citi pašu ieņēmumi;</w:t>
            </w:r>
          </w:p>
          <w:p w14:paraId="39F55531" w14:textId="77777777" w:rsidR="00A31745" w:rsidRPr="001A45F4" w:rsidRDefault="00A31745"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ārvalstu finanšu palīdzība;</w:t>
            </w:r>
          </w:p>
          <w:p w14:paraId="13D1FDE3" w14:textId="77777777" w:rsidR="00A31745" w:rsidRPr="001A45F4" w:rsidRDefault="00A31745"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roofErr w:type="spellStart"/>
            <w:r w:rsidRPr="001A45F4">
              <w:rPr>
                <w:rFonts w:cs="Times New Roman"/>
                <w:sz w:val="20"/>
                <w:szCs w:val="20"/>
              </w:rPr>
              <w:t>transferti</w:t>
            </w:r>
            <w:proofErr w:type="spellEnd"/>
            <w:r w:rsidRPr="001A45F4">
              <w:rPr>
                <w:rFonts w:cs="Times New Roman"/>
                <w:sz w:val="20"/>
                <w:szCs w:val="20"/>
              </w:rPr>
              <w:t>;</w:t>
            </w:r>
          </w:p>
          <w:p w14:paraId="7A05B312" w14:textId="77777777" w:rsidR="00A31745" w:rsidRPr="001A45F4" w:rsidRDefault="00A31745"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ziedojumi un dāvinājumi;</w:t>
            </w:r>
          </w:p>
          <w:p w14:paraId="6280FA40" w14:textId="77777777" w:rsidR="006E5C1C" w:rsidRDefault="00A31745"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dotācija no vispārējiem ieņēmumiem</w:t>
            </w:r>
            <w:r w:rsidR="006E5C1C">
              <w:rPr>
                <w:rFonts w:cs="Times New Roman"/>
                <w:sz w:val="20"/>
                <w:szCs w:val="20"/>
              </w:rPr>
              <w:t>;</w:t>
            </w:r>
          </w:p>
          <w:p w14:paraId="47B3AFED" w14:textId="36DB6A23" w:rsidR="00A31745" w:rsidRPr="001A45F4" w:rsidRDefault="006E5C1C"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ieņēmumi, kuri veidojas pēc uzkrāšanas principa</w:t>
            </w:r>
            <w:r w:rsidR="00A31745" w:rsidRPr="001A45F4">
              <w:rPr>
                <w:rFonts w:cs="Times New Roman"/>
                <w:sz w:val="20"/>
                <w:szCs w:val="20"/>
              </w:rPr>
              <w:t>.</w:t>
            </w:r>
          </w:p>
          <w:p w14:paraId="5370F0A3" w14:textId="6F044B43" w:rsidR="00A31745" w:rsidRPr="001A45F4" w:rsidRDefault="00A31745" w:rsidP="004E6763">
            <w:pPr>
              <w:numPr>
                <w:ilvl w:val="0"/>
                <w:numId w:val="6"/>
              </w:numPr>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sz w:val="20"/>
                <w:szCs w:val="20"/>
              </w:rPr>
              <w:t xml:space="preserve">MK </w:t>
            </w:r>
            <w:r w:rsidR="00114B76" w:rsidRPr="001A45F4">
              <w:rPr>
                <w:rFonts w:cs="Times New Roman"/>
                <w:sz w:val="20"/>
                <w:szCs w:val="20"/>
              </w:rPr>
              <w:t xml:space="preserve">2005. gada 27. decembra </w:t>
            </w:r>
            <w:r w:rsidRPr="001A45F4">
              <w:rPr>
                <w:rFonts w:cs="Times New Roman"/>
                <w:sz w:val="20"/>
                <w:szCs w:val="20"/>
              </w:rPr>
              <w:t>noteikumi Nr. 1031 "Noteikumi par budžetu izdevumu klasifikāciju atbilstoši ekonomiskajām kategorijām"</w:t>
            </w:r>
            <w:r w:rsidR="00184547" w:rsidRPr="001A45F4">
              <w:rPr>
                <w:sz w:val="20"/>
                <w:szCs w:val="20"/>
              </w:rPr>
              <w:t xml:space="preserve"> (</w:t>
            </w:r>
            <w:hyperlink r:id="rId9" w:history="1">
              <w:r w:rsidR="004E6763" w:rsidRPr="001A45F4">
                <w:rPr>
                  <w:rStyle w:val="Hyperlink"/>
                  <w:color w:val="auto"/>
                  <w:sz w:val="20"/>
                  <w:szCs w:val="20"/>
                </w:rPr>
                <w:t>http://likumi.lv/doc.php?id=124833</w:t>
              </w:r>
            </w:hyperlink>
            <w:r w:rsidR="00184547" w:rsidRPr="001A45F4">
              <w:rPr>
                <w:sz w:val="20"/>
                <w:szCs w:val="20"/>
              </w:rPr>
              <w:t>)</w:t>
            </w:r>
            <w:r w:rsidRPr="001A45F4">
              <w:rPr>
                <w:rFonts w:cs="Times New Roman"/>
                <w:sz w:val="20"/>
                <w:szCs w:val="20"/>
              </w:rPr>
              <w:t xml:space="preserve">, </w:t>
            </w:r>
            <w:r w:rsidRPr="001A45F4">
              <w:rPr>
                <w:rFonts w:cs="Times New Roman"/>
                <w:bCs/>
                <w:sz w:val="20"/>
                <w:szCs w:val="20"/>
              </w:rPr>
              <w:t>kas raksturo izdevumu veidu pēc ekonomiskās būtības (apakšgrupas tiek piemērotas kodiem atbilstoši pielikumam):</w:t>
            </w:r>
          </w:p>
          <w:p w14:paraId="2ECC7961" w14:textId="77777777" w:rsidR="00A31745" w:rsidRPr="001A45F4" w:rsidRDefault="00A31745" w:rsidP="00A31745">
            <w:pPr>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bCs/>
                <w:sz w:val="20"/>
                <w:szCs w:val="20"/>
              </w:rPr>
              <w:t xml:space="preserve">uzturēšanas izdevumi (kārtējie izdevumi, procentu izdevumi, subsīdijas, dotācijas un sociālie pabalsti, kārtējie maksājumi Eiropas Savienības budžetā un starptautiskā sadarbība, uzturēšanas izdevumu </w:t>
            </w:r>
            <w:proofErr w:type="spellStart"/>
            <w:r w:rsidRPr="001A45F4">
              <w:rPr>
                <w:rFonts w:cs="Times New Roman"/>
                <w:bCs/>
                <w:sz w:val="20"/>
                <w:szCs w:val="20"/>
              </w:rPr>
              <w:t>transferti</w:t>
            </w:r>
            <w:proofErr w:type="spellEnd"/>
            <w:r w:rsidRPr="001A45F4">
              <w:rPr>
                <w:rFonts w:cs="Times New Roman"/>
                <w:bCs/>
                <w:sz w:val="20"/>
                <w:szCs w:val="20"/>
              </w:rPr>
              <w:t>);</w:t>
            </w:r>
          </w:p>
          <w:p w14:paraId="755941BF" w14:textId="77777777" w:rsidR="00A31745" w:rsidRPr="001A45F4" w:rsidRDefault="00A31745" w:rsidP="00A31745">
            <w:pPr>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bCs/>
                <w:sz w:val="20"/>
                <w:szCs w:val="20"/>
              </w:rPr>
              <w:t xml:space="preserve">kapitālie izdevumi (pamatkapitāla veidošana, kapitālo izdevumu </w:t>
            </w:r>
            <w:proofErr w:type="spellStart"/>
            <w:r w:rsidRPr="001A45F4">
              <w:rPr>
                <w:rFonts w:cs="Times New Roman"/>
                <w:bCs/>
                <w:sz w:val="20"/>
                <w:szCs w:val="20"/>
              </w:rPr>
              <w:t>transferti</w:t>
            </w:r>
            <w:proofErr w:type="spellEnd"/>
            <w:r w:rsidRPr="001A45F4">
              <w:rPr>
                <w:rFonts w:cs="Times New Roman"/>
                <w:bCs/>
                <w:sz w:val="20"/>
                <w:szCs w:val="20"/>
              </w:rPr>
              <w:t>);</w:t>
            </w:r>
          </w:p>
          <w:p w14:paraId="7C3C2F79" w14:textId="77777777" w:rsidR="00A31745" w:rsidRPr="001A45F4" w:rsidRDefault="00A31745" w:rsidP="00A31745">
            <w:pPr>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bCs/>
                <w:sz w:val="20"/>
                <w:szCs w:val="20"/>
              </w:rPr>
              <w:lastRenderedPageBreak/>
              <w:t>pārējie izdevumi, kas veidojas pēc uzkrāšanas principa un nav klasificēti iepriekš.</w:t>
            </w:r>
          </w:p>
          <w:p w14:paraId="666C95D8" w14:textId="246E6D09" w:rsidR="00A31745" w:rsidRPr="001A45F4" w:rsidRDefault="00114B76" w:rsidP="004E6763">
            <w:pPr>
              <w:numPr>
                <w:ilvl w:val="0"/>
                <w:numId w:val="6"/>
              </w:numPr>
              <w:ind w:left="714" w:hanging="357"/>
              <w:contextualSpacing/>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bCs/>
                <w:sz w:val="20"/>
                <w:szCs w:val="20"/>
              </w:rPr>
              <w:t>MK</w:t>
            </w:r>
            <w:r w:rsidR="00A31745" w:rsidRPr="001A45F4">
              <w:rPr>
                <w:rFonts w:cs="Times New Roman"/>
                <w:bCs/>
                <w:sz w:val="20"/>
                <w:szCs w:val="20"/>
              </w:rPr>
              <w:t xml:space="preserve"> 2005.</w:t>
            </w:r>
            <w:r w:rsidRPr="001A45F4">
              <w:rPr>
                <w:rFonts w:cs="Times New Roman"/>
                <w:bCs/>
                <w:sz w:val="20"/>
                <w:szCs w:val="20"/>
              </w:rPr>
              <w:t xml:space="preserve"> </w:t>
            </w:r>
            <w:r w:rsidR="00A31745" w:rsidRPr="001A45F4">
              <w:rPr>
                <w:rFonts w:cs="Times New Roman"/>
                <w:bCs/>
                <w:sz w:val="20"/>
                <w:szCs w:val="20"/>
              </w:rPr>
              <w:t>gada 22.</w:t>
            </w:r>
            <w:r w:rsidRPr="001A45F4">
              <w:rPr>
                <w:rFonts w:cs="Times New Roman"/>
                <w:bCs/>
                <w:sz w:val="20"/>
                <w:szCs w:val="20"/>
              </w:rPr>
              <w:t xml:space="preserve"> </w:t>
            </w:r>
            <w:r w:rsidR="00A31745" w:rsidRPr="001A45F4">
              <w:rPr>
                <w:rFonts w:cs="Times New Roman"/>
                <w:bCs/>
                <w:sz w:val="20"/>
                <w:szCs w:val="20"/>
              </w:rPr>
              <w:t>novembra noteikumi Nr.</w:t>
            </w:r>
            <w:r w:rsidRPr="001A45F4">
              <w:rPr>
                <w:rFonts w:cs="Times New Roman"/>
                <w:bCs/>
                <w:sz w:val="20"/>
                <w:szCs w:val="20"/>
              </w:rPr>
              <w:t xml:space="preserve"> </w:t>
            </w:r>
            <w:r w:rsidR="00A31745" w:rsidRPr="001A45F4">
              <w:rPr>
                <w:rFonts w:cs="Times New Roman"/>
                <w:bCs/>
                <w:sz w:val="20"/>
                <w:szCs w:val="20"/>
              </w:rPr>
              <w:t>875 "Noteikumi par budžetu finansēšanas klasifikāciju"</w:t>
            </w:r>
            <w:r w:rsidR="00184547" w:rsidRPr="001A45F4">
              <w:rPr>
                <w:rFonts w:cs="Times New Roman"/>
                <w:bCs/>
                <w:sz w:val="20"/>
                <w:szCs w:val="20"/>
              </w:rPr>
              <w:t xml:space="preserve"> (</w:t>
            </w:r>
            <w:hyperlink r:id="rId10" w:history="1">
              <w:r w:rsidR="004E6763" w:rsidRPr="001A45F4">
                <w:rPr>
                  <w:rStyle w:val="Hyperlink"/>
                  <w:color w:val="auto"/>
                  <w:sz w:val="20"/>
                  <w:szCs w:val="20"/>
                </w:rPr>
                <w:t>http://likumi.lv/doc.php?id=122159</w:t>
              </w:r>
            </w:hyperlink>
            <w:r w:rsidR="00184547" w:rsidRPr="001A45F4">
              <w:rPr>
                <w:sz w:val="20"/>
                <w:szCs w:val="20"/>
              </w:rPr>
              <w:t>)</w:t>
            </w:r>
            <w:r w:rsidR="00A31745" w:rsidRPr="001A45F4">
              <w:rPr>
                <w:rFonts w:cs="Times New Roman"/>
                <w:bCs/>
                <w:sz w:val="20"/>
                <w:szCs w:val="20"/>
              </w:rPr>
              <w:t>.</w:t>
            </w:r>
            <w:r w:rsidR="00A31745" w:rsidRPr="001A45F4">
              <w:rPr>
                <w:rFonts w:ascii="Arial" w:hAnsi="Arial" w:cs="Arial"/>
                <w:sz w:val="20"/>
                <w:szCs w:val="20"/>
              </w:rPr>
              <w:t xml:space="preserve"> </w:t>
            </w:r>
            <w:r w:rsidR="00A31745" w:rsidRPr="001A45F4">
              <w:rPr>
                <w:rFonts w:cs="Times New Roman"/>
                <w:bCs/>
                <w:sz w:val="20"/>
                <w:szCs w:val="20"/>
              </w:rPr>
              <w:t>Budžetu finansēšanas klasifikācija nosaka darījumu neto vērtību dalīju</w:t>
            </w:r>
            <w:r w:rsidR="00A31745" w:rsidRPr="001A45F4">
              <w:rPr>
                <w:rFonts w:cs="Times New Roman"/>
                <w:bCs/>
                <w:sz w:val="20"/>
                <w:szCs w:val="20"/>
              </w:rPr>
              <w:softHyphen/>
              <w:t xml:space="preserve">mā pa finanšu instrumentu veidiem, kas neietver finanšu instrumenta valūtas kursa svārstības, cenu izmaiņas un pārvērtēšanu (turpmāk – vērtību ietekmējošās izmaiņas). </w:t>
            </w:r>
          </w:p>
          <w:p w14:paraId="15FD6EF0" w14:textId="1A9E5E6E" w:rsidR="00D14C00" w:rsidRPr="001A45F4" w:rsidRDefault="00D14C00" w:rsidP="00625A65">
            <w:pPr>
              <w:numPr>
                <w:ilvl w:val="0"/>
                <w:numId w:val="6"/>
              </w:numPr>
              <w:ind w:left="714" w:hanging="357"/>
              <w:contextualSpacing/>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bCs/>
                <w:sz w:val="20"/>
                <w:szCs w:val="20"/>
              </w:rPr>
              <w:t>Pāreja no valsts budžeta ieņēmumu, izdevumu un finansēšanas kodiem uz attiecīgajiem EKS kodiem ir attēlota</w:t>
            </w:r>
            <w:r w:rsidR="00A4238E" w:rsidRPr="001A45F4">
              <w:rPr>
                <w:rFonts w:cs="Times New Roman"/>
                <w:bCs/>
                <w:sz w:val="20"/>
                <w:szCs w:val="20"/>
              </w:rPr>
              <w:t xml:space="preserve"> </w:t>
            </w:r>
            <w:r w:rsidR="00E160FA" w:rsidRPr="001A45F4">
              <w:rPr>
                <w:rFonts w:cs="Times New Roman"/>
                <w:bCs/>
                <w:sz w:val="20"/>
                <w:szCs w:val="20"/>
              </w:rPr>
              <w:t xml:space="preserve">- </w:t>
            </w:r>
            <w:r w:rsidR="003E0053">
              <w:rPr>
                <w:rFonts w:cs="Times New Roman"/>
                <w:bCs/>
                <w:sz w:val="20"/>
                <w:szCs w:val="20"/>
              </w:rPr>
              <w:object w:dxaOrig="1508" w:dyaOrig="984" w14:anchorId="489959A2">
                <v:shape id="_x0000_i1031" type="#_x0000_t75" style="width:75.5pt;height:49pt" o:ole="">
                  <v:imagedata r:id="rId11" o:title=""/>
                </v:shape>
                <o:OLEObject Type="Embed" ProgID="Excel.Sheet.12" ShapeID="_x0000_i1031" DrawAspect="Icon" ObjectID="_1796213165" r:id="rId12"/>
              </w:object>
            </w:r>
            <w:hyperlink r:id="rId13" w:history="1"/>
          </w:p>
        </w:tc>
      </w:tr>
      <w:tr w:rsidR="001A45F4" w:rsidRPr="001A45F4" w14:paraId="101EF114" w14:textId="77777777" w:rsidTr="000E2874">
        <w:trPr>
          <w:trHeight w:val="431"/>
          <w:jc w:val="center"/>
        </w:trPr>
        <w:tc>
          <w:tcPr>
            <w:cnfStyle w:val="001000000000" w:firstRow="0" w:lastRow="0" w:firstColumn="1" w:lastColumn="0" w:oddVBand="0" w:evenVBand="0" w:oddHBand="0" w:evenHBand="0" w:firstRowFirstColumn="0" w:firstRowLastColumn="0" w:lastRowFirstColumn="0" w:lastRowLastColumn="0"/>
            <w:tcW w:w="2498" w:type="dxa"/>
            <w:vMerge w:val="restart"/>
            <w:shd w:val="clear" w:color="auto" w:fill="auto"/>
          </w:tcPr>
          <w:p w14:paraId="28A58460" w14:textId="0508A8FF" w:rsidR="00A31745" w:rsidRPr="001A45F4" w:rsidRDefault="00A31745" w:rsidP="000E2874">
            <w:pPr>
              <w:pStyle w:val="ListParagraph"/>
              <w:numPr>
                <w:ilvl w:val="0"/>
                <w:numId w:val="12"/>
              </w:numPr>
              <w:jc w:val="both"/>
              <w:rPr>
                <w:rFonts w:cs="Times New Roman"/>
                <w:color w:val="auto"/>
                <w:sz w:val="20"/>
                <w:szCs w:val="20"/>
              </w:rPr>
            </w:pPr>
            <w:r w:rsidRPr="001A45F4">
              <w:rPr>
                <w:rFonts w:cs="Times New Roman"/>
                <w:color w:val="auto"/>
                <w:sz w:val="20"/>
                <w:szCs w:val="20"/>
              </w:rPr>
              <w:lastRenderedPageBreak/>
              <w:t>Institucionālās vienības</w:t>
            </w:r>
          </w:p>
        </w:tc>
        <w:tc>
          <w:tcPr>
            <w:tcW w:w="7408" w:type="dxa"/>
            <w:shd w:val="clear" w:color="auto" w:fill="auto"/>
          </w:tcPr>
          <w:p w14:paraId="70D41F54" w14:textId="3950F28C" w:rsidR="00A31745" w:rsidRPr="001A45F4" w:rsidRDefault="00A31745" w:rsidP="00A31745">
            <w:pPr>
              <w:jc w:val="both"/>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1A45F4">
              <w:rPr>
                <w:rFonts w:eastAsia="Times New Roman" w:cs="Times New Roman"/>
                <w:sz w:val="20"/>
                <w:szCs w:val="20"/>
                <w:lang w:eastAsia="lv-LV"/>
              </w:rPr>
              <w:t xml:space="preserve">Ministrijas un citas centrālās valsts iestādes, to padotības iestādes, budžeta nefinansētas iestādes, pašvaldības un to padotības iestādes, valsts sociālās apdrošināšanas struktūras, </w:t>
            </w:r>
            <w:r w:rsidRPr="001A45F4">
              <w:rPr>
                <w:rFonts w:cs="Times New Roman"/>
                <w:bCs/>
                <w:sz w:val="20"/>
                <w:szCs w:val="20"/>
              </w:rPr>
              <w:t>publiskos nodibinājumus, no valsts budžeta daļēji finansētu atvasinātu publisku personu,</w:t>
            </w:r>
            <w:r w:rsidRPr="001A45F4">
              <w:rPr>
                <w:rFonts w:eastAsia="Times New Roman" w:cs="Times New Roman"/>
                <w:sz w:val="20"/>
                <w:szCs w:val="20"/>
                <w:lang w:eastAsia="lv-LV"/>
              </w:rPr>
              <w:t xml:space="preserve"> speciālās ekonomiskās zonas, ostu un brīvostu pārvaldes.</w:t>
            </w:r>
          </w:p>
        </w:tc>
        <w:tc>
          <w:tcPr>
            <w:tcW w:w="5540" w:type="dxa"/>
            <w:shd w:val="clear" w:color="auto" w:fill="auto"/>
          </w:tcPr>
          <w:p w14:paraId="14C2CC29" w14:textId="77777777" w:rsidR="00A31745" w:rsidRPr="001A45F4" w:rsidRDefault="00A31745" w:rsidP="00503928">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A45F4">
              <w:rPr>
                <w:rFonts w:cs="Times New Roman"/>
                <w:sz w:val="20"/>
                <w:szCs w:val="20"/>
              </w:rPr>
              <w:t>Papildus tiek ietvertas vairākas institūcijas (komersanti), kas attiecas uz vispārējās valdības sektoru. Sarakstu sastāda CSP, pārbaudot komersanta atbilstību kritērijiem saskaņā ar EKS metodoloģiju.</w:t>
            </w:r>
          </w:p>
        </w:tc>
      </w:tr>
      <w:tr w:rsidR="001A45F4" w:rsidRPr="001A45F4" w14:paraId="67300EBA" w14:textId="77777777" w:rsidTr="000E2874">
        <w:trPr>
          <w:cnfStyle w:val="000000100000" w:firstRow="0" w:lastRow="0" w:firstColumn="0" w:lastColumn="0" w:oddVBand="0" w:evenVBand="0" w:oddHBand="1" w:evenHBand="0" w:firstRowFirstColumn="0" w:firstRowLastColumn="0" w:lastRowFirstColumn="0" w:lastRowLastColumn="0"/>
          <w:trHeight w:val="852"/>
          <w:jc w:val="center"/>
        </w:trPr>
        <w:tc>
          <w:tcPr>
            <w:cnfStyle w:val="001000000000" w:firstRow="0" w:lastRow="0" w:firstColumn="1" w:lastColumn="0" w:oddVBand="0" w:evenVBand="0" w:oddHBand="0" w:evenHBand="0" w:firstRowFirstColumn="0" w:firstRowLastColumn="0" w:lastRowFirstColumn="0" w:lastRowLastColumn="0"/>
            <w:tcW w:w="2498" w:type="dxa"/>
            <w:vMerge/>
            <w:shd w:val="clear" w:color="auto" w:fill="auto"/>
          </w:tcPr>
          <w:p w14:paraId="0E1337E1" w14:textId="77777777" w:rsidR="00A31745" w:rsidRPr="001A45F4" w:rsidRDefault="00A31745" w:rsidP="00A31745">
            <w:pPr>
              <w:jc w:val="both"/>
              <w:rPr>
                <w:rFonts w:cs="Times New Roman"/>
                <w:bCs w:val="0"/>
                <w:color w:val="auto"/>
                <w:sz w:val="20"/>
                <w:szCs w:val="20"/>
              </w:rPr>
            </w:pPr>
          </w:p>
        </w:tc>
        <w:tc>
          <w:tcPr>
            <w:tcW w:w="12948" w:type="dxa"/>
            <w:gridSpan w:val="2"/>
            <w:shd w:val="clear" w:color="auto" w:fill="auto"/>
          </w:tcPr>
          <w:p w14:paraId="3DA70505" w14:textId="5BD44578" w:rsidR="00A31745" w:rsidRPr="001A45F4" w:rsidRDefault="00A31745" w:rsidP="00A31745">
            <w:pPr>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sz w:val="20"/>
                <w:szCs w:val="20"/>
              </w:rPr>
              <w:t>Rezidentu sektorā S</w:t>
            </w:r>
            <w:r w:rsidR="00684BCD" w:rsidRPr="001A45F4">
              <w:rPr>
                <w:rFonts w:cs="Times New Roman"/>
                <w:sz w:val="20"/>
                <w:szCs w:val="20"/>
              </w:rPr>
              <w:t>.</w:t>
            </w:r>
            <w:r w:rsidRPr="001A45F4">
              <w:rPr>
                <w:rFonts w:cs="Times New Roman"/>
                <w:sz w:val="20"/>
                <w:szCs w:val="20"/>
              </w:rPr>
              <w:t xml:space="preserve">13 "Vispārējā valdība" iekļauto institucionālo vienību saraksts ir publicēts </w:t>
            </w:r>
            <w:r w:rsidR="00503928" w:rsidRPr="001A45F4">
              <w:rPr>
                <w:rFonts w:cs="Times New Roman"/>
                <w:sz w:val="20"/>
                <w:szCs w:val="20"/>
              </w:rPr>
              <w:t>CSP</w:t>
            </w:r>
            <w:r w:rsidRPr="001A45F4">
              <w:rPr>
                <w:rFonts w:cs="Times New Roman"/>
                <w:sz w:val="20"/>
                <w:szCs w:val="20"/>
              </w:rPr>
              <w:t xml:space="preserve"> tīmekļa vietnē </w:t>
            </w:r>
            <w:r w:rsidR="00835840" w:rsidRPr="001A45F4">
              <w:rPr>
                <w:rFonts w:cs="Times New Roman"/>
                <w:sz w:val="20"/>
                <w:szCs w:val="20"/>
              </w:rPr>
              <w:t>(</w:t>
            </w:r>
            <w:hyperlink r:id="rId14" w:history="1">
              <w:r w:rsidR="00835840" w:rsidRPr="001A45F4">
                <w:rPr>
                  <w:rStyle w:val="Hyperlink"/>
                  <w:rFonts w:cs="Times New Roman"/>
                  <w:bCs/>
                  <w:color w:val="auto"/>
                  <w:sz w:val="20"/>
                  <w:szCs w:val="20"/>
                </w:rPr>
                <w:t>https://tools.csb.gov.lv/isk/lv</w:t>
              </w:r>
            </w:hyperlink>
            <w:r w:rsidR="00835840" w:rsidRPr="001A45F4">
              <w:rPr>
                <w:rFonts w:cs="Times New Roman"/>
                <w:bCs/>
                <w:sz w:val="20"/>
                <w:szCs w:val="20"/>
              </w:rPr>
              <w:t>).</w:t>
            </w:r>
          </w:p>
          <w:p w14:paraId="4B787512" w14:textId="5FD3EE7A" w:rsidR="00A31745" w:rsidRPr="001A45F4" w:rsidRDefault="00A31745" w:rsidP="00A4238E">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 xml:space="preserve">Normatīvajos aktos budžeta un finanšu vadības jomā noteikto budžetu uzskaitē (atbilstoši naudas plūsmas un uzkrājuma principam), pārskatu sagatavošanā un parāda uzskaitei izmanto institucionālo sektoru klasifikāciju saskaņā ar </w:t>
            </w:r>
            <w:r w:rsidR="00114B76" w:rsidRPr="001A45F4">
              <w:rPr>
                <w:rFonts w:cs="Times New Roman"/>
                <w:sz w:val="20"/>
                <w:szCs w:val="20"/>
              </w:rPr>
              <w:t xml:space="preserve">MK 2013. gada 10. decembra </w:t>
            </w:r>
            <w:r w:rsidRPr="001A45F4">
              <w:rPr>
                <w:rFonts w:cs="Times New Roman"/>
                <w:sz w:val="20"/>
                <w:szCs w:val="20"/>
              </w:rPr>
              <w:t>noteikumiem Nr. 1456 "Noteikumi par institucionālo sektoru klasifikāciju"</w:t>
            </w:r>
            <w:r w:rsidR="00A4238E" w:rsidRPr="001A45F4">
              <w:rPr>
                <w:rFonts w:cs="Times New Roman"/>
                <w:sz w:val="20"/>
                <w:szCs w:val="20"/>
              </w:rPr>
              <w:t xml:space="preserve"> (</w:t>
            </w:r>
            <w:hyperlink r:id="rId15" w:history="1">
              <w:r w:rsidR="00B87E13" w:rsidRPr="001A45F4">
                <w:rPr>
                  <w:rStyle w:val="Hyperlink"/>
                  <w:rFonts w:cs="Times New Roman"/>
                  <w:color w:val="auto"/>
                  <w:sz w:val="20"/>
                  <w:szCs w:val="20"/>
                </w:rPr>
                <w:t>https://likumi.lv/doc.php?id=263203</w:t>
              </w:r>
            </w:hyperlink>
            <w:r w:rsidR="00B87E13" w:rsidRPr="001A45F4">
              <w:rPr>
                <w:rFonts w:cs="Times New Roman"/>
                <w:sz w:val="20"/>
                <w:szCs w:val="20"/>
              </w:rPr>
              <w:t>).</w:t>
            </w:r>
          </w:p>
        </w:tc>
      </w:tr>
      <w:tr w:rsidR="001A45F4" w:rsidRPr="001A45F4" w14:paraId="1FE066AF" w14:textId="77777777" w:rsidTr="000E2874">
        <w:trPr>
          <w:jc w:val="center"/>
        </w:trPr>
        <w:tc>
          <w:tcPr>
            <w:cnfStyle w:val="001000000000" w:firstRow="0" w:lastRow="0" w:firstColumn="1" w:lastColumn="0" w:oddVBand="0" w:evenVBand="0" w:oddHBand="0" w:evenHBand="0" w:firstRowFirstColumn="0" w:firstRowLastColumn="0" w:lastRowFirstColumn="0" w:lastRowLastColumn="0"/>
            <w:tcW w:w="2498" w:type="dxa"/>
            <w:shd w:val="clear" w:color="auto" w:fill="auto"/>
          </w:tcPr>
          <w:p w14:paraId="39B1D195" w14:textId="77777777" w:rsidR="00A31745" w:rsidRPr="001A45F4" w:rsidRDefault="00A31745" w:rsidP="00A31745">
            <w:pPr>
              <w:jc w:val="both"/>
              <w:rPr>
                <w:rFonts w:cs="Times New Roman"/>
                <w:bCs w:val="0"/>
                <w:color w:val="auto"/>
                <w:sz w:val="20"/>
                <w:szCs w:val="20"/>
              </w:rPr>
            </w:pPr>
            <w:r w:rsidRPr="001A45F4">
              <w:rPr>
                <w:rFonts w:cs="Times New Roman"/>
                <w:bCs w:val="0"/>
                <w:color w:val="auto"/>
                <w:sz w:val="20"/>
                <w:szCs w:val="20"/>
              </w:rPr>
              <w:t>NOVĒRTĒJUMS</w:t>
            </w:r>
          </w:p>
        </w:tc>
        <w:tc>
          <w:tcPr>
            <w:tcW w:w="12948" w:type="dxa"/>
            <w:gridSpan w:val="2"/>
            <w:shd w:val="clear" w:color="auto" w:fill="auto"/>
          </w:tcPr>
          <w:p w14:paraId="32E1EA25" w14:textId="429FF1F4" w:rsidR="00A31745" w:rsidRPr="001A45F4" w:rsidRDefault="00114B76" w:rsidP="00114B76">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A45F4">
              <w:rPr>
                <w:rFonts w:cs="Times New Roman"/>
                <w:sz w:val="20"/>
                <w:szCs w:val="20"/>
              </w:rPr>
              <w:t xml:space="preserve">Dati par valsts un pašvaldību kontrolēto un finansēto komersantu darbības rezultātiem kārtējā gadā tiek prognozēti, izmantojot vidējo rādītāju par iepriekšējiem trīs darbības gadiem. Valsts un pašvaldību kontrolēto un finansēto komersantu darbības rezultātu ceturkšņa prognozes tiek aizstātas ar faktiskajiem datiem, kad tādi ir pieejami. Valsts un pašvaldību kontrolēto un finansēto komersantu darbības rezultāti ņem vērā Eiropas Savienības un Kohēzijas fondu korekcijas. </w:t>
            </w:r>
          </w:p>
        </w:tc>
      </w:tr>
      <w:tr w:rsidR="001A45F4" w:rsidRPr="001A45F4" w14:paraId="4FB5ED3E" w14:textId="77777777" w:rsidTr="000E28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8" w:type="dxa"/>
            <w:shd w:val="clear" w:color="auto" w:fill="auto"/>
          </w:tcPr>
          <w:p w14:paraId="7ED007DC" w14:textId="77777777" w:rsidR="00A31745" w:rsidRPr="001A45F4" w:rsidRDefault="00A31745" w:rsidP="00A31745">
            <w:pPr>
              <w:jc w:val="both"/>
              <w:rPr>
                <w:rFonts w:cs="Times New Roman"/>
                <w:bCs w:val="0"/>
                <w:color w:val="auto"/>
                <w:sz w:val="20"/>
                <w:szCs w:val="20"/>
              </w:rPr>
            </w:pPr>
            <w:r w:rsidRPr="001A45F4">
              <w:rPr>
                <w:rFonts w:cs="Times New Roman"/>
                <w:bCs w:val="0"/>
                <w:color w:val="auto"/>
                <w:sz w:val="20"/>
                <w:szCs w:val="20"/>
              </w:rPr>
              <w:t>DATU PĀRSKATĪŠANAS POLITIKA</w:t>
            </w:r>
          </w:p>
        </w:tc>
        <w:tc>
          <w:tcPr>
            <w:tcW w:w="7408" w:type="dxa"/>
            <w:shd w:val="clear" w:color="auto" w:fill="auto"/>
          </w:tcPr>
          <w:p w14:paraId="0DCA7D48" w14:textId="77777777" w:rsidR="00A31745" w:rsidRPr="001A45F4" w:rsidRDefault="00A31745" w:rsidP="00A31745">
            <w:pPr>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p>
          <w:p w14:paraId="2C34FE76" w14:textId="77777777" w:rsidR="00A31745" w:rsidRPr="001A45F4" w:rsidRDefault="00A31745" w:rsidP="00A31745">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5540" w:type="dxa"/>
            <w:shd w:val="clear" w:color="auto" w:fill="auto"/>
          </w:tcPr>
          <w:p w14:paraId="51F8C54D" w14:textId="04914E94" w:rsidR="00A31745" w:rsidRPr="001A45F4" w:rsidRDefault="00503928" w:rsidP="001E39E6">
            <w:pPr>
              <w:jc w:val="both"/>
              <w:cnfStyle w:val="000000100000" w:firstRow="0" w:lastRow="0" w:firstColumn="0" w:lastColumn="0" w:oddVBand="0" w:evenVBand="0" w:oddHBand="1" w:evenHBand="0" w:firstRowFirstColumn="0" w:firstRowLastColumn="0" w:lastRowFirstColumn="0" w:lastRowLastColumn="0"/>
              <w:rPr>
                <w:sz w:val="20"/>
              </w:rPr>
            </w:pPr>
            <w:r w:rsidRPr="001A45F4">
              <w:rPr>
                <w:sz w:val="20"/>
              </w:rPr>
              <w:t>CSP</w:t>
            </w:r>
            <w:r w:rsidR="00492FCA" w:rsidRPr="001A45F4">
              <w:rPr>
                <w:sz w:val="20"/>
              </w:rPr>
              <w:t xml:space="preserve"> sagatavo 2 reizes gadā – līdz 1. aprīlim (operatīvie dati) un līdz 1. oktobrim – (gala dati) vispārējās valdības budžeta deficīta un parāda notifikāciju atbilstoši EKS metodoloģijai. Ņemot vērā, ka rudenī ir pieejami precīzāki dati, tad tiek pārskatīt</w:t>
            </w:r>
            <w:r w:rsidR="008F78CD" w:rsidRPr="001A45F4">
              <w:rPr>
                <w:sz w:val="20"/>
              </w:rPr>
              <w:t>i</w:t>
            </w:r>
            <w:r w:rsidR="00492FCA" w:rsidRPr="001A45F4">
              <w:rPr>
                <w:sz w:val="20"/>
              </w:rPr>
              <w:t xml:space="preserve"> pa</w:t>
            </w:r>
            <w:r w:rsidR="001E39E6" w:rsidRPr="001A45F4">
              <w:rPr>
                <w:sz w:val="20"/>
              </w:rPr>
              <w:t xml:space="preserve">vasarī iesniegtie dati. </w:t>
            </w:r>
            <w:r w:rsidR="00492FCA" w:rsidRPr="001A45F4">
              <w:rPr>
                <w:sz w:val="20"/>
              </w:rPr>
              <w:t xml:space="preserve">Datu pārskatīšana tiek veikta arī saistībā ar metodoloģijas </w:t>
            </w:r>
            <w:r w:rsidR="00985FCC" w:rsidRPr="001A45F4">
              <w:rPr>
                <w:sz w:val="20"/>
              </w:rPr>
              <w:t xml:space="preserve">regulāriem </w:t>
            </w:r>
            <w:r w:rsidR="00492FCA" w:rsidRPr="001A45F4">
              <w:rPr>
                <w:sz w:val="20"/>
              </w:rPr>
              <w:t xml:space="preserve">uzlabojumiem un </w:t>
            </w:r>
            <w:r w:rsidR="00492FCA" w:rsidRPr="001A45F4">
              <w:rPr>
                <w:i/>
                <w:sz w:val="20"/>
              </w:rPr>
              <w:t>Eurostat</w:t>
            </w:r>
            <w:r w:rsidR="00492FCA" w:rsidRPr="001A45F4">
              <w:rPr>
                <w:sz w:val="20"/>
              </w:rPr>
              <w:t xml:space="preserve"> </w:t>
            </w:r>
            <w:r w:rsidR="00985FCC" w:rsidRPr="001A45F4">
              <w:rPr>
                <w:sz w:val="20"/>
              </w:rPr>
              <w:t xml:space="preserve">sniegtajām </w:t>
            </w:r>
            <w:r w:rsidR="00492FCA" w:rsidRPr="001A45F4">
              <w:rPr>
                <w:sz w:val="20"/>
              </w:rPr>
              <w:t>rekomendācijām</w:t>
            </w:r>
            <w:r w:rsidR="00985FCC" w:rsidRPr="001A45F4">
              <w:rPr>
                <w:sz w:val="20"/>
              </w:rPr>
              <w:t>.</w:t>
            </w:r>
            <w:r w:rsidR="00492FCA" w:rsidRPr="001A45F4">
              <w:rPr>
                <w:sz w:val="20"/>
              </w:rPr>
              <w:t xml:space="preserve"> </w:t>
            </w:r>
          </w:p>
        </w:tc>
      </w:tr>
      <w:tr w:rsidR="001A45F4" w:rsidRPr="001A45F4" w14:paraId="6DA2D3E3" w14:textId="77777777" w:rsidTr="000E2874">
        <w:trPr>
          <w:jc w:val="center"/>
        </w:trPr>
        <w:tc>
          <w:tcPr>
            <w:cnfStyle w:val="001000000000" w:firstRow="0" w:lastRow="0" w:firstColumn="1" w:lastColumn="0" w:oddVBand="0" w:evenVBand="0" w:oddHBand="0" w:evenHBand="0" w:firstRowFirstColumn="0" w:firstRowLastColumn="0" w:lastRowFirstColumn="0" w:lastRowLastColumn="0"/>
            <w:tcW w:w="2498" w:type="dxa"/>
            <w:shd w:val="clear" w:color="auto" w:fill="auto"/>
          </w:tcPr>
          <w:p w14:paraId="115B4E4D" w14:textId="77777777" w:rsidR="00A31745" w:rsidRPr="001A45F4" w:rsidRDefault="00BD25D0" w:rsidP="00BD25D0">
            <w:pPr>
              <w:jc w:val="both"/>
              <w:rPr>
                <w:rFonts w:cs="Times New Roman"/>
                <w:bCs w:val="0"/>
                <w:color w:val="auto"/>
                <w:sz w:val="20"/>
                <w:szCs w:val="20"/>
              </w:rPr>
            </w:pPr>
            <w:r w:rsidRPr="001A45F4">
              <w:rPr>
                <w:rFonts w:cs="Times New Roman"/>
                <w:bCs w:val="0"/>
                <w:color w:val="auto"/>
                <w:sz w:val="20"/>
                <w:szCs w:val="20"/>
              </w:rPr>
              <w:t>PĀREJA no datiem, kas balstīti uz skaidru naudu (naudas plūsmas metodoloģija), uz datiem, kas balstīti uz EKS standartu</w:t>
            </w:r>
          </w:p>
        </w:tc>
        <w:tc>
          <w:tcPr>
            <w:tcW w:w="7408" w:type="dxa"/>
            <w:shd w:val="clear" w:color="auto" w:fill="auto"/>
          </w:tcPr>
          <w:p w14:paraId="76D78D3A" w14:textId="77777777" w:rsidR="00A31745" w:rsidRPr="001A45F4" w:rsidRDefault="00A31745" w:rsidP="00A31745">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540" w:type="dxa"/>
            <w:shd w:val="clear" w:color="auto" w:fill="auto"/>
          </w:tcPr>
          <w:p w14:paraId="4651DF2F" w14:textId="55803C69" w:rsidR="00C86630" w:rsidRPr="001A45F4" w:rsidRDefault="00BD25D0" w:rsidP="00A31745">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A45F4">
              <w:rPr>
                <w:rFonts w:cs="Times New Roman"/>
                <w:sz w:val="20"/>
                <w:szCs w:val="20"/>
              </w:rPr>
              <w:t xml:space="preserve">Sagatavojot vispārējās valdības budžeta bilanci atbilstoši EKS metodoloģijai tiek izmantoti valsts budžeta izpildes dati. </w:t>
            </w:r>
            <w:r w:rsidR="009305C5" w:rsidRPr="001A45F4">
              <w:rPr>
                <w:rFonts w:cs="Times New Roman"/>
                <w:sz w:val="20"/>
                <w:szCs w:val="20"/>
              </w:rPr>
              <w:t xml:space="preserve">Ievērojot EKS  metodoloģiskās prasības, </w:t>
            </w:r>
            <w:r w:rsidR="00525B93" w:rsidRPr="001A45F4">
              <w:rPr>
                <w:rFonts w:cs="Times New Roman"/>
                <w:sz w:val="20"/>
                <w:szCs w:val="20"/>
              </w:rPr>
              <w:t xml:space="preserve">tiek </w:t>
            </w:r>
            <w:r w:rsidR="009305C5" w:rsidRPr="001A45F4">
              <w:rPr>
                <w:rFonts w:cs="Times New Roman"/>
                <w:sz w:val="20"/>
                <w:szCs w:val="20"/>
              </w:rPr>
              <w:t>veiktas korekcijas</w:t>
            </w:r>
            <w:r w:rsidR="00525B93" w:rsidRPr="001A45F4">
              <w:rPr>
                <w:rFonts w:cs="Times New Roman"/>
                <w:sz w:val="20"/>
                <w:szCs w:val="20"/>
              </w:rPr>
              <w:t xml:space="preserve"> -</w:t>
            </w:r>
            <w:r w:rsidR="009305C5" w:rsidRPr="001A45F4">
              <w:rPr>
                <w:rFonts w:cs="Times New Roman"/>
                <w:sz w:val="20"/>
                <w:szCs w:val="20"/>
              </w:rPr>
              <w:t xml:space="preserve"> no valdības sektora bilances izslēdzot finanšu darījumus, neitralizējot ES fondu ietekmi, iekļaujot uz vispārējās valdības sektoru pārklasificēto kapitālsabiedrību datus. Bez tam koriģētas arī prasības pret debitoriem un saistības pret kreditoriem, kā arī veiktas citas korekcijas.</w:t>
            </w:r>
          </w:p>
          <w:p w14:paraId="4DEBE451" w14:textId="77777777" w:rsidR="00A31745" w:rsidRPr="001A45F4" w:rsidRDefault="00A31745" w:rsidP="00A31745">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1A45F4" w:rsidRPr="001A45F4" w14:paraId="25375F05" w14:textId="77777777" w:rsidTr="00352C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8" w:type="dxa"/>
            <w:tcBorders>
              <w:bottom w:val="dotted" w:sz="4" w:space="0" w:color="auto"/>
            </w:tcBorders>
            <w:shd w:val="clear" w:color="auto" w:fill="auto"/>
          </w:tcPr>
          <w:p w14:paraId="1AA78ADA" w14:textId="77777777" w:rsidR="00A31745" w:rsidRPr="001A45F4" w:rsidRDefault="00A31745" w:rsidP="00A31745">
            <w:pPr>
              <w:jc w:val="both"/>
              <w:rPr>
                <w:rFonts w:cs="Times New Roman"/>
                <w:bCs w:val="0"/>
                <w:color w:val="auto"/>
                <w:sz w:val="20"/>
                <w:szCs w:val="20"/>
              </w:rPr>
            </w:pPr>
            <w:r w:rsidRPr="001A45F4">
              <w:rPr>
                <w:rFonts w:cs="Times New Roman"/>
                <w:bCs w:val="0"/>
                <w:color w:val="auto"/>
                <w:sz w:val="20"/>
                <w:szCs w:val="20"/>
              </w:rPr>
              <w:t xml:space="preserve">DETALIZĒTA SASKAŅOŠANAS </w:t>
            </w:r>
            <w:r w:rsidRPr="001A45F4">
              <w:rPr>
                <w:rFonts w:cs="Times New Roman"/>
                <w:bCs w:val="0"/>
                <w:color w:val="auto"/>
                <w:sz w:val="20"/>
                <w:szCs w:val="20"/>
              </w:rPr>
              <w:lastRenderedPageBreak/>
              <w:t>TABULAS PUBLICĒŠANA</w:t>
            </w:r>
          </w:p>
        </w:tc>
        <w:tc>
          <w:tcPr>
            <w:tcW w:w="12948" w:type="dxa"/>
            <w:gridSpan w:val="2"/>
            <w:shd w:val="clear" w:color="auto" w:fill="auto"/>
          </w:tcPr>
          <w:p w14:paraId="4155F7AD" w14:textId="4D6CA341" w:rsidR="00A31745" w:rsidRPr="001A45F4" w:rsidRDefault="00A31745" w:rsidP="00525B93">
            <w:pPr>
              <w:jc w:val="both"/>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1A45F4">
              <w:rPr>
                <w:rFonts w:cs="Times New Roman"/>
                <w:sz w:val="20"/>
                <w:szCs w:val="20"/>
              </w:rPr>
              <w:lastRenderedPageBreak/>
              <w:t xml:space="preserve">Detalizēta saskaņošanas tabula tiek publicēta Finanšu ministrijas mājas lapā sadaļas </w:t>
            </w:r>
            <w:r w:rsidR="00BA030B" w:rsidRPr="001A45F4">
              <w:rPr>
                <w:rFonts w:cs="Times New Roman"/>
                <w:sz w:val="20"/>
                <w:szCs w:val="20"/>
              </w:rPr>
              <w:t>“</w:t>
            </w:r>
            <w:r w:rsidR="0028495F" w:rsidRPr="001A45F4">
              <w:rPr>
                <w:rFonts w:cs="Times New Roman"/>
                <w:i/>
                <w:sz w:val="20"/>
                <w:szCs w:val="20"/>
              </w:rPr>
              <w:t>F</w:t>
            </w:r>
            <w:r w:rsidRPr="001A45F4">
              <w:rPr>
                <w:rFonts w:cs="Times New Roman"/>
                <w:i/>
                <w:sz w:val="20"/>
                <w:szCs w:val="20"/>
              </w:rPr>
              <w:t>iskālā politika”</w:t>
            </w:r>
            <w:r w:rsidRPr="001A45F4">
              <w:rPr>
                <w:rFonts w:cs="Times New Roman"/>
                <w:sz w:val="20"/>
                <w:szCs w:val="20"/>
              </w:rPr>
              <w:t xml:space="preserve"> </w:t>
            </w:r>
            <w:proofErr w:type="spellStart"/>
            <w:r w:rsidRPr="001A45F4">
              <w:rPr>
                <w:rFonts w:cs="Times New Roman"/>
                <w:sz w:val="20"/>
                <w:szCs w:val="20"/>
              </w:rPr>
              <w:t>apakšsadaļā</w:t>
            </w:r>
            <w:proofErr w:type="spellEnd"/>
            <w:r w:rsidRPr="001A45F4">
              <w:rPr>
                <w:rFonts w:cs="Times New Roman"/>
                <w:sz w:val="20"/>
                <w:szCs w:val="20"/>
              </w:rPr>
              <w:t xml:space="preserve"> </w:t>
            </w:r>
            <w:r w:rsidRPr="001A45F4">
              <w:rPr>
                <w:rFonts w:cs="Times New Roman"/>
                <w:i/>
                <w:sz w:val="20"/>
                <w:szCs w:val="20"/>
              </w:rPr>
              <w:t>„Vispārējās valdības budžets”</w:t>
            </w:r>
            <w:r w:rsidR="00DE66B6" w:rsidRPr="001A45F4">
              <w:rPr>
                <w:rFonts w:cs="Times New Roman"/>
                <w:i/>
                <w:sz w:val="20"/>
                <w:szCs w:val="20"/>
              </w:rPr>
              <w:t>,</w:t>
            </w:r>
            <w:r w:rsidR="00DE66B6" w:rsidRPr="001A45F4">
              <w:rPr>
                <w:i/>
                <w:sz w:val="20"/>
                <w:szCs w:val="20"/>
              </w:rPr>
              <w:t xml:space="preserve"> “Fiskālie dati”: </w:t>
            </w:r>
            <w:r w:rsidR="00BA030B" w:rsidRPr="001A45F4">
              <w:rPr>
                <w:rFonts w:cs="Times New Roman"/>
                <w:i/>
                <w:sz w:val="20"/>
                <w:szCs w:val="20"/>
              </w:rPr>
              <w:t xml:space="preserve"> </w:t>
            </w:r>
            <w:hyperlink r:id="rId16" w:history="1">
              <w:r w:rsidR="00BA030B" w:rsidRPr="001A45F4">
                <w:rPr>
                  <w:rStyle w:val="Hyperlink"/>
                  <w:rFonts w:cs="Times New Roman"/>
                  <w:i/>
                  <w:color w:val="auto"/>
                  <w:sz w:val="20"/>
                  <w:szCs w:val="20"/>
                </w:rPr>
                <w:t>https://www.fm.gov.lv/lv/fiskalie-dati</w:t>
              </w:r>
            </w:hyperlink>
          </w:p>
          <w:p w14:paraId="4C5648E5" w14:textId="0EF1C991" w:rsidR="00BA030B" w:rsidRPr="001A45F4" w:rsidRDefault="00BA030B" w:rsidP="00525B93">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1A45F4" w:rsidRPr="001A45F4" w14:paraId="286A3B33" w14:textId="77777777" w:rsidTr="00352C88">
        <w:trPr>
          <w:trHeight w:val="761"/>
          <w:jc w:val="center"/>
        </w:trPr>
        <w:tc>
          <w:tcPr>
            <w:cnfStyle w:val="001000000000" w:firstRow="0" w:lastRow="0" w:firstColumn="1" w:lastColumn="0" w:oddVBand="0" w:evenVBand="0" w:oddHBand="0" w:evenHBand="0" w:firstRowFirstColumn="0" w:firstRowLastColumn="0" w:lastRowFirstColumn="0" w:lastRowLastColumn="0"/>
            <w:tcW w:w="2498" w:type="dxa"/>
            <w:tcBorders>
              <w:bottom w:val="dotted" w:sz="4" w:space="0" w:color="auto"/>
            </w:tcBorders>
            <w:shd w:val="clear" w:color="auto" w:fill="auto"/>
          </w:tcPr>
          <w:p w14:paraId="584516E3" w14:textId="77777777" w:rsidR="00A31745" w:rsidRPr="001A45F4" w:rsidRDefault="00A31745" w:rsidP="00A31745">
            <w:pPr>
              <w:jc w:val="both"/>
              <w:rPr>
                <w:rFonts w:cs="Times New Roman"/>
                <w:bCs w:val="0"/>
                <w:color w:val="auto"/>
                <w:sz w:val="20"/>
                <w:szCs w:val="20"/>
              </w:rPr>
            </w:pPr>
            <w:r w:rsidRPr="001A45F4">
              <w:rPr>
                <w:rFonts w:cs="Times New Roman"/>
                <w:bCs w:val="0"/>
                <w:color w:val="auto"/>
                <w:sz w:val="20"/>
                <w:szCs w:val="20"/>
              </w:rPr>
              <w:lastRenderedPageBreak/>
              <w:t>DETALIZĒTA SASKAŅOŠANAS TABULAS ATJAUNOŠANA</w:t>
            </w:r>
          </w:p>
        </w:tc>
        <w:tc>
          <w:tcPr>
            <w:tcW w:w="12948" w:type="dxa"/>
            <w:gridSpan w:val="2"/>
            <w:shd w:val="clear" w:color="auto" w:fill="auto"/>
          </w:tcPr>
          <w:p w14:paraId="6D8BD4A9" w14:textId="77777777" w:rsidR="00A31745" w:rsidRPr="001A45F4" w:rsidRDefault="00A31745" w:rsidP="00BD25D0">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A45F4">
              <w:rPr>
                <w:rFonts w:cs="Times New Roman"/>
                <w:sz w:val="20"/>
                <w:szCs w:val="20"/>
              </w:rPr>
              <w:t>Detalizēta saskaņošanas tabula tiek atjaunota, katru reizi, kad tiek veiktas būtiskas izmaiņas valsts budžeta mēneša izpildes vai vispārējās valdības budžeta izpildes atbilstoši EKS datos.</w:t>
            </w:r>
            <w:r w:rsidR="00BD25D0" w:rsidRPr="001A45F4">
              <w:rPr>
                <w:rFonts w:cs="Times New Roman"/>
                <w:sz w:val="20"/>
                <w:szCs w:val="20"/>
              </w:rPr>
              <w:t xml:space="preserve"> </w:t>
            </w:r>
          </w:p>
        </w:tc>
      </w:tr>
    </w:tbl>
    <w:p w14:paraId="0E6DEB46" w14:textId="77777777" w:rsidR="006A25F3" w:rsidRPr="001A45F4" w:rsidRDefault="006A25F3" w:rsidP="000E2874">
      <w:pPr>
        <w:spacing w:after="240"/>
        <w:jc w:val="both"/>
      </w:pPr>
    </w:p>
    <w:sectPr w:rsidR="006A25F3" w:rsidRPr="001A45F4" w:rsidSect="007E6C76">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8CDAC" w14:textId="77777777" w:rsidR="009F0839" w:rsidRDefault="009F0839">
      <w:r>
        <w:separator/>
      </w:r>
    </w:p>
  </w:endnote>
  <w:endnote w:type="continuationSeparator" w:id="0">
    <w:p w14:paraId="44EF633D" w14:textId="77777777" w:rsidR="009F0839" w:rsidRDefault="009F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12A47" w14:textId="77777777" w:rsidR="009F0839" w:rsidRDefault="009F0839">
      <w:r>
        <w:separator/>
      </w:r>
    </w:p>
  </w:footnote>
  <w:footnote w:type="continuationSeparator" w:id="0">
    <w:p w14:paraId="08F84AAD" w14:textId="77777777" w:rsidR="009F0839" w:rsidRDefault="009F0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3EA5503"/>
    <w:multiLevelType w:val="multilevel"/>
    <w:tmpl w:val="2C0E80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7C63BD"/>
    <w:multiLevelType w:val="hybridMultilevel"/>
    <w:tmpl w:val="4F0609C8"/>
    <w:lvl w:ilvl="0" w:tplc="31DE718A">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BBD0D25"/>
    <w:multiLevelType w:val="hybridMultilevel"/>
    <w:tmpl w:val="422018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8B1731"/>
    <w:multiLevelType w:val="multilevel"/>
    <w:tmpl w:val="D8AA6E7C"/>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B70AA"/>
    <w:multiLevelType w:val="hybridMultilevel"/>
    <w:tmpl w:val="EC9CD2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951C24"/>
    <w:multiLevelType w:val="hybridMultilevel"/>
    <w:tmpl w:val="0D6C23A6"/>
    <w:lvl w:ilvl="0" w:tplc="04260005">
      <w:start w:val="1"/>
      <w:numFmt w:val="bullet"/>
      <w:lvlText w:val=""/>
      <w:lvlJc w:val="left"/>
      <w:pPr>
        <w:ind w:left="720" w:hanging="360"/>
      </w:pPr>
      <w:rPr>
        <w:rFonts w:ascii="Wingdings" w:hAnsi="Wingdings" w:hint="default"/>
      </w:rPr>
    </w:lvl>
    <w:lvl w:ilvl="1" w:tplc="D7764E2C">
      <w:start w:val="1"/>
      <w:numFmt w:val="bullet"/>
      <w:lvlText w:val="•"/>
      <w:lvlJc w:val="left"/>
      <w:pPr>
        <w:ind w:left="1440" w:hanging="360"/>
      </w:pPr>
      <w:rPr>
        <w:rFonts w:ascii="Arial" w:hAnsi="Aria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5F162B2"/>
    <w:multiLevelType w:val="hybridMultilevel"/>
    <w:tmpl w:val="2870B0BA"/>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7" w15:restartNumberingAfterBreak="0">
    <w:nsid w:val="4F703F54"/>
    <w:multiLevelType w:val="multilevel"/>
    <w:tmpl w:val="5D981BE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911AC"/>
    <w:multiLevelType w:val="multilevel"/>
    <w:tmpl w:val="0426001F"/>
    <w:lvl w:ilvl="0">
      <w:start w:val="1"/>
      <w:numFmt w:val="decimal"/>
      <w:lvlText w:val="%1."/>
      <w:lvlJc w:val="left"/>
      <w:pPr>
        <w:ind w:left="786"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D92CE3"/>
    <w:multiLevelType w:val="hybridMultilevel"/>
    <w:tmpl w:val="328A5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6462573"/>
    <w:multiLevelType w:val="hybridMultilevel"/>
    <w:tmpl w:val="D214CC2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7A3D572D"/>
    <w:multiLevelType w:val="hybridMultilevel"/>
    <w:tmpl w:val="38CAF9F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200241142">
    <w:abstractNumId w:val="2"/>
  </w:num>
  <w:num w:numId="2" w16cid:durableId="777144865">
    <w:abstractNumId w:val="10"/>
  </w:num>
  <w:num w:numId="3" w16cid:durableId="875967847">
    <w:abstractNumId w:val="9"/>
  </w:num>
  <w:num w:numId="4" w16cid:durableId="292173614">
    <w:abstractNumId w:val="7"/>
  </w:num>
  <w:num w:numId="5" w16cid:durableId="925309658">
    <w:abstractNumId w:val="3"/>
  </w:num>
  <w:num w:numId="6" w16cid:durableId="1721393802">
    <w:abstractNumId w:val="5"/>
  </w:num>
  <w:num w:numId="7" w16cid:durableId="670334197">
    <w:abstractNumId w:val="8"/>
  </w:num>
  <w:num w:numId="8" w16cid:durableId="889416858">
    <w:abstractNumId w:val="1"/>
  </w:num>
  <w:num w:numId="9" w16cid:durableId="2117284281">
    <w:abstractNumId w:val="4"/>
  </w:num>
  <w:num w:numId="10" w16cid:durableId="1619676415">
    <w:abstractNumId w:val="6"/>
  </w:num>
  <w:num w:numId="11" w16cid:durableId="730423774">
    <w:abstractNumId w:val="0"/>
  </w:num>
  <w:num w:numId="12" w16cid:durableId="1512795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C3"/>
    <w:rsid w:val="0000095C"/>
    <w:rsid w:val="00022F8C"/>
    <w:rsid w:val="00034AAE"/>
    <w:rsid w:val="00047D26"/>
    <w:rsid w:val="000773C3"/>
    <w:rsid w:val="000C5D8A"/>
    <w:rsid w:val="000E2874"/>
    <w:rsid w:val="00114B76"/>
    <w:rsid w:val="00115A19"/>
    <w:rsid w:val="001433B7"/>
    <w:rsid w:val="00147B49"/>
    <w:rsid w:val="00147C18"/>
    <w:rsid w:val="00171DCF"/>
    <w:rsid w:val="00174B4F"/>
    <w:rsid w:val="00184547"/>
    <w:rsid w:val="001A45F4"/>
    <w:rsid w:val="001C3345"/>
    <w:rsid w:val="001E39E6"/>
    <w:rsid w:val="001F43C5"/>
    <w:rsid w:val="001F671C"/>
    <w:rsid w:val="002034BB"/>
    <w:rsid w:val="00242EFB"/>
    <w:rsid w:val="00261CA5"/>
    <w:rsid w:val="00271B04"/>
    <w:rsid w:val="0028495F"/>
    <w:rsid w:val="00335101"/>
    <w:rsid w:val="00352C88"/>
    <w:rsid w:val="00387EE1"/>
    <w:rsid w:val="003A0F1F"/>
    <w:rsid w:val="003D4DD4"/>
    <w:rsid w:val="003E0053"/>
    <w:rsid w:val="003F2EFB"/>
    <w:rsid w:val="004065EE"/>
    <w:rsid w:val="00417268"/>
    <w:rsid w:val="004257FA"/>
    <w:rsid w:val="004305F4"/>
    <w:rsid w:val="004540CE"/>
    <w:rsid w:val="00473A88"/>
    <w:rsid w:val="00492FCA"/>
    <w:rsid w:val="0049552F"/>
    <w:rsid w:val="004B070A"/>
    <w:rsid w:val="004D6A45"/>
    <w:rsid w:val="004E6763"/>
    <w:rsid w:val="00503928"/>
    <w:rsid w:val="00515519"/>
    <w:rsid w:val="00515FFB"/>
    <w:rsid w:val="00525B93"/>
    <w:rsid w:val="00555180"/>
    <w:rsid w:val="0057415E"/>
    <w:rsid w:val="00591252"/>
    <w:rsid w:val="005B1955"/>
    <w:rsid w:val="005B5AFC"/>
    <w:rsid w:val="00601F23"/>
    <w:rsid w:val="006141B2"/>
    <w:rsid w:val="00625A65"/>
    <w:rsid w:val="006419B9"/>
    <w:rsid w:val="00660294"/>
    <w:rsid w:val="00670B83"/>
    <w:rsid w:val="00684BCD"/>
    <w:rsid w:val="006A25F3"/>
    <w:rsid w:val="006D020C"/>
    <w:rsid w:val="006D0298"/>
    <w:rsid w:val="006E5C1C"/>
    <w:rsid w:val="006F7A47"/>
    <w:rsid w:val="00705A3A"/>
    <w:rsid w:val="007278E8"/>
    <w:rsid w:val="00753E94"/>
    <w:rsid w:val="00761330"/>
    <w:rsid w:val="00777028"/>
    <w:rsid w:val="00777035"/>
    <w:rsid w:val="007B5C18"/>
    <w:rsid w:val="007D1794"/>
    <w:rsid w:val="007E555C"/>
    <w:rsid w:val="007E6C76"/>
    <w:rsid w:val="007F1611"/>
    <w:rsid w:val="00800957"/>
    <w:rsid w:val="00816E83"/>
    <w:rsid w:val="00824C0F"/>
    <w:rsid w:val="00835840"/>
    <w:rsid w:val="00837FB9"/>
    <w:rsid w:val="0084005C"/>
    <w:rsid w:val="008400AF"/>
    <w:rsid w:val="008402BE"/>
    <w:rsid w:val="00847E25"/>
    <w:rsid w:val="008603B9"/>
    <w:rsid w:val="008769AF"/>
    <w:rsid w:val="00876AAD"/>
    <w:rsid w:val="00880D94"/>
    <w:rsid w:val="008F78CD"/>
    <w:rsid w:val="009056D1"/>
    <w:rsid w:val="009078EE"/>
    <w:rsid w:val="00920403"/>
    <w:rsid w:val="00920F9B"/>
    <w:rsid w:val="009305C5"/>
    <w:rsid w:val="00941BC0"/>
    <w:rsid w:val="009830A8"/>
    <w:rsid w:val="00985FCC"/>
    <w:rsid w:val="009B7652"/>
    <w:rsid w:val="009C540C"/>
    <w:rsid w:val="009C6AC0"/>
    <w:rsid w:val="009F0839"/>
    <w:rsid w:val="00A04882"/>
    <w:rsid w:val="00A20708"/>
    <w:rsid w:val="00A20D07"/>
    <w:rsid w:val="00A31745"/>
    <w:rsid w:val="00A4238E"/>
    <w:rsid w:val="00A924B7"/>
    <w:rsid w:val="00AA008D"/>
    <w:rsid w:val="00AB49B1"/>
    <w:rsid w:val="00AC67F9"/>
    <w:rsid w:val="00AE5F03"/>
    <w:rsid w:val="00B0153F"/>
    <w:rsid w:val="00B66DA5"/>
    <w:rsid w:val="00B86756"/>
    <w:rsid w:val="00B87E13"/>
    <w:rsid w:val="00B90BE8"/>
    <w:rsid w:val="00B95199"/>
    <w:rsid w:val="00BA030B"/>
    <w:rsid w:val="00BC6F16"/>
    <w:rsid w:val="00BD25D0"/>
    <w:rsid w:val="00BE0450"/>
    <w:rsid w:val="00BE45EF"/>
    <w:rsid w:val="00BF59D3"/>
    <w:rsid w:val="00BF6825"/>
    <w:rsid w:val="00C21086"/>
    <w:rsid w:val="00C306F5"/>
    <w:rsid w:val="00C354F6"/>
    <w:rsid w:val="00C46A13"/>
    <w:rsid w:val="00C5059D"/>
    <w:rsid w:val="00C551A7"/>
    <w:rsid w:val="00C670FF"/>
    <w:rsid w:val="00C723A3"/>
    <w:rsid w:val="00C84296"/>
    <w:rsid w:val="00C86630"/>
    <w:rsid w:val="00CD1C8D"/>
    <w:rsid w:val="00CD3F1E"/>
    <w:rsid w:val="00CD6657"/>
    <w:rsid w:val="00CE3A7C"/>
    <w:rsid w:val="00CE6B61"/>
    <w:rsid w:val="00D0185A"/>
    <w:rsid w:val="00D14C00"/>
    <w:rsid w:val="00D30ACF"/>
    <w:rsid w:val="00D33FAE"/>
    <w:rsid w:val="00D36736"/>
    <w:rsid w:val="00D42169"/>
    <w:rsid w:val="00D55CA4"/>
    <w:rsid w:val="00D6405C"/>
    <w:rsid w:val="00D649B4"/>
    <w:rsid w:val="00DD50C8"/>
    <w:rsid w:val="00DE66B6"/>
    <w:rsid w:val="00DE7AB5"/>
    <w:rsid w:val="00DF17AB"/>
    <w:rsid w:val="00E11E74"/>
    <w:rsid w:val="00E160FA"/>
    <w:rsid w:val="00E24AF5"/>
    <w:rsid w:val="00E4578A"/>
    <w:rsid w:val="00E65A50"/>
    <w:rsid w:val="00ED04F9"/>
    <w:rsid w:val="00F05A87"/>
    <w:rsid w:val="00F22145"/>
    <w:rsid w:val="00F554D5"/>
    <w:rsid w:val="00F64F33"/>
    <w:rsid w:val="00F7613B"/>
    <w:rsid w:val="00F9028D"/>
    <w:rsid w:val="00FA571F"/>
    <w:rsid w:val="00FA7A6D"/>
    <w:rsid w:val="00FB599B"/>
    <w:rsid w:val="00FB7645"/>
    <w:rsid w:val="00FE3892"/>
    <w:rsid w:val="00FE4BF5"/>
    <w:rsid w:val="00FE6C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578F8A4"/>
  <w15:chartTrackingRefBased/>
  <w15:docId w15:val="{FE98927B-D355-4E98-9924-158816C8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CA4"/>
    <w:pPr>
      <w:tabs>
        <w:tab w:val="center" w:pos="4513"/>
        <w:tab w:val="right" w:pos="9026"/>
      </w:tabs>
      <w:spacing w:after="200" w:line="276" w:lineRule="auto"/>
    </w:pPr>
    <w:rPr>
      <w:rFonts w:ascii="Calibri" w:eastAsia="Calibri" w:hAnsi="Calibri" w:cs="Times New Roman"/>
      <w:sz w:val="22"/>
      <w:lang w:val="en-GB"/>
    </w:rPr>
  </w:style>
  <w:style w:type="character" w:customStyle="1" w:styleId="HeaderChar">
    <w:name w:val="Header Char"/>
    <w:basedOn w:val="DefaultParagraphFont"/>
    <w:link w:val="Header"/>
    <w:uiPriority w:val="99"/>
    <w:rsid w:val="00D55CA4"/>
    <w:rPr>
      <w:rFonts w:ascii="Calibri" w:eastAsia="Calibri" w:hAnsi="Calibri" w:cs="Times New Roman"/>
      <w:sz w:val="22"/>
      <w:lang w:val="en-GB"/>
    </w:rPr>
  </w:style>
  <w:style w:type="paragraph" w:styleId="Footer">
    <w:name w:val="footer"/>
    <w:basedOn w:val="Normal"/>
    <w:link w:val="FooterChar"/>
    <w:uiPriority w:val="99"/>
    <w:unhideWhenUsed/>
    <w:rsid w:val="00D55CA4"/>
    <w:pPr>
      <w:tabs>
        <w:tab w:val="center" w:pos="4513"/>
        <w:tab w:val="right" w:pos="9026"/>
      </w:tabs>
      <w:spacing w:after="200" w:line="276" w:lineRule="auto"/>
    </w:pPr>
    <w:rPr>
      <w:rFonts w:ascii="Calibri" w:eastAsia="Calibri" w:hAnsi="Calibri" w:cs="Times New Roman"/>
      <w:sz w:val="22"/>
      <w:lang w:val="en-GB"/>
    </w:rPr>
  </w:style>
  <w:style w:type="character" w:customStyle="1" w:styleId="FooterChar">
    <w:name w:val="Footer Char"/>
    <w:basedOn w:val="DefaultParagraphFont"/>
    <w:link w:val="Footer"/>
    <w:uiPriority w:val="99"/>
    <w:rsid w:val="00D55CA4"/>
    <w:rPr>
      <w:rFonts w:ascii="Calibri" w:eastAsia="Calibri" w:hAnsi="Calibri" w:cs="Times New Roman"/>
      <w:sz w:val="22"/>
      <w:lang w:val="en-GB"/>
    </w:rPr>
  </w:style>
  <w:style w:type="table" w:styleId="PlainTable3">
    <w:name w:val="Plain Table 3"/>
    <w:basedOn w:val="TableNormal"/>
    <w:uiPriority w:val="43"/>
    <w:rsid w:val="00D649B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D649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ListParagraph">
    <w:name w:val="List Paragraph"/>
    <w:basedOn w:val="Normal"/>
    <w:uiPriority w:val="34"/>
    <w:qFormat/>
    <w:rsid w:val="00022F8C"/>
    <w:pPr>
      <w:ind w:left="720"/>
      <w:contextualSpacing/>
    </w:pPr>
  </w:style>
  <w:style w:type="character" w:styleId="Hyperlink">
    <w:name w:val="Hyperlink"/>
    <w:basedOn w:val="DefaultParagraphFont"/>
    <w:uiPriority w:val="99"/>
    <w:unhideWhenUsed/>
    <w:rsid w:val="007278E8"/>
    <w:rPr>
      <w:color w:val="0563C1" w:themeColor="hyperlink"/>
      <w:u w:val="single"/>
    </w:rPr>
  </w:style>
  <w:style w:type="paragraph" w:styleId="NormalWeb">
    <w:name w:val="Normal (Web)"/>
    <w:basedOn w:val="Normal"/>
    <w:next w:val="Normal"/>
    <w:uiPriority w:val="99"/>
    <w:rsid w:val="00670B83"/>
    <w:pPr>
      <w:autoSpaceDE w:val="0"/>
      <w:autoSpaceDN w:val="0"/>
      <w:adjustRightInd w:val="0"/>
    </w:pPr>
    <w:rPr>
      <w:rFonts w:cs="Times New Roman"/>
      <w:szCs w:val="24"/>
    </w:rPr>
  </w:style>
  <w:style w:type="paragraph" w:styleId="FootnoteText">
    <w:name w:val="footnote text"/>
    <w:basedOn w:val="Normal"/>
    <w:link w:val="FootnoteTextChar"/>
    <w:uiPriority w:val="99"/>
    <w:semiHidden/>
    <w:unhideWhenUsed/>
    <w:rsid w:val="00FB7645"/>
    <w:rPr>
      <w:sz w:val="20"/>
      <w:szCs w:val="20"/>
    </w:rPr>
  </w:style>
  <w:style w:type="character" w:customStyle="1" w:styleId="FootnoteTextChar">
    <w:name w:val="Footnote Text Char"/>
    <w:basedOn w:val="DefaultParagraphFont"/>
    <w:link w:val="FootnoteText"/>
    <w:uiPriority w:val="99"/>
    <w:semiHidden/>
    <w:rsid w:val="00FB7645"/>
    <w:rPr>
      <w:sz w:val="20"/>
      <w:szCs w:val="20"/>
    </w:rPr>
  </w:style>
  <w:style w:type="character" w:styleId="FootnoteReference">
    <w:name w:val="footnote reference"/>
    <w:basedOn w:val="DefaultParagraphFont"/>
    <w:uiPriority w:val="99"/>
    <w:semiHidden/>
    <w:unhideWhenUsed/>
    <w:rsid w:val="00FB7645"/>
    <w:rPr>
      <w:vertAlign w:val="superscript"/>
    </w:rPr>
  </w:style>
  <w:style w:type="character" w:styleId="CommentReference">
    <w:name w:val="annotation reference"/>
    <w:basedOn w:val="DefaultParagraphFont"/>
    <w:uiPriority w:val="99"/>
    <w:semiHidden/>
    <w:unhideWhenUsed/>
    <w:rsid w:val="00271B04"/>
    <w:rPr>
      <w:sz w:val="16"/>
      <w:szCs w:val="16"/>
    </w:rPr>
  </w:style>
  <w:style w:type="paragraph" w:styleId="CommentText">
    <w:name w:val="annotation text"/>
    <w:basedOn w:val="Normal"/>
    <w:link w:val="CommentTextChar"/>
    <w:uiPriority w:val="99"/>
    <w:semiHidden/>
    <w:unhideWhenUsed/>
    <w:rsid w:val="00271B04"/>
    <w:rPr>
      <w:sz w:val="20"/>
      <w:szCs w:val="20"/>
    </w:rPr>
  </w:style>
  <w:style w:type="character" w:customStyle="1" w:styleId="CommentTextChar">
    <w:name w:val="Comment Text Char"/>
    <w:basedOn w:val="DefaultParagraphFont"/>
    <w:link w:val="CommentText"/>
    <w:uiPriority w:val="99"/>
    <w:semiHidden/>
    <w:rsid w:val="00271B04"/>
    <w:rPr>
      <w:sz w:val="20"/>
      <w:szCs w:val="20"/>
    </w:rPr>
  </w:style>
  <w:style w:type="paragraph" w:styleId="CommentSubject">
    <w:name w:val="annotation subject"/>
    <w:basedOn w:val="CommentText"/>
    <w:next w:val="CommentText"/>
    <w:link w:val="CommentSubjectChar"/>
    <w:uiPriority w:val="99"/>
    <w:semiHidden/>
    <w:unhideWhenUsed/>
    <w:rsid w:val="00271B04"/>
    <w:rPr>
      <w:b/>
      <w:bCs/>
    </w:rPr>
  </w:style>
  <w:style w:type="character" w:customStyle="1" w:styleId="CommentSubjectChar">
    <w:name w:val="Comment Subject Char"/>
    <w:basedOn w:val="CommentTextChar"/>
    <w:link w:val="CommentSubject"/>
    <w:uiPriority w:val="99"/>
    <w:semiHidden/>
    <w:rsid w:val="00271B04"/>
    <w:rPr>
      <w:b/>
      <w:bCs/>
      <w:sz w:val="20"/>
      <w:szCs w:val="20"/>
    </w:rPr>
  </w:style>
  <w:style w:type="paragraph" w:styleId="Revision">
    <w:name w:val="Revision"/>
    <w:hidden/>
    <w:uiPriority w:val="99"/>
    <w:semiHidden/>
    <w:rsid w:val="00271B04"/>
  </w:style>
  <w:style w:type="paragraph" w:styleId="BalloonText">
    <w:name w:val="Balloon Text"/>
    <w:basedOn w:val="Normal"/>
    <w:link w:val="BalloonTextChar"/>
    <w:uiPriority w:val="99"/>
    <w:semiHidden/>
    <w:unhideWhenUsed/>
    <w:rsid w:val="00271B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B04"/>
    <w:rPr>
      <w:rFonts w:ascii="Segoe UI" w:hAnsi="Segoe UI" w:cs="Segoe UI"/>
      <w:sz w:val="18"/>
      <w:szCs w:val="18"/>
    </w:rPr>
  </w:style>
  <w:style w:type="character" w:styleId="FollowedHyperlink">
    <w:name w:val="FollowedHyperlink"/>
    <w:basedOn w:val="DefaultParagraphFont"/>
    <w:uiPriority w:val="99"/>
    <w:semiHidden/>
    <w:unhideWhenUsed/>
    <w:rsid w:val="00761330"/>
    <w:rPr>
      <w:color w:val="954F72" w:themeColor="followedHyperlink"/>
      <w:u w:val="single"/>
    </w:rPr>
  </w:style>
  <w:style w:type="paragraph" w:styleId="HTMLPreformatted">
    <w:name w:val="HTML Preformatted"/>
    <w:basedOn w:val="Normal"/>
    <w:link w:val="HTMLPreformattedChar"/>
    <w:uiPriority w:val="99"/>
    <w:semiHidden/>
    <w:unhideWhenUsed/>
    <w:rsid w:val="00D30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D30ACF"/>
    <w:rPr>
      <w:rFonts w:ascii="Courier New" w:hAnsi="Courier New" w:cs="Courier New"/>
      <w:sz w:val="20"/>
      <w:szCs w:val="20"/>
      <w:lang w:eastAsia="lv-LV"/>
    </w:rPr>
  </w:style>
  <w:style w:type="paragraph" w:customStyle="1" w:styleId="naiskr">
    <w:name w:val="naiskr"/>
    <w:basedOn w:val="Normal"/>
    <w:rsid w:val="004D6A45"/>
    <w:pPr>
      <w:spacing w:before="75" w:after="75"/>
    </w:pPr>
    <w:rPr>
      <w:rFonts w:eastAsia="Times New Roman" w:cs="Times New Roman"/>
      <w:szCs w:val="24"/>
      <w:lang w:eastAsia="lv-LV"/>
    </w:rPr>
  </w:style>
  <w:style w:type="character" w:styleId="UnresolvedMention">
    <w:name w:val="Unresolved Mention"/>
    <w:basedOn w:val="DefaultParagraphFont"/>
    <w:uiPriority w:val="99"/>
    <w:semiHidden/>
    <w:unhideWhenUsed/>
    <w:rsid w:val="00641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12054">
      <w:bodyDiv w:val="1"/>
      <w:marLeft w:val="0"/>
      <w:marRight w:val="0"/>
      <w:marTop w:val="0"/>
      <w:marBottom w:val="0"/>
      <w:divBdr>
        <w:top w:val="none" w:sz="0" w:space="0" w:color="auto"/>
        <w:left w:val="none" w:sz="0" w:space="0" w:color="auto"/>
        <w:bottom w:val="none" w:sz="0" w:space="0" w:color="auto"/>
        <w:right w:val="none" w:sz="0" w:space="0" w:color="auto"/>
      </w:divBdr>
    </w:div>
    <w:div w:id="508184282">
      <w:bodyDiv w:val="1"/>
      <w:marLeft w:val="0"/>
      <w:marRight w:val="0"/>
      <w:marTop w:val="0"/>
      <w:marBottom w:val="0"/>
      <w:divBdr>
        <w:top w:val="none" w:sz="0" w:space="0" w:color="auto"/>
        <w:left w:val="none" w:sz="0" w:space="0" w:color="auto"/>
        <w:bottom w:val="none" w:sz="0" w:space="0" w:color="auto"/>
        <w:right w:val="none" w:sz="0" w:space="0" w:color="auto"/>
      </w:divBdr>
      <w:divsChild>
        <w:div w:id="1966542513">
          <w:marLeft w:val="0"/>
          <w:marRight w:val="0"/>
          <w:marTop w:val="0"/>
          <w:marBottom w:val="0"/>
          <w:divBdr>
            <w:top w:val="none" w:sz="0" w:space="0" w:color="auto"/>
            <w:left w:val="none" w:sz="0" w:space="0" w:color="auto"/>
            <w:bottom w:val="none" w:sz="0" w:space="0" w:color="auto"/>
            <w:right w:val="none" w:sz="0" w:space="0" w:color="auto"/>
          </w:divBdr>
          <w:divsChild>
            <w:div w:id="1866284776">
              <w:marLeft w:val="0"/>
              <w:marRight w:val="0"/>
              <w:marTop w:val="0"/>
              <w:marBottom w:val="0"/>
              <w:divBdr>
                <w:top w:val="none" w:sz="0" w:space="0" w:color="auto"/>
                <w:left w:val="none" w:sz="0" w:space="0" w:color="auto"/>
                <w:bottom w:val="none" w:sz="0" w:space="0" w:color="auto"/>
                <w:right w:val="none" w:sz="0" w:space="0" w:color="auto"/>
              </w:divBdr>
              <w:divsChild>
                <w:div w:id="427242049">
                  <w:marLeft w:val="0"/>
                  <w:marRight w:val="0"/>
                  <w:marTop w:val="0"/>
                  <w:marBottom w:val="0"/>
                  <w:divBdr>
                    <w:top w:val="none" w:sz="0" w:space="0" w:color="auto"/>
                    <w:left w:val="none" w:sz="0" w:space="0" w:color="auto"/>
                    <w:bottom w:val="none" w:sz="0" w:space="0" w:color="auto"/>
                    <w:right w:val="none" w:sz="0" w:space="0" w:color="auto"/>
                  </w:divBdr>
                  <w:divsChild>
                    <w:div w:id="397215451">
                      <w:marLeft w:val="0"/>
                      <w:marRight w:val="0"/>
                      <w:marTop w:val="0"/>
                      <w:marBottom w:val="0"/>
                      <w:divBdr>
                        <w:top w:val="none" w:sz="0" w:space="0" w:color="auto"/>
                        <w:left w:val="none" w:sz="0" w:space="0" w:color="auto"/>
                        <w:bottom w:val="none" w:sz="0" w:space="0" w:color="auto"/>
                        <w:right w:val="none" w:sz="0" w:space="0" w:color="auto"/>
                      </w:divBdr>
                      <w:divsChild>
                        <w:div w:id="1654025491">
                          <w:marLeft w:val="0"/>
                          <w:marRight w:val="0"/>
                          <w:marTop w:val="0"/>
                          <w:marBottom w:val="0"/>
                          <w:divBdr>
                            <w:top w:val="none" w:sz="0" w:space="0" w:color="auto"/>
                            <w:left w:val="none" w:sz="0" w:space="0" w:color="auto"/>
                            <w:bottom w:val="none" w:sz="0" w:space="0" w:color="auto"/>
                            <w:right w:val="none" w:sz="0" w:space="0" w:color="auto"/>
                          </w:divBdr>
                          <w:divsChild>
                            <w:div w:id="20636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874384">
      <w:bodyDiv w:val="1"/>
      <w:marLeft w:val="0"/>
      <w:marRight w:val="0"/>
      <w:marTop w:val="0"/>
      <w:marBottom w:val="0"/>
      <w:divBdr>
        <w:top w:val="none" w:sz="0" w:space="0" w:color="auto"/>
        <w:left w:val="none" w:sz="0" w:space="0" w:color="auto"/>
        <w:bottom w:val="none" w:sz="0" w:space="0" w:color="auto"/>
        <w:right w:val="none" w:sz="0" w:space="0" w:color="auto"/>
      </w:divBdr>
    </w:div>
    <w:div w:id="1605577799">
      <w:bodyDiv w:val="1"/>
      <w:marLeft w:val="0"/>
      <w:marRight w:val="0"/>
      <w:marTop w:val="0"/>
      <w:marBottom w:val="0"/>
      <w:divBdr>
        <w:top w:val="none" w:sz="0" w:space="0" w:color="auto"/>
        <w:left w:val="none" w:sz="0" w:space="0" w:color="auto"/>
        <w:bottom w:val="none" w:sz="0" w:space="0" w:color="auto"/>
        <w:right w:val="none" w:sz="0" w:space="0" w:color="auto"/>
      </w:divBdr>
      <w:divsChild>
        <w:div w:id="1439715002">
          <w:marLeft w:val="0"/>
          <w:marRight w:val="0"/>
          <w:marTop w:val="0"/>
          <w:marBottom w:val="0"/>
          <w:divBdr>
            <w:top w:val="none" w:sz="0" w:space="0" w:color="auto"/>
            <w:left w:val="none" w:sz="0" w:space="0" w:color="auto"/>
            <w:bottom w:val="none" w:sz="0" w:space="0" w:color="auto"/>
            <w:right w:val="none" w:sz="0" w:space="0" w:color="auto"/>
          </w:divBdr>
          <w:divsChild>
            <w:div w:id="1493332018">
              <w:marLeft w:val="0"/>
              <w:marRight w:val="0"/>
              <w:marTop w:val="0"/>
              <w:marBottom w:val="0"/>
              <w:divBdr>
                <w:top w:val="none" w:sz="0" w:space="0" w:color="auto"/>
                <w:left w:val="none" w:sz="0" w:space="0" w:color="auto"/>
                <w:bottom w:val="none" w:sz="0" w:space="0" w:color="auto"/>
                <w:right w:val="none" w:sz="0" w:space="0" w:color="auto"/>
              </w:divBdr>
              <w:divsChild>
                <w:div w:id="674845951">
                  <w:marLeft w:val="0"/>
                  <w:marRight w:val="0"/>
                  <w:marTop w:val="0"/>
                  <w:marBottom w:val="0"/>
                  <w:divBdr>
                    <w:top w:val="none" w:sz="0" w:space="0" w:color="auto"/>
                    <w:left w:val="none" w:sz="0" w:space="0" w:color="auto"/>
                    <w:bottom w:val="none" w:sz="0" w:space="0" w:color="auto"/>
                    <w:right w:val="none" w:sz="0" w:space="0" w:color="auto"/>
                  </w:divBdr>
                  <w:divsChild>
                    <w:div w:id="903099427">
                      <w:marLeft w:val="0"/>
                      <w:marRight w:val="0"/>
                      <w:marTop w:val="0"/>
                      <w:marBottom w:val="0"/>
                      <w:divBdr>
                        <w:top w:val="none" w:sz="0" w:space="0" w:color="auto"/>
                        <w:left w:val="none" w:sz="0" w:space="0" w:color="auto"/>
                        <w:bottom w:val="none" w:sz="0" w:space="0" w:color="auto"/>
                        <w:right w:val="none" w:sz="0" w:space="0" w:color="auto"/>
                      </w:divBdr>
                      <w:divsChild>
                        <w:div w:id="1444957070">
                          <w:marLeft w:val="0"/>
                          <w:marRight w:val="0"/>
                          <w:marTop w:val="0"/>
                          <w:marBottom w:val="0"/>
                          <w:divBdr>
                            <w:top w:val="none" w:sz="0" w:space="0" w:color="auto"/>
                            <w:left w:val="none" w:sz="0" w:space="0" w:color="auto"/>
                            <w:bottom w:val="none" w:sz="0" w:space="0" w:color="auto"/>
                            <w:right w:val="none" w:sz="0" w:space="0" w:color="auto"/>
                          </w:divBdr>
                          <w:divsChild>
                            <w:div w:id="5708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99389">
      <w:bodyDiv w:val="1"/>
      <w:marLeft w:val="0"/>
      <w:marRight w:val="0"/>
      <w:marTop w:val="0"/>
      <w:marBottom w:val="0"/>
      <w:divBdr>
        <w:top w:val="none" w:sz="0" w:space="0" w:color="auto"/>
        <w:left w:val="none" w:sz="0" w:space="0" w:color="auto"/>
        <w:bottom w:val="none" w:sz="0" w:space="0" w:color="auto"/>
        <w:right w:val="none" w:sz="0" w:space="0" w:color="auto"/>
      </w:divBdr>
    </w:div>
    <w:div w:id="1851483795">
      <w:bodyDiv w:val="1"/>
      <w:marLeft w:val="0"/>
      <w:marRight w:val="0"/>
      <w:marTop w:val="0"/>
      <w:marBottom w:val="0"/>
      <w:divBdr>
        <w:top w:val="none" w:sz="0" w:space="0" w:color="auto"/>
        <w:left w:val="none" w:sz="0" w:space="0" w:color="auto"/>
        <w:bottom w:val="none" w:sz="0" w:space="0" w:color="auto"/>
        <w:right w:val="none" w:sz="0" w:space="0" w:color="auto"/>
      </w:divBdr>
    </w:div>
    <w:div w:id="1858230451">
      <w:bodyDiv w:val="1"/>
      <w:marLeft w:val="0"/>
      <w:marRight w:val="0"/>
      <w:marTop w:val="0"/>
      <w:marBottom w:val="0"/>
      <w:divBdr>
        <w:top w:val="none" w:sz="0" w:space="0" w:color="auto"/>
        <w:left w:val="none" w:sz="0" w:space="0" w:color="auto"/>
        <w:bottom w:val="none" w:sz="0" w:space="0" w:color="auto"/>
        <w:right w:val="none" w:sz="0" w:space="0" w:color="auto"/>
      </w:divBdr>
      <w:divsChild>
        <w:div w:id="207561585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124831" TargetMode="External"/><Relationship Id="rId13" Type="http://schemas.openxmlformats.org/officeDocument/2006/relationships/hyperlink" Target="http://www.fm.gov.lv/files/fiskalapolitika/bridge_table_02012013.xls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m.gov.lv/lv/fiskalie-da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likumi.lv/doc.php?id=263203" TargetMode="External"/><Relationship Id="rId10" Type="http://schemas.openxmlformats.org/officeDocument/2006/relationships/hyperlink" Target="http://likumi.lv/doc.php?id=122159" TargetMode="External"/><Relationship Id="rId4" Type="http://schemas.openxmlformats.org/officeDocument/2006/relationships/settings" Target="settings.xml"/><Relationship Id="rId9" Type="http://schemas.openxmlformats.org/officeDocument/2006/relationships/hyperlink" Target="http://likumi.lv/doc.php?id=124833" TargetMode="External"/><Relationship Id="rId14" Type="http://schemas.openxmlformats.org/officeDocument/2006/relationships/hyperlink" Target="https://tools.csb.gov.lv/isk/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5DFF1-E58A-4AB2-ACE0-F2E8943976EB}">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5901</Words>
  <Characters>3364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Ozoliņa</dc:creator>
  <cp:keywords/>
  <dc:description/>
  <cp:lastModifiedBy>Laura Pogule</cp:lastModifiedBy>
  <cp:revision>8</cp:revision>
  <dcterms:created xsi:type="dcterms:W3CDTF">2024-11-08T14:17:00Z</dcterms:created>
  <dcterms:modified xsi:type="dcterms:W3CDTF">2024-12-20T13:20:00Z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