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0D7" w:rsidRPr="006E395D" w:rsidRDefault="007870D7" w:rsidP="007870D7">
      <w:pPr>
        <w:pStyle w:val="H1"/>
      </w:pPr>
      <w:bookmarkStart w:id="0" w:name="_Toc150840175"/>
      <w:bookmarkStart w:id="1" w:name="_Toc150941365"/>
      <w:bookmarkStart w:id="2" w:name="_Toc78689521"/>
      <w:bookmarkStart w:id="3" w:name="_Toc150840177"/>
      <w:bookmarkStart w:id="4" w:name="_Toc150941367"/>
      <w:r w:rsidRPr="006E395D">
        <w:t>3. Ieņēmumu analīze</w:t>
      </w:r>
    </w:p>
    <w:p w:rsidR="007870D7" w:rsidRPr="006E395D" w:rsidRDefault="007870D7" w:rsidP="007870D7">
      <w:pPr>
        <w:pStyle w:val="H2"/>
        <w:spacing w:before="240"/>
      </w:pPr>
      <w:r w:rsidRPr="006E395D">
        <w:t>3.1. Nodokļu politikas aktualitātes</w:t>
      </w:r>
    </w:p>
    <w:p w:rsidR="007870D7" w:rsidRPr="00B22DC7" w:rsidRDefault="007870D7" w:rsidP="007870D7">
      <w:pPr>
        <w:pStyle w:val="cipari"/>
        <w:spacing w:after="0"/>
        <w:rPr>
          <w:sz w:val="36"/>
        </w:rPr>
      </w:pPr>
    </w:p>
    <w:p w:rsidR="007870D7" w:rsidRDefault="007870D7" w:rsidP="007870D7">
      <w:pPr>
        <w:ind w:right="-1"/>
        <w:rPr>
          <w:szCs w:val="28"/>
          <w:lang w:eastAsia="lv-LV"/>
        </w:rPr>
      </w:pPr>
      <w:r w:rsidRPr="00542EAB">
        <w:rPr>
          <w:szCs w:val="28"/>
          <w:lang w:eastAsia="lv-LV"/>
        </w:rPr>
        <w:t>Ņemot vērā, ka</w:t>
      </w:r>
      <w:r>
        <w:rPr>
          <w:szCs w:val="28"/>
          <w:lang w:eastAsia="lv-LV"/>
        </w:rPr>
        <w:t xml:space="preserve"> </w:t>
      </w:r>
      <w:r w:rsidRPr="00542EAB">
        <w:rPr>
          <w:szCs w:val="28"/>
          <w:lang w:eastAsia="lv-LV"/>
        </w:rPr>
        <w:t xml:space="preserve">2017.gada 24.maijā </w:t>
      </w:r>
      <w:r>
        <w:rPr>
          <w:szCs w:val="28"/>
          <w:lang w:eastAsia="lv-LV"/>
        </w:rPr>
        <w:t>tika apstiprinātas</w:t>
      </w:r>
      <w:r>
        <w:rPr>
          <w:i/>
          <w:szCs w:val="28"/>
          <w:lang w:eastAsia="lv-LV"/>
        </w:rPr>
        <w:t xml:space="preserve"> </w:t>
      </w:r>
      <w:r w:rsidRPr="00A968D0">
        <w:rPr>
          <w:i/>
          <w:szCs w:val="28"/>
          <w:lang w:eastAsia="lv-LV"/>
        </w:rPr>
        <w:t>Valsts</w:t>
      </w:r>
      <w:r>
        <w:rPr>
          <w:i/>
          <w:szCs w:val="28"/>
          <w:lang w:eastAsia="lv-LV"/>
        </w:rPr>
        <w:t xml:space="preserve"> nodokļu politikas pamatnostādnes</w:t>
      </w:r>
      <w:r w:rsidRPr="00A968D0">
        <w:rPr>
          <w:i/>
          <w:szCs w:val="28"/>
          <w:lang w:eastAsia="lv-LV"/>
        </w:rPr>
        <w:t xml:space="preserve"> 2018. – 2021.gadam</w:t>
      </w:r>
      <w:r>
        <w:rPr>
          <w:szCs w:val="28"/>
          <w:lang w:eastAsia="lv-LV"/>
        </w:rPr>
        <w:t>, sastādot 2019.gada budžeta prognozes, būtiskas papildu nodokļu politikas izmaiņas netika veiktas.</w:t>
      </w:r>
    </w:p>
    <w:p w:rsidR="007870D7" w:rsidRPr="00A913FE" w:rsidRDefault="007870D7" w:rsidP="007870D7">
      <w:pPr>
        <w:ind w:right="-1"/>
        <w:rPr>
          <w:szCs w:val="28"/>
          <w:lang w:eastAsia="lv-LV"/>
        </w:rPr>
      </w:pPr>
      <w:r>
        <w:rPr>
          <w:szCs w:val="28"/>
          <w:lang w:eastAsia="lv-LV"/>
        </w:rPr>
        <w:t>Prognozēs ietvertās izmaiņas saistītas ar ēnu ekonomikas samazināšanas un administrēšanas uzlabošanas pasākumiem. N</w:t>
      </w:r>
      <w:r>
        <w:rPr>
          <w:noProof/>
          <w:lang w:eastAsia="lv-LV"/>
        </w:rPr>
        <w:t xml:space="preserve">odokļu ieņēmumu plānā iekļauti ēnu ekonomikas apkarošanas pasākumi, kas ietverti </w:t>
      </w:r>
      <w:r w:rsidRPr="002D4966">
        <w:rPr>
          <w:noProof/>
          <w:lang w:eastAsia="lv-LV"/>
        </w:rPr>
        <w:t>informatīvajā ziņojumā "Par makroekonomisko rādītāju, ieņēmumu un vispārējās valdības budžeta bilances prognozēm 2019.-2021.gadā", kas tika izskatīts Ministru kabineta sēdē 2019. gada 5. februārī:</w:t>
      </w:r>
    </w:p>
    <w:p w:rsidR="007870D7" w:rsidRDefault="007870D7" w:rsidP="004A7868">
      <w:pPr>
        <w:pStyle w:val="ListParagraph"/>
        <w:numPr>
          <w:ilvl w:val="0"/>
          <w:numId w:val="8"/>
        </w:numPr>
        <w:spacing w:before="120"/>
        <w:ind w:right="-1"/>
        <w:rPr>
          <w:lang w:eastAsia="lv-LV"/>
        </w:rPr>
      </w:pPr>
      <w:r>
        <w:rPr>
          <w:lang w:eastAsia="lv-LV"/>
        </w:rPr>
        <w:t>s</w:t>
      </w:r>
      <w:r w:rsidRPr="00A913FE">
        <w:rPr>
          <w:lang w:eastAsia="lv-LV"/>
        </w:rPr>
        <w:t>kaidras naudas lietošanas lieguma sliekšņa mazināšana</w:t>
      </w:r>
      <w:r>
        <w:rPr>
          <w:lang w:eastAsia="lv-LV"/>
        </w:rPr>
        <w:t>;</w:t>
      </w:r>
    </w:p>
    <w:p w:rsidR="007870D7" w:rsidRDefault="007870D7" w:rsidP="004A7868">
      <w:pPr>
        <w:pStyle w:val="ListParagraph"/>
        <w:numPr>
          <w:ilvl w:val="0"/>
          <w:numId w:val="8"/>
        </w:numPr>
        <w:spacing w:before="120"/>
        <w:ind w:right="-1"/>
        <w:rPr>
          <w:lang w:eastAsia="lv-LV"/>
        </w:rPr>
      </w:pPr>
      <w:r>
        <w:rPr>
          <w:lang w:eastAsia="lv-LV"/>
        </w:rPr>
        <w:t>z</w:t>
      </w:r>
      <w:r w:rsidRPr="00913961">
        <w:rPr>
          <w:lang w:eastAsia="lv-LV"/>
        </w:rPr>
        <w:t>iņošana par aizdomīgiem darījumiem</w:t>
      </w:r>
      <w:r>
        <w:rPr>
          <w:lang w:eastAsia="lv-LV"/>
        </w:rPr>
        <w:t>;</w:t>
      </w:r>
    </w:p>
    <w:p w:rsidR="007870D7" w:rsidRDefault="007870D7" w:rsidP="004A7868">
      <w:pPr>
        <w:pStyle w:val="ListParagraph"/>
        <w:numPr>
          <w:ilvl w:val="0"/>
          <w:numId w:val="8"/>
        </w:numPr>
        <w:spacing w:before="120"/>
        <w:ind w:right="-1"/>
        <w:rPr>
          <w:lang w:eastAsia="lv-LV"/>
        </w:rPr>
      </w:pPr>
      <w:r>
        <w:rPr>
          <w:lang w:eastAsia="lv-LV"/>
        </w:rPr>
        <w:t>n</w:t>
      </w:r>
      <w:r w:rsidRPr="002F06A7">
        <w:rPr>
          <w:lang w:eastAsia="lv-LV"/>
        </w:rPr>
        <w:t>elicencētā azartspēļu un izložu tirgus samazināšana</w:t>
      </w:r>
      <w:r>
        <w:rPr>
          <w:lang w:eastAsia="lv-LV"/>
        </w:rPr>
        <w:t>;</w:t>
      </w:r>
    </w:p>
    <w:p w:rsidR="007870D7" w:rsidRPr="004E3A88" w:rsidRDefault="007870D7" w:rsidP="004A7868">
      <w:pPr>
        <w:pStyle w:val="ListParagraph"/>
        <w:numPr>
          <w:ilvl w:val="0"/>
          <w:numId w:val="8"/>
        </w:numPr>
        <w:spacing w:before="120"/>
        <w:ind w:right="-1"/>
        <w:rPr>
          <w:lang w:eastAsia="lv-LV"/>
        </w:rPr>
      </w:pPr>
      <w:r>
        <w:rPr>
          <w:lang w:eastAsia="lv-LV"/>
        </w:rPr>
        <w:t>Lauku atbalsta dienesta e</w:t>
      </w:r>
      <w:r w:rsidRPr="00913961">
        <w:rPr>
          <w:lang w:eastAsia="lv-LV"/>
        </w:rPr>
        <w:t xml:space="preserve">lektroniskās pieteikšanās sistēmas efektīva izmantošana </w:t>
      </w:r>
      <w:r w:rsidRPr="004E3A88">
        <w:rPr>
          <w:lang w:eastAsia="lv-LV"/>
        </w:rPr>
        <w:t>naftas produktu aprites uzraudzības un kontroles veikšanā;</w:t>
      </w:r>
    </w:p>
    <w:p w:rsidR="007870D7" w:rsidRDefault="007870D7" w:rsidP="004A7868">
      <w:pPr>
        <w:pStyle w:val="ListParagraph"/>
        <w:numPr>
          <w:ilvl w:val="0"/>
          <w:numId w:val="8"/>
        </w:numPr>
        <w:spacing w:before="120"/>
        <w:ind w:right="-1"/>
      </w:pPr>
      <w:r w:rsidRPr="004E3A88">
        <w:rPr>
          <w:lang w:eastAsia="lv-LV"/>
        </w:rPr>
        <w:t>taksometru pakalpojumu nozares darbības sakārtošana;</w:t>
      </w:r>
    </w:p>
    <w:p w:rsidR="007870D7" w:rsidRPr="00A913FE" w:rsidRDefault="007870D7" w:rsidP="004A7868">
      <w:pPr>
        <w:pStyle w:val="ListParagraph"/>
        <w:numPr>
          <w:ilvl w:val="0"/>
          <w:numId w:val="8"/>
        </w:numPr>
        <w:spacing w:before="120"/>
        <w:ind w:right="-1"/>
      </w:pPr>
      <w:r w:rsidRPr="004E3A88">
        <w:rPr>
          <w:lang w:eastAsia="lv-LV"/>
        </w:rPr>
        <w:t>elektroniskā darba laika uzskaite būvniecībā.</w:t>
      </w:r>
    </w:p>
    <w:p w:rsidR="006C05DE" w:rsidRPr="00357D51" w:rsidRDefault="007870D7" w:rsidP="007870D7">
      <w:pPr>
        <w:pStyle w:val="cipari"/>
        <w:spacing w:after="0"/>
        <w:ind w:left="0" w:firstLine="709"/>
        <w:rPr>
          <w:sz w:val="36"/>
        </w:rPr>
      </w:pPr>
      <w:r>
        <w:rPr>
          <w:noProof/>
          <w:lang w:eastAsia="lv-LV"/>
        </w:rPr>
        <w:t xml:space="preserve">Tāpat 2019.gada plānā ņemts vērā arī atgriezeniskais efekts uz darbaspēka nodokļiem un pievienotās vērtības nodokļa no darba samaksas paaugstināšanas veselības aprūpes darbiniekiem, </w:t>
      </w:r>
      <w:r w:rsidRPr="00913961">
        <w:rPr>
          <w:noProof/>
          <w:lang w:eastAsia="lv-LV"/>
        </w:rPr>
        <w:t xml:space="preserve">tiesnešiem un prokuroriem, izdienas piemaksu nodrošināšanai </w:t>
      </w:r>
      <w:r>
        <w:rPr>
          <w:noProof/>
          <w:lang w:eastAsia="lv-LV"/>
        </w:rPr>
        <w:t>K</w:t>
      </w:r>
      <w:r w:rsidRPr="008354B3">
        <w:rPr>
          <w:noProof/>
          <w:lang w:eastAsia="lv-LV"/>
        </w:rPr>
        <w:t>orupcijas novēršanas un apkarošanas birojam</w:t>
      </w:r>
      <w:r w:rsidRPr="00913961">
        <w:rPr>
          <w:noProof/>
          <w:lang w:eastAsia="lv-LV"/>
        </w:rPr>
        <w:t xml:space="preserve"> un izdienas pabalsts</w:t>
      </w:r>
      <w:r>
        <w:rPr>
          <w:noProof/>
          <w:lang w:eastAsia="lv-LV"/>
        </w:rPr>
        <w:t xml:space="preserve"> </w:t>
      </w:r>
      <w:r w:rsidRPr="00913961">
        <w:rPr>
          <w:noProof/>
          <w:lang w:eastAsia="lv-LV"/>
        </w:rPr>
        <w:t>pē</w:t>
      </w:r>
      <w:r>
        <w:rPr>
          <w:noProof/>
          <w:lang w:eastAsia="lv-LV"/>
        </w:rPr>
        <w:t>c katriem pieciem nepārtrauktas izdienas gadiem Iekšlietu ministrijas</w:t>
      </w:r>
      <w:r w:rsidRPr="00913961">
        <w:rPr>
          <w:noProof/>
          <w:lang w:eastAsia="lv-LV"/>
        </w:rPr>
        <w:t xml:space="preserve"> amatpersonām</w:t>
      </w:r>
      <w:r>
        <w:rPr>
          <w:noProof/>
          <w:lang w:eastAsia="lv-LV"/>
        </w:rPr>
        <w:t xml:space="preserve">. Plānā ietverti arī citi prognozes koriģējoši pasākumi, kas tika izskatīti </w:t>
      </w:r>
      <w:r w:rsidRPr="006274FB">
        <w:t>Ministru kabineta 2019.gada 8.februāra sēdē informatīv</w:t>
      </w:r>
      <w:r>
        <w:t xml:space="preserve">ajā </w:t>
      </w:r>
      <w:r w:rsidRPr="006274FB">
        <w:t>ziņojum</w:t>
      </w:r>
      <w:r>
        <w:t>ā</w:t>
      </w:r>
      <w:r w:rsidRPr="006274FB">
        <w:t xml:space="preserve"> “Par fiskālo telpu palielinošiem pasākumiem un izdevumiem prioritārajiem</w:t>
      </w:r>
    </w:p>
    <w:p w:rsidR="006C05DE" w:rsidRPr="00221972" w:rsidRDefault="006C05DE" w:rsidP="006C05DE">
      <w:pPr>
        <w:pStyle w:val="cipari"/>
      </w:pPr>
    </w:p>
    <w:p w:rsidR="007870D7" w:rsidRPr="006E395D" w:rsidRDefault="007870D7" w:rsidP="007870D7">
      <w:pPr>
        <w:pStyle w:val="H2"/>
        <w:spacing w:before="240"/>
      </w:pPr>
      <w:r w:rsidRPr="006E395D">
        <w:t>3.2. Kopbudžeta nodokļu ieņēmumi</w:t>
      </w:r>
      <w:r w:rsidRPr="006E395D">
        <w:rPr>
          <w:vertAlign w:val="superscript"/>
        </w:rPr>
        <w:footnoteReference w:id="1"/>
      </w:r>
    </w:p>
    <w:p w:rsidR="007870D7" w:rsidRPr="00B22DC7" w:rsidRDefault="007870D7" w:rsidP="007870D7">
      <w:pPr>
        <w:spacing w:after="0"/>
        <w:contextualSpacing/>
        <w:rPr>
          <w:szCs w:val="24"/>
        </w:rPr>
      </w:pPr>
    </w:p>
    <w:p w:rsidR="007870D7" w:rsidRPr="001037C1" w:rsidRDefault="007870D7" w:rsidP="007870D7">
      <w:pPr>
        <w:spacing w:after="0"/>
        <w:contextualSpacing/>
        <w:rPr>
          <w:bCs/>
          <w:color w:val="000000" w:themeColor="text1"/>
          <w:szCs w:val="24"/>
        </w:rPr>
      </w:pPr>
      <w:r w:rsidRPr="001037C1">
        <w:rPr>
          <w:szCs w:val="24"/>
        </w:rPr>
        <w:t>Kopbudžeta nodokļu ieņēmumi 2018.gadā bija 8 657,7 milj. </w:t>
      </w:r>
      <w:proofErr w:type="spellStart"/>
      <w:r w:rsidRPr="001037C1">
        <w:rPr>
          <w:i/>
          <w:szCs w:val="24"/>
        </w:rPr>
        <w:t>euro</w:t>
      </w:r>
      <w:proofErr w:type="spellEnd"/>
      <w:r w:rsidRPr="001037C1">
        <w:rPr>
          <w:szCs w:val="24"/>
        </w:rPr>
        <w:t>, kas salīdzinājumā ar 2018.gada plānu ir par 76,7 milj. </w:t>
      </w:r>
      <w:proofErr w:type="spellStart"/>
      <w:r w:rsidRPr="001037C1">
        <w:rPr>
          <w:i/>
          <w:szCs w:val="24"/>
        </w:rPr>
        <w:t>euro</w:t>
      </w:r>
      <w:proofErr w:type="spellEnd"/>
      <w:r w:rsidRPr="001037C1">
        <w:rPr>
          <w:szCs w:val="24"/>
        </w:rPr>
        <w:t xml:space="preserve"> jeb 0,9% vairāk. Nodokļu plāna pārpildi galvenokārt noteica uzņēmuma ienākuma nodokļa un sociālās apdrošināšanas iemaksu </w:t>
      </w:r>
      <w:proofErr w:type="spellStart"/>
      <w:r w:rsidRPr="001037C1">
        <w:rPr>
          <w:szCs w:val="24"/>
        </w:rPr>
        <w:t>pārpilde</w:t>
      </w:r>
      <w:proofErr w:type="spellEnd"/>
      <w:r w:rsidRPr="001037C1">
        <w:rPr>
          <w:szCs w:val="24"/>
        </w:rPr>
        <w:t xml:space="preserve">. Uzņēmuma ienākuma nodokļa plāna </w:t>
      </w:r>
      <w:proofErr w:type="spellStart"/>
      <w:r w:rsidRPr="001037C1">
        <w:rPr>
          <w:szCs w:val="24"/>
        </w:rPr>
        <w:t>pārpilde</w:t>
      </w:r>
      <w:proofErr w:type="spellEnd"/>
      <w:r w:rsidRPr="001037C1">
        <w:rPr>
          <w:szCs w:val="24"/>
        </w:rPr>
        <w:t xml:space="preserve"> skaidrojama ar </w:t>
      </w:r>
      <w:r w:rsidRPr="001037C1">
        <w:rPr>
          <w:bCs/>
          <w:szCs w:val="24"/>
        </w:rPr>
        <w:t xml:space="preserve">deklarējamo piemaksājamo summu būtisku pārsniegumu par atmaksājamajām summām. </w:t>
      </w:r>
      <w:r>
        <w:rPr>
          <w:bCs/>
          <w:szCs w:val="24"/>
        </w:rPr>
        <w:t>Sociālās apdrošināšanas iemaksu</w:t>
      </w:r>
      <w:r w:rsidRPr="001037C1">
        <w:rPr>
          <w:bCs/>
          <w:szCs w:val="24"/>
        </w:rPr>
        <w:t xml:space="preserve"> </w:t>
      </w:r>
      <w:proofErr w:type="spellStart"/>
      <w:r w:rsidRPr="001037C1">
        <w:rPr>
          <w:bCs/>
          <w:szCs w:val="24"/>
        </w:rPr>
        <w:t>pārpilde</w:t>
      </w:r>
      <w:proofErr w:type="spellEnd"/>
      <w:r w:rsidRPr="001037C1">
        <w:rPr>
          <w:bCs/>
          <w:szCs w:val="24"/>
        </w:rPr>
        <w:t xml:space="preserve"> skaidrojama ar </w:t>
      </w:r>
      <w:r w:rsidRPr="001037C1">
        <w:rPr>
          <w:bCs/>
          <w:color w:val="000000" w:themeColor="text1"/>
          <w:szCs w:val="24"/>
        </w:rPr>
        <w:t>makroekonomisko rādītāju uzlabošanos, salīdzinot ar pagājušo gadu:</w:t>
      </w:r>
    </w:p>
    <w:p w:rsidR="007870D7" w:rsidRPr="001037C1" w:rsidRDefault="007870D7" w:rsidP="004A7868">
      <w:pPr>
        <w:pStyle w:val="ListParagraph"/>
        <w:numPr>
          <w:ilvl w:val="0"/>
          <w:numId w:val="9"/>
        </w:numPr>
        <w:spacing w:after="0"/>
        <w:rPr>
          <w:bCs/>
          <w:color w:val="000000" w:themeColor="text1"/>
          <w:szCs w:val="24"/>
        </w:rPr>
      </w:pPr>
      <w:r w:rsidRPr="001037C1">
        <w:rPr>
          <w:bCs/>
          <w:color w:val="000000" w:themeColor="text1"/>
          <w:szCs w:val="24"/>
        </w:rPr>
        <w:t xml:space="preserve">darba ņēmēju skaita palielināšanos – </w:t>
      </w:r>
      <w:r w:rsidRPr="001037C1">
        <w:rPr>
          <w:szCs w:val="24"/>
        </w:rPr>
        <w:t>2018.gad</w:t>
      </w:r>
      <w:r>
        <w:rPr>
          <w:szCs w:val="24"/>
        </w:rPr>
        <w:t xml:space="preserve">ā </w:t>
      </w:r>
      <w:r w:rsidRPr="001037C1">
        <w:rPr>
          <w:szCs w:val="24"/>
        </w:rPr>
        <w:t xml:space="preserve">pie vispārējā nodokļu maksāšanas režīmā strādājošiem darba devējiem bija nodarbināti </w:t>
      </w:r>
      <w:r>
        <w:rPr>
          <w:szCs w:val="24"/>
        </w:rPr>
        <w:t xml:space="preserve">vidēji </w:t>
      </w:r>
      <w:r w:rsidRPr="001037C1">
        <w:rPr>
          <w:szCs w:val="24"/>
        </w:rPr>
        <w:t xml:space="preserve">par </w:t>
      </w:r>
      <w:r>
        <w:rPr>
          <w:szCs w:val="24"/>
        </w:rPr>
        <w:t>2</w:t>
      </w:r>
      <w:r w:rsidRPr="001037C1">
        <w:rPr>
          <w:szCs w:val="24"/>
        </w:rPr>
        <w:t xml:space="preserve">% </w:t>
      </w:r>
      <w:r>
        <w:rPr>
          <w:szCs w:val="24"/>
        </w:rPr>
        <w:t>darba ņēmēju vairāk nekā 2017.gadā</w:t>
      </w:r>
      <w:r w:rsidRPr="001037C1">
        <w:rPr>
          <w:bCs/>
          <w:color w:val="000000" w:themeColor="text1"/>
          <w:szCs w:val="24"/>
        </w:rPr>
        <w:t>;</w:t>
      </w:r>
    </w:p>
    <w:p w:rsidR="007870D7" w:rsidRPr="001037C1" w:rsidRDefault="007870D7" w:rsidP="004A7868">
      <w:pPr>
        <w:pStyle w:val="ListParagraph"/>
        <w:numPr>
          <w:ilvl w:val="0"/>
          <w:numId w:val="9"/>
        </w:numPr>
      </w:pPr>
      <w:r w:rsidRPr="001037C1">
        <w:rPr>
          <w:bCs/>
          <w:color w:val="000000" w:themeColor="text1"/>
          <w:szCs w:val="24"/>
        </w:rPr>
        <w:t>nodarbināto ienākumu palielināšanos – pēc informācijas iesniegtajos darba devēju ziņojumos par valsts sociālās apdrošināšanas obligātajām iemaksām un iedzīvotāju ienāku</w:t>
      </w:r>
      <w:r>
        <w:rPr>
          <w:bCs/>
          <w:color w:val="000000" w:themeColor="text1"/>
          <w:szCs w:val="24"/>
        </w:rPr>
        <w:t>ma nodokli, 2018.gadā</w:t>
      </w:r>
      <w:r>
        <w:rPr>
          <w:rStyle w:val="FootnoteReference"/>
          <w:bCs/>
          <w:color w:val="000000" w:themeColor="text1"/>
          <w:szCs w:val="24"/>
        </w:rPr>
        <w:footnoteReference w:id="2"/>
      </w:r>
      <w:r>
        <w:rPr>
          <w:bCs/>
          <w:color w:val="000000" w:themeColor="text1"/>
          <w:szCs w:val="24"/>
        </w:rPr>
        <w:t xml:space="preserve"> </w:t>
      </w:r>
      <w:r w:rsidRPr="001037C1">
        <w:rPr>
          <w:bCs/>
          <w:color w:val="000000" w:themeColor="text1"/>
          <w:szCs w:val="24"/>
        </w:rPr>
        <w:t xml:space="preserve">nodarbināto vidējie mēneša ienākumi valstī bija </w:t>
      </w:r>
      <w:r w:rsidRPr="001037C1">
        <w:rPr>
          <w:bCs/>
          <w:color w:val="000000" w:themeColor="text1"/>
          <w:szCs w:val="24"/>
        </w:rPr>
        <w:lastRenderedPageBreak/>
        <w:t>982</w:t>
      </w:r>
      <w:r>
        <w:rPr>
          <w:bCs/>
          <w:color w:val="000000" w:themeColor="text1"/>
          <w:szCs w:val="24"/>
        </w:rPr>
        <w:t> </w:t>
      </w:r>
      <w:proofErr w:type="spellStart"/>
      <w:r w:rsidRPr="001037C1">
        <w:rPr>
          <w:i/>
          <w:szCs w:val="24"/>
        </w:rPr>
        <w:t>euro</w:t>
      </w:r>
      <w:proofErr w:type="spellEnd"/>
      <w:r w:rsidRPr="001037C1">
        <w:rPr>
          <w:bCs/>
          <w:color w:val="000000" w:themeColor="text1"/>
          <w:szCs w:val="24"/>
        </w:rPr>
        <w:t>, kas, salīdzinot ar 2017.gada attiecīgo periodu, ir palielinājušies par 9,4 procentiem.</w:t>
      </w:r>
    </w:p>
    <w:p w:rsidR="007870D7" w:rsidRPr="00B22DC7" w:rsidRDefault="007870D7" w:rsidP="007870D7">
      <w:pPr>
        <w:rPr>
          <w:szCs w:val="26"/>
          <w:lang w:eastAsia="lo-LA" w:bidi="lo-LA"/>
        </w:rPr>
      </w:pPr>
      <w:r w:rsidRPr="00593394">
        <w:rPr>
          <w:bCs/>
          <w:szCs w:val="26"/>
        </w:rPr>
        <w:t xml:space="preserve">Salīdzinot ar </w:t>
      </w:r>
      <w:r w:rsidRPr="00593394">
        <w:rPr>
          <w:szCs w:val="26"/>
        </w:rPr>
        <w:t xml:space="preserve">2017.gadu, būtiski palielinājušies pievienotās vērtības nodokļa ieņēmumi un </w:t>
      </w:r>
      <w:r w:rsidRPr="00593394">
        <w:rPr>
          <w:bCs/>
          <w:szCs w:val="26"/>
        </w:rPr>
        <w:t>sociālās apdrošināšanas obligāto iemaksu ieņēmumi speciālajā budžetā, attiecīgi</w:t>
      </w:r>
      <w:r w:rsidRPr="00593394">
        <w:rPr>
          <w:szCs w:val="26"/>
        </w:rPr>
        <w:t xml:space="preserve"> par 269,2 milj. </w:t>
      </w:r>
      <w:proofErr w:type="spellStart"/>
      <w:r w:rsidRPr="00593394">
        <w:rPr>
          <w:i/>
          <w:szCs w:val="26"/>
        </w:rPr>
        <w:t>euro</w:t>
      </w:r>
      <w:proofErr w:type="spellEnd"/>
      <w:r w:rsidRPr="00593394">
        <w:rPr>
          <w:i/>
          <w:szCs w:val="26"/>
        </w:rPr>
        <w:t xml:space="preserve"> </w:t>
      </w:r>
      <w:r w:rsidRPr="00593394">
        <w:rPr>
          <w:szCs w:val="26"/>
        </w:rPr>
        <w:t>jeb 12,3% un</w:t>
      </w:r>
      <w:r w:rsidRPr="00593394">
        <w:rPr>
          <w:i/>
          <w:szCs w:val="26"/>
        </w:rPr>
        <w:t xml:space="preserve"> </w:t>
      </w:r>
      <w:r w:rsidRPr="00593394">
        <w:rPr>
          <w:szCs w:val="26"/>
        </w:rPr>
        <w:t>par 286,2 milj. </w:t>
      </w:r>
      <w:proofErr w:type="spellStart"/>
      <w:r w:rsidRPr="00593394">
        <w:rPr>
          <w:i/>
          <w:szCs w:val="26"/>
        </w:rPr>
        <w:t>euro</w:t>
      </w:r>
      <w:proofErr w:type="spellEnd"/>
      <w:r w:rsidRPr="00593394">
        <w:rPr>
          <w:szCs w:val="26"/>
        </w:rPr>
        <w:t xml:space="preserve"> jeb 12,7 procentiem. </w:t>
      </w:r>
      <w:r w:rsidRPr="00A913FE">
        <w:rPr>
          <w:szCs w:val="26"/>
        </w:rPr>
        <w:t xml:space="preserve">Pievienotās vērtības nodokļa ieņēmumu pieaugums skaidrojams ar </w:t>
      </w:r>
      <w:r w:rsidRPr="00A913FE">
        <w:rPr>
          <w:bCs/>
          <w:szCs w:val="24"/>
        </w:rPr>
        <w:t>bruto iemaksu palielināšanos un atmaksu samazināšanos.</w:t>
      </w:r>
    </w:p>
    <w:p w:rsidR="007870D7" w:rsidRPr="00593394" w:rsidRDefault="00304E94" w:rsidP="007870D7">
      <w:r>
        <w:t>Saskaņā ar likum</w:t>
      </w:r>
      <w:r w:rsidR="007870D7" w:rsidRPr="00593394">
        <w:t>u „Par valsts budžetu 2019.gadam” kopbudžeta nodokļu ieņēmumi tiek plānoti 9 04</w:t>
      </w:r>
      <w:r>
        <w:t>3</w:t>
      </w:r>
      <w:r w:rsidR="007870D7" w:rsidRPr="00593394">
        <w:t>,</w:t>
      </w:r>
      <w:r>
        <w:t>7</w:t>
      </w:r>
      <w:r w:rsidR="007870D7" w:rsidRPr="00593394">
        <w:t> milj. </w:t>
      </w:r>
      <w:proofErr w:type="spellStart"/>
      <w:r w:rsidR="007870D7" w:rsidRPr="00593394">
        <w:rPr>
          <w:i/>
        </w:rPr>
        <w:t>euro</w:t>
      </w:r>
      <w:proofErr w:type="spellEnd"/>
      <w:r w:rsidR="007870D7" w:rsidRPr="00593394">
        <w:t xml:space="preserve"> apmērā, kas ir par 38</w:t>
      </w:r>
      <w:r>
        <w:t>5</w:t>
      </w:r>
      <w:r w:rsidR="007870D7" w:rsidRPr="00593394">
        <w:t>,</w:t>
      </w:r>
      <w:r>
        <w:t>9</w:t>
      </w:r>
      <w:r w:rsidR="007870D7" w:rsidRPr="00593394">
        <w:t> milj. </w:t>
      </w:r>
      <w:proofErr w:type="spellStart"/>
      <w:r w:rsidR="007870D7" w:rsidRPr="00593394">
        <w:rPr>
          <w:i/>
        </w:rPr>
        <w:t>euro</w:t>
      </w:r>
      <w:proofErr w:type="spellEnd"/>
      <w:r w:rsidR="007870D7" w:rsidRPr="00593394">
        <w:t xml:space="preserve"> jeb 4,</w:t>
      </w:r>
      <w:r>
        <w:t>5</w:t>
      </w:r>
      <w:r w:rsidR="007870D7" w:rsidRPr="00593394">
        <w:t>% vairāk nekā 2018.gadā. 2019.gada plāna pamatā ir:</w:t>
      </w:r>
    </w:p>
    <w:p w:rsidR="007870D7" w:rsidRPr="00593394" w:rsidRDefault="007870D7" w:rsidP="004A7868">
      <w:pPr>
        <w:pStyle w:val="ListParagraph"/>
        <w:numPr>
          <w:ilvl w:val="0"/>
          <w:numId w:val="10"/>
        </w:numPr>
      </w:pPr>
      <w:r w:rsidRPr="00593394">
        <w:t>2018.gada faktiskās izpildes tendences;</w:t>
      </w:r>
    </w:p>
    <w:p w:rsidR="007870D7" w:rsidRPr="00593394" w:rsidRDefault="007870D7" w:rsidP="004A7868">
      <w:pPr>
        <w:pStyle w:val="ListParagraph"/>
        <w:numPr>
          <w:ilvl w:val="0"/>
          <w:numId w:val="10"/>
        </w:numPr>
      </w:pPr>
      <w:r w:rsidRPr="00593394">
        <w:t>prognozētā ekonomiskā izaugsme;</w:t>
      </w:r>
    </w:p>
    <w:p w:rsidR="007870D7" w:rsidRPr="00593394" w:rsidRDefault="007870D7" w:rsidP="004A7868">
      <w:pPr>
        <w:pStyle w:val="ListParagraph"/>
        <w:numPr>
          <w:ilvl w:val="0"/>
          <w:numId w:val="10"/>
        </w:numPr>
      </w:pPr>
      <w:r w:rsidRPr="00593394">
        <w:t>Valsts nodokļu politikas pamatnostādņu 2018. – 2021.gadam apstiprinātie nodokļu reformas pasākumi;</w:t>
      </w:r>
    </w:p>
    <w:p w:rsidR="007870D7" w:rsidRPr="00593394" w:rsidRDefault="007870D7" w:rsidP="004A7868">
      <w:pPr>
        <w:pStyle w:val="ListParagraph"/>
        <w:numPr>
          <w:ilvl w:val="0"/>
          <w:numId w:val="10"/>
        </w:numPr>
      </w:pPr>
      <w:r w:rsidRPr="00593394">
        <w:t>Ministru kabinetā un Saeimā apstiprinātie pasākumi.</w:t>
      </w:r>
    </w:p>
    <w:p w:rsidR="007870D7" w:rsidRPr="00087A10" w:rsidRDefault="007870D7" w:rsidP="007870D7">
      <w:r>
        <w:t>Ieņēmumu prognozēs</w:t>
      </w:r>
      <w:r w:rsidRPr="00087A10">
        <w:t xml:space="preserve"> ņemt</w:t>
      </w:r>
      <w:r>
        <w:t>as</w:t>
      </w:r>
      <w:r w:rsidRPr="00087A10">
        <w:t xml:space="preserve"> vērā</w:t>
      </w:r>
      <w:r>
        <w:t xml:space="preserve"> sekojošas 2019.gada prognozētās makroekonomisko rādītāju tendences</w:t>
      </w:r>
      <w:r w:rsidRPr="00087A10">
        <w:t>:</w:t>
      </w:r>
    </w:p>
    <w:p w:rsidR="007870D7" w:rsidRPr="00087A10" w:rsidRDefault="007870D7" w:rsidP="004A7868">
      <w:pPr>
        <w:pStyle w:val="ListParagraph"/>
        <w:numPr>
          <w:ilvl w:val="0"/>
          <w:numId w:val="11"/>
        </w:numPr>
      </w:pPr>
      <w:r w:rsidRPr="00087A10">
        <w:t>IKP pieaugums +6,2%;</w:t>
      </w:r>
    </w:p>
    <w:p w:rsidR="007870D7" w:rsidRPr="00194FDC" w:rsidRDefault="007870D7" w:rsidP="004A7868">
      <w:pPr>
        <w:pStyle w:val="ListParagraph"/>
        <w:numPr>
          <w:ilvl w:val="0"/>
          <w:numId w:val="11"/>
        </w:numPr>
      </w:pPr>
      <w:r w:rsidRPr="00087A10">
        <w:t>dar</w:t>
      </w:r>
      <w:r>
        <w:t>ba samaksas fonda pieaugums +</w:t>
      </w:r>
      <w:r w:rsidRPr="00194FDC">
        <w:t>6,1%;</w:t>
      </w:r>
    </w:p>
    <w:p w:rsidR="007870D7" w:rsidRPr="00087A10" w:rsidRDefault="007870D7" w:rsidP="004A7868">
      <w:pPr>
        <w:pStyle w:val="ListParagraph"/>
        <w:numPr>
          <w:ilvl w:val="0"/>
          <w:numId w:val="11"/>
        </w:numPr>
      </w:pPr>
      <w:r w:rsidRPr="00087A10">
        <w:t>preču un pakalpojumu eksporta pieaugums +7,3%;</w:t>
      </w:r>
    </w:p>
    <w:p w:rsidR="007870D7" w:rsidRPr="00087A10" w:rsidRDefault="007870D7" w:rsidP="004A7868">
      <w:pPr>
        <w:pStyle w:val="ListParagraph"/>
        <w:numPr>
          <w:ilvl w:val="0"/>
          <w:numId w:val="11"/>
        </w:numPr>
      </w:pPr>
      <w:r w:rsidRPr="00087A10">
        <w:t>preču un pakalpojumu importa pieaugums +8,1%;</w:t>
      </w:r>
    </w:p>
    <w:p w:rsidR="007870D7" w:rsidRPr="00087A10" w:rsidRDefault="007870D7" w:rsidP="004A7868">
      <w:pPr>
        <w:pStyle w:val="ListParagraph"/>
        <w:numPr>
          <w:ilvl w:val="0"/>
          <w:numId w:val="11"/>
        </w:numPr>
      </w:pPr>
      <w:r w:rsidRPr="00087A10">
        <w:t xml:space="preserve">inflācijas pieaugums </w:t>
      </w:r>
      <w:r>
        <w:t xml:space="preserve"> </w:t>
      </w:r>
      <w:r w:rsidRPr="00087A10">
        <w:t>+2,5 procentpunkti.</w:t>
      </w:r>
    </w:p>
    <w:p w:rsidR="007870D7" w:rsidRPr="00FE002D" w:rsidRDefault="007870D7" w:rsidP="007870D7">
      <w:pPr>
        <w:pStyle w:val="T"/>
        <w:rPr>
          <w:sz w:val="16"/>
          <w:szCs w:val="16"/>
        </w:rPr>
      </w:pPr>
    </w:p>
    <w:p w:rsidR="007870D7" w:rsidRPr="00FE002D" w:rsidRDefault="007870D7" w:rsidP="007870D7">
      <w:pPr>
        <w:pStyle w:val="T"/>
        <w:rPr>
          <w:szCs w:val="24"/>
        </w:rPr>
      </w:pPr>
      <w:r w:rsidRPr="00FE002D">
        <w:t xml:space="preserve">3.1. tabula. Kopbudžeta nodokļu ieņēmumi, milj. </w:t>
      </w:r>
      <w:proofErr w:type="spellStart"/>
      <w:r w:rsidRPr="00FE002D">
        <w:rPr>
          <w:szCs w:val="24"/>
        </w:rPr>
        <w:t>euro</w:t>
      </w:r>
      <w:proofErr w:type="spellEnd"/>
    </w:p>
    <w:tbl>
      <w:tblPr>
        <w:tblW w:w="9077" w:type="dxa"/>
        <w:jc w:val="center"/>
        <w:tblLook w:val="04A0" w:firstRow="1" w:lastRow="0" w:firstColumn="1" w:lastColumn="0" w:noHBand="0" w:noVBand="1"/>
      </w:tblPr>
      <w:tblGrid>
        <w:gridCol w:w="3256"/>
        <w:gridCol w:w="1559"/>
        <w:gridCol w:w="1417"/>
        <w:gridCol w:w="1276"/>
        <w:gridCol w:w="1569"/>
      </w:tblGrid>
      <w:tr w:rsidR="007870D7" w:rsidRPr="00FE002D" w:rsidTr="008671DD">
        <w:trPr>
          <w:trHeight w:val="255"/>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 </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2016</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2017</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2018</w:t>
            </w:r>
          </w:p>
        </w:tc>
        <w:tc>
          <w:tcPr>
            <w:tcW w:w="156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2019</w:t>
            </w:r>
          </w:p>
        </w:tc>
      </w:tr>
      <w:tr w:rsidR="007870D7" w:rsidRPr="00FE002D" w:rsidTr="008671DD">
        <w:trPr>
          <w:trHeight w:val="299"/>
          <w:jc w:val="center"/>
        </w:trPr>
        <w:tc>
          <w:tcPr>
            <w:tcW w:w="325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left"/>
              <w:rPr>
                <w:b/>
                <w:bCs/>
                <w:sz w:val="20"/>
                <w:lang w:eastAsia="lv-LV"/>
              </w:rPr>
            </w:pPr>
          </w:p>
        </w:tc>
        <w:tc>
          <w:tcPr>
            <w:tcW w:w="425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sz w:val="20"/>
                <w:lang w:eastAsia="lv-LV"/>
              </w:rPr>
            </w:pPr>
            <w:r w:rsidRPr="00FE002D">
              <w:rPr>
                <w:sz w:val="20"/>
                <w:lang w:eastAsia="lv-LV"/>
              </w:rPr>
              <w:t>fakts</w:t>
            </w:r>
          </w:p>
        </w:tc>
        <w:tc>
          <w:tcPr>
            <w:tcW w:w="1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AA0C50" w:rsidRDefault="00AA0C50" w:rsidP="00AA0C50">
            <w:pPr>
              <w:spacing w:after="0"/>
              <w:ind w:firstLine="0"/>
              <w:jc w:val="center"/>
              <w:rPr>
                <w:sz w:val="20"/>
                <w:vertAlign w:val="superscript"/>
                <w:lang w:eastAsia="lv-LV"/>
              </w:rPr>
            </w:pPr>
            <w:r>
              <w:rPr>
                <w:sz w:val="20"/>
                <w:lang w:eastAsia="lv-LV"/>
              </w:rPr>
              <w:t>P</w:t>
            </w:r>
            <w:r w:rsidR="007870D7" w:rsidRPr="00FE002D">
              <w:rPr>
                <w:sz w:val="20"/>
                <w:lang w:eastAsia="lv-LV"/>
              </w:rPr>
              <w:t>lāns</w:t>
            </w:r>
            <w:r w:rsidRPr="00AA0C50">
              <w:rPr>
                <w:sz w:val="20"/>
                <w:vertAlign w:val="superscript"/>
                <w:lang w:eastAsia="lv-LV"/>
              </w:rPr>
              <w:t>1</w:t>
            </w:r>
          </w:p>
        </w:tc>
      </w:tr>
      <w:tr w:rsidR="007870D7" w:rsidRPr="00FE002D" w:rsidTr="008671DD">
        <w:trPr>
          <w:trHeight w:val="40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left"/>
              <w:rPr>
                <w:b/>
                <w:bCs/>
                <w:sz w:val="20"/>
                <w:lang w:eastAsia="lv-LV"/>
              </w:rPr>
            </w:pPr>
            <w:r w:rsidRPr="00FE002D">
              <w:rPr>
                <w:b/>
                <w:bCs/>
                <w:sz w:val="20"/>
                <w:lang w:eastAsia="lv-LV"/>
              </w:rPr>
              <w:t>Nodokļu ieņēmumi</w:t>
            </w:r>
            <w:r w:rsidRPr="00FE002D">
              <w:rPr>
                <w:sz w:val="20"/>
                <w:lang w:eastAsia="lv-LV"/>
              </w:rPr>
              <w:t>, t. sk.</w:t>
            </w:r>
          </w:p>
        </w:tc>
        <w:tc>
          <w:tcPr>
            <w:tcW w:w="155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7 419,6</w:t>
            </w:r>
          </w:p>
        </w:tc>
        <w:tc>
          <w:tcPr>
            <w:tcW w:w="1417"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8 015,3</w:t>
            </w:r>
          </w:p>
        </w:tc>
        <w:tc>
          <w:tcPr>
            <w:tcW w:w="1276"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8 657,7</w:t>
            </w:r>
          </w:p>
        </w:tc>
        <w:tc>
          <w:tcPr>
            <w:tcW w:w="156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304E94">
            <w:pPr>
              <w:spacing w:after="0"/>
              <w:ind w:firstLine="0"/>
              <w:jc w:val="center"/>
              <w:rPr>
                <w:b/>
                <w:bCs/>
                <w:sz w:val="20"/>
                <w:lang w:eastAsia="lv-LV"/>
              </w:rPr>
            </w:pPr>
            <w:r w:rsidRPr="00FE002D">
              <w:rPr>
                <w:b/>
                <w:bCs/>
                <w:sz w:val="20"/>
                <w:lang w:eastAsia="lv-LV"/>
              </w:rPr>
              <w:t>9 04</w:t>
            </w:r>
            <w:r w:rsidR="00304E94">
              <w:rPr>
                <w:b/>
                <w:bCs/>
                <w:sz w:val="20"/>
                <w:lang w:eastAsia="lv-LV"/>
              </w:rPr>
              <w:t>3</w:t>
            </w:r>
            <w:r w:rsidRPr="00FE002D">
              <w:rPr>
                <w:b/>
                <w:bCs/>
                <w:sz w:val="20"/>
                <w:lang w:eastAsia="lv-LV"/>
              </w:rPr>
              <w:t>,</w:t>
            </w:r>
            <w:r w:rsidR="00304E94">
              <w:rPr>
                <w:b/>
                <w:bCs/>
                <w:sz w:val="20"/>
                <w:lang w:eastAsia="lv-LV"/>
              </w:rPr>
              <w:t>7</w:t>
            </w:r>
          </w:p>
        </w:tc>
      </w:tr>
      <w:tr w:rsidR="00D87413"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D87413" w:rsidRPr="00FE002D" w:rsidRDefault="00D87413" w:rsidP="00AA0C50">
            <w:pPr>
              <w:spacing w:after="0"/>
              <w:ind w:firstLine="0"/>
              <w:jc w:val="left"/>
              <w:rPr>
                <w:sz w:val="20"/>
                <w:lang w:eastAsia="lv-LV"/>
              </w:rPr>
            </w:pPr>
            <w:r w:rsidRPr="00FE002D">
              <w:rPr>
                <w:sz w:val="20"/>
                <w:lang w:eastAsia="lv-LV"/>
              </w:rPr>
              <w:t>Tiešie nodokļi</w:t>
            </w:r>
            <w:r w:rsidR="00AA0C50">
              <w:rPr>
                <w:sz w:val="20"/>
                <w:vertAlign w:val="superscript"/>
                <w:lang w:eastAsia="lv-LV"/>
              </w:rPr>
              <w:t>2</w:t>
            </w:r>
          </w:p>
        </w:tc>
        <w:tc>
          <w:tcPr>
            <w:tcW w:w="1559"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4 299,0</w:t>
            </w:r>
          </w:p>
        </w:tc>
        <w:tc>
          <w:tcPr>
            <w:tcW w:w="1417"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4 664,7</w:t>
            </w:r>
          </w:p>
        </w:tc>
        <w:tc>
          <w:tcPr>
            <w:tcW w:w="1276"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4 918,2</w:t>
            </w:r>
          </w:p>
        </w:tc>
        <w:tc>
          <w:tcPr>
            <w:tcW w:w="1569" w:type="dxa"/>
            <w:tcBorders>
              <w:top w:val="nil"/>
              <w:left w:val="nil"/>
              <w:bottom w:val="single" w:sz="4" w:space="0" w:color="auto"/>
              <w:right w:val="single" w:sz="4" w:space="0" w:color="auto"/>
            </w:tcBorders>
            <w:shd w:val="clear" w:color="auto" w:fill="auto"/>
            <w:hideMark/>
          </w:tcPr>
          <w:p w:rsidR="00D87413" w:rsidRPr="00D87413" w:rsidRDefault="00D87413" w:rsidP="00D87413">
            <w:pPr>
              <w:ind w:firstLine="0"/>
              <w:jc w:val="center"/>
              <w:rPr>
                <w:sz w:val="20"/>
              </w:rPr>
            </w:pPr>
            <w:r>
              <w:rPr>
                <w:sz w:val="20"/>
              </w:rPr>
              <w:t xml:space="preserve">5 </w:t>
            </w:r>
            <w:r w:rsidRPr="00D87413">
              <w:rPr>
                <w:sz w:val="20"/>
              </w:rPr>
              <w:t>002,3</w:t>
            </w:r>
          </w:p>
        </w:tc>
      </w:tr>
      <w:tr w:rsidR="00D87413"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left"/>
              <w:rPr>
                <w:sz w:val="20"/>
                <w:lang w:eastAsia="lv-LV"/>
              </w:rPr>
            </w:pPr>
            <w:r w:rsidRPr="00FE002D">
              <w:rPr>
                <w:sz w:val="20"/>
                <w:lang w:eastAsia="lv-LV"/>
              </w:rPr>
              <w:t>Netiešie nodokļi</w:t>
            </w:r>
          </w:p>
        </w:tc>
        <w:tc>
          <w:tcPr>
            <w:tcW w:w="1559"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3 039,1</w:t>
            </w:r>
          </w:p>
        </w:tc>
        <w:tc>
          <w:tcPr>
            <w:tcW w:w="1417"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3 257,5</w:t>
            </w:r>
          </w:p>
        </w:tc>
        <w:tc>
          <w:tcPr>
            <w:tcW w:w="1276"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3 659,8</w:t>
            </w:r>
          </w:p>
        </w:tc>
        <w:tc>
          <w:tcPr>
            <w:tcW w:w="1569" w:type="dxa"/>
            <w:tcBorders>
              <w:top w:val="nil"/>
              <w:left w:val="nil"/>
              <w:bottom w:val="single" w:sz="4" w:space="0" w:color="auto"/>
              <w:right w:val="single" w:sz="4" w:space="0" w:color="auto"/>
            </w:tcBorders>
            <w:shd w:val="clear" w:color="auto" w:fill="auto"/>
            <w:hideMark/>
          </w:tcPr>
          <w:p w:rsidR="00D87413" w:rsidRPr="00D87413" w:rsidRDefault="00D87413" w:rsidP="00D87413">
            <w:pPr>
              <w:ind w:firstLine="0"/>
              <w:jc w:val="center"/>
              <w:rPr>
                <w:sz w:val="20"/>
              </w:rPr>
            </w:pPr>
            <w:r>
              <w:rPr>
                <w:sz w:val="20"/>
              </w:rPr>
              <w:t xml:space="preserve">3 </w:t>
            </w:r>
            <w:r w:rsidRPr="00D87413">
              <w:rPr>
                <w:sz w:val="20"/>
              </w:rPr>
              <w:t>954,8</w:t>
            </w:r>
          </w:p>
        </w:tc>
      </w:tr>
      <w:tr w:rsidR="00D87413"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left"/>
              <w:rPr>
                <w:sz w:val="20"/>
                <w:lang w:eastAsia="lv-LV"/>
              </w:rPr>
            </w:pPr>
            <w:r w:rsidRPr="00FE002D">
              <w:rPr>
                <w:sz w:val="20"/>
                <w:lang w:eastAsia="lv-LV"/>
              </w:rPr>
              <w:t>Pārējie nodokļi</w:t>
            </w:r>
          </w:p>
        </w:tc>
        <w:tc>
          <w:tcPr>
            <w:tcW w:w="1559"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81,5</w:t>
            </w:r>
          </w:p>
        </w:tc>
        <w:tc>
          <w:tcPr>
            <w:tcW w:w="1417"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93,0</w:t>
            </w:r>
          </w:p>
        </w:tc>
        <w:tc>
          <w:tcPr>
            <w:tcW w:w="1276" w:type="dxa"/>
            <w:tcBorders>
              <w:top w:val="nil"/>
              <w:left w:val="nil"/>
              <w:bottom w:val="single" w:sz="4" w:space="0" w:color="auto"/>
              <w:right w:val="single" w:sz="4" w:space="0" w:color="auto"/>
            </w:tcBorders>
            <w:shd w:val="clear" w:color="auto" w:fill="auto"/>
            <w:vAlign w:val="center"/>
            <w:hideMark/>
          </w:tcPr>
          <w:p w:rsidR="00D87413" w:rsidRPr="00FE002D" w:rsidRDefault="00D87413" w:rsidP="00D87413">
            <w:pPr>
              <w:spacing w:after="0"/>
              <w:ind w:firstLine="0"/>
              <w:jc w:val="center"/>
              <w:rPr>
                <w:sz w:val="20"/>
                <w:lang w:eastAsia="lv-LV"/>
              </w:rPr>
            </w:pPr>
            <w:r w:rsidRPr="00FE002D">
              <w:rPr>
                <w:sz w:val="20"/>
                <w:lang w:eastAsia="lv-LV"/>
              </w:rPr>
              <w:t>79,8</w:t>
            </w:r>
          </w:p>
        </w:tc>
        <w:tc>
          <w:tcPr>
            <w:tcW w:w="1569" w:type="dxa"/>
            <w:tcBorders>
              <w:top w:val="nil"/>
              <w:left w:val="nil"/>
              <w:bottom w:val="single" w:sz="4" w:space="0" w:color="auto"/>
              <w:right w:val="single" w:sz="4" w:space="0" w:color="auto"/>
            </w:tcBorders>
            <w:shd w:val="clear" w:color="auto" w:fill="auto"/>
            <w:hideMark/>
          </w:tcPr>
          <w:p w:rsidR="00D87413" w:rsidRPr="00D87413" w:rsidRDefault="00D87413" w:rsidP="00D87413">
            <w:pPr>
              <w:ind w:firstLine="0"/>
              <w:jc w:val="center"/>
              <w:rPr>
                <w:sz w:val="20"/>
              </w:rPr>
            </w:pPr>
            <w:r w:rsidRPr="00D87413">
              <w:rPr>
                <w:sz w:val="20"/>
              </w:rPr>
              <w:t>86,5</w:t>
            </w:r>
          </w:p>
        </w:tc>
      </w:tr>
    </w:tbl>
    <w:p w:rsidR="007870D7" w:rsidRPr="00FE002D" w:rsidRDefault="00AA0C50" w:rsidP="007870D7">
      <w:pPr>
        <w:spacing w:before="40" w:after="0"/>
        <w:ind w:hanging="11"/>
        <w:jc w:val="left"/>
        <w:rPr>
          <w:sz w:val="18"/>
          <w:szCs w:val="18"/>
        </w:rPr>
      </w:pPr>
      <w:r w:rsidRPr="00AA0C50">
        <w:rPr>
          <w:sz w:val="18"/>
          <w:szCs w:val="18"/>
          <w:vertAlign w:val="superscript"/>
        </w:rPr>
        <w:t>1</w:t>
      </w:r>
      <w:r w:rsidR="001067C7">
        <w:rPr>
          <w:sz w:val="18"/>
          <w:szCs w:val="18"/>
        </w:rPr>
        <w:t>saskaņā ar likum</w:t>
      </w:r>
      <w:r w:rsidR="007870D7">
        <w:rPr>
          <w:sz w:val="18"/>
          <w:szCs w:val="18"/>
        </w:rPr>
        <w:t>u</w:t>
      </w:r>
      <w:r w:rsidR="007870D7" w:rsidRPr="00FE002D">
        <w:rPr>
          <w:sz w:val="18"/>
          <w:szCs w:val="18"/>
        </w:rPr>
        <w:t xml:space="preserve">  „Par valsts budžetu 2019.gadam” – turpmāk 2019.gada plāns</w:t>
      </w:r>
    </w:p>
    <w:p w:rsidR="007870D7" w:rsidRPr="00FE002D" w:rsidRDefault="00AA0C50" w:rsidP="007870D7">
      <w:pPr>
        <w:spacing w:before="40" w:after="0"/>
        <w:ind w:hanging="11"/>
        <w:jc w:val="left"/>
        <w:rPr>
          <w:sz w:val="18"/>
          <w:szCs w:val="18"/>
        </w:rPr>
      </w:pPr>
      <w:r w:rsidRPr="00AA0C50">
        <w:rPr>
          <w:sz w:val="16"/>
          <w:szCs w:val="18"/>
          <w:vertAlign w:val="superscript"/>
        </w:rPr>
        <w:t>2</w:t>
      </w:r>
      <w:r w:rsidR="007870D7" w:rsidRPr="00FE002D">
        <w:rPr>
          <w:sz w:val="18"/>
          <w:szCs w:val="18"/>
        </w:rPr>
        <w:t>2016.gadā tika ieviests Solidaritātes nodoklis, 2018.gadā Veselības aprūpes maksājums</w:t>
      </w:r>
    </w:p>
    <w:p w:rsidR="007870D7" w:rsidRPr="00B22DC7" w:rsidRDefault="007870D7" w:rsidP="007870D7">
      <w:pPr>
        <w:spacing w:after="0"/>
        <w:ind w:firstLine="0"/>
        <w:jc w:val="left"/>
        <w:rPr>
          <w:sz w:val="20"/>
        </w:rPr>
      </w:pPr>
    </w:p>
    <w:p w:rsidR="007870D7" w:rsidRPr="00FE002D" w:rsidRDefault="007870D7" w:rsidP="007870D7">
      <w:pPr>
        <w:pStyle w:val="T"/>
      </w:pPr>
      <w:r w:rsidRPr="00FE002D">
        <w:t>3.2. tabula. Kopbudžeta nodokļu ieņēmumi, % no IKP</w:t>
      </w:r>
    </w:p>
    <w:tbl>
      <w:tblPr>
        <w:tblW w:w="9077" w:type="dxa"/>
        <w:jc w:val="center"/>
        <w:tblLook w:val="04A0" w:firstRow="1" w:lastRow="0" w:firstColumn="1" w:lastColumn="0" w:noHBand="0" w:noVBand="1"/>
      </w:tblPr>
      <w:tblGrid>
        <w:gridCol w:w="3256"/>
        <w:gridCol w:w="1559"/>
        <w:gridCol w:w="1417"/>
        <w:gridCol w:w="1276"/>
        <w:gridCol w:w="1569"/>
      </w:tblGrid>
      <w:tr w:rsidR="007870D7" w:rsidRPr="00FE002D" w:rsidTr="008671DD">
        <w:trPr>
          <w:trHeight w:val="255"/>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 </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2016</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2017</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2018</w:t>
            </w:r>
          </w:p>
        </w:tc>
        <w:tc>
          <w:tcPr>
            <w:tcW w:w="156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2019</w:t>
            </w:r>
          </w:p>
        </w:tc>
      </w:tr>
      <w:tr w:rsidR="007870D7" w:rsidRPr="00FE002D" w:rsidTr="008671DD">
        <w:trPr>
          <w:trHeight w:val="86"/>
          <w:jc w:val="center"/>
        </w:trPr>
        <w:tc>
          <w:tcPr>
            <w:tcW w:w="325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left"/>
              <w:rPr>
                <w:b/>
                <w:bCs/>
                <w:sz w:val="20"/>
                <w:lang w:eastAsia="lv-LV"/>
              </w:rPr>
            </w:pPr>
          </w:p>
        </w:tc>
        <w:tc>
          <w:tcPr>
            <w:tcW w:w="425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sz w:val="20"/>
                <w:lang w:eastAsia="lv-LV"/>
              </w:rPr>
            </w:pPr>
            <w:r w:rsidRPr="00FE002D">
              <w:rPr>
                <w:sz w:val="20"/>
                <w:lang w:eastAsia="lv-LV"/>
              </w:rPr>
              <w:t>fakts</w:t>
            </w:r>
          </w:p>
        </w:tc>
        <w:tc>
          <w:tcPr>
            <w:tcW w:w="1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870D7" w:rsidRPr="00FE002D" w:rsidRDefault="007870D7" w:rsidP="007870D7">
            <w:pPr>
              <w:spacing w:after="0"/>
              <w:ind w:firstLine="0"/>
              <w:jc w:val="center"/>
              <w:rPr>
                <w:sz w:val="20"/>
                <w:lang w:eastAsia="lv-LV"/>
              </w:rPr>
            </w:pPr>
            <w:r w:rsidRPr="00FE002D">
              <w:rPr>
                <w:sz w:val="20"/>
                <w:lang w:eastAsia="lv-LV"/>
              </w:rPr>
              <w:t>plāns</w:t>
            </w:r>
          </w:p>
        </w:tc>
      </w:tr>
      <w:tr w:rsidR="007870D7" w:rsidRPr="00FE002D" w:rsidTr="008671DD">
        <w:trPr>
          <w:trHeight w:val="40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left"/>
              <w:rPr>
                <w:b/>
                <w:bCs/>
                <w:sz w:val="20"/>
                <w:lang w:eastAsia="lv-LV"/>
              </w:rPr>
            </w:pPr>
            <w:r w:rsidRPr="00FE002D">
              <w:rPr>
                <w:b/>
                <w:bCs/>
                <w:sz w:val="20"/>
                <w:lang w:eastAsia="lv-LV"/>
              </w:rPr>
              <w:t>Nodokļu ieņēmumi</w:t>
            </w:r>
            <w:r w:rsidRPr="00FE002D">
              <w:rPr>
                <w:sz w:val="20"/>
                <w:lang w:eastAsia="lv-LV"/>
              </w:rPr>
              <w:t>, t. sk.</w:t>
            </w:r>
          </w:p>
        </w:tc>
        <w:tc>
          <w:tcPr>
            <w:tcW w:w="155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29,6%</w:t>
            </w:r>
          </w:p>
        </w:tc>
        <w:tc>
          <w:tcPr>
            <w:tcW w:w="1417"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29,6%</w:t>
            </w:r>
          </w:p>
        </w:tc>
        <w:tc>
          <w:tcPr>
            <w:tcW w:w="1276"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29,8%</w:t>
            </w:r>
          </w:p>
        </w:tc>
        <w:tc>
          <w:tcPr>
            <w:tcW w:w="156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b/>
                <w:bCs/>
                <w:sz w:val="20"/>
                <w:lang w:eastAsia="lv-LV"/>
              </w:rPr>
            </w:pPr>
            <w:r w:rsidRPr="00FE002D">
              <w:rPr>
                <w:b/>
                <w:bCs/>
                <w:sz w:val="20"/>
                <w:lang w:eastAsia="lv-LV"/>
              </w:rPr>
              <w:t>29,3%</w:t>
            </w:r>
          </w:p>
        </w:tc>
      </w:tr>
      <w:tr w:rsidR="007870D7"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7870D7" w:rsidRPr="00FE002D" w:rsidRDefault="007870D7" w:rsidP="00AA0C50">
            <w:pPr>
              <w:spacing w:after="0"/>
              <w:ind w:firstLine="0"/>
              <w:jc w:val="left"/>
              <w:rPr>
                <w:sz w:val="20"/>
                <w:lang w:eastAsia="lv-LV"/>
              </w:rPr>
            </w:pPr>
            <w:r w:rsidRPr="00FE002D">
              <w:rPr>
                <w:sz w:val="20"/>
                <w:lang w:eastAsia="lv-LV"/>
              </w:rPr>
              <w:t>Tiešie nodokļi</w:t>
            </w:r>
            <w:r w:rsidR="00AA0C50" w:rsidRPr="00AA0C50">
              <w:rPr>
                <w:sz w:val="20"/>
                <w:vertAlign w:val="superscript"/>
                <w:lang w:eastAsia="lv-LV"/>
              </w:rPr>
              <w:t>3</w:t>
            </w:r>
          </w:p>
        </w:tc>
        <w:tc>
          <w:tcPr>
            <w:tcW w:w="155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17,2%</w:t>
            </w:r>
          </w:p>
        </w:tc>
        <w:tc>
          <w:tcPr>
            <w:tcW w:w="1417"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17,3%</w:t>
            </w:r>
          </w:p>
        </w:tc>
        <w:tc>
          <w:tcPr>
            <w:tcW w:w="1276"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16,9%</w:t>
            </w:r>
          </w:p>
        </w:tc>
        <w:tc>
          <w:tcPr>
            <w:tcW w:w="156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16,2%</w:t>
            </w:r>
          </w:p>
        </w:tc>
      </w:tr>
      <w:tr w:rsidR="007870D7"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left"/>
              <w:rPr>
                <w:sz w:val="20"/>
                <w:lang w:eastAsia="lv-LV"/>
              </w:rPr>
            </w:pPr>
            <w:r w:rsidRPr="00FE002D">
              <w:rPr>
                <w:sz w:val="20"/>
                <w:lang w:eastAsia="lv-LV"/>
              </w:rPr>
              <w:t>Netiešie nodokļi</w:t>
            </w:r>
          </w:p>
        </w:tc>
        <w:tc>
          <w:tcPr>
            <w:tcW w:w="155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12,1%</w:t>
            </w:r>
          </w:p>
        </w:tc>
        <w:tc>
          <w:tcPr>
            <w:tcW w:w="1417"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12,1%</w:t>
            </w:r>
          </w:p>
        </w:tc>
        <w:tc>
          <w:tcPr>
            <w:tcW w:w="1276"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12,6%</w:t>
            </w:r>
          </w:p>
        </w:tc>
        <w:tc>
          <w:tcPr>
            <w:tcW w:w="156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12,8%</w:t>
            </w:r>
          </w:p>
        </w:tc>
      </w:tr>
      <w:tr w:rsidR="007870D7" w:rsidRPr="00FE002D" w:rsidTr="008671DD">
        <w:trPr>
          <w:trHeight w:val="2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left"/>
              <w:rPr>
                <w:sz w:val="20"/>
                <w:lang w:eastAsia="lv-LV"/>
              </w:rPr>
            </w:pPr>
            <w:r w:rsidRPr="00FE002D">
              <w:rPr>
                <w:sz w:val="20"/>
                <w:lang w:eastAsia="lv-LV"/>
              </w:rPr>
              <w:t>Pārējie nodokļi</w:t>
            </w:r>
          </w:p>
        </w:tc>
        <w:tc>
          <w:tcPr>
            <w:tcW w:w="155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0,3%</w:t>
            </w:r>
          </w:p>
        </w:tc>
        <w:tc>
          <w:tcPr>
            <w:tcW w:w="1417"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0,3%</w:t>
            </w:r>
          </w:p>
        </w:tc>
        <w:tc>
          <w:tcPr>
            <w:tcW w:w="1276"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0,3%</w:t>
            </w:r>
          </w:p>
        </w:tc>
        <w:tc>
          <w:tcPr>
            <w:tcW w:w="1569" w:type="dxa"/>
            <w:tcBorders>
              <w:top w:val="nil"/>
              <w:left w:val="nil"/>
              <w:bottom w:val="single" w:sz="4" w:space="0" w:color="auto"/>
              <w:right w:val="single" w:sz="4" w:space="0" w:color="auto"/>
            </w:tcBorders>
            <w:shd w:val="clear" w:color="auto" w:fill="auto"/>
            <w:vAlign w:val="center"/>
            <w:hideMark/>
          </w:tcPr>
          <w:p w:rsidR="007870D7" w:rsidRPr="00FE002D" w:rsidRDefault="007870D7" w:rsidP="007870D7">
            <w:pPr>
              <w:spacing w:after="0"/>
              <w:ind w:firstLine="0"/>
              <w:jc w:val="center"/>
              <w:rPr>
                <w:sz w:val="20"/>
                <w:lang w:eastAsia="lv-LV"/>
              </w:rPr>
            </w:pPr>
            <w:r w:rsidRPr="00FE002D">
              <w:rPr>
                <w:sz w:val="20"/>
                <w:lang w:eastAsia="lv-LV"/>
              </w:rPr>
              <w:t>0,3%</w:t>
            </w:r>
          </w:p>
        </w:tc>
      </w:tr>
    </w:tbl>
    <w:p w:rsidR="007870D7" w:rsidRPr="00FE002D" w:rsidRDefault="00AA0C50" w:rsidP="007870D7">
      <w:pPr>
        <w:spacing w:before="40" w:after="0"/>
        <w:ind w:firstLine="0"/>
        <w:jc w:val="left"/>
        <w:rPr>
          <w:sz w:val="18"/>
          <w:szCs w:val="18"/>
        </w:rPr>
      </w:pPr>
      <w:r w:rsidRPr="00AA0C50">
        <w:rPr>
          <w:sz w:val="18"/>
          <w:szCs w:val="18"/>
          <w:vertAlign w:val="superscript"/>
        </w:rPr>
        <w:t>3</w:t>
      </w:r>
      <w:r w:rsidR="007870D7" w:rsidRPr="00FE002D">
        <w:rPr>
          <w:sz w:val="18"/>
          <w:szCs w:val="18"/>
        </w:rPr>
        <w:t>2016.gadā tika ieviests Solidaritātes nodoklis, 2018.gadā Veselības aprūpes maksājums</w:t>
      </w:r>
    </w:p>
    <w:p w:rsidR="00D172CB" w:rsidRDefault="00D172CB" w:rsidP="00D172CB">
      <w:pPr>
        <w:spacing w:after="0"/>
        <w:ind w:firstLine="0"/>
        <w:jc w:val="left"/>
        <w:rPr>
          <w:sz w:val="18"/>
          <w:szCs w:val="18"/>
        </w:rPr>
      </w:pPr>
    </w:p>
    <w:p w:rsidR="007870D7" w:rsidRDefault="007870D7" w:rsidP="00D172CB">
      <w:pPr>
        <w:spacing w:after="0"/>
        <w:ind w:firstLine="0"/>
        <w:jc w:val="left"/>
        <w:rPr>
          <w:sz w:val="18"/>
          <w:szCs w:val="18"/>
        </w:rPr>
      </w:pPr>
    </w:p>
    <w:p w:rsidR="007870D7" w:rsidRDefault="007870D7" w:rsidP="00D172CB">
      <w:pPr>
        <w:spacing w:after="0"/>
        <w:ind w:firstLine="0"/>
        <w:jc w:val="left"/>
        <w:rPr>
          <w:sz w:val="18"/>
          <w:szCs w:val="18"/>
        </w:rPr>
      </w:pPr>
    </w:p>
    <w:p w:rsidR="007870D7" w:rsidRDefault="007870D7" w:rsidP="00D172CB">
      <w:pPr>
        <w:spacing w:after="0"/>
        <w:ind w:firstLine="0"/>
        <w:jc w:val="left"/>
        <w:rPr>
          <w:sz w:val="18"/>
          <w:szCs w:val="18"/>
        </w:rPr>
      </w:pPr>
    </w:p>
    <w:p w:rsidR="007870D7" w:rsidRDefault="007870D7" w:rsidP="00D172CB">
      <w:pPr>
        <w:spacing w:after="0"/>
        <w:ind w:firstLine="0"/>
        <w:jc w:val="left"/>
        <w:rPr>
          <w:sz w:val="18"/>
          <w:szCs w:val="18"/>
        </w:rPr>
      </w:pPr>
    </w:p>
    <w:p w:rsidR="00D172CB" w:rsidRPr="00D172CB" w:rsidRDefault="00D172CB" w:rsidP="00D172CB">
      <w:pPr>
        <w:spacing w:after="0"/>
        <w:ind w:firstLine="0"/>
        <w:jc w:val="left"/>
        <w:rPr>
          <w:sz w:val="18"/>
          <w:szCs w:val="18"/>
        </w:rPr>
      </w:pPr>
    </w:p>
    <w:p w:rsidR="003613E3" w:rsidRDefault="003613E3" w:rsidP="004E1EF0">
      <w:pPr>
        <w:pStyle w:val="H3"/>
      </w:pPr>
      <w:bookmarkStart w:id="5" w:name="_Toc150840174"/>
      <w:bookmarkStart w:id="6" w:name="_Toc150941364"/>
      <w:bookmarkStart w:id="7" w:name="_Toc40591664"/>
      <w:r w:rsidRPr="00221972">
        <w:lastRenderedPageBreak/>
        <w:t>3.</w:t>
      </w:r>
      <w:r w:rsidR="00BE4104">
        <w:t>2</w:t>
      </w:r>
      <w:r w:rsidRPr="00221972">
        <w:t>.1. Tiešie nodokļi</w:t>
      </w:r>
    </w:p>
    <w:p w:rsidR="00D172CB" w:rsidRPr="00D172CB" w:rsidRDefault="00D172CB" w:rsidP="00D172CB">
      <w:pPr>
        <w:pStyle w:val="cipari"/>
      </w:pPr>
    </w:p>
    <w:p w:rsidR="007870D7" w:rsidRPr="008B6FC5" w:rsidRDefault="007870D7" w:rsidP="007870D7">
      <w:r w:rsidRPr="008B6FC5">
        <w:t>Lielāko daļu no tiešo nodokļu ieņēmumiem veido valsts sociālās apdrošināšanas iemaksas un iedzīvotāju ienākuma nodokļa ieņēmumi.</w:t>
      </w:r>
    </w:p>
    <w:p w:rsidR="007870D7" w:rsidRPr="00B22DC7" w:rsidRDefault="007870D7" w:rsidP="007870D7">
      <w:pPr>
        <w:ind w:firstLine="142"/>
      </w:pPr>
    </w:p>
    <w:p w:rsidR="007870D7" w:rsidRPr="00B22DC7" w:rsidRDefault="007870D7" w:rsidP="007870D7">
      <w:pPr>
        <w:ind w:firstLine="0"/>
        <w:jc w:val="center"/>
        <w:rPr>
          <w:b/>
          <w:i/>
        </w:rPr>
      </w:pPr>
      <w:r>
        <w:rPr>
          <w:noProof/>
          <w:lang w:eastAsia="lv-LV"/>
        </w:rPr>
        <w:drawing>
          <wp:inline distT="0" distB="0" distL="0" distR="0" wp14:anchorId="5E68A709" wp14:editId="6FDCF1AA">
            <wp:extent cx="5460521" cy="3273252"/>
            <wp:effectExtent l="19050" t="19050" r="26035" b="228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663" t="31152" r="22859" b="17553"/>
                    <a:stretch/>
                  </pic:blipFill>
                  <pic:spPr bwMode="auto">
                    <a:xfrm>
                      <a:off x="0" y="0"/>
                      <a:ext cx="5500741" cy="3297361"/>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rsidR="007870D7" w:rsidRPr="0065219D" w:rsidRDefault="007870D7" w:rsidP="007870D7">
      <w:pPr>
        <w:ind w:firstLine="0"/>
        <w:jc w:val="center"/>
        <w:rPr>
          <w:b/>
          <w:i/>
        </w:rPr>
      </w:pPr>
      <w:r w:rsidRPr="0065219D">
        <w:rPr>
          <w:b/>
          <w:i/>
        </w:rPr>
        <w:t>3.1. att. Tiešo nodokļu ieņēmumi, % no iekšzemes kopprodukta</w:t>
      </w:r>
    </w:p>
    <w:p w:rsidR="007870D7" w:rsidRPr="0065219D" w:rsidRDefault="007870D7" w:rsidP="007870D7">
      <w:pPr>
        <w:spacing w:before="240"/>
      </w:pPr>
      <w:r w:rsidRPr="0065219D">
        <w:t xml:space="preserve">2018.gada </w:t>
      </w:r>
      <w:r>
        <w:t>tiešo nodokļu ieņēmumu</w:t>
      </w:r>
      <w:r w:rsidRPr="0065219D">
        <w:t xml:space="preserve"> īpatsvars iekšzemes kopproduktā ir 16,9%, savukārt 2019.gadā tiek plānots, ka to īpatsvars samazināsies par 0,7 procentpunktiem.</w:t>
      </w:r>
      <w:r>
        <w:t xml:space="preserve"> Īpatsvara samazinājumu iekšzemes kopproduktā ietekmēs iedzīvotāju ienākuma nodokļa un uzņēmuma ienākuma nodokļa ieņēmumu īpatsvara samazinājums (attiecīgi par 0,</w:t>
      </w:r>
      <w:r w:rsidR="00D87413">
        <w:t>4</w:t>
      </w:r>
      <w:r>
        <w:t xml:space="preserve"> un 0,</w:t>
      </w:r>
      <w:r w:rsidR="00D87413">
        <w:t>3</w:t>
      </w:r>
      <w:r>
        <w:t xml:space="preserve"> procentpunktiem), ko lielākoties ietekmēs </w:t>
      </w:r>
      <w:r w:rsidRPr="00A968D0">
        <w:rPr>
          <w:i/>
          <w:szCs w:val="28"/>
          <w:lang w:eastAsia="lv-LV"/>
        </w:rPr>
        <w:t>Valsts nodokļu politikas pamatnostādņu 2018. – 2021.gadam</w:t>
      </w:r>
      <w:r w:rsidRPr="00A968D0">
        <w:rPr>
          <w:szCs w:val="28"/>
          <w:lang w:eastAsia="lv-LV"/>
        </w:rPr>
        <w:t xml:space="preserve"> apstiprinātie </w:t>
      </w:r>
      <w:r w:rsidRPr="00A968D0">
        <w:rPr>
          <w:noProof/>
          <w:lang w:eastAsia="lv-LV"/>
        </w:rPr>
        <w:t>nodokļu reformas pasākumi</w:t>
      </w:r>
      <w:r>
        <w:rPr>
          <w:noProof/>
          <w:lang w:eastAsia="lv-LV"/>
        </w:rPr>
        <w:t>, kas vērsti uz darbaspēka nodokļu sloga pārnešanu uz patēriņa nodokļiem.</w:t>
      </w:r>
    </w:p>
    <w:p w:rsidR="007870D7" w:rsidRPr="00B22DC7" w:rsidRDefault="007870D7" w:rsidP="007870D7">
      <w:pPr>
        <w:spacing w:after="0"/>
      </w:pPr>
    </w:p>
    <w:p w:rsidR="007870D7" w:rsidRPr="004F1BD4" w:rsidRDefault="007870D7" w:rsidP="007870D7">
      <w:pPr>
        <w:ind w:firstLine="0"/>
        <w:jc w:val="center"/>
        <w:outlineLvl w:val="3"/>
        <w:rPr>
          <w:b/>
          <w:sz w:val="28"/>
        </w:rPr>
      </w:pPr>
      <w:bookmarkStart w:id="8" w:name="_Toc150840171"/>
      <w:bookmarkStart w:id="9" w:name="_Toc150941361"/>
      <w:r w:rsidRPr="004F1BD4">
        <w:rPr>
          <w:b/>
          <w:sz w:val="28"/>
        </w:rPr>
        <w:t>Iedzīvotāju ienākuma nodoklis</w:t>
      </w:r>
      <w:bookmarkEnd w:id="8"/>
      <w:bookmarkEnd w:id="9"/>
    </w:p>
    <w:p w:rsidR="007870D7" w:rsidRPr="00B22DC7" w:rsidRDefault="007870D7" w:rsidP="007870D7">
      <w:pPr>
        <w:pStyle w:val="cipari"/>
        <w:spacing w:after="0"/>
      </w:pPr>
    </w:p>
    <w:p w:rsidR="007870D7" w:rsidRPr="004F1BD4" w:rsidRDefault="007870D7" w:rsidP="007870D7">
      <w:pPr>
        <w:ind w:firstLine="720"/>
      </w:pPr>
      <w:bookmarkStart w:id="10" w:name="_Toc150840172"/>
      <w:bookmarkStart w:id="11" w:name="_Toc150941362"/>
      <w:bookmarkStart w:id="12" w:name="_Toc150840170"/>
      <w:bookmarkStart w:id="13" w:name="_Toc150941360"/>
      <w:r w:rsidRPr="004F1BD4">
        <w:t>Iedzīvotāju ienākuma nodokļa ieņēmumus galvenokārt ietekmē tautsaimniecībā nodarbināto skaits, nodarbināto ienākumi, ar iedzīvotāju ienākuma nodokli neapliekamā minimuma un atvieglojumu apmērs, kā arī minimālā darba alga.</w:t>
      </w:r>
    </w:p>
    <w:p w:rsidR="007870D7" w:rsidRPr="004F1BD4" w:rsidRDefault="007870D7" w:rsidP="007870D7">
      <w:r w:rsidRPr="004F1BD4">
        <w:t>Kopējie iedzīvotāju ienākuma nodokļa ieņēmumi 2018.gadā bija 1 728,4 milj. </w:t>
      </w:r>
      <w:proofErr w:type="spellStart"/>
      <w:r w:rsidRPr="004F1BD4">
        <w:rPr>
          <w:i/>
          <w:szCs w:val="24"/>
        </w:rPr>
        <w:t>euro</w:t>
      </w:r>
      <w:proofErr w:type="spellEnd"/>
      <w:r w:rsidRPr="004F1BD4">
        <w:t xml:space="preserve">, </w:t>
      </w:r>
      <w:r>
        <w:rPr>
          <w:szCs w:val="24"/>
        </w:rPr>
        <w:t xml:space="preserve">kas </w:t>
      </w:r>
      <w:r>
        <w:t>s</w:t>
      </w:r>
      <w:r w:rsidRPr="004F1BD4">
        <w:t>alīdzinājumā ar 2017.gadu i</w:t>
      </w:r>
      <w:r>
        <w:t>r</w:t>
      </w:r>
      <w:r w:rsidRPr="004F1BD4">
        <w:t xml:space="preserve"> palielinājušies par 36,2 milj. </w:t>
      </w:r>
      <w:proofErr w:type="spellStart"/>
      <w:r w:rsidRPr="004F1BD4">
        <w:rPr>
          <w:i/>
        </w:rPr>
        <w:t>euro</w:t>
      </w:r>
      <w:proofErr w:type="spellEnd"/>
      <w:r w:rsidRPr="004F1BD4">
        <w:t xml:space="preserve"> jeb 2,1 procentu. Valsts pamatbudžetā </w:t>
      </w:r>
      <w:r>
        <w:t xml:space="preserve">nodoklis </w:t>
      </w:r>
      <w:r w:rsidRPr="004F1BD4">
        <w:t>iekasēts iepriekšējā gada līmenī, savukārt pašvaldību budžetā ieņēmumi ir palielinājušies par 36,1 milj. </w:t>
      </w:r>
      <w:proofErr w:type="spellStart"/>
      <w:r w:rsidRPr="004F1BD4">
        <w:rPr>
          <w:i/>
        </w:rPr>
        <w:t>euro</w:t>
      </w:r>
      <w:proofErr w:type="spellEnd"/>
      <w:r w:rsidRPr="004F1BD4">
        <w:t xml:space="preserve"> jeb 2,7 procentiem. </w:t>
      </w:r>
      <w:r>
        <w:t>Ieņēmumu pieaugums ir mazāks, nekā darba samaksas fonda pieaugums, jo to apmēru būtiski ietekmēja nodokļu reformas pasākumi attiecībā uz nodokļa sloga samazināšanu (progresīvās likmes, atvieglojumu un diferencētā neapliekamā minimuma apmēra pieaugums).</w:t>
      </w:r>
    </w:p>
    <w:p w:rsidR="007E3DAA" w:rsidRDefault="007E3DAA" w:rsidP="007870D7">
      <w:pPr>
        <w:ind w:firstLine="0"/>
        <w:rPr>
          <w:noProof/>
          <w:lang w:eastAsia="lv-LV"/>
        </w:rPr>
      </w:pPr>
    </w:p>
    <w:p w:rsidR="006A4EE6" w:rsidRDefault="006A4EE6" w:rsidP="007870D7">
      <w:pPr>
        <w:ind w:firstLine="0"/>
      </w:pPr>
      <w:r>
        <w:rPr>
          <w:noProof/>
          <w:lang w:eastAsia="lv-LV"/>
        </w:rPr>
        <w:lastRenderedPageBreak/>
        <w:drawing>
          <wp:inline distT="0" distB="0" distL="0" distR="0" wp14:anchorId="003A9E2C" wp14:editId="5FB9BC57">
            <wp:extent cx="5629275" cy="2343518"/>
            <wp:effectExtent l="19050" t="19050" r="952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946" t="54772" r="33525" b="19563"/>
                    <a:stretch/>
                  </pic:blipFill>
                  <pic:spPr bwMode="auto">
                    <a:xfrm>
                      <a:off x="0" y="0"/>
                      <a:ext cx="5650203" cy="235223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870D7" w:rsidRPr="000D0C81" w:rsidRDefault="007870D7" w:rsidP="007870D7">
      <w:pPr>
        <w:ind w:firstLine="0"/>
        <w:jc w:val="center"/>
        <w:rPr>
          <w:b/>
          <w:i/>
        </w:rPr>
      </w:pPr>
      <w:r w:rsidRPr="000D0C81">
        <w:rPr>
          <w:b/>
          <w:i/>
        </w:rPr>
        <w:t>3.2. att. Iedzīvotāju ienākuma nodokļa ieņēmumi sadalījumā pa mēnešiem, milj. </w:t>
      </w:r>
      <w:proofErr w:type="spellStart"/>
      <w:r w:rsidRPr="000D0C81">
        <w:rPr>
          <w:b/>
          <w:i/>
        </w:rPr>
        <w:t>euro</w:t>
      </w:r>
      <w:proofErr w:type="spellEnd"/>
    </w:p>
    <w:p w:rsidR="007870D7" w:rsidRDefault="007870D7" w:rsidP="007870D7"/>
    <w:p w:rsidR="007870D7" w:rsidRPr="004F1BD4" w:rsidRDefault="007870D7" w:rsidP="007870D7">
      <w:r w:rsidRPr="004F1BD4">
        <w:t>Pēc Centrālās statistikas pārvaldes datiem 201</w:t>
      </w:r>
      <w:r w:rsidR="006E588C">
        <w:t>8</w:t>
      </w:r>
      <w:r w:rsidRPr="004F1BD4">
        <w:t xml:space="preserve">.gada </w:t>
      </w:r>
      <w:r w:rsidR="006E588C">
        <w:t>decembrī</w:t>
      </w:r>
      <w:r w:rsidRPr="004F1BD4">
        <w:t xml:space="preserve"> strādājošo mēneša vidējā bruto darba samaksa bija </w:t>
      </w:r>
      <w:r w:rsidR="006E588C">
        <w:t>1 077</w:t>
      </w:r>
      <w:r w:rsidRPr="004F1BD4">
        <w:t xml:space="preserve"> </w:t>
      </w:r>
      <w:proofErr w:type="spellStart"/>
      <w:r w:rsidRPr="004F1BD4">
        <w:rPr>
          <w:i/>
        </w:rPr>
        <w:t>euro</w:t>
      </w:r>
      <w:proofErr w:type="spellEnd"/>
      <w:r w:rsidRPr="004F1BD4">
        <w:t xml:space="preserve"> jeb par </w:t>
      </w:r>
      <w:r w:rsidR="006E588C">
        <w:t>6,4</w:t>
      </w:r>
      <w:r w:rsidRPr="004F1BD4">
        <w:t xml:space="preserve">% lielāka nekā 2017.gada </w:t>
      </w:r>
      <w:r w:rsidR="006E588C">
        <w:t>attiecīgajā mēnesī</w:t>
      </w:r>
      <w:r w:rsidRPr="004F1BD4">
        <w:t>.</w:t>
      </w:r>
    </w:p>
    <w:p w:rsidR="007870D7" w:rsidRPr="004F1BD4" w:rsidRDefault="007870D7" w:rsidP="007870D7">
      <w:r w:rsidRPr="004F1BD4">
        <w:t>Saskaņā ar Nodarbinātības valsts aģentūras informāciju reģistrētā bezdarba līmenis 2018. gada beigās bija 6,4%, kas salīdzinājumā ar iepriekšējo gadu ir par 0,4</w:t>
      </w:r>
      <w:r>
        <w:t> </w:t>
      </w:r>
      <w:r w:rsidRPr="004F1BD4">
        <w:t xml:space="preserve">procentpunktiem mazāk. </w:t>
      </w:r>
    </w:p>
    <w:p w:rsidR="007870D7" w:rsidRDefault="007870D7" w:rsidP="007870D7">
      <w:pPr>
        <w:rPr>
          <w:szCs w:val="24"/>
        </w:rPr>
      </w:pPr>
      <w:r w:rsidRPr="00AF4C38">
        <w:rPr>
          <w:szCs w:val="24"/>
        </w:rPr>
        <w:t>Pēc informācijas iesniegtajos darba devēju ziņojumos par valsts sociālās apdrošināšanas obligātajām iemaksām un iedzīvotāju ienākuma nodokli, 2018.gada pārskata periodā ienākumus virs valstī noteiktās minimālās darba algas saņēma 74,4% darba ņēmēju un to īpatsvars, salīdzinot ar 2017.gada pārskata periodu, samazinājies par 0,2</w:t>
      </w:r>
      <w:r>
        <w:rPr>
          <w:szCs w:val="24"/>
        </w:rPr>
        <w:t> </w:t>
      </w:r>
      <w:r w:rsidRPr="00AF4C38">
        <w:rPr>
          <w:szCs w:val="24"/>
        </w:rPr>
        <w:t>procentpunktiem. Jāatzīmē, ka 2018.gadā valstī noteiktā minimālā darba alga ir 430</w:t>
      </w:r>
      <w:r>
        <w:rPr>
          <w:szCs w:val="24"/>
        </w:rPr>
        <w:t> </w:t>
      </w:r>
      <w:proofErr w:type="spellStart"/>
      <w:r w:rsidRPr="00AF4C38">
        <w:rPr>
          <w:i/>
          <w:szCs w:val="24"/>
        </w:rPr>
        <w:t>euro</w:t>
      </w:r>
      <w:proofErr w:type="spellEnd"/>
      <w:r w:rsidRPr="00AF4C38">
        <w:rPr>
          <w:szCs w:val="24"/>
        </w:rPr>
        <w:t>, savukārt 2017.gadā tā bija 380</w:t>
      </w:r>
      <w:r>
        <w:rPr>
          <w:szCs w:val="24"/>
        </w:rPr>
        <w:t> </w:t>
      </w:r>
      <w:proofErr w:type="spellStart"/>
      <w:r w:rsidRPr="00AF4C38">
        <w:rPr>
          <w:i/>
          <w:szCs w:val="24"/>
        </w:rPr>
        <w:t>euro</w:t>
      </w:r>
      <w:proofErr w:type="spellEnd"/>
      <w:r w:rsidRPr="00AF4C38">
        <w:rPr>
          <w:szCs w:val="24"/>
        </w:rPr>
        <w:t xml:space="preserve">. </w:t>
      </w:r>
    </w:p>
    <w:p w:rsidR="007870D7" w:rsidRPr="00AF4C38" w:rsidRDefault="007870D7" w:rsidP="007870D7">
      <w:pPr>
        <w:rPr>
          <w:szCs w:val="24"/>
        </w:rPr>
      </w:pPr>
      <w:r>
        <w:rPr>
          <w:szCs w:val="24"/>
        </w:rPr>
        <w:t>2018.gadā</w:t>
      </w:r>
      <w:r w:rsidRPr="00AF4C38">
        <w:rPr>
          <w:szCs w:val="24"/>
        </w:rPr>
        <w:t xml:space="preserve"> </w:t>
      </w:r>
      <w:r>
        <w:rPr>
          <w:szCs w:val="24"/>
        </w:rPr>
        <w:t>bija</w:t>
      </w:r>
      <w:r w:rsidRPr="00AF4C38">
        <w:rPr>
          <w:szCs w:val="24"/>
        </w:rPr>
        <w:t xml:space="preserve"> vērojam</w:t>
      </w:r>
      <w:r>
        <w:rPr>
          <w:szCs w:val="24"/>
        </w:rPr>
        <w:t>a</w:t>
      </w:r>
      <w:r w:rsidRPr="00AF4C38">
        <w:rPr>
          <w:szCs w:val="24"/>
        </w:rPr>
        <w:t xml:space="preserve"> tendence pieaugt darba ņēmēju skaitam atalgojuma grupās virs 430</w:t>
      </w:r>
      <w:r>
        <w:rPr>
          <w:szCs w:val="24"/>
        </w:rPr>
        <w:t> </w:t>
      </w:r>
      <w:proofErr w:type="spellStart"/>
      <w:r w:rsidRPr="00AF4C38">
        <w:rPr>
          <w:i/>
          <w:szCs w:val="24"/>
        </w:rPr>
        <w:t>euro</w:t>
      </w:r>
      <w:proofErr w:type="spellEnd"/>
      <w:r w:rsidRPr="00AF4C38">
        <w:rPr>
          <w:szCs w:val="24"/>
        </w:rPr>
        <w:t>, liecinot par pozitīvu atdevi arī no tādiem nodokļu reformas pasākumiem kā ēnu ekonomikas mazināšana un nodokļu administrēšanas uzlabošana.</w:t>
      </w:r>
    </w:p>
    <w:p w:rsidR="007870D7" w:rsidRPr="00AF4FB4" w:rsidRDefault="007870D7" w:rsidP="007870D7">
      <w:pPr>
        <w:ind w:firstLine="720"/>
      </w:pPr>
      <w:r w:rsidRPr="00AF4FB4">
        <w:t>2019</w:t>
      </w:r>
      <w:r>
        <w:t>.</w:t>
      </w:r>
      <w:r w:rsidRPr="00AF4FB4">
        <w:t xml:space="preserve">gadā iedzīvotāju ienākuma nodokļa ieņēmumu sadalījums starp valsts budžetu un pašvaldību budžetiem </w:t>
      </w:r>
      <w:r>
        <w:t>tiek saglabāts līdzšinējā apmērā:</w:t>
      </w:r>
      <w:r w:rsidRPr="00AF4FB4">
        <w:t xml:space="preserve"> pašvaldību budžetiem </w:t>
      </w:r>
      <w:r w:rsidRPr="00AF4FB4">
        <w:rPr>
          <w:sz w:val="26"/>
          <w:szCs w:val="26"/>
        </w:rPr>
        <w:t>–</w:t>
      </w:r>
      <w:r w:rsidRPr="00AF4FB4">
        <w:t xml:space="preserve"> 80 procenti un valsts budžetam </w:t>
      </w:r>
      <w:r w:rsidRPr="00AF4FB4">
        <w:rPr>
          <w:sz w:val="26"/>
          <w:szCs w:val="26"/>
        </w:rPr>
        <w:t>–</w:t>
      </w:r>
      <w:r w:rsidRPr="00AF4FB4">
        <w:t xml:space="preserve"> 20</w:t>
      </w:r>
      <w:r>
        <w:t> </w:t>
      </w:r>
      <w:r w:rsidRPr="00AF4FB4">
        <w:t>procenti.</w:t>
      </w:r>
    </w:p>
    <w:p w:rsidR="007870D7" w:rsidRPr="00A968D0" w:rsidRDefault="007870D7" w:rsidP="007870D7">
      <w:r w:rsidRPr="00A968D0">
        <w:t xml:space="preserve">Saskaņā ar </w:t>
      </w:r>
      <w:r w:rsidR="000D53BB">
        <w:rPr>
          <w:color w:val="000000" w:themeColor="text1"/>
        </w:rPr>
        <w:t>likum</w:t>
      </w:r>
      <w:r w:rsidRPr="007B26F9">
        <w:rPr>
          <w:color w:val="000000" w:themeColor="text1"/>
        </w:rPr>
        <w:t>u „Par valsts budžetu 2019.gadam”</w:t>
      </w:r>
      <w:r>
        <w:rPr>
          <w:color w:val="000000" w:themeColor="text1"/>
        </w:rPr>
        <w:t xml:space="preserve"> </w:t>
      </w:r>
      <w:r w:rsidRPr="00A968D0">
        <w:t>iedzīvotāju ienākuma nodokļa ieņēmumi 2019.gadā tiek plānoti 1 731,2</w:t>
      </w:r>
      <w:r>
        <w:t> </w:t>
      </w:r>
      <w:r w:rsidRPr="00A968D0">
        <w:t>milj. </w:t>
      </w:r>
      <w:proofErr w:type="spellStart"/>
      <w:r w:rsidRPr="00A968D0">
        <w:rPr>
          <w:i/>
        </w:rPr>
        <w:t>euro</w:t>
      </w:r>
      <w:proofErr w:type="spellEnd"/>
      <w:r w:rsidRPr="00A968D0">
        <w:t>, kas salīdzinājumā ar 2018.gada faktiskajiem ieņēmumiem ir par 2,8 milj. </w:t>
      </w:r>
      <w:proofErr w:type="spellStart"/>
      <w:r w:rsidRPr="00A968D0">
        <w:rPr>
          <w:i/>
        </w:rPr>
        <w:t>euro</w:t>
      </w:r>
      <w:proofErr w:type="spellEnd"/>
      <w:r w:rsidRPr="00A968D0">
        <w:t xml:space="preserve"> jeb 0,2% vairāk.</w:t>
      </w:r>
    </w:p>
    <w:p w:rsidR="007870D7" w:rsidRPr="00A968D0" w:rsidRDefault="007870D7" w:rsidP="007870D7">
      <w:pPr>
        <w:rPr>
          <w:szCs w:val="24"/>
        </w:rPr>
      </w:pPr>
      <w:r w:rsidRPr="00A968D0">
        <w:t>Iedzīvotāju ienākuma nodokļa 2019.gada ieņēmumu plāna pamatā</w:t>
      </w:r>
      <w:r w:rsidRPr="00A968D0">
        <w:rPr>
          <w:szCs w:val="24"/>
        </w:rPr>
        <w:t xml:space="preserve"> ņemts vērā prognozētais </w:t>
      </w:r>
      <w:r w:rsidRPr="00A968D0">
        <w:t xml:space="preserve">darba samaksas fonda pieauguma temps </w:t>
      </w:r>
      <w:r>
        <w:t>(+6,1</w:t>
      </w:r>
      <w:r w:rsidRPr="00E86E94">
        <w:t>%</w:t>
      </w:r>
      <w:r>
        <w:t>,</w:t>
      </w:r>
      <w:r w:rsidRPr="00E86E94">
        <w:t xml:space="preserve"> salīdzinot ar 2018.gadu)</w:t>
      </w:r>
      <w:r w:rsidRPr="00A968D0">
        <w:t xml:space="preserve">, kā arī </w:t>
      </w:r>
      <w:r w:rsidRPr="00A968D0">
        <w:rPr>
          <w:i/>
          <w:szCs w:val="28"/>
          <w:lang w:eastAsia="lv-LV"/>
        </w:rPr>
        <w:t>Valsts nodokļu politikas pamatnostādņu 2018. – 2021.gadam</w:t>
      </w:r>
      <w:r w:rsidRPr="00A968D0">
        <w:rPr>
          <w:szCs w:val="28"/>
          <w:lang w:eastAsia="lv-LV"/>
        </w:rPr>
        <w:t xml:space="preserve"> </w:t>
      </w:r>
      <w:r>
        <w:rPr>
          <w:szCs w:val="28"/>
          <w:lang w:eastAsia="lv-LV"/>
        </w:rPr>
        <w:t xml:space="preserve">iepriekš </w:t>
      </w:r>
      <w:r w:rsidRPr="00A968D0">
        <w:rPr>
          <w:szCs w:val="28"/>
          <w:lang w:eastAsia="lv-LV"/>
        </w:rPr>
        <w:t xml:space="preserve">apstiprinātie </w:t>
      </w:r>
      <w:r w:rsidRPr="00A968D0">
        <w:rPr>
          <w:noProof/>
          <w:lang w:eastAsia="lv-LV"/>
        </w:rPr>
        <w:t>nodokļu reformas pasākumi</w:t>
      </w:r>
      <w:r w:rsidRPr="00A968D0">
        <w:t xml:space="preserve"> un </w:t>
      </w:r>
      <w:r w:rsidRPr="00E86E94">
        <w:t xml:space="preserve">Ministru kabineta </w:t>
      </w:r>
      <w:r w:rsidRPr="00E86E94">
        <w:rPr>
          <w:szCs w:val="24"/>
        </w:rPr>
        <w:t>atbalstītās likumdošanas izmaiņas</w:t>
      </w:r>
      <w:r>
        <w:rPr>
          <w:szCs w:val="24"/>
        </w:rPr>
        <w:t>:</w:t>
      </w:r>
    </w:p>
    <w:p w:rsidR="007870D7" w:rsidRPr="00AF4FB4" w:rsidRDefault="007870D7" w:rsidP="004A7868">
      <w:pPr>
        <w:pStyle w:val="ListParagraph"/>
        <w:numPr>
          <w:ilvl w:val="0"/>
          <w:numId w:val="15"/>
        </w:numPr>
        <w:tabs>
          <w:tab w:val="left" w:pos="567"/>
        </w:tabs>
        <w:ind w:left="567" w:firstLine="0"/>
      </w:pPr>
      <w:r w:rsidRPr="00A968D0">
        <w:t xml:space="preserve">2019.gada iedzīvotāju ienākuma nodokļa ieņēmumu ietekmējošās likumdošanas izmaiņas saistībā ar </w:t>
      </w:r>
      <w:r w:rsidRPr="00042D75">
        <w:rPr>
          <w:i/>
          <w:szCs w:val="28"/>
          <w:lang w:eastAsia="lv-LV"/>
        </w:rPr>
        <w:t>Valsts nodokļu politikas pamatnostādņu 2018. – 2021.gadam</w:t>
      </w:r>
      <w:r w:rsidRPr="00042D75">
        <w:rPr>
          <w:szCs w:val="28"/>
          <w:lang w:eastAsia="lv-LV"/>
        </w:rPr>
        <w:t xml:space="preserve"> apstiprinātajiem </w:t>
      </w:r>
      <w:r w:rsidRPr="00A968D0">
        <w:rPr>
          <w:noProof/>
          <w:lang w:eastAsia="lv-LV"/>
        </w:rPr>
        <w:t>nodokļu reformas pasākumiem</w:t>
      </w:r>
      <w:r w:rsidRPr="00A968D0">
        <w:t>:</w:t>
      </w:r>
    </w:p>
    <w:p w:rsidR="007870D7" w:rsidRPr="007A0E89" w:rsidRDefault="007870D7" w:rsidP="004A7868">
      <w:pPr>
        <w:pStyle w:val="ListParagraph"/>
        <w:numPr>
          <w:ilvl w:val="0"/>
          <w:numId w:val="12"/>
        </w:numPr>
        <w:spacing w:before="100" w:beforeAutospacing="1" w:after="100" w:afterAutospacing="1"/>
        <w:ind w:left="1440" w:hanging="357"/>
        <w:rPr>
          <w:rFonts w:eastAsia="Calibri"/>
          <w:color w:val="000000"/>
          <w:szCs w:val="24"/>
          <w:lang w:eastAsia="lv-LV"/>
        </w:rPr>
      </w:pPr>
      <w:r w:rsidRPr="007A0E89">
        <w:rPr>
          <w:rFonts w:eastAsia="Calibri"/>
          <w:color w:val="000000"/>
          <w:szCs w:val="24"/>
          <w:lang w:eastAsia="lv-LV"/>
        </w:rPr>
        <w:t xml:space="preserve">ar iedzīvotāju ienākuma nodokli neapliekamā diferencētā minimuma paaugstināšana 0 </w:t>
      </w:r>
      <w:r>
        <w:rPr>
          <w:rFonts w:eastAsia="Calibri"/>
          <w:color w:val="000000"/>
          <w:szCs w:val="24"/>
          <w:lang w:eastAsia="lv-LV"/>
        </w:rPr>
        <w:t>–</w:t>
      </w:r>
      <w:r w:rsidRPr="007A0E89">
        <w:rPr>
          <w:rFonts w:eastAsia="Calibri"/>
          <w:color w:val="000000"/>
          <w:szCs w:val="24"/>
          <w:lang w:eastAsia="lv-LV"/>
        </w:rPr>
        <w:t xml:space="preserve"> 230</w:t>
      </w:r>
      <w:r>
        <w:rPr>
          <w:rFonts w:eastAsia="Calibri"/>
          <w:color w:val="000000"/>
          <w:szCs w:val="24"/>
          <w:lang w:eastAsia="lv-LV"/>
        </w:rPr>
        <w:t> </w:t>
      </w:r>
      <w:proofErr w:type="spellStart"/>
      <w:r w:rsidRPr="007A0E89">
        <w:rPr>
          <w:rFonts w:eastAsia="Calibri"/>
          <w:i/>
          <w:color w:val="000000"/>
          <w:szCs w:val="24"/>
          <w:lang w:eastAsia="lv-LV"/>
        </w:rPr>
        <w:t>euro</w:t>
      </w:r>
      <w:proofErr w:type="spellEnd"/>
      <w:r w:rsidRPr="007A0E89">
        <w:rPr>
          <w:rFonts w:eastAsia="Calibri"/>
          <w:color w:val="000000"/>
          <w:szCs w:val="24"/>
          <w:lang w:eastAsia="lv-LV"/>
        </w:rPr>
        <w:t xml:space="preserve"> mēnesī 2019.gadā (230 </w:t>
      </w:r>
      <w:proofErr w:type="spellStart"/>
      <w:r w:rsidRPr="007A0E89">
        <w:rPr>
          <w:rFonts w:eastAsia="Calibri"/>
          <w:i/>
          <w:color w:val="000000"/>
          <w:szCs w:val="24"/>
          <w:lang w:eastAsia="lv-LV"/>
        </w:rPr>
        <w:t>euro</w:t>
      </w:r>
      <w:proofErr w:type="spellEnd"/>
      <w:r w:rsidRPr="007A0E89">
        <w:rPr>
          <w:rFonts w:eastAsia="Calibri"/>
          <w:color w:val="000000"/>
          <w:szCs w:val="24"/>
          <w:lang w:eastAsia="lv-LV"/>
        </w:rPr>
        <w:t xml:space="preserve"> mēnesī ienākumiem līdz 440</w:t>
      </w:r>
      <w:r>
        <w:rPr>
          <w:rFonts w:eastAsia="Calibri"/>
          <w:color w:val="000000"/>
          <w:szCs w:val="24"/>
          <w:lang w:eastAsia="lv-LV"/>
        </w:rPr>
        <w:t> </w:t>
      </w:r>
      <w:proofErr w:type="spellStart"/>
      <w:r w:rsidRPr="007A0E89">
        <w:rPr>
          <w:rFonts w:eastAsia="Calibri"/>
          <w:i/>
          <w:color w:val="000000"/>
          <w:szCs w:val="24"/>
          <w:lang w:eastAsia="lv-LV"/>
        </w:rPr>
        <w:t>euro</w:t>
      </w:r>
      <w:proofErr w:type="spellEnd"/>
      <w:r w:rsidRPr="007A0E89">
        <w:rPr>
          <w:rFonts w:eastAsia="Calibri"/>
          <w:color w:val="000000"/>
          <w:szCs w:val="24"/>
          <w:lang w:eastAsia="lv-LV"/>
        </w:rPr>
        <w:t xml:space="preserve"> mēnesī, ienākumiem no 440 līdz 1 100 </w:t>
      </w:r>
      <w:proofErr w:type="spellStart"/>
      <w:r w:rsidRPr="007A0E89">
        <w:rPr>
          <w:rFonts w:eastAsia="Calibri"/>
          <w:i/>
          <w:color w:val="000000"/>
          <w:szCs w:val="24"/>
          <w:lang w:eastAsia="lv-LV"/>
        </w:rPr>
        <w:t>euro</w:t>
      </w:r>
      <w:proofErr w:type="spellEnd"/>
      <w:r w:rsidRPr="007A0E89">
        <w:rPr>
          <w:rFonts w:eastAsia="Calibri"/>
          <w:color w:val="000000"/>
          <w:szCs w:val="24"/>
          <w:lang w:eastAsia="lv-LV"/>
        </w:rPr>
        <w:t xml:space="preserve"> mēnesī – neapliekamais minimums atbilstoši formulai pakāpeniski samazinās, līdz pie </w:t>
      </w:r>
      <w:r w:rsidRPr="007A0E89">
        <w:rPr>
          <w:rFonts w:eastAsia="Calibri"/>
          <w:color w:val="000000"/>
          <w:szCs w:val="24"/>
          <w:lang w:eastAsia="lv-LV"/>
        </w:rPr>
        <w:lastRenderedPageBreak/>
        <w:t xml:space="preserve">ienākuma virs 1 100 </w:t>
      </w:r>
      <w:proofErr w:type="spellStart"/>
      <w:r w:rsidRPr="007A0E89">
        <w:rPr>
          <w:rFonts w:eastAsia="Calibri"/>
          <w:i/>
          <w:color w:val="000000"/>
          <w:szCs w:val="24"/>
          <w:lang w:eastAsia="lv-LV"/>
        </w:rPr>
        <w:t>euro</w:t>
      </w:r>
      <w:proofErr w:type="spellEnd"/>
      <w:r w:rsidRPr="007A0E89">
        <w:rPr>
          <w:rFonts w:eastAsia="Calibri"/>
          <w:color w:val="000000"/>
          <w:szCs w:val="24"/>
          <w:lang w:eastAsia="lv-LV"/>
        </w:rPr>
        <w:t xml:space="preserve"> mēnesī – tas sasniedz 0 </w:t>
      </w:r>
      <w:r w:rsidRPr="007A0E89">
        <w:rPr>
          <w:szCs w:val="24"/>
        </w:rPr>
        <w:t xml:space="preserve">(fiskālā ietekme </w:t>
      </w:r>
      <w:r w:rsidRPr="006F6861">
        <w:rPr>
          <w:szCs w:val="24"/>
        </w:rPr>
        <w:t xml:space="preserve">2019.gadā </w:t>
      </w:r>
      <w:r>
        <w:rPr>
          <w:szCs w:val="24"/>
        </w:rPr>
        <w:t>-23,6</w:t>
      </w:r>
      <w:r w:rsidRPr="006F6861">
        <w:rPr>
          <w:szCs w:val="24"/>
        </w:rPr>
        <w:t> milj. </w:t>
      </w:r>
      <w:proofErr w:type="spellStart"/>
      <w:r w:rsidRPr="006F6861">
        <w:rPr>
          <w:i/>
          <w:spacing w:val="-6"/>
          <w:szCs w:val="24"/>
        </w:rPr>
        <w:t>euro</w:t>
      </w:r>
      <w:proofErr w:type="spellEnd"/>
      <w:r w:rsidRPr="006F6861">
        <w:rPr>
          <w:szCs w:val="24"/>
        </w:rPr>
        <w:t xml:space="preserve"> (t.sk., valsts budžetā -</w:t>
      </w:r>
      <w:r>
        <w:rPr>
          <w:szCs w:val="24"/>
        </w:rPr>
        <w:t>4,7</w:t>
      </w:r>
      <w:r w:rsidRPr="006F6861">
        <w:rPr>
          <w:szCs w:val="24"/>
        </w:rPr>
        <w:t> milj. </w:t>
      </w:r>
      <w:proofErr w:type="spellStart"/>
      <w:r w:rsidRPr="006F6861">
        <w:rPr>
          <w:i/>
          <w:spacing w:val="-6"/>
          <w:szCs w:val="24"/>
        </w:rPr>
        <w:t>euro</w:t>
      </w:r>
      <w:proofErr w:type="spellEnd"/>
      <w:r w:rsidRPr="006F6861">
        <w:rPr>
          <w:szCs w:val="24"/>
        </w:rPr>
        <w:t>, pašvaldību budžetā -</w:t>
      </w:r>
      <w:r>
        <w:rPr>
          <w:szCs w:val="24"/>
        </w:rPr>
        <w:t>18,9</w:t>
      </w:r>
      <w:r w:rsidRPr="006F6861">
        <w:rPr>
          <w:szCs w:val="24"/>
        </w:rPr>
        <w:t> milj. </w:t>
      </w:r>
      <w:proofErr w:type="spellStart"/>
      <w:r w:rsidRPr="006F6861">
        <w:rPr>
          <w:i/>
          <w:spacing w:val="-6"/>
          <w:szCs w:val="24"/>
        </w:rPr>
        <w:t>euro</w:t>
      </w:r>
      <w:proofErr w:type="spellEnd"/>
      <w:r w:rsidRPr="006F6861">
        <w:rPr>
          <w:szCs w:val="24"/>
        </w:rPr>
        <w:t>)</w:t>
      </w:r>
      <w:r>
        <w:rPr>
          <w:szCs w:val="24"/>
        </w:rPr>
        <w:t>)</w:t>
      </w:r>
      <w:r w:rsidRPr="007A0E89">
        <w:rPr>
          <w:szCs w:val="24"/>
        </w:rPr>
        <w:t>;</w:t>
      </w:r>
    </w:p>
    <w:p w:rsidR="007870D7" w:rsidRPr="007A0E89"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7A0E89">
        <w:rPr>
          <w:color w:val="000000"/>
          <w:szCs w:val="24"/>
          <w:lang w:eastAsia="lv-LV"/>
        </w:rPr>
        <w:t>atvieglojuma par apgādībā esošām personām paaugstināšana 2019.gadā 230 </w:t>
      </w:r>
      <w:proofErr w:type="spellStart"/>
      <w:r w:rsidRPr="007A0E89">
        <w:rPr>
          <w:i/>
          <w:color w:val="000000"/>
          <w:szCs w:val="24"/>
          <w:lang w:eastAsia="lv-LV"/>
        </w:rPr>
        <w:t>euro</w:t>
      </w:r>
      <w:proofErr w:type="spellEnd"/>
      <w:r w:rsidRPr="007A0E89">
        <w:rPr>
          <w:color w:val="000000"/>
          <w:szCs w:val="24"/>
          <w:lang w:eastAsia="lv-LV"/>
        </w:rPr>
        <w:t xml:space="preserve"> mēnesī </w:t>
      </w:r>
      <w:r w:rsidRPr="007A0E89">
        <w:rPr>
          <w:szCs w:val="24"/>
        </w:rPr>
        <w:t>(</w:t>
      </w:r>
      <w:r w:rsidRPr="006F6861">
        <w:rPr>
          <w:szCs w:val="24"/>
        </w:rPr>
        <w:t>2019.gadā -</w:t>
      </w:r>
      <w:r>
        <w:rPr>
          <w:szCs w:val="24"/>
        </w:rPr>
        <w:t>17,1</w:t>
      </w:r>
      <w:r w:rsidRPr="006F6861">
        <w:rPr>
          <w:szCs w:val="24"/>
        </w:rPr>
        <w:t> milj. </w:t>
      </w:r>
      <w:proofErr w:type="spellStart"/>
      <w:r w:rsidRPr="006F6861">
        <w:rPr>
          <w:i/>
          <w:spacing w:val="-6"/>
          <w:szCs w:val="24"/>
        </w:rPr>
        <w:t>euro</w:t>
      </w:r>
      <w:proofErr w:type="spellEnd"/>
      <w:r w:rsidRPr="006F6861">
        <w:rPr>
          <w:szCs w:val="24"/>
        </w:rPr>
        <w:t xml:space="preserve"> (t.sk., valsts budžetā -</w:t>
      </w:r>
      <w:r>
        <w:rPr>
          <w:szCs w:val="24"/>
        </w:rPr>
        <w:t>3,4</w:t>
      </w:r>
      <w:r w:rsidRPr="006F6861">
        <w:rPr>
          <w:szCs w:val="24"/>
        </w:rPr>
        <w:t> milj. </w:t>
      </w:r>
      <w:proofErr w:type="spellStart"/>
      <w:r w:rsidRPr="006F6861">
        <w:rPr>
          <w:i/>
          <w:spacing w:val="-6"/>
          <w:szCs w:val="24"/>
        </w:rPr>
        <w:t>euro</w:t>
      </w:r>
      <w:proofErr w:type="spellEnd"/>
      <w:r w:rsidRPr="006F6861">
        <w:rPr>
          <w:szCs w:val="24"/>
        </w:rPr>
        <w:t>, pašvaldību budžetā -</w:t>
      </w:r>
      <w:r>
        <w:rPr>
          <w:szCs w:val="24"/>
        </w:rPr>
        <w:t>13,7</w:t>
      </w:r>
      <w:r w:rsidRPr="006F6861">
        <w:rPr>
          <w:szCs w:val="24"/>
        </w:rPr>
        <w:t> milj. </w:t>
      </w:r>
      <w:proofErr w:type="spellStart"/>
      <w:r w:rsidRPr="006F6861">
        <w:rPr>
          <w:i/>
          <w:spacing w:val="-6"/>
          <w:szCs w:val="24"/>
        </w:rPr>
        <w:t>euro</w:t>
      </w:r>
      <w:proofErr w:type="spellEnd"/>
      <w:r w:rsidRPr="006F6861">
        <w:rPr>
          <w:szCs w:val="24"/>
        </w:rPr>
        <w:t>)</w:t>
      </w:r>
      <w:r w:rsidRPr="007A0E89">
        <w:rPr>
          <w:szCs w:val="24"/>
        </w:rPr>
        <w:t>);</w:t>
      </w:r>
    </w:p>
    <w:p w:rsidR="007870D7" w:rsidRPr="007A0E89"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7A0E89">
        <w:rPr>
          <w:szCs w:val="24"/>
        </w:rPr>
        <w:t xml:space="preserve">neapliekamā minimuma pensionāriem paaugstināšana 2019.gadā – līdz 270 </w:t>
      </w:r>
      <w:proofErr w:type="spellStart"/>
      <w:r w:rsidRPr="007A0E89">
        <w:rPr>
          <w:i/>
          <w:szCs w:val="24"/>
        </w:rPr>
        <w:t>euro</w:t>
      </w:r>
      <w:proofErr w:type="spellEnd"/>
      <w:r w:rsidRPr="007A0E89">
        <w:rPr>
          <w:szCs w:val="24"/>
        </w:rPr>
        <w:t xml:space="preserve"> mēnesī un 2020.gadā – līdz 300 </w:t>
      </w:r>
      <w:proofErr w:type="spellStart"/>
      <w:r w:rsidRPr="007A0E89">
        <w:rPr>
          <w:i/>
          <w:szCs w:val="24"/>
        </w:rPr>
        <w:t>euro</w:t>
      </w:r>
      <w:proofErr w:type="spellEnd"/>
      <w:r w:rsidRPr="007A0E89">
        <w:rPr>
          <w:szCs w:val="24"/>
        </w:rPr>
        <w:t xml:space="preserve"> mēnesī (fiskālā ietekme </w:t>
      </w:r>
      <w:r w:rsidRPr="006F6861">
        <w:rPr>
          <w:szCs w:val="24"/>
        </w:rPr>
        <w:t>2019.gadā -</w:t>
      </w:r>
      <w:r>
        <w:rPr>
          <w:szCs w:val="24"/>
        </w:rPr>
        <w:t>9,5</w:t>
      </w:r>
      <w:r w:rsidRPr="006F6861">
        <w:rPr>
          <w:szCs w:val="24"/>
        </w:rPr>
        <w:t> milj. </w:t>
      </w:r>
      <w:proofErr w:type="spellStart"/>
      <w:r w:rsidRPr="006F6861">
        <w:rPr>
          <w:i/>
          <w:spacing w:val="-6"/>
          <w:szCs w:val="24"/>
        </w:rPr>
        <w:t>euro</w:t>
      </w:r>
      <w:proofErr w:type="spellEnd"/>
      <w:r w:rsidRPr="006F6861">
        <w:rPr>
          <w:szCs w:val="24"/>
        </w:rPr>
        <w:t xml:space="preserve"> (t.sk., valsts budžetā -</w:t>
      </w:r>
      <w:r>
        <w:rPr>
          <w:szCs w:val="24"/>
        </w:rPr>
        <w:t>1,9</w:t>
      </w:r>
      <w:r w:rsidRPr="006F6861">
        <w:rPr>
          <w:szCs w:val="24"/>
        </w:rPr>
        <w:t> milj. </w:t>
      </w:r>
      <w:proofErr w:type="spellStart"/>
      <w:r w:rsidRPr="006F6861">
        <w:rPr>
          <w:i/>
          <w:spacing w:val="-6"/>
          <w:szCs w:val="24"/>
        </w:rPr>
        <w:t>euro</w:t>
      </w:r>
      <w:proofErr w:type="spellEnd"/>
      <w:r w:rsidRPr="006F6861">
        <w:rPr>
          <w:szCs w:val="24"/>
        </w:rPr>
        <w:t>, pašvaldību budžetā -</w:t>
      </w:r>
      <w:r>
        <w:rPr>
          <w:szCs w:val="24"/>
        </w:rPr>
        <w:t>7,6</w:t>
      </w:r>
      <w:r w:rsidRPr="006F6861">
        <w:rPr>
          <w:szCs w:val="24"/>
        </w:rPr>
        <w:t> milj. </w:t>
      </w:r>
      <w:proofErr w:type="spellStart"/>
      <w:r w:rsidRPr="006F6861">
        <w:rPr>
          <w:i/>
          <w:spacing w:val="-6"/>
          <w:szCs w:val="24"/>
        </w:rPr>
        <w:t>euro</w:t>
      </w:r>
      <w:proofErr w:type="spellEnd"/>
      <w:r w:rsidRPr="006F6861">
        <w:rPr>
          <w:szCs w:val="24"/>
        </w:rPr>
        <w:t>)</w:t>
      </w:r>
      <w:r w:rsidRPr="007A0E89">
        <w:rPr>
          <w:szCs w:val="24"/>
        </w:rPr>
        <w:t>);</w:t>
      </w:r>
    </w:p>
    <w:p w:rsidR="007870D7" w:rsidRPr="002D2470" w:rsidRDefault="007870D7" w:rsidP="004A7868">
      <w:pPr>
        <w:pStyle w:val="ListParagraph"/>
        <w:numPr>
          <w:ilvl w:val="0"/>
          <w:numId w:val="12"/>
        </w:numPr>
        <w:spacing w:before="100" w:beforeAutospacing="1" w:after="100" w:afterAutospacing="1" w:line="293" w:lineRule="atLeast"/>
        <w:ind w:left="1440" w:hanging="357"/>
        <w:rPr>
          <w:szCs w:val="24"/>
          <w:lang w:eastAsia="lv-LV"/>
        </w:rPr>
      </w:pPr>
      <w:r w:rsidRPr="002D2470">
        <w:rPr>
          <w:szCs w:val="24"/>
        </w:rPr>
        <w:t>izmaiņas dividenžu politikā, kā rezultātā izmaksātajām dividendēm no peļņas, kas gūta</w:t>
      </w:r>
      <w:r>
        <w:rPr>
          <w:szCs w:val="24"/>
        </w:rPr>
        <w:t>,</w:t>
      </w:r>
      <w:r w:rsidRPr="002D2470">
        <w:rPr>
          <w:szCs w:val="24"/>
        </w:rPr>
        <w:t xml:space="preserve"> sākot ar 2018.gadu, netiek piemērots iedzīvotāju ienākuma nodoklis. Vienlaikus līdz 2019.gada beigām ir ieviests pārejas periods dividendēm par iepriekšējo gadu peļņu, tām piemērojot nodokļa likmi 10% apmērā. Beidzoties pārejas periodam likme būs 20% (fiskālā </w:t>
      </w:r>
      <w:r w:rsidRPr="00C8354C">
        <w:rPr>
          <w:szCs w:val="24"/>
        </w:rPr>
        <w:t>ietekme 2019.gadā -24,0 milj. </w:t>
      </w:r>
      <w:proofErr w:type="spellStart"/>
      <w:r w:rsidRPr="00C8354C">
        <w:rPr>
          <w:i/>
          <w:spacing w:val="-6"/>
          <w:szCs w:val="24"/>
        </w:rPr>
        <w:t>euro</w:t>
      </w:r>
      <w:proofErr w:type="spellEnd"/>
      <w:r w:rsidRPr="00C8354C">
        <w:rPr>
          <w:szCs w:val="24"/>
        </w:rPr>
        <w:t xml:space="preserve"> (t.sk., valsts budžetā -4,8 milj. </w:t>
      </w:r>
      <w:proofErr w:type="spellStart"/>
      <w:r w:rsidRPr="00C8354C">
        <w:rPr>
          <w:i/>
          <w:spacing w:val="-6"/>
          <w:szCs w:val="24"/>
        </w:rPr>
        <w:t>euro</w:t>
      </w:r>
      <w:proofErr w:type="spellEnd"/>
      <w:r w:rsidRPr="00C8354C">
        <w:rPr>
          <w:szCs w:val="24"/>
        </w:rPr>
        <w:t>, pašvaldību budžetā -19,2 milj. </w:t>
      </w:r>
      <w:proofErr w:type="spellStart"/>
      <w:r w:rsidRPr="00C8354C">
        <w:rPr>
          <w:i/>
          <w:spacing w:val="-6"/>
          <w:szCs w:val="24"/>
        </w:rPr>
        <w:t>euro</w:t>
      </w:r>
      <w:proofErr w:type="spellEnd"/>
      <w:r w:rsidRPr="00C8354C">
        <w:rPr>
          <w:szCs w:val="24"/>
        </w:rPr>
        <w:t>)).</w:t>
      </w:r>
    </w:p>
    <w:p w:rsidR="007870D7" w:rsidRPr="00592C30" w:rsidRDefault="007870D7" w:rsidP="007870D7">
      <w:pPr>
        <w:pStyle w:val="ListParagraph"/>
        <w:spacing w:before="100" w:beforeAutospacing="1" w:after="100" w:afterAutospacing="1" w:line="293" w:lineRule="atLeast"/>
        <w:ind w:left="1440" w:firstLine="0"/>
        <w:rPr>
          <w:color w:val="FF0000"/>
          <w:szCs w:val="24"/>
          <w:lang w:eastAsia="lv-LV"/>
        </w:rPr>
      </w:pPr>
    </w:p>
    <w:p w:rsidR="007870D7" w:rsidRPr="00042D75" w:rsidRDefault="007870D7" w:rsidP="004A7868">
      <w:pPr>
        <w:pStyle w:val="ListParagraph"/>
        <w:numPr>
          <w:ilvl w:val="0"/>
          <w:numId w:val="15"/>
        </w:numPr>
        <w:spacing w:after="0"/>
        <w:ind w:left="567" w:right="57" w:firstLine="0"/>
      </w:pPr>
      <w:r w:rsidRPr="006274FB">
        <w:t xml:space="preserve">Ministru kabineta 2019.gada 8.februāra sēdē </w:t>
      </w:r>
      <w:r>
        <w:t>atbalstītie</w:t>
      </w:r>
      <w:r w:rsidRPr="006274FB">
        <w:t xml:space="preserve"> </w:t>
      </w:r>
      <w:r>
        <w:t xml:space="preserve">lēmumi atbilstoši </w:t>
      </w:r>
      <w:r w:rsidRPr="006274FB">
        <w:t>informatīv</w:t>
      </w:r>
      <w:r>
        <w:t xml:space="preserve">ajam </w:t>
      </w:r>
      <w:r w:rsidRPr="006274FB">
        <w:t>ziņojum</w:t>
      </w:r>
      <w:r>
        <w:t>am</w:t>
      </w:r>
      <w:r w:rsidRPr="006274FB">
        <w:t xml:space="preserve"> “Par fiskālo telpu palielinošiem pasākumiem un izdevumiem prioritārajiem p</w:t>
      </w:r>
      <w:r>
        <w:t>asākumiem valsts budžetam 2019.</w:t>
      </w:r>
      <w:r w:rsidRPr="006274FB">
        <w:t>gadam”</w:t>
      </w:r>
      <w:r w:rsidRPr="00C54B36">
        <w:t>:</w:t>
      </w:r>
    </w:p>
    <w:p w:rsidR="007870D7"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042D75">
        <w:t xml:space="preserve">ēnu ekonomikas mazināšanas un administrēšanas uzlabošanas pasākumi </w:t>
      </w:r>
      <w:r w:rsidRPr="00042D75">
        <w:rPr>
          <w:szCs w:val="24"/>
        </w:rPr>
        <w:t>(fiskālā ietekme 2019.gadā +2,8 milj. </w:t>
      </w:r>
      <w:proofErr w:type="spellStart"/>
      <w:r w:rsidRPr="00042D75">
        <w:rPr>
          <w:i/>
          <w:spacing w:val="-6"/>
          <w:szCs w:val="24"/>
        </w:rPr>
        <w:t>euro</w:t>
      </w:r>
      <w:proofErr w:type="spellEnd"/>
      <w:r w:rsidRPr="00042D75">
        <w:rPr>
          <w:szCs w:val="24"/>
        </w:rPr>
        <w:t xml:space="preserve"> (t.sk., valsts budžetā +0,6 milj. </w:t>
      </w:r>
      <w:proofErr w:type="spellStart"/>
      <w:r w:rsidRPr="00042D75">
        <w:rPr>
          <w:i/>
          <w:spacing w:val="-6"/>
          <w:szCs w:val="24"/>
        </w:rPr>
        <w:t>euro</w:t>
      </w:r>
      <w:proofErr w:type="spellEnd"/>
      <w:r w:rsidRPr="00042D75">
        <w:rPr>
          <w:szCs w:val="24"/>
        </w:rPr>
        <w:t>, pašvaldību budžetā +2,2 milj. </w:t>
      </w:r>
      <w:proofErr w:type="spellStart"/>
      <w:r w:rsidRPr="00042D75">
        <w:rPr>
          <w:i/>
          <w:spacing w:val="-6"/>
          <w:szCs w:val="24"/>
        </w:rPr>
        <w:t>euro</w:t>
      </w:r>
      <w:proofErr w:type="spellEnd"/>
      <w:r w:rsidRPr="00042D75">
        <w:rPr>
          <w:szCs w:val="24"/>
        </w:rPr>
        <w:t>))</w:t>
      </w:r>
      <w:r w:rsidRPr="00042D75">
        <w:rPr>
          <w:color w:val="000000"/>
          <w:szCs w:val="24"/>
          <w:lang w:eastAsia="lv-LV"/>
        </w:rPr>
        <w:t>;</w:t>
      </w:r>
    </w:p>
    <w:p w:rsidR="007870D7" w:rsidRPr="00042D75"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3D335C">
        <w:t xml:space="preserve">papildu finansējums darba samaksas palielināšanai </w:t>
      </w:r>
      <w:r w:rsidRPr="003D335C">
        <w:rPr>
          <w:noProof/>
          <w:lang w:eastAsia="lv-LV"/>
        </w:rPr>
        <w:t>veselības aprūpes darbiniekiem, tiesnešiem un prokuroriem, izdienas piemaksu nodrošināšanai Korupcijas novēršanas un apkarošanas birojam un izdienas pabalsts pēc katriem pieciem nepārtrauktas izdienas gadiem Iekšlietu ministrijas amatpersonām</w:t>
      </w:r>
      <w:r w:rsidRPr="003D335C">
        <w:t xml:space="preserve"> </w:t>
      </w:r>
      <w:r w:rsidRPr="003D335C">
        <w:rPr>
          <w:szCs w:val="24"/>
        </w:rPr>
        <w:t>(fiskālā ietekme 2019.gadā +19,4 milj. </w:t>
      </w:r>
      <w:proofErr w:type="spellStart"/>
      <w:r w:rsidRPr="003D335C">
        <w:rPr>
          <w:i/>
          <w:spacing w:val="-6"/>
          <w:szCs w:val="24"/>
        </w:rPr>
        <w:t>euro</w:t>
      </w:r>
      <w:proofErr w:type="spellEnd"/>
      <w:r w:rsidRPr="003D335C">
        <w:rPr>
          <w:szCs w:val="24"/>
        </w:rPr>
        <w:t xml:space="preserve"> (t.sk., valsts budžetā +3,9 milj. </w:t>
      </w:r>
      <w:proofErr w:type="spellStart"/>
      <w:r w:rsidRPr="003D335C">
        <w:rPr>
          <w:i/>
          <w:spacing w:val="-6"/>
          <w:szCs w:val="24"/>
        </w:rPr>
        <w:t>euro</w:t>
      </w:r>
      <w:proofErr w:type="spellEnd"/>
      <w:r w:rsidRPr="003D335C">
        <w:rPr>
          <w:szCs w:val="24"/>
        </w:rPr>
        <w:t>, pašvaldību budžetā +15,5 milj. </w:t>
      </w:r>
      <w:proofErr w:type="spellStart"/>
      <w:r w:rsidRPr="003D335C">
        <w:rPr>
          <w:i/>
          <w:spacing w:val="-6"/>
          <w:szCs w:val="24"/>
        </w:rPr>
        <w:t>euro</w:t>
      </w:r>
      <w:proofErr w:type="spellEnd"/>
      <w:r w:rsidRPr="003D335C">
        <w:rPr>
          <w:szCs w:val="24"/>
        </w:rPr>
        <w:t>))</w:t>
      </w:r>
      <w:r w:rsidRPr="003D335C">
        <w:rPr>
          <w:szCs w:val="24"/>
          <w:lang w:eastAsia="lv-LV"/>
        </w:rPr>
        <w:t>.</w:t>
      </w:r>
    </w:p>
    <w:p w:rsidR="007870D7" w:rsidRPr="00B22DC7" w:rsidRDefault="007870D7" w:rsidP="007870D7">
      <w:pPr>
        <w:pStyle w:val="ListParagraph"/>
        <w:ind w:left="1434" w:firstLine="0"/>
        <w:contextualSpacing w:val="0"/>
        <w:rPr>
          <w:color w:val="FF0000"/>
          <w:szCs w:val="24"/>
        </w:rPr>
      </w:pPr>
    </w:p>
    <w:p w:rsidR="007870D7" w:rsidRPr="004A4B8A" w:rsidRDefault="007870D7" w:rsidP="007870D7">
      <w:pPr>
        <w:ind w:firstLine="0"/>
        <w:jc w:val="center"/>
        <w:rPr>
          <w:b/>
          <w:i/>
        </w:rPr>
      </w:pPr>
      <w:r w:rsidRPr="004A4B8A">
        <w:rPr>
          <w:b/>
          <w:i/>
        </w:rPr>
        <w:t>3.3. tabula. Iedzīvotāju ienākuma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531"/>
        <w:gridCol w:w="1134"/>
        <w:gridCol w:w="1134"/>
        <w:gridCol w:w="1129"/>
        <w:gridCol w:w="1133"/>
      </w:tblGrid>
      <w:tr w:rsidR="007870D7" w:rsidRPr="004A4B8A" w:rsidTr="008671DD">
        <w:trPr>
          <w:jc w:val="center"/>
        </w:trPr>
        <w:tc>
          <w:tcPr>
            <w:tcW w:w="2500" w:type="pct"/>
            <w:vMerge w:val="restart"/>
            <w:shd w:val="clear" w:color="auto" w:fill="D9D9D9" w:themeFill="background1" w:themeFillShade="D9"/>
          </w:tcPr>
          <w:p w:rsidR="007870D7" w:rsidRPr="004A4B8A" w:rsidRDefault="007870D7" w:rsidP="007870D7">
            <w:pPr>
              <w:spacing w:after="0"/>
              <w:ind w:firstLine="0"/>
              <w:jc w:val="center"/>
              <w:rPr>
                <w:b/>
                <w:snapToGrid w:val="0"/>
                <w:sz w:val="20"/>
              </w:rPr>
            </w:pPr>
          </w:p>
        </w:tc>
        <w:tc>
          <w:tcPr>
            <w:tcW w:w="626" w:type="pct"/>
            <w:shd w:val="clear" w:color="auto" w:fill="D9D9D9" w:themeFill="background1" w:themeFillShade="D9"/>
          </w:tcPr>
          <w:p w:rsidR="007870D7" w:rsidRPr="004A4B8A" w:rsidRDefault="007870D7" w:rsidP="007870D7">
            <w:pPr>
              <w:spacing w:after="0"/>
              <w:ind w:firstLine="0"/>
              <w:jc w:val="center"/>
              <w:rPr>
                <w:b/>
                <w:snapToGrid w:val="0"/>
                <w:sz w:val="20"/>
              </w:rPr>
            </w:pPr>
            <w:r w:rsidRPr="004A4B8A">
              <w:rPr>
                <w:b/>
                <w:snapToGrid w:val="0"/>
                <w:sz w:val="20"/>
              </w:rPr>
              <w:t>2016</w:t>
            </w:r>
          </w:p>
        </w:tc>
        <w:tc>
          <w:tcPr>
            <w:tcW w:w="626" w:type="pct"/>
            <w:shd w:val="clear" w:color="auto" w:fill="D9D9D9" w:themeFill="background1" w:themeFillShade="D9"/>
          </w:tcPr>
          <w:p w:rsidR="007870D7" w:rsidRPr="004A4B8A" w:rsidRDefault="007870D7" w:rsidP="007870D7">
            <w:pPr>
              <w:spacing w:after="0"/>
              <w:ind w:firstLine="0"/>
              <w:jc w:val="center"/>
              <w:rPr>
                <w:b/>
                <w:snapToGrid w:val="0"/>
                <w:sz w:val="20"/>
              </w:rPr>
            </w:pPr>
            <w:r w:rsidRPr="004A4B8A">
              <w:rPr>
                <w:b/>
                <w:snapToGrid w:val="0"/>
                <w:sz w:val="20"/>
              </w:rPr>
              <w:t>2017</w:t>
            </w:r>
          </w:p>
        </w:tc>
        <w:tc>
          <w:tcPr>
            <w:tcW w:w="623" w:type="pct"/>
            <w:shd w:val="clear" w:color="auto" w:fill="D9D9D9" w:themeFill="background1" w:themeFillShade="D9"/>
          </w:tcPr>
          <w:p w:rsidR="007870D7" w:rsidRPr="004A4B8A" w:rsidRDefault="007870D7" w:rsidP="007870D7">
            <w:pPr>
              <w:spacing w:after="0"/>
              <w:ind w:firstLine="0"/>
              <w:jc w:val="center"/>
              <w:rPr>
                <w:b/>
                <w:snapToGrid w:val="0"/>
                <w:sz w:val="20"/>
              </w:rPr>
            </w:pPr>
            <w:r w:rsidRPr="004A4B8A">
              <w:rPr>
                <w:b/>
                <w:snapToGrid w:val="0"/>
                <w:sz w:val="20"/>
              </w:rPr>
              <w:t>2018</w:t>
            </w:r>
          </w:p>
        </w:tc>
        <w:tc>
          <w:tcPr>
            <w:tcW w:w="625" w:type="pct"/>
            <w:shd w:val="clear" w:color="auto" w:fill="D9D9D9" w:themeFill="background1" w:themeFillShade="D9"/>
          </w:tcPr>
          <w:p w:rsidR="007870D7" w:rsidRPr="004A4B8A" w:rsidRDefault="007870D7" w:rsidP="007870D7">
            <w:pPr>
              <w:spacing w:after="0"/>
              <w:ind w:firstLine="0"/>
              <w:jc w:val="center"/>
              <w:rPr>
                <w:b/>
                <w:snapToGrid w:val="0"/>
                <w:sz w:val="20"/>
              </w:rPr>
            </w:pPr>
            <w:r w:rsidRPr="004A4B8A">
              <w:rPr>
                <w:b/>
                <w:snapToGrid w:val="0"/>
                <w:sz w:val="20"/>
              </w:rPr>
              <w:t>2019</w:t>
            </w:r>
          </w:p>
        </w:tc>
      </w:tr>
      <w:tr w:rsidR="007870D7" w:rsidRPr="004A4B8A" w:rsidTr="008671DD">
        <w:trPr>
          <w:jc w:val="center"/>
        </w:trPr>
        <w:tc>
          <w:tcPr>
            <w:tcW w:w="2500" w:type="pct"/>
            <w:vMerge/>
            <w:shd w:val="clear" w:color="auto" w:fill="D9D9D9" w:themeFill="background1" w:themeFillShade="D9"/>
          </w:tcPr>
          <w:p w:rsidR="007870D7" w:rsidRPr="004A4B8A" w:rsidRDefault="007870D7" w:rsidP="007870D7">
            <w:pPr>
              <w:spacing w:after="0"/>
              <w:ind w:firstLine="0"/>
              <w:jc w:val="center"/>
              <w:rPr>
                <w:b/>
                <w:snapToGrid w:val="0"/>
                <w:sz w:val="20"/>
              </w:rPr>
            </w:pPr>
          </w:p>
        </w:tc>
        <w:tc>
          <w:tcPr>
            <w:tcW w:w="1875" w:type="pct"/>
            <w:gridSpan w:val="3"/>
            <w:shd w:val="clear" w:color="auto" w:fill="D9D9D9" w:themeFill="background1" w:themeFillShade="D9"/>
          </w:tcPr>
          <w:p w:rsidR="007870D7" w:rsidRPr="004A4B8A" w:rsidRDefault="007870D7" w:rsidP="007870D7">
            <w:pPr>
              <w:spacing w:after="0"/>
              <w:ind w:firstLine="0"/>
              <w:jc w:val="center"/>
              <w:rPr>
                <w:snapToGrid w:val="0"/>
                <w:sz w:val="20"/>
              </w:rPr>
            </w:pPr>
            <w:r w:rsidRPr="004A4B8A">
              <w:rPr>
                <w:snapToGrid w:val="0"/>
                <w:sz w:val="20"/>
              </w:rPr>
              <w:t>fakts</w:t>
            </w:r>
          </w:p>
        </w:tc>
        <w:tc>
          <w:tcPr>
            <w:tcW w:w="625" w:type="pct"/>
            <w:shd w:val="clear" w:color="auto" w:fill="D9D9D9" w:themeFill="background1" w:themeFillShade="D9"/>
          </w:tcPr>
          <w:p w:rsidR="007870D7" w:rsidRPr="004A4B8A" w:rsidRDefault="007870D7" w:rsidP="007870D7">
            <w:pPr>
              <w:spacing w:after="0"/>
              <w:ind w:firstLine="0"/>
              <w:jc w:val="center"/>
              <w:rPr>
                <w:snapToGrid w:val="0"/>
                <w:sz w:val="20"/>
              </w:rPr>
            </w:pPr>
            <w:r w:rsidRPr="004A4B8A">
              <w:rPr>
                <w:snapToGrid w:val="0"/>
                <w:sz w:val="20"/>
              </w:rPr>
              <w:t>plāns</w:t>
            </w:r>
          </w:p>
        </w:tc>
      </w:tr>
      <w:tr w:rsidR="007870D7" w:rsidRPr="004A4B8A" w:rsidTr="008671DD">
        <w:trPr>
          <w:jc w:val="center"/>
        </w:trPr>
        <w:tc>
          <w:tcPr>
            <w:tcW w:w="2500" w:type="pct"/>
          </w:tcPr>
          <w:p w:rsidR="007870D7" w:rsidRPr="004A4B8A" w:rsidRDefault="007870D7" w:rsidP="007870D7">
            <w:pPr>
              <w:spacing w:after="0"/>
              <w:ind w:firstLine="0"/>
              <w:rPr>
                <w:snapToGrid w:val="0"/>
                <w:sz w:val="20"/>
              </w:rPr>
            </w:pPr>
            <w:r w:rsidRPr="004A4B8A">
              <w:rPr>
                <w:b/>
                <w:snapToGrid w:val="0"/>
                <w:sz w:val="20"/>
              </w:rPr>
              <w:t>Iedzīvotāju ienākuma nodoklis</w:t>
            </w:r>
            <w:r w:rsidRPr="004A4B8A">
              <w:rPr>
                <w:snapToGrid w:val="0"/>
                <w:sz w:val="20"/>
              </w:rPr>
              <w:t xml:space="preserve">, milj. </w:t>
            </w:r>
            <w:proofErr w:type="spellStart"/>
            <w:r w:rsidRPr="004A4B8A">
              <w:rPr>
                <w:i/>
                <w:snapToGrid w:val="0"/>
                <w:sz w:val="20"/>
              </w:rPr>
              <w:t>euro</w:t>
            </w:r>
            <w:proofErr w:type="spellEnd"/>
          </w:p>
        </w:tc>
        <w:tc>
          <w:tcPr>
            <w:tcW w:w="626" w:type="pct"/>
          </w:tcPr>
          <w:p w:rsidR="007870D7" w:rsidRPr="004A4B8A" w:rsidRDefault="007870D7" w:rsidP="007870D7">
            <w:pPr>
              <w:spacing w:after="0"/>
              <w:ind w:firstLine="0"/>
              <w:jc w:val="center"/>
              <w:rPr>
                <w:b/>
                <w:snapToGrid w:val="0"/>
                <w:sz w:val="20"/>
              </w:rPr>
            </w:pPr>
            <w:r w:rsidRPr="004A4B8A">
              <w:rPr>
                <w:b/>
                <w:snapToGrid w:val="0"/>
                <w:sz w:val="20"/>
              </w:rPr>
              <w:t>1 528,7</w:t>
            </w:r>
          </w:p>
        </w:tc>
        <w:tc>
          <w:tcPr>
            <w:tcW w:w="626" w:type="pct"/>
          </w:tcPr>
          <w:p w:rsidR="007870D7" w:rsidRPr="004A4B8A" w:rsidRDefault="007870D7" w:rsidP="007870D7">
            <w:pPr>
              <w:spacing w:after="0"/>
              <w:ind w:firstLine="0"/>
              <w:jc w:val="center"/>
              <w:rPr>
                <w:b/>
                <w:snapToGrid w:val="0"/>
                <w:sz w:val="20"/>
              </w:rPr>
            </w:pPr>
            <w:r w:rsidRPr="004A4B8A">
              <w:rPr>
                <w:b/>
                <w:snapToGrid w:val="0"/>
                <w:sz w:val="20"/>
              </w:rPr>
              <w:t>1 692,2</w:t>
            </w:r>
          </w:p>
        </w:tc>
        <w:tc>
          <w:tcPr>
            <w:tcW w:w="623" w:type="pct"/>
          </w:tcPr>
          <w:p w:rsidR="007870D7" w:rsidRPr="004A4B8A" w:rsidRDefault="007870D7" w:rsidP="007870D7">
            <w:pPr>
              <w:spacing w:after="0"/>
              <w:ind w:firstLine="0"/>
              <w:jc w:val="center"/>
              <w:rPr>
                <w:b/>
                <w:snapToGrid w:val="0"/>
                <w:sz w:val="20"/>
              </w:rPr>
            </w:pPr>
            <w:r w:rsidRPr="004A4B8A">
              <w:rPr>
                <w:b/>
                <w:snapToGrid w:val="0"/>
                <w:sz w:val="20"/>
              </w:rPr>
              <w:t>1 728,4</w:t>
            </w:r>
          </w:p>
        </w:tc>
        <w:tc>
          <w:tcPr>
            <w:tcW w:w="625" w:type="pct"/>
          </w:tcPr>
          <w:p w:rsidR="007870D7" w:rsidRPr="004A4B8A" w:rsidRDefault="007870D7" w:rsidP="007870D7">
            <w:pPr>
              <w:spacing w:after="0"/>
              <w:ind w:firstLine="0"/>
              <w:jc w:val="center"/>
              <w:rPr>
                <w:b/>
                <w:snapToGrid w:val="0"/>
                <w:sz w:val="20"/>
              </w:rPr>
            </w:pPr>
            <w:r w:rsidRPr="004A4B8A">
              <w:rPr>
                <w:b/>
                <w:snapToGrid w:val="0"/>
                <w:sz w:val="20"/>
              </w:rPr>
              <w:t>1 731,2</w:t>
            </w:r>
          </w:p>
        </w:tc>
      </w:tr>
      <w:tr w:rsidR="007870D7" w:rsidRPr="004A4B8A" w:rsidTr="008671DD">
        <w:trPr>
          <w:jc w:val="center"/>
        </w:trPr>
        <w:tc>
          <w:tcPr>
            <w:tcW w:w="2500" w:type="pct"/>
          </w:tcPr>
          <w:p w:rsidR="007870D7" w:rsidRPr="004A4B8A" w:rsidRDefault="007870D7" w:rsidP="00AA0C50">
            <w:pPr>
              <w:spacing w:after="0"/>
              <w:ind w:firstLine="0"/>
              <w:rPr>
                <w:snapToGrid w:val="0"/>
                <w:sz w:val="20"/>
              </w:rPr>
            </w:pPr>
            <w:r w:rsidRPr="004A4B8A">
              <w:rPr>
                <w:snapToGrid w:val="0"/>
                <w:sz w:val="20"/>
              </w:rPr>
              <w:t>t.sk. valsts budžetā</w:t>
            </w:r>
            <w:r w:rsidR="00AA0C50" w:rsidRPr="00AA0C50">
              <w:rPr>
                <w:snapToGrid w:val="0"/>
                <w:sz w:val="20"/>
                <w:vertAlign w:val="superscript"/>
              </w:rPr>
              <w:t>4</w:t>
            </w:r>
          </w:p>
        </w:tc>
        <w:tc>
          <w:tcPr>
            <w:tcW w:w="626" w:type="pct"/>
          </w:tcPr>
          <w:p w:rsidR="007870D7" w:rsidRPr="004A4B8A" w:rsidRDefault="007870D7" w:rsidP="007870D7">
            <w:pPr>
              <w:spacing w:after="0"/>
              <w:ind w:firstLine="0"/>
              <w:jc w:val="center"/>
              <w:rPr>
                <w:snapToGrid w:val="0"/>
                <w:sz w:val="20"/>
              </w:rPr>
            </w:pPr>
            <w:r w:rsidRPr="004A4B8A">
              <w:rPr>
                <w:snapToGrid w:val="0"/>
                <w:sz w:val="20"/>
              </w:rPr>
              <w:t>295,5</w:t>
            </w:r>
          </w:p>
        </w:tc>
        <w:tc>
          <w:tcPr>
            <w:tcW w:w="626" w:type="pct"/>
          </w:tcPr>
          <w:p w:rsidR="007870D7" w:rsidRPr="004A4B8A" w:rsidRDefault="007870D7" w:rsidP="007870D7">
            <w:pPr>
              <w:spacing w:after="0"/>
              <w:ind w:firstLine="0"/>
              <w:jc w:val="center"/>
              <w:rPr>
                <w:snapToGrid w:val="0"/>
                <w:sz w:val="20"/>
              </w:rPr>
            </w:pPr>
            <w:r w:rsidRPr="004A4B8A">
              <w:rPr>
                <w:snapToGrid w:val="0"/>
                <w:sz w:val="20"/>
              </w:rPr>
              <w:t>340,5</w:t>
            </w:r>
          </w:p>
        </w:tc>
        <w:tc>
          <w:tcPr>
            <w:tcW w:w="623" w:type="pct"/>
          </w:tcPr>
          <w:p w:rsidR="007870D7" w:rsidRPr="004A4B8A" w:rsidRDefault="007870D7" w:rsidP="007870D7">
            <w:pPr>
              <w:spacing w:after="0"/>
              <w:ind w:firstLine="0"/>
              <w:jc w:val="center"/>
              <w:rPr>
                <w:snapToGrid w:val="0"/>
                <w:sz w:val="20"/>
              </w:rPr>
            </w:pPr>
            <w:r w:rsidRPr="004A4B8A">
              <w:rPr>
                <w:snapToGrid w:val="0"/>
                <w:sz w:val="20"/>
              </w:rPr>
              <w:t>340,6</w:t>
            </w:r>
          </w:p>
        </w:tc>
        <w:tc>
          <w:tcPr>
            <w:tcW w:w="625" w:type="pct"/>
          </w:tcPr>
          <w:p w:rsidR="007870D7" w:rsidRPr="004A4B8A" w:rsidRDefault="007870D7" w:rsidP="007870D7">
            <w:pPr>
              <w:spacing w:after="0"/>
              <w:ind w:firstLine="0"/>
              <w:jc w:val="center"/>
              <w:rPr>
                <w:snapToGrid w:val="0"/>
                <w:sz w:val="20"/>
              </w:rPr>
            </w:pPr>
            <w:r w:rsidRPr="004A4B8A">
              <w:rPr>
                <w:snapToGrid w:val="0"/>
                <w:sz w:val="20"/>
              </w:rPr>
              <w:t>346,2</w:t>
            </w:r>
          </w:p>
        </w:tc>
      </w:tr>
      <w:tr w:rsidR="007870D7" w:rsidRPr="004A4B8A" w:rsidTr="008671DD">
        <w:trPr>
          <w:jc w:val="center"/>
        </w:trPr>
        <w:tc>
          <w:tcPr>
            <w:tcW w:w="2500" w:type="pct"/>
          </w:tcPr>
          <w:p w:rsidR="007870D7" w:rsidRPr="004A4B8A" w:rsidRDefault="007870D7" w:rsidP="00AA0C50">
            <w:pPr>
              <w:spacing w:after="0"/>
              <w:ind w:firstLine="0"/>
              <w:rPr>
                <w:snapToGrid w:val="0"/>
                <w:sz w:val="20"/>
              </w:rPr>
            </w:pPr>
            <w:r w:rsidRPr="004A4B8A">
              <w:rPr>
                <w:snapToGrid w:val="0"/>
                <w:sz w:val="20"/>
              </w:rPr>
              <w:t>pašvaldību pamatbudžetā</w:t>
            </w:r>
            <w:r w:rsidR="00AA0C50" w:rsidRPr="00AA0C50">
              <w:rPr>
                <w:snapToGrid w:val="0"/>
                <w:sz w:val="20"/>
                <w:vertAlign w:val="superscript"/>
              </w:rPr>
              <w:t>4</w:t>
            </w:r>
          </w:p>
        </w:tc>
        <w:tc>
          <w:tcPr>
            <w:tcW w:w="626" w:type="pct"/>
          </w:tcPr>
          <w:p w:rsidR="007870D7" w:rsidRPr="004A4B8A" w:rsidRDefault="007870D7" w:rsidP="007870D7">
            <w:pPr>
              <w:spacing w:after="0"/>
              <w:ind w:firstLine="0"/>
              <w:jc w:val="center"/>
              <w:rPr>
                <w:snapToGrid w:val="0"/>
                <w:sz w:val="20"/>
              </w:rPr>
            </w:pPr>
            <w:r w:rsidRPr="004A4B8A">
              <w:rPr>
                <w:snapToGrid w:val="0"/>
                <w:sz w:val="20"/>
              </w:rPr>
              <w:t>1 233,2</w:t>
            </w:r>
          </w:p>
        </w:tc>
        <w:tc>
          <w:tcPr>
            <w:tcW w:w="626" w:type="pct"/>
          </w:tcPr>
          <w:p w:rsidR="007870D7" w:rsidRPr="004A4B8A" w:rsidRDefault="007870D7" w:rsidP="007870D7">
            <w:pPr>
              <w:spacing w:after="0"/>
              <w:ind w:firstLine="0"/>
              <w:jc w:val="center"/>
              <w:rPr>
                <w:snapToGrid w:val="0"/>
                <w:sz w:val="20"/>
              </w:rPr>
            </w:pPr>
            <w:r w:rsidRPr="004A4B8A">
              <w:rPr>
                <w:snapToGrid w:val="0"/>
                <w:sz w:val="20"/>
              </w:rPr>
              <w:t>1 351,7</w:t>
            </w:r>
          </w:p>
        </w:tc>
        <w:tc>
          <w:tcPr>
            <w:tcW w:w="623" w:type="pct"/>
          </w:tcPr>
          <w:p w:rsidR="007870D7" w:rsidRPr="004A4B8A" w:rsidRDefault="007870D7" w:rsidP="007870D7">
            <w:pPr>
              <w:spacing w:after="0"/>
              <w:ind w:firstLine="0"/>
              <w:jc w:val="center"/>
              <w:rPr>
                <w:snapToGrid w:val="0"/>
                <w:sz w:val="20"/>
              </w:rPr>
            </w:pPr>
            <w:r w:rsidRPr="004A4B8A">
              <w:rPr>
                <w:snapToGrid w:val="0"/>
                <w:sz w:val="20"/>
              </w:rPr>
              <w:t>1 387,8</w:t>
            </w:r>
          </w:p>
        </w:tc>
        <w:tc>
          <w:tcPr>
            <w:tcW w:w="625" w:type="pct"/>
          </w:tcPr>
          <w:p w:rsidR="007870D7" w:rsidRPr="004A4B8A" w:rsidRDefault="007870D7" w:rsidP="007870D7">
            <w:pPr>
              <w:spacing w:after="0"/>
              <w:ind w:firstLine="0"/>
              <w:jc w:val="center"/>
              <w:rPr>
                <w:snapToGrid w:val="0"/>
                <w:sz w:val="20"/>
              </w:rPr>
            </w:pPr>
            <w:r w:rsidRPr="004A4B8A">
              <w:rPr>
                <w:snapToGrid w:val="0"/>
                <w:sz w:val="20"/>
              </w:rPr>
              <w:t>1 384,9</w:t>
            </w:r>
          </w:p>
        </w:tc>
      </w:tr>
      <w:tr w:rsidR="007870D7" w:rsidRPr="004A4B8A" w:rsidTr="008671DD">
        <w:trPr>
          <w:jc w:val="center"/>
        </w:trPr>
        <w:tc>
          <w:tcPr>
            <w:tcW w:w="2500" w:type="pct"/>
          </w:tcPr>
          <w:p w:rsidR="007870D7" w:rsidRPr="004A4B8A" w:rsidRDefault="007870D7" w:rsidP="007870D7">
            <w:pPr>
              <w:spacing w:after="0"/>
              <w:ind w:firstLine="0"/>
              <w:rPr>
                <w:i/>
                <w:snapToGrid w:val="0"/>
                <w:sz w:val="20"/>
              </w:rPr>
            </w:pPr>
            <w:r w:rsidRPr="004A4B8A">
              <w:rPr>
                <w:i/>
                <w:snapToGrid w:val="0"/>
                <w:sz w:val="20"/>
              </w:rPr>
              <w:t>pieauguma tempi faktiskās cenās, %</w:t>
            </w:r>
          </w:p>
        </w:tc>
        <w:tc>
          <w:tcPr>
            <w:tcW w:w="626" w:type="pct"/>
          </w:tcPr>
          <w:p w:rsidR="007870D7" w:rsidRPr="004A4B8A" w:rsidRDefault="007870D7" w:rsidP="007870D7">
            <w:pPr>
              <w:spacing w:after="0"/>
              <w:ind w:firstLine="0"/>
              <w:jc w:val="center"/>
              <w:rPr>
                <w:i/>
                <w:snapToGrid w:val="0"/>
                <w:sz w:val="20"/>
              </w:rPr>
            </w:pPr>
            <w:r w:rsidRPr="004A4B8A">
              <w:rPr>
                <w:i/>
                <w:snapToGrid w:val="0"/>
                <w:sz w:val="20"/>
              </w:rPr>
              <w:t>6,4</w:t>
            </w:r>
          </w:p>
        </w:tc>
        <w:tc>
          <w:tcPr>
            <w:tcW w:w="626" w:type="pct"/>
          </w:tcPr>
          <w:p w:rsidR="007870D7" w:rsidRPr="004A4B8A" w:rsidRDefault="007870D7" w:rsidP="007870D7">
            <w:pPr>
              <w:spacing w:after="0"/>
              <w:ind w:firstLine="0"/>
              <w:jc w:val="center"/>
              <w:rPr>
                <w:i/>
                <w:snapToGrid w:val="0"/>
                <w:sz w:val="20"/>
              </w:rPr>
            </w:pPr>
            <w:r w:rsidRPr="004A4B8A">
              <w:rPr>
                <w:i/>
                <w:snapToGrid w:val="0"/>
                <w:sz w:val="20"/>
              </w:rPr>
              <w:t>10,7</w:t>
            </w:r>
          </w:p>
        </w:tc>
        <w:tc>
          <w:tcPr>
            <w:tcW w:w="623" w:type="pct"/>
          </w:tcPr>
          <w:p w:rsidR="007870D7" w:rsidRPr="004A4B8A" w:rsidRDefault="007870D7" w:rsidP="007870D7">
            <w:pPr>
              <w:spacing w:after="0"/>
              <w:ind w:firstLine="0"/>
              <w:jc w:val="center"/>
              <w:rPr>
                <w:i/>
                <w:snapToGrid w:val="0"/>
                <w:sz w:val="20"/>
              </w:rPr>
            </w:pPr>
            <w:r w:rsidRPr="004A4B8A">
              <w:rPr>
                <w:i/>
                <w:snapToGrid w:val="0"/>
                <w:sz w:val="20"/>
              </w:rPr>
              <w:t>2,1</w:t>
            </w:r>
          </w:p>
        </w:tc>
        <w:tc>
          <w:tcPr>
            <w:tcW w:w="625" w:type="pct"/>
          </w:tcPr>
          <w:p w:rsidR="007870D7" w:rsidRPr="004A4B8A" w:rsidRDefault="007870D7" w:rsidP="007870D7">
            <w:pPr>
              <w:spacing w:after="0"/>
              <w:ind w:firstLine="0"/>
              <w:jc w:val="center"/>
              <w:rPr>
                <w:i/>
                <w:snapToGrid w:val="0"/>
                <w:sz w:val="20"/>
              </w:rPr>
            </w:pPr>
            <w:r w:rsidRPr="004A4B8A">
              <w:rPr>
                <w:i/>
                <w:snapToGrid w:val="0"/>
                <w:sz w:val="20"/>
              </w:rPr>
              <w:t>0,2</w:t>
            </w:r>
          </w:p>
        </w:tc>
      </w:tr>
      <w:tr w:rsidR="007870D7" w:rsidRPr="004A4B8A" w:rsidTr="008671DD">
        <w:trPr>
          <w:jc w:val="center"/>
        </w:trPr>
        <w:tc>
          <w:tcPr>
            <w:tcW w:w="2500" w:type="pct"/>
          </w:tcPr>
          <w:p w:rsidR="007870D7" w:rsidRPr="004A4B8A" w:rsidRDefault="007870D7" w:rsidP="007870D7">
            <w:pPr>
              <w:spacing w:after="0"/>
              <w:ind w:firstLine="0"/>
              <w:rPr>
                <w:i/>
                <w:snapToGrid w:val="0"/>
                <w:sz w:val="20"/>
              </w:rPr>
            </w:pPr>
            <w:r w:rsidRPr="004A4B8A">
              <w:rPr>
                <w:i/>
                <w:snapToGrid w:val="0"/>
                <w:sz w:val="20"/>
              </w:rPr>
              <w:t>% no IKP</w:t>
            </w:r>
          </w:p>
        </w:tc>
        <w:tc>
          <w:tcPr>
            <w:tcW w:w="626" w:type="pct"/>
          </w:tcPr>
          <w:p w:rsidR="007870D7" w:rsidRPr="004A4B8A" w:rsidRDefault="007870D7" w:rsidP="007870D7">
            <w:pPr>
              <w:spacing w:after="0"/>
              <w:ind w:firstLine="0"/>
              <w:jc w:val="center"/>
              <w:rPr>
                <w:i/>
                <w:snapToGrid w:val="0"/>
                <w:sz w:val="20"/>
              </w:rPr>
            </w:pPr>
            <w:r w:rsidRPr="004A4B8A">
              <w:rPr>
                <w:i/>
                <w:snapToGrid w:val="0"/>
                <w:sz w:val="20"/>
              </w:rPr>
              <w:t>6,1</w:t>
            </w:r>
          </w:p>
        </w:tc>
        <w:tc>
          <w:tcPr>
            <w:tcW w:w="626" w:type="pct"/>
          </w:tcPr>
          <w:p w:rsidR="007870D7" w:rsidRPr="004A4B8A" w:rsidRDefault="007870D7" w:rsidP="007870D7">
            <w:pPr>
              <w:spacing w:after="0"/>
              <w:ind w:firstLine="0"/>
              <w:jc w:val="center"/>
              <w:rPr>
                <w:i/>
                <w:snapToGrid w:val="0"/>
                <w:sz w:val="20"/>
              </w:rPr>
            </w:pPr>
            <w:r w:rsidRPr="004A4B8A">
              <w:rPr>
                <w:i/>
                <w:snapToGrid w:val="0"/>
                <w:sz w:val="20"/>
              </w:rPr>
              <w:t>6,3</w:t>
            </w:r>
          </w:p>
        </w:tc>
        <w:tc>
          <w:tcPr>
            <w:tcW w:w="623" w:type="pct"/>
          </w:tcPr>
          <w:p w:rsidR="007870D7" w:rsidRPr="004A4B8A" w:rsidRDefault="007870D7" w:rsidP="007870D7">
            <w:pPr>
              <w:spacing w:after="0"/>
              <w:ind w:firstLine="0"/>
              <w:jc w:val="center"/>
              <w:rPr>
                <w:i/>
                <w:snapToGrid w:val="0"/>
                <w:sz w:val="20"/>
              </w:rPr>
            </w:pPr>
            <w:r w:rsidRPr="004A4B8A">
              <w:rPr>
                <w:i/>
                <w:snapToGrid w:val="0"/>
                <w:sz w:val="20"/>
              </w:rPr>
              <w:t>6,0</w:t>
            </w:r>
          </w:p>
        </w:tc>
        <w:tc>
          <w:tcPr>
            <w:tcW w:w="625" w:type="pct"/>
          </w:tcPr>
          <w:p w:rsidR="007870D7" w:rsidRPr="004A4B8A" w:rsidRDefault="007870D7" w:rsidP="007870D7">
            <w:pPr>
              <w:spacing w:after="0"/>
              <w:ind w:firstLine="0"/>
              <w:jc w:val="center"/>
              <w:rPr>
                <w:i/>
                <w:snapToGrid w:val="0"/>
                <w:sz w:val="20"/>
              </w:rPr>
            </w:pPr>
            <w:r w:rsidRPr="004A4B8A">
              <w:rPr>
                <w:i/>
                <w:snapToGrid w:val="0"/>
                <w:sz w:val="20"/>
              </w:rPr>
              <w:t>5,6</w:t>
            </w:r>
          </w:p>
        </w:tc>
      </w:tr>
    </w:tbl>
    <w:p w:rsidR="007870D7" w:rsidRPr="004A4B8A" w:rsidRDefault="00AA0C50" w:rsidP="007870D7">
      <w:pPr>
        <w:spacing w:beforeLines="20" w:before="48" w:afterLines="20" w:after="48"/>
        <w:ind w:firstLine="0"/>
        <w:contextualSpacing/>
        <w:rPr>
          <w:sz w:val="18"/>
          <w:szCs w:val="18"/>
        </w:rPr>
      </w:pPr>
      <w:r w:rsidRPr="00AA0C50">
        <w:rPr>
          <w:sz w:val="18"/>
          <w:szCs w:val="18"/>
          <w:vertAlign w:val="superscript"/>
        </w:rPr>
        <w:t>4</w:t>
      </w:r>
      <w:r w:rsidR="007870D7" w:rsidRPr="00AA0C50">
        <w:rPr>
          <w:sz w:val="18"/>
          <w:szCs w:val="18"/>
          <w:vertAlign w:val="superscript"/>
        </w:rPr>
        <w:t xml:space="preserve"> </w:t>
      </w:r>
      <w:r w:rsidR="007870D7" w:rsidRPr="004A4B8A">
        <w:rPr>
          <w:sz w:val="18"/>
          <w:szCs w:val="18"/>
        </w:rPr>
        <w:t>no 2012.gada – valsts budžetā 80% un pašvaldību budžetā 20%</w:t>
      </w:r>
    </w:p>
    <w:p w:rsidR="007870D7" w:rsidRPr="00B22DC7" w:rsidRDefault="007870D7" w:rsidP="007870D7">
      <w:pPr>
        <w:pStyle w:val="cipari"/>
      </w:pPr>
    </w:p>
    <w:bookmarkEnd w:id="10"/>
    <w:bookmarkEnd w:id="11"/>
    <w:bookmarkEnd w:id="12"/>
    <w:bookmarkEnd w:id="13"/>
    <w:p w:rsidR="007870D7" w:rsidRPr="006E395D" w:rsidRDefault="007870D7" w:rsidP="007870D7">
      <w:pPr>
        <w:ind w:firstLine="0"/>
        <w:jc w:val="center"/>
        <w:outlineLvl w:val="3"/>
        <w:rPr>
          <w:b/>
          <w:sz w:val="28"/>
        </w:rPr>
      </w:pPr>
      <w:r w:rsidRPr="006E395D">
        <w:rPr>
          <w:b/>
          <w:sz w:val="28"/>
        </w:rPr>
        <w:t>Valsts sociālās apdrošināšanas iemaksas, ieskaitot solidaritātes nodokļa daļu valsts speciālajā budžetā</w:t>
      </w:r>
      <w:r w:rsidRPr="006E395D">
        <w:rPr>
          <w:rStyle w:val="FootnoteReference"/>
          <w:b/>
          <w:sz w:val="28"/>
        </w:rPr>
        <w:t xml:space="preserve"> </w:t>
      </w:r>
      <w:r w:rsidRPr="006E395D">
        <w:rPr>
          <w:rStyle w:val="FootnoteReference"/>
          <w:b/>
          <w:sz w:val="28"/>
        </w:rPr>
        <w:footnoteReference w:id="3"/>
      </w:r>
    </w:p>
    <w:p w:rsidR="007870D7" w:rsidRPr="00B22DC7" w:rsidRDefault="007870D7" w:rsidP="007870D7">
      <w:pPr>
        <w:pStyle w:val="cipari"/>
        <w:spacing w:after="0"/>
      </w:pPr>
    </w:p>
    <w:p w:rsidR="007870D7" w:rsidRDefault="007870D7" w:rsidP="007870D7">
      <w:r w:rsidRPr="008B6FC5">
        <w:t xml:space="preserve">Sociālās apdrošināšanas iemaksām </w:t>
      </w:r>
      <w:r>
        <w:t>ir</w:t>
      </w:r>
      <w:r w:rsidRPr="008B6FC5">
        <w:t xml:space="preserve"> lielākais īpatsvars no visiem tiešajiem nodokļiem. </w:t>
      </w:r>
      <w:r w:rsidRPr="008B6FC5">
        <w:rPr>
          <w:szCs w:val="24"/>
        </w:rPr>
        <w:t xml:space="preserve">Valsts sociālās apdrošināšanas iemaksu likme kopš 2018.gada ir 35,09% (11% darba ņēmēja un 24,09% - darba devēja daļa). </w:t>
      </w:r>
      <w:r>
        <w:rPr>
          <w:szCs w:val="24"/>
        </w:rPr>
        <w:t xml:space="preserve">2018.gadā </w:t>
      </w:r>
      <w:r w:rsidRPr="00C00805">
        <w:t>valsts sociālās apdro</w:t>
      </w:r>
      <w:r>
        <w:t xml:space="preserve">šināšanas obligāto iemaksu </w:t>
      </w:r>
      <w:r>
        <w:lastRenderedPageBreak/>
        <w:t>likme tika palielināta</w:t>
      </w:r>
      <w:r w:rsidRPr="00C00805">
        <w:t xml:space="preserve"> par 1</w:t>
      </w:r>
      <w:r>
        <w:t> </w:t>
      </w:r>
      <w:r w:rsidRPr="00C00805">
        <w:t>procentpunktu</w:t>
      </w:r>
      <w:r>
        <w:t xml:space="preserve">, </w:t>
      </w:r>
      <w:r>
        <w:rPr>
          <w:color w:val="000000" w:themeColor="text1"/>
          <w:spacing w:val="-2"/>
        </w:rPr>
        <w:t xml:space="preserve">novirzot to </w:t>
      </w:r>
      <w:r w:rsidRPr="00B801CD">
        <w:t>pamatbudžetā veselības aprūpes finansēšanai</w:t>
      </w:r>
      <w:r>
        <w:rPr>
          <w:color w:val="000000" w:themeColor="text1"/>
          <w:spacing w:val="-2"/>
        </w:rPr>
        <w:t xml:space="preserve">. </w:t>
      </w:r>
      <w:r w:rsidRPr="008B6FC5">
        <w:rPr>
          <w:szCs w:val="24"/>
        </w:rPr>
        <w:t xml:space="preserve">Valsts sociālās apdrošināšanas obligātās iemaksas piemēro ienākumu daļai līdz noteiktam maksimālajam objektam, kas 2018.gadā bija 55 000 </w:t>
      </w:r>
      <w:proofErr w:type="spellStart"/>
      <w:r w:rsidRPr="008B6FC5">
        <w:rPr>
          <w:i/>
        </w:rPr>
        <w:t>euro</w:t>
      </w:r>
      <w:proofErr w:type="spellEnd"/>
      <w:r w:rsidRPr="008B6FC5">
        <w:t>, bet ar 2019.gadu ir 62 800 </w:t>
      </w:r>
      <w:proofErr w:type="spellStart"/>
      <w:r w:rsidRPr="008B6FC5">
        <w:rPr>
          <w:i/>
        </w:rPr>
        <w:t>euro</w:t>
      </w:r>
      <w:proofErr w:type="spellEnd"/>
      <w:r w:rsidRPr="008B6FC5">
        <w:t>.</w:t>
      </w:r>
    </w:p>
    <w:p w:rsidR="007870D7" w:rsidRPr="008B6FC5" w:rsidRDefault="007870D7" w:rsidP="007870D7">
      <w:r w:rsidRPr="00CC4935">
        <w:t xml:space="preserve">Nodokļu reformas ietvaros ar 2018.gadu tika transformēts </w:t>
      </w:r>
      <w:r>
        <w:t xml:space="preserve">ar </w:t>
      </w:r>
      <w:r w:rsidRPr="00CC4935">
        <w:t>2016. gad</w:t>
      </w:r>
      <w:r>
        <w:t>u</w:t>
      </w:r>
      <w:r w:rsidRPr="00CC4935">
        <w:t xml:space="preserve"> ieviestais solidaritātes nodoklis, kura </w:t>
      </w:r>
      <w:r w:rsidRPr="00CC4935">
        <w:rPr>
          <w:rFonts w:eastAsiaTheme="minorHAnsi"/>
        </w:rPr>
        <w:t xml:space="preserve">mērķis ir novērst </w:t>
      </w:r>
      <w:r w:rsidRPr="00CC4935">
        <w:rPr>
          <w:szCs w:val="24"/>
          <w:lang w:eastAsia="lv-LV"/>
        </w:rPr>
        <w:t>regresīvo darbaspēka nodokļu sistēmu, kas bija radusies no valsts sociālās apdrošināšanas obligāto iemaksu objekta maksimālā apmēra atjaunošanas (2014.gada 1.janvārī tika atjaunots valsts sociālās apdrošināšanas obligāto iemaksu objekta maksimālais apmērs un nodokļu maksātājiem, kuru ienākumi bija virs noteiktā iemaksu objekta maksimālā apmēra,</w:t>
      </w:r>
      <w:r w:rsidRPr="00CC4935">
        <w:rPr>
          <w:szCs w:val="24"/>
          <w:shd w:val="clear" w:color="auto" w:fill="FFFFFF"/>
          <w:lang w:eastAsia="lv-LV"/>
        </w:rPr>
        <w:t xml:space="preserve"> nodokļu slogs kļuva mazāks, salīdzinot ar tām personām, kas nodokļu </w:t>
      </w:r>
      <w:r w:rsidRPr="00CC4935">
        <w:rPr>
          <w:szCs w:val="24"/>
        </w:rPr>
        <w:t>maksājumus veic no visiem darba ienākumiem).</w:t>
      </w:r>
      <w:r w:rsidRPr="008B6FC5">
        <w:t xml:space="preserve"> 2016. un 2017.gadā solidaritātes nodoklis pilnā apmērā tika ieskaitīts valsts pamatbudžetā, taču ar 2018.gad</w:t>
      </w:r>
      <w:r>
        <w:t>a 1. janvāri</w:t>
      </w:r>
      <w:r w:rsidRPr="008B6FC5">
        <w:t xml:space="preserve"> nodoklis ar 35,09% likmi i</w:t>
      </w:r>
      <w:r>
        <w:t>enākumiem, kas pārsniedz 55 0</w:t>
      </w:r>
      <w:r w:rsidRPr="008B6FC5">
        <w:t>00 </w:t>
      </w:r>
      <w:proofErr w:type="spellStart"/>
      <w:r w:rsidRPr="008B6FC5">
        <w:rPr>
          <w:i/>
        </w:rPr>
        <w:t>euro</w:t>
      </w:r>
      <w:proofErr w:type="spellEnd"/>
      <w:r w:rsidRPr="008B6FC5">
        <w:t xml:space="preserve"> gadā, tika attiecīgi sadalīts:</w:t>
      </w:r>
    </w:p>
    <w:p w:rsidR="007870D7" w:rsidRPr="008B6FC5" w:rsidRDefault="007870D7" w:rsidP="004A7868">
      <w:pPr>
        <w:pStyle w:val="ListParagraph"/>
        <w:numPr>
          <w:ilvl w:val="0"/>
          <w:numId w:val="13"/>
        </w:numPr>
        <w:rPr>
          <w:szCs w:val="24"/>
        </w:rPr>
      </w:pPr>
      <w:r w:rsidRPr="008B6FC5">
        <w:rPr>
          <w:szCs w:val="24"/>
        </w:rPr>
        <w:t>1 procentpunkts veselības aprūpes finansēšanai (veselības apdrošināšanai), ko 0,5% apmērā sedz darba ņēmējs un 0,5% - darba devējs;</w:t>
      </w:r>
    </w:p>
    <w:p w:rsidR="007870D7" w:rsidRPr="008B6FC5" w:rsidRDefault="007870D7" w:rsidP="004A7868">
      <w:pPr>
        <w:pStyle w:val="ListParagraph"/>
        <w:numPr>
          <w:ilvl w:val="0"/>
          <w:numId w:val="13"/>
        </w:numPr>
        <w:rPr>
          <w:szCs w:val="24"/>
        </w:rPr>
      </w:pPr>
      <w:r w:rsidRPr="008B6FC5">
        <w:rPr>
          <w:szCs w:val="24"/>
        </w:rPr>
        <w:t xml:space="preserve">6 procentpunkti sociāli apdrošināto personu – </w:t>
      </w:r>
      <w:proofErr w:type="spellStart"/>
      <w:r w:rsidRPr="008B6FC5">
        <w:rPr>
          <w:szCs w:val="24"/>
        </w:rPr>
        <w:t>fondēto</w:t>
      </w:r>
      <w:proofErr w:type="spellEnd"/>
      <w:r w:rsidRPr="008B6FC5">
        <w:rPr>
          <w:szCs w:val="24"/>
        </w:rPr>
        <w:t xml:space="preserve"> pensiju shēmas dalībnieku kontos (sedz darba devējs);</w:t>
      </w:r>
    </w:p>
    <w:p w:rsidR="007870D7" w:rsidRPr="008B6FC5" w:rsidRDefault="007870D7" w:rsidP="004A7868">
      <w:pPr>
        <w:pStyle w:val="ListParagraph"/>
        <w:numPr>
          <w:ilvl w:val="0"/>
          <w:numId w:val="13"/>
        </w:numPr>
        <w:rPr>
          <w:szCs w:val="24"/>
        </w:rPr>
      </w:pPr>
      <w:r w:rsidRPr="008B6FC5">
        <w:rPr>
          <w:szCs w:val="24"/>
        </w:rPr>
        <w:t>4 procentpunkti nodokļa maksātāja izvēlētajā privātā pensiju fonda pensiju plānā (sedz darba devējs);</w:t>
      </w:r>
    </w:p>
    <w:p w:rsidR="007870D7" w:rsidRPr="008B6FC5" w:rsidRDefault="007870D7" w:rsidP="004A7868">
      <w:pPr>
        <w:pStyle w:val="ListParagraph"/>
        <w:numPr>
          <w:ilvl w:val="0"/>
          <w:numId w:val="13"/>
        </w:numPr>
        <w:rPr>
          <w:szCs w:val="24"/>
        </w:rPr>
      </w:pPr>
      <w:r w:rsidRPr="008B6FC5">
        <w:rPr>
          <w:szCs w:val="24"/>
        </w:rPr>
        <w:t>13,59 procentpunkti valsts pensiju speciālā budžeta ieņēmumos (sedz darba devējs);</w:t>
      </w:r>
    </w:p>
    <w:p w:rsidR="007870D7" w:rsidRPr="008B6FC5" w:rsidRDefault="007870D7" w:rsidP="004A7868">
      <w:pPr>
        <w:pStyle w:val="ListParagraph"/>
        <w:numPr>
          <w:ilvl w:val="0"/>
          <w:numId w:val="13"/>
        </w:numPr>
        <w:rPr>
          <w:szCs w:val="24"/>
        </w:rPr>
      </w:pPr>
      <w:r w:rsidRPr="008B6FC5">
        <w:rPr>
          <w:szCs w:val="24"/>
        </w:rPr>
        <w:t xml:space="preserve">10,5 procentpunkti ieskaitot </w:t>
      </w:r>
      <w:r w:rsidRPr="008B6FC5">
        <w:rPr>
          <w:rFonts w:eastAsia="Calibri"/>
          <w:color w:val="000000"/>
          <w:szCs w:val="24"/>
          <w:lang w:eastAsia="lv-LV"/>
        </w:rPr>
        <w:t>iedzīvotāju ienākuma nodokļa</w:t>
      </w:r>
      <w:r w:rsidRPr="008B6FC5">
        <w:rPr>
          <w:szCs w:val="24"/>
        </w:rPr>
        <w:t xml:space="preserve"> sadales kontā, nodrošinot, ka nodokļu maksātājam, iesniedzot gada ienākumu deklarāciju un veicot </w:t>
      </w:r>
      <w:r w:rsidRPr="008B6FC5">
        <w:rPr>
          <w:rFonts w:eastAsia="Calibri"/>
          <w:color w:val="000000"/>
          <w:szCs w:val="24"/>
          <w:lang w:eastAsia="lv-LV"/>
        </w:rPr>
        <w:t>iedzīvotāju ienākuma nodokļa</w:t>
      </w:r>
      <w:r w:rsidRPr="008B6FC5">
        <w:rPr>
          <w:szCs w:val="24"/>
        </w:rPr>
        <w:t xml:space="preserve"> pārrēķinu ar trīs likmēm (trešā likme 31,4%), aprēķinātais budžetā maksājamais nodoklis būs līdzvērtīgs jau samaksātajam </w:t>
      </w:r>
      <w:r w:rsidRPr="008B6FC5">
        <w:rPr>
          <w:rFonts w:eastAsia="Calibri"/>
          <w:color w:val="000000"/>
          <w:szCs w:val="24"/>
          <w:lang w:eastAsia="lv-LV"/>
        </w:rPr>
        <w:t>iedzīvotāju ienākuma nodoklim</w:t>
      </w:r>
      <w:r w:rsidRPr="008B6FC5">
        <w:rPr>
          <w:szCs w:val="24"/>
        </w:rPr>
        <w:t xml:space="preserve"> un solidaritātes nodokļa daļai (sedz darba ņēmējs).</w:t>
      </w:r>
    </w:p>
    <w:p w:rsidR="007870D7" w:rsidRPr="008B6FC5" w:rsidRDefault="007870D7" w:rsidP="007870D7">
      <w:r>
        <w:t xml:space="preserve">Ņemot vērā iepriekš minēto, turpmāk sociālās apdrošināšanas iemaksas norādītas ieskaitot solidaritātes nodokļa daļu 13,59% apmērā, ko ieskaita </w:t>
      </w:r>
      <w:r w:rsidRPr="008B6FC5">
        <w:rPr>
          <w:szCs w:val="24"/>
        </w:rPr>
        <w:t>valsts pensiju speciālā budžeta ieņēmumos</w:t>
      </w:r>
      <w:r>
        <w:t>.</w:t>
      </w:r>
    </w:p>
    <w:p w:rsidR="007870D7" w:rsidRPr="00645F1D" w:rsidRDefault="007870D7" w:rsidP="007870D7">
      <w:r w:rsidRPr="008B6FC5">
        <w:t xml:space="preserve">Sociālās apdrošināšanas iemaksas 2018.gadā veidoja 29,4% no kopbudžeta nodokļu </w:t>
      </w:r>
      <w:r w:rsidRPr="00B607DB">
        <w:t>ieņēmumiem. 2018.gadā valsts sociālās apdrošināšanas iemaksu ieņēmumi valsts speciālajā budžetā bija 2 543,2 milj. </w:t>
      </w:r>
      <w:proofErr w:type="spellStart"/>
      <w:r w:rsidRPr="00B607DB">
        <w:rPr>
          <w:i/>
        </w:rPr>
        <w:t>euro</w:t>
      </w:r>
      <w:proofErr w:type="spellEnd"/>
      <w:r w:rsidRPr="00B607DB">
        <w:t>, kas salīdzinājumā ar 2017.gadu ir par 286,2 milj. </w:t>
      </w:r>
      <w:proofErr w:type="spellStart"/>
      <w:r w:rsidRPr="00B607DB">
        <w:rPr>
          <w:i/>
        </w:rPr>
        <w:t>euro</w:t>
      </w:r>
      <w:proofErr w:type="spellEnd"/>
      <w:r w:rsidRPr="00B607DB">
        <w:t xml:space="preserve"> jeb 12,7% vairāk.</w:t>
      </w:r>
      <w:r>
        <w:t xml:space="preserve"> </w:t>
      </w:r>
      <w:r w:rsidRPr="00A913FE">
        <w:t xml:space="preserve">Indikatīvi vērtējams, ka no sociālās apdrošināšanas </w:t>
      </w:r>
      <w:r w:rsidR="00535E35">
        <w:t>iemaksām 16,8</w:t>
      </w:r>
      <w:r w:rsidRPr="00645F1D">
        <w:t> milj. </w:t>
      </w:r>
      <w:proofErr w:type="spellStart"/>
      <w:r w:rsidRPr="00645F1D">
        <w:rPr>
          <w:i/>
        </w:rPr>
        <w:t>euro</w:t>
      </w:r>
      <w:proofErr w:type="spellEnd"/>
      <w:r w:rsidRPr="00645F1D">
        <w:t xml:space="preserve"> sastādīja iemaksas </w:t>
      </w:r>
      <w:r w:rsidRPr="00645F1D">
        <w:rPr>
          <w:szCs w:val="24"/>
        </w:rPr>
        <w:t>valsts pensiju speciālajā budžetā no solidaritātes nodokļa.</w:t>
      </w:r>
      <w:r w:rsidRPr="00645F1D">
        <w:t>2018.gadā valsts sociālās apdrošināšanas iemaksu ieņēmumi valsts pamatbudžetā veselības finansēšanai bija 85,6 milj. </w:t>
      </w:r>
      <w:proofErr w:type="spellStart"/>
      <w:r w:rsidRPr="00645F1D">
        <w:rPr>
          <w:i/>
        </w:rPr>
        <w:t>euro</w:t>
      </w:r>
      <w:proofErr w:type="spellEnd"/>
      <w:r w:rsidRPr="00645F1D">
        <w:t>.</w:t>
      </w:r>
    </w:p>
    <w:p w:rsidR="007870D7" w:rsidRPr="002627F0" w:rsidRDefault="007870D7" w:rsidP="007870D7">
      <w:r w:rsidRPr="002627F0">
        <w:t>Sociālās apdrošināšanas iemaksu pieaugumu galvenokārt noteica</w:t>
      </w:r>
      <w:r>
        <w:t xml:space="preserve"> nodokļu reformas pasākumi, kas stājās spēkā 2018.gada 1.janvārī, (piem., kā minimālās mēneša darba algas palielināšana no 380 </w:t>
      </w:r>
      <w:proofErr w:type="spellStart"/>
      <w:r w:rsidRPr="009136BA">
        <w:rPr>
          <w:i/>
        </w:rPr>
        <w:t>euro</w:t>
      </w:r>
      <w:proofErr w:type="spellEnd"/>
      <w:r>
        <w:t xml:space="preserve"> līdz 430 </w:t>
      </w:r>
      <w:proofErr w:type="spellStart"/>
      <w:r w:rsidRPr="009136BA">
        <w:rPr>
          <w:i/>
        </w:rPr>
        <w:t>euro</w:t>
      </w:r>
      <w:proofErr w:type="spellEnd"/>
      <w:r>
        <w:t xml:space="preserve"> un īstenotie pasākumi cīņā ar ēnu ekonomiku) un</w:t>
      </w:r>
      <w:r w:rsidRPr="002627F0">
        <w:rPr>
          <w:szCs w:val="24"/>
        </w:rPr>
        <w:t xml:space="preserve"> </w:t>
      </w:r>
      <w:r w:rsidRPr="002627F0">
        <w:t>darba samaksas pieaugums. Pēc informācijas iesniegtajos darba devēju ziņojumos par valsts sociālās apdrošināšanas obligātajām iemaksām un ie</w:t>
      </w:r>
      <w:r>
        <w:t>dzīvotāju ienākuma nodokli, 2018</w:t>
      </w:r>
      <w:r w:rsidRPr="002627F0">
        <w:t>.gada pārskata periodā</w:t>
      </w:r>
      <w:r>
        <w:rPr>
          <w:rStyle w:val="FootnoteReference"/>
        </w:rPr>
        <w:footnoteReference w:id="4"/>
      </w:r>
      <w:r>
        <w:t xml:space="preserve"> </w:t>
      </w:r>
      <w:r w:rsidRPr="002627F0">
        <w:t>nodarbināto vidējie mēneša ienākumi valstī bija 982 </w:t>
      </w:r>
      <w:proofErr w:type="spellStart"/>
      <w:r w:rsidRPr="002627F0">
        <w:rPr>
          <w:i/>
        </w:rPr>
        <w:t>euro</w:t>
      </w:r>
      <w:proofErr w:type="spellEnd"/>
      <w:r w:rsidRPr="002627F0">
        <w:t>, kas, salīdzinot ar 2017.gada pārskata periodu, ir palielinājušies par 9,4 procentiem.</w:t>
      </w:r>
    </w:p>
    <w:p w:rsidR="007870D7" w:rsidRPr="00D1174F" w:rsidRDefault="00CA67AC" w:rsidP="007870D7">
      <w:r>
        <w:t>Saskaņā ar likum</w:t>
      </w:r>
      <w:r w:rsidR="007870D7" w:rsidRPr="00D1174F">
        <w:t>u „Par valsts budžetu 2019.gadam” 2019.gadā sociālās apdrošināšanas iemaksu ieņēmumi tiek prognozēti 2 727,1 milj. </w:t>
      </w:r>
      <w:proofErr w:type="spellStart"/>
      <w:r w:rsidR="007870D7" w:rsidRPr="00D1174F">
        <w:rPr>
          <w:i/>
        </w:rPr>
        <w:t>euro</w:t>
      </w:r>
      <w:proofErr w:type="spellEnd"/>
      <w:r w:rsidR="007870D7" w:rsidRPr="00D1174F">
        <w:t xml:space="preserve"> apmērā, kas salīdzinājumā ar 2018.gadu ir par 183,9 milj. </w:t>
      </w:r>
      <w:proofErr w:type="spellStart"/>
      <w:r w:rsidR="007870D7" w:rsidRPr="00D1174F">
        <w:rPr>
          <w:i/>
        </w:rPr>
        <w:t>euro</w:t>
      </w:r>
      <w:proofErr w:type="spellEnd"/>
      <w:r w:rsidR="007870D7" w:rsidRPr="00D1174F">
        <w:t xml:space="preserve"> jeb 7,2% vairāk. </w:t>
      </w:r>
    </w:p>
    <w:p w:rsidR="007870D7" w:rsidRPr="00E86E94" w:rsidRDefault="007870D7" w:rsidP="007870D7">
      <w:pPr>
        <w:rPr>
          <w:szCs w:val="24"/>
        </w:rPr>
      </w:pPr>
      <w:r>
        <w:lastRenderedPageBreak/>
        <w:t>2019</w:t>
      </w:r>
      <w:r w:rsidRPr="00E86E94">
        <w:t>.gada valsts sociālās apdrošināšanas iemaksu ieņēmumu plānā tiek ņemts vērā darba sa</w:t>
      </w:r>
      <w:r>
        <w:t>maksas fonda pieauguma temps (+6,1</w:t>
      </w:r>
      <w:r w:rsidRPr="00E86E94">
        <w:t>%</w:t>
      </w:r>
      <w:r>
        <w:t>,</w:t>
      </w:r>
      <w:r w:rsidRPr="00E86E94">
        <w:t xml:space="preserve"> salīdzinot ar 2018.gadu), </w:t>
      </w:r>
      <w:r w:rsidRPr="00396346">
        <w:t>valsts sociālo apdrošināšanas obligāto iemaksu un brīvprātīgo iemaksu objekta maksimālais apmēra palielināšana no 55 000 līdz</w:t>
      </w:r>
      <w:r>
        <w:t xml:space="preserve"> 62 </w:t>
      </w:r>
      <w:r w:rsidRPr="00396346">
        <w:t>800 </w:t>
      </w:r>
      <w:proofErr w:type="spellStart"/>
      <w:r w:rsidRPr="00396346">
        <w:rPr>
          <w:i/>
        </w:rPr>
        <w:t>euro</w:t>
      </w:r>
      <w:proofErr w:type="spellEnd"/>
      <w:r w:rsidRPr="00396346">
        <w:t xml:space="preserve">, kā arī </w:t>
      </w:r>
      <w:r w:rsidRPr="00E86E94">
        <w:t xml:space="preserve">pieņemtās likumdošanas izmaiņas, kas stājušās spēkā ar 2019.gada 1.janvāri un Ministru kabineta </w:t>
      </w:r>
      <w:r w:rsidRPr="00E86E94">
        <w:rPr>
          <w:szCs w:val="24"/>
        </w:rPr>
        <w:t xml:space="preserve">atbalstītās likumdošanas izmaiņas. </w:t>
      </w:r>
    </w:p>
    <w:p w:rsidR="007870D7" w:rsidRPr="000B6050" w:rsidRDefault="007870D7" w:rsidP="007870D7">
      <w:pPr>
        <w:rPr>
          <w:spacing w:val="-2"/>
          <w:szCs w:val="28"/>
        </w:rPr>
      </w:pPr>
      <w:r w:rsidRPr="006D71D1">
        <w:t xml:space="preserve">Valsts sociālās apdrošināšanas iemaksu ieņēmumus ietekmēs </w:t>
      </w:r>
      <w:r>
        <w:t>s</w:t>
      </w:r>
      <w:r w:rsidRPr="00E86E94">
        <w:t>olidaritātes nodokļa likmes izmaiņas</w:t>
      </w:r>
      <w:r>
        <w:t xml:space="preserve">, kas paredz, ka, </w:t>
      </w:r>
      <w:r>
        <w:rPr>
          <w:szCs w:val="28"/>
          <w:lang w:eastAsia="lv-LV"/>
        </w:rPr>
        <w:t>sākot ar 2019.</w:t>
      </w:r>
      <w:r w:rsidRPr="000B6050">
        <w:rPr>
          <w:szCs w:val="28"/>
          <w:lang w:eastAsia="lv-LV"/>
        </w:rPr>
        <w:t>gada 3.janvāri soli</w:t>
      </w:r>
      <w:r>
        <w:rPr>
          <w:szCs w:val="28"/>
          <w:lang w:eastAsia="lv-LV"/>
        </w:rPr>
        <w:t>daritātes nodokļa likme ir 25,5 procenti</w:t>
      </w:r>
      <w:r w:rsidRPr="000B6050">
        <w:rPr>
          <w:szCs w:val="28"/>
          <w:lang w:eastAsia="lv-LV"/>
        </w:rPr>
        <w:t xml:space="preserve">. Taksācijas periodā solidaritātes nodokļa objektam piemēro tādu pašu likmi, kādu piemēro valsts sociālās apdrošināšanas obligāto iemaksu objektam, un Valsts ieņēmumu dienests līdz pēctaksācijas gada 1.septembrim rezumējošā kārtībā veic pārmaksātā solidaritātes nodokļa atmaksu (starpību starp taksācijas periodā samaksāto solidaritātes nodokli, kas aprēķināts, piemērojot augstāku valsts sociālās apdrošināšanas obligāto iemaksu likmi un rezumējošā kārtībā aprēķināto solidaritātes nodokli, kas aprēķināts, piemērojot solidaritātes nodokļa likmi (25,5%)). </w:t>
      </w:r>
      <w:r>
        <w:rPr>
          <w:szCs w:val="28"/>
          <w:lang w:eastAsia="lv-LV"/>
        </w:rPr>
        <w:t>Ar 2019.gada 3.</w:t>
      </w:r>
      <w:r w:rsidRPr="000B6050">
        <w:rPr>
          <w:szCs w:val="28"/>
          <w:lang w:eastAsia="lv-LV"/>
        </w:rPr>
        <w:t>janvāri arī ir noteikta jauna solidaritātes nodokļa sadalīšanas secība</w:t>
      </w:r>
      <w:r w:rsidRPr="000B6050">
        <w:rPr>
          <w:spacing w:val="-2"/>
          <w:szCs w:val="28"/>
        </w:rPr>
        <w:t>, prioritāti piešķirot ar</w:t>
      </w:r>
      <w:r>
        <w:rPr>
          <w:spacing w:val="-2"/>
          <w:szCs w:val="28"/>
        </w:rPr>
        <w:t xml:space="preserve"> solidaritāti saistītām sadaļām</w:t>
      </w:r>
      <w:r w:rsidRPr="000B6050">
        <w:rPr>
          <w:spacing w:val="-2"/>
          <w:szCs w:val="28"/>
        </w:rPr>
        <w:t>:</w:t>
      </w:r>
    </w:p>
    <w:p w:rsidR="007870D7" w:rsidRPr="00FE6D1A" w:rsidRDefault="007870D7" w:rsidP="004A7868">
      <w:pPr>
        <w:numPr>
          <w:ilvl w:val="2"/>
          <w:numId w:val="16"/>
        </w:numPr>
        <w:spacing w:after="0"/>
        <w:ind w:right="142" w:hanging="459"/>
        <w:contextualSpacing/>
        <w:rPr>
          <w:spacing w:val="-2"/>
          <w:szCs w:val="28"/>
        </w:rPr>
      </w:pPr>
      <w:r w:rsidRPr="00FE6D1A">
        <w:rPr>
          <w:spacing w:val="-2"/>
          <w:szCs w:val="28"/>
        </w:rPr>
        <w:t>1 procentpunkta apmērā veselības aprūpes pakalpojumu finansēšanai</w:t>
      </w:r>
      <w:r>
        <w:rPr>
          <w:spacing w:val="-2"/>
          <w:szCs w:val="28"/>
        </w:rPr>
        <w:t xml:space="preserve"> (2018.g</w:t>
      </w:r>
      <w:r w:rsidRPr="00FE6D1A">
        <w:rPr>
          <w:spacing w:val="-2"/>
          <w:szCs w:val="28"/>
        </w:rPr>
        <w:t>adā 1 procentpunkts);</w:t>
      </w:r>
    </w:p>
    <w:p w:rsidR="007870D7" w:rsidRPr="00FE6D1A" w:rsidRDefault="007870D7" w:rsidP="004A7868">
      <w:pPr>
        <w:numPr>
          <w:ilvl w:val="2"/>
          <w:numId w:val="16"/>
        </w:numPr>
        <w:spacing w:after="0"/>
        <w:ind w:right="142" w:hanging="459"/>
        <w:contextualSpacing/>
        <w:rPr>
          <w:spacing w:val="-2"/>
          <w:szCs w:val="28"/>
        </w:rPr>
      </w:pPr>
      <w:r w:rsidRPr="00FE6D1A">
        <w:rPr>
          <w:spacing w:val="-2"/>
          <w:szCs w:val="28"/>
        </w:rPr>
        <w:t>14 procentpunktu apmērā valsts pensiju speciālajā budžetā</w:t>
      </w:r>
      <w:r>
        <w:rPr>
          <w:spacing w:val="-2"/>
          <w:szCs w:val="28"/>
        </w:rPr>
        <w:t xml:space="preserve"> (2018.</w:t>
      </w:r>
      <w:r w:rsidRPr="00FE6D1A">
        <w:rPr>
          <w:spacing w:val="-2"/>
          <w:szCs w:val="28"/>
        </w:rPr>
        <w:t>gadā 13,59 procentpunkti);</w:t>
      </w:r>
    </w:p>
    <w:p w:rsidR="007870D7" w:rsidRPr="00FE6D1A" w:rsidRDefault="007870D7" w:rsidP="004A7868">
      <w:pPr>
        <w:numPr>
          <w:ilvl w:val="2"/>
          <w:numId w:val="16"/>
        </w:numPr>
        <w:spacing w:after="0"/>
        <w:ind w:right="142" w:hanging="459"/>
        <w:contextualSpacing/>
        <w:rPr>
          <w:spacing w:val="-2"/>
          <w:szCs w:val="28"/>
        </w:rPr>
      </w:pPr>
      <w:r w:rsidRPr="00FE6D1A">
        <w:rPr>
          <w:spacing w:val="-2"/>
          <w:szCs w:val="28"/>
        </w:rPr>
        <w:t>10,5 procentpunktu apmērā iedzīvotāju ienākuma nodokļa kontā Valsts kasē</w:t>
      </w:r>
      <w:r>
        <w:rPr>
          <w:spacing w:val="-2"/>
          <w:szCs w:val="28"/>
        </w:rPr>
        <w:t xml:space="preserve"> (2018.</w:t>
      </w:r>
      <w:r w:rsidRPr="00FE6D1A">
        <w:rPr>
          <w:spacing w:val="-2"/>
          <w:szCs w:val="28"/>
        </w:rPr>
        <w:t>gadā 10,5 procentpunkti).</w:t>
      </w:r>
      <w:r w:rsidRPr="00FE6D1A" w:rsidDel="00765998">
        <w:rPr>
          <w:spacing w:val="-2"/>
          <w:szCs w:val="28"/>
        </w:rPr>
        <w:t xml:space="preserve"> </w:t>
      </w:r>
    </w:p>
    <w:p w:rsidR="007870D7" w:rsidRPr="006D71D1" w:rsidRDefault="007870D7" w:rsidP="007870D7">
      <w:pPr>
        <w:spacing w:after="0"/>
        <w:ind w:right="142" w:firstLine="567"/>
        <w:contextualSpacing/>
        <w:rPr>
          <w:spacing w:val="-2"/>
          <w:szCs w:val="28"/>
        </w:rPr>
      </w:pPr>
      <w:r w:rsidRPr="00FE6D1A">
        <w:rPr>
          <w:spacing w:val="-2"/>
          <w:szCs w:val="28"/>
        </w:rPr>
        <w:t xml:space="preserve">Solidaritātes nodokļa ieņēmumi </w:t>
      </w:r>
      <w:r>
        <w:rPr>
          <w:spacing w:val="-2"/>
          <w:szCs w:val="28"/>
        </w:rPr>
        <w:t>turpmāk</w:t>
      </w:r>
      <w:r w:rsidRPr="00FE6D1A">
        <w:rPr>
          <w:spacing w:val="-2"/>
          <w:szCs w:val="28"/>
        </w:rPr>
        <w:t xml:space="preserve"> netiek pārskaitīti uz 2. un 3. pensiju līmeni, kā tas bija 2018.gadā</w:t>
      </w:r>
      <w:r>
        <w:rPr>
          <w:spacing w:val="-2"/>
          <w:szCs w:val="28"/>
        </w:rPr>
        <w:t xml:space="preserve"> </w:t>
      </w:r>
      <w:r>
        <w:t>(</w:t>
      </w:r>
      <w:r w:rsidRPr="006D71D1">
        <w:rPr>
          <w:szCs w:val="24"/>
        </w:rPr>
        <w:t>fiskālā ietekme 2019.gadā +6,4 milj. </w:t>
      </w:r>
      <w:proofErr w:type="spellStart"/>
      <w:r w:rsidRPr="006D71D1">
        <w:rPr>
          <w:i/>
          <w:spacing w:val="-6"/>
          <w:szCs w:val="24"/>
        </w:rPr>
        <w:t>euro</w:t>
      </w:r>
      <w:proofErr w:type="spellEnd"/>
      <w:r w:rsidRPr="006D71D1">
        <w:rPr>
          <w:spacing w:val="-6"/>
          <w:szCs w:val="24"/>
        </w:rPr>
        <w:t>).</w:t>
      </w:r>
      <w:r>
        <w:rPr>
          <w:spacing w:val="-6"/>
          <w:szCs w:val="24"/>
        </w:rPr>
        <w:t xml:space="preserve"> 2019.gadā solidaritātes nodokļa ieņēmumi tiek plānoti 60,3 milj. </w:t>
      </w:r>
      <w:proofErr w:type="spellStart"/>
      <w:r w:rsidRPr="00AF7C97">
        <w:rPr>
          <w:i/>
          <w:spacing w:val="-6"/>
          <w:szCs w:val="24"/>
        </w:rPr>
        <w:t>euro</w:t>
      </w:r>
      <w:proofErr w:type="spellEnd"/>
      <w:r>
        <w:rPr>
          <w:spacing w:val="-6"/>
          <w:szCs w:val="24"/>
        </w:rPr>
        <w:t xml:space="preserve"> apmērā (t.sk., </w:t>
      </w:r>
      <w:r w:rsidRPr="00FE6D1A">
        <w:rPr>
          <w:spacing w:val="-2"/>
          <w:szCs w:val="28"/>
        </w:rPr>
        <w:t>veselības aprūpes pakalpojumu finansēšanai</w:t>
      </w:r>
      <w:r>
        <w:rPr>
          <w:spacing w:val="-2"/>
          <w:szCs w:val="28"/>
        </w:rPr>
        <w:t xml:space="preserve"> 1,7 milj. </w:t>
      </w:r>
      <w:proofErr w:type="spellStart"/>
      <w:r w:rsidRPr="00AF7C97">
        <w:rPr>
          <w:i/>
          <w:spacing w:val="-2"/>
          <w:szCs w:val="28"/>
        </w:rPr>
        <w:t>euro</w:t>
      </w:r>
      <w:proofErr w:type="spellEnd"/>
      <w:r>
        <w:rPr>
          <w:spacing w:val="-2"/>
          <w:szCs w:val="28"/>
        </w:rPr>
        <w:t xml:space="preserve">, </w:t>
      </w:r>
      <w:r w:rsidRPr="00FE6D1A">
        <w:rPr>
          <w:spacing w:val="-2"/>
          <w:szCs w:val="28"/>
        </w:rPr>
        <w:t>valsts pensiju speciālajā budžetā</w:t>
      </w:r>
      <w:r>
        <w:rPr>
          <w:spacing w:val="-2"/>
          <w:szCs w:val="28"/>
        </w:rPr>
        <w:t xml:space="preserve"> 29,1 milj. </w:t>
      </w:r>
      <w:proofErr w:type="spellStart"/>
      <w:r w:rsidRPr="00AF7C97">
        <w:rPr>
          <w:i/>
          <w:spacing w:val="-2"/>
          <w:szCs w:val="28"/>
        </w:rPr>
        <w:t>euro</w:t>
      </w:r>
      <w:proofErr w:type="spellEnd"/>
      <w:r>
        <w:rPr>
          <w:spacing w:val="-2"/>
          <w:szCs w:val="28"/>
        </w:rPr>
        <w:t>, i</w:t>
      </w:r>
      <w:r w:rsidRPr="00FE6D1A">
        <w:rPr>
          <w:spacing w:val="-2"/>
          <w:szCs w:val="28"/>
        </w:rPr>
        <w:t>edzīvotāju ienākuma nodokļa kontā Valsts kasē</w:t>
      </w:r>
      <w:r>
        <w:rPr>
          <w:spacing w:val="-2"/>
          <w:szCs w:val="28"/>
        </w:rPr>
        <w:t xml:space="preserve"> 18,3 milj. </w:t>
      </w:r>
      <w:proofErr w:type="spellStart"/>
      <w:r w:rsidRPr="00AF7C97">
        <w:rPr>
          <w:i/>
          <w:spacing w:val="-2"/>
          <w:szCs w:val="28"/>
        </w:rPr>
        <w:t>euro</w:t>
      </w:r>
      <w:proofErr w:type="spellEnd"/>
      <w:r>
        <w:rPr>
          <w:spacing w:val="-2"/>
          <w:szCs w:val="28"/>
        </w:rPr>
        <w:t xml:space="preserve">, valsts </w:t>
      </w:r>
      <w:proofErr w:type="spellStart"/>
      <w:r>
        <w:rPr>
          <w:spacing w:val="-2"/>
          <w:szCs w:val="28"/>
        </w:rPr>
        <w:t>fondēto</w:t>
      </w:r>
      <w:proofErr w:type="spellEnd"/>
      <w:r>
        <w:rPr>
          <w:spacing w:val="-2"/>
          <w:szCs w:val="28"/>
        </w:rPr>
        <w:t xml:space="preserve"> pensiju shēmā 7,2 milj. </w:t>
      </w:r>
      <w:proofErr w:type="spellStart"/>
      <w:r w:rsidRPr="00AF7C97">
        <w:rPr>
          <w:i/>
          <w:spacing w:val="-2"/>
          <w:szCs w:val="28"/>
        </w:rPr>
        <w:t>euro</w:t>
      </w:r>
      <w:proofErr w:type="spellEnd"/>
      <w:r>
        <w:rPr>
          <w:spacing w:val="-2"/>
          <w:szCs w:val="28"/>
        </w:rPr>
        <w:t xml:space="preserve">, 3.pensiju līmenī 4,0 milj. </w:t>
      </w:r>
      <w:proofErr w:type="spellStart"/>
      <w:r w:rsidRPr="00AF7C97">
        <w:rPr>
          <w:i/>
          <w:spacing w:val="-2"/>
          <w:szCs w:val="28"/>
        </w:rPr>
        <w:t>euro</w:t>
      </w:r>
      <w:proofErr w:type="spellEnd"/>
      <w:r>
        <w:rPr>
          <w:spacing w:val="-2"/>
          <w:szCs w:val="28"/>
        </w:rPr>
        <w:t>).</w:t>
      </w:r>
    </w:p>
    <w:p w:rsidR="007870D7" w:rsidRDefault="007870D7" w:rsidP="007870D7">
      <w:pPr>
        <w:spacing w:after="0"/>
        <w:ind w:right="57"/>
      </w:pPr>
    </w:p>
    <w:p w:rsidR="007870D7" w:rsidRPr="00C54B36" w:rsidRDefault="007870D7" w:rsidP="007870D7">
      <w:pPr>
        <w:spacing w:after="0"/>
        <w:ind w:right="57"/>
      </w:pPr>
      <w:r w:rsidRPr="004B7B47">
        <w:t>2019</w:t>
      </w:r>
      <w:r>
        <w:t>.</w:t>
      </w:r>
      <w:r w:rsidRPr="004B7B47">
        <w:t xml:space="preserve">gada </w:t>
      </w:r>
      <w:r>
        <w:t>sociālās apdrošināšanas iemaksas</w:t>
      </w:r>
      <w:r w:rsidRPr="004B7B47">
        <w:t xml:space="preserve"> ietekmē arī </w:t>
      </w:r>
      <w:r w:rsidRPr="006274FB">
        <w:t xml:space="preserve">Ministru kabineta 2019.gada 8.februāra sēdē </w:t>
      </w:r>
      <w:r>
        <w:t>atbalstītie</w:t>
      </w:r>
      <w:r w:rsidRPr="006274FB">
        <w:t xml:space="preserve"> </w:t>
      </w:r>
      <w:r>
        <w:t xml:space="preserve">lēmumi atbilstoši </w:t>
      </w:r>
      <w:r w:rsidRPr="006274FB">
        <w:t>informatīv</w:t>
      </w:r>
      <w:r>
        <w:t xml:space="preserve">ajam </w:t>
      </w:r>
      <w:r w:rsidRPr="006274FB">
        <w:t>ziņojum</w:t>
      </w:r>
      <w:r>
        <w:t>am</w:t>
      </w:r>
      <w:r w:rsidRPr="006274FB">
        <w:t xml:space="preserve"> “Par fiskālo telpu palielinošiem pasākumiem un izdevumiem prioritārajiem pasākumiem valsts budžetam 2019. gadam”</w:t>
      </w:r>
      <w:r w:rsidRPr="00C54B36">
        <w:t>:</w:t>
      </w:r>
    </w:p>
    <w:p w:rsidR="007870D7" w:rsidRPr="00C54B36"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C54B36">
        <w:t xml:space="preserve">ēnu ekonomikas mazināšanas un administrēšanas uzlabošanas pasākumi </w:t>
      </w:r>
      <w:r w:rsidRPr="00C54B36">
        <w:rPr>
          <w:szCs w:val="24"/>
        </w:rPr>
        <w:t>(fiskālā ietekme 2019.gadā +</w:t>
      </w:r>
      <w:r>
        <w:rPr>
          <w:szCs w:val="24"/>
        </w:rPr>
        <w:t>2,2</w:t>
      </w:r>
      <w:r w:rsidRPr="00C54B36">
        <w:rPr>
          <w:szCs w:val="24"/>
        </w:rPr>
        <w:t> milj. </w:t>
      </w:r>
      <w:proofErr w:type="spellStart"/>
      <w:r w:rsidRPr="00E86E94">
        <w:rPr>
          <w:i/>
          <w:spacing w:val="-6"/>
          <w:szCs w:val="24"/>
        </w:rPr>
        <w:t>euro</w:t>
      </w:r>
      <w:proofErr w:type="spellEnd"/>
      <w:r>
        <w:rPr>
          <w:szCs w:val="24"/>
        </w:rPr>
        <w:t>;</w:t>
      </w:r>
    </w:p>
    <w:p w:rsidR="007870D7" w:rsidRDefault="007870D7" w:rsidP="004A7868">
      <w:pPr>
        <w:pStyle w:val="ListParagraph"/>
        <w:numPr>
          <w:ilvl w:val="0"/>
          <w:numId w:val="12"/>
        </w:numPr>
        <w:spacing w:before="100" w:beforeAutospacing="1" w:after="100" w:afterAutospacing="1" w:line="293" w:lineRule="atLeast"/>
        <w:ind w:left="1440" w:hanging="357"/>
        <w:rPr>
          <w:color w:val="000000"/>
          <w:szCs w:val="24"/>
          <w:lang w:eastAsia="lv-LV"/>
        </w:rPr>
      </w:pPr>
      <w:r w:rsidRPr="00C54B36">
        <w:t xml:space="preserve">papildu </w:t>
      </w:r>
      <w:r>
        <w:t>finansējums darba samaksas palielināšanai</w:t>
      </w:r>
      <w:r w:rsidRPr="00C54B36">
        <w:t xml:space="preserve"> </w:t>
      </w:r>
      <w:r>
        <w:rPr>
          <w:noProof/>
          <w:lang w:eastAsia="lv-LV"/>
        </w:rPr>
        <w:t xml:space="preserve">veselības aprūpes darbiniekiem, </w:t>
      </w:r>
      <w:r w:rsidRPr="00913961">
        <w:rPr>
          <w:noProof/>
          <w:lang w:eastAsia="lv-LV"/>
        </w:rPr>
        <w:t xml:space="preserve">tiesnešiem un prokuroriem, izdienas piemaksu nodrošināšanai </w:t>
      </w:r>
      <w:r>
        <w:rPr>
          <w:noProof/>
          <w:lang w:eastAsia="lv-LV"/>
        </w:rPr>
        <w:t>K</w:t>
      </w:r>
      <w:r w:rsidRPr="008354B3">
        <w:rPr>
          <w:noProof/>
          <w:lang w:eastAsia="lv-LV"/>
        </w:rPr>
        <w:t>orupcijas novēršanas un apkarošanas birojam</w:t>
      </w:r>
      <w:r w:rsidRPr="00913961">
        <w:rPr>
          <w:noProof/>
          <w:lang w:eastAsia="lv-LV"/>
        </w:rPr>
        <w:t xml:space="preserve"> un izdienas pabalsts</w:t>
      </w:r>
      <w:r>
        <w:rPr>
          <w:noProof/>
          <w:lang w:eastAsia="lv-LV"/>
        </w:rPr>
        <w:t xml:space="preserve"> </w:t>
      </w:r>
      <w:r w:rsidRPr="00913961">
        <w:rPr>
          <w:noProof/>
          <w:lang w:eastAsia="lv-LV"/>
        </w:rPr>
        <w:t>pē</w:t>
      </w:r>
      <w:r>
        <w:rPr>
          <w:noProof/>
          <w:lang w:eastAsia="lv-LV"/>
        </w:rPr>
        <w:t>c katriem pieciem nepārtrauktas izdienas gadiem Iekšlietu ministrijas</w:t>
      </w:r>
      <w:r w:rsidRPr="00913961">
        <w:rPr>
          <w:noProof/>
          <w:lang w:eastAsia="lv-LV"/>
        </w:rPr>
        <w:t xml:space="preserve"> amatpersonām</w:t>
      </w:r>
      <w:r w:rsidRPr="00C54B36">
        <w:t xml:space="preserve"> </w:t>
      </w:r>
      <w:r>
        <w:rPr>
          <w:szCs w:val="24"/>
        </w:rPr>
        <w:t>(fiskālā ietekme 2019.gadā +30,6</w:t>
      </w:r>
      <w:r w:rsidRPr="00C54B36">
        <w:rPr>
          <w:szCs w:val="24"/>
        </w:rPr>
        <w:t> milj. </w:t>
      </w:r>
      <w:proofErr w:type="spellStart"/>
      <w:r w:rsidRPr="00C54B36">
        <w:rPr>
          <w:i/>
          <w:spacing w:val="-6"/>
          <w:szCs w:val="24"/>
        </w:rPr>
        <w:t>euro</w:t>
      </w:r>
      <w:proofErr w:type="spellEnd"/>
      <w:r w:rsidRPr="00C54B36">
        <w:rPr>
          <w:szCs w:val="24"/>
        </w:rPr>
        <w:t>)</w:t>
      </w:r>
      <w:r w:rsidRPr="00C54B36">
        <w:rPr>
          <w:color w:val="000000"/>
          <w:szCs w:val="24"/>
          <w:lang w:eastAsia="lv-LV"/>
        </w:rPr>
        <w:t>.</w:t>
      </w:r>
    </w:p>
    <w:p w:rsidR="007870D7" w:rsidRPr="006D71D1" w:rsidRDefault="007870D7" w:rsidP="007870D7">
      <w:pPr>
        <w:spacing w:before="480"/>
        <w:ind w:firstLine="0"/>
        <w:jc w:val="center"/>
        <w:rPr>
          <w:b/>
          <w:i/>
        </w:rPr>
      </w:pPr>
      <w:r w:rsidRPr="006D71D1">
        <w:rPr>
          <w:b/>
          <w:i/>
        </w:rPr>
        <w:t>3.4. tabula. Valsts sociālās apdrošināšanas iemaksu ieņēmumi speciālajā budžetā</w:t>
      </w:r>
    </w:p>
    <w:tbl>
      <w:tblPr>
        <w:tblW w:w="9072" w:type="dxa"/>
        <w:tblInd w:w="-10" w:type="dxa"/>
        <w:tblLook w:val="04A0" w:firstRow="1" w:lastRow="0" w:firstColumn="1" w:lastColumn="0" w:noHBand="0" w:noVBand="1"/>
      </w:tblPr>
      <w:tblGrid>
        <w:gridCol w:w="3711"/>
        <w:gridCol w:w="1392"/>
        <w:gridCol w:w="1276"/>
        <w:gridCol w:w="1276"/>
        <w:gridCol w:w="1417"/>
      </w:tblGrid>
      <w:tr w:rsidR="007870D7" w:rsidRPr="006D71D1" w:rsidTr="008671DD">
        <w:trPr>
          <w:trHeight w:val="245"/>
        </w:trPr>
        <w:tc>
          <w:tcPr>
            <w:tcW w:w="3711"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r w:rsidRPr="006D71D1">
              <w:rPr>
                <w:b/>
                <w:bCs/>
                <w:snapToGrid w:val="0"/>
                <w:color w:val="000000"/>
                <w:sz w:val="20"/>
                <w:lang w:eastAsia="lv-LV"/>
              </w:rPr>
              <w:t> </w:t>
            </w:r>
          </w:p>
          <w:p w:rsidR="007870D7" w:rsidRPr="006D71D1" w:rsidRDefault="007870D7" w:rsidP="007870D7">
            <w:pPr>
              <w:spacing w:after="0"/>
              <w:jc w:val="center"/>
              <w:rPr>
                <w:b/>
                <w:bCs/>
                <w:color w:val="000000"/>
                <w:sz w:val="20"/>
                <w:lang w:eastAsia="lv-LV"/>
              </w:rPr>
            </w:pPr>
            <w:r w:rsidRPr="006D71D1">
              <w:rPr>
                <w:b/>
                <w:bCs/>
                <w:snapToGrid w:val="0"/>
                <w:color w:val="000000"/>
                <w:sz w:val="20"/>
                <w:lang w:eastAsia="lv-LV"/>
              </w:rPr>
              <w:t> </w:t>
            </w:r>
          </w:p>
        </w:tc>
        <w:tc>
          <w:tcPr>
            <w:tcW w:w="13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r w:rsidRPr="006D71D1">
              <w:rPr>
                <w:b/>
                <w:bCs/>
                <w:snapToGrid w:val="0"/>
                <w:color w:val="000000"/>
                <w:sz w:val="20"/>
                <w:lang w:eastAsia="lv-LV"/>
              </w:rPr>
              <w:t>2016</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r w:rsidRPr="006D71D1">
              <w:rPr>
                <w:b/>
                <w:bCs/>
                <w:snapToGrid w:val="0"/>
                <w:color w:val="000000"/>
                <w:sz w:val="20"/>
                <w:lang w:eastAsia="lv-LV"/>
              </w:rPr>
              <w:t>2017</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r w:rsidRPr="006D71D1">
              <w:rPr>
                <w:b/>
                <w:bCs/>
                <w:snapToGrid w:val="0"/>
                <w:color w:val="000000"/>
                <w:sz w:val="20"/>
                <w:lang w:eastAsia="lv-LV"/>
              </w:rPr>
              <w:t>2018</w:t>
            </w:r>
          </w:p>
        </w:tc>
        <w:tc>
          <w:tcPr>
            <w:tcW w:w="14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r w:rsidRPr="006D71D1">
              <w:rPr>
                <w:b/>
                <w:bCs/>
                <w:color w:val="000000"/>
                <w:sz w:val="20"/>
                <w:lang w:eastAsia="lv-LV"/>
              </w:rPr>
              <w:t>2019</w:t>
            </w:r>
          </w:p>
        </w:tc>
      </w:tr>
      <w:tr w:rsidR="007870D7" w:rsidRPr="006D71D1" w:rsidTr="008671DD">
        <w:trPr>
          <w:trHeight w:val="245"/>
        </w:trPr>
        <w:tc>
          <w:tcPr>
            <w:tcW w:w="3711" w:type="dxa"/>
            <w:vMerge/>
            <w:tcBorders>
              <w:left w:val="single" w:sz="8" w:space="0" w:color="auto"/>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b/>
                <w:bCs/>
                <w:color w:val="000000"/>
                <w:sz w:val="20"/>
                <w:lang w:eastAsia="lv-LV"/>
              </w:rPr>
            </w:pPr>
          </w:p>
        </w:tc>
        <w:tc>
          <w:tcPr>
            <w:tcW w:w="3944" w:type="dxa"/>
            <w:gridSpan w:val="3"/>
            <w:tcBorders>
              <w:top w:val="single" w:sz="8" w:space="0" w:color="auto"/>
              <w:left w:val="nil"/>
              <w:bottom w:val="single" w:sz="8" w:space="0" w:color="auto"/>
              <w:right w:val="single" w:sz="8" w:space="0" w:color="auto"/>
            </w:tcBorders>
            <w:shd w:val="clear" w:color="auto" w:fill="D9D9D9" w:themeFill="background1" w:themeFillShade="D9"/>
            <w:vAlign w:val="center"/>
          </w:tcPr>
          <w:p w:rsidR="007870D7" w:rsidRPr="006D71D1" w:rsidRDefault="007870D7" w:rsidP="007870D7">
            <w:pPr>
              <w:spacing w:after="0"/>
              <w:ind w:firstLine="0"/>
              <w:jc w:val="center"/>
              <w:rPr>
                <w:color w:val="000000"/>
                <w:sz w:val="20"/>
                <w:lang w:eastAsia="lv-LV"/>
              </w:rPr>
            </w:pPr>
            <w:r w:rsidRPr="006D71D1">
              <w:rPr>
                <w:snapToGrid w:val="0"/>
                <w:color w:val="000000"/>
                <w:sz w:val="20"/>
                <w:lang w:eastAsia="lv-LV"/>
              </w:rPr>
              <w:t>fakts</w:t>
            </w:r>
          </w:p>
        </w:tc>
        <w:tc>
          <w:tcPr>
            <w:tcW w:w="1417" w:type="dxa"/>
            <w:tcBorders>
              <w:top w:val="nil"/>
              <w:left w:val="nil"/>
              <w:bottom w:val="single" w:sz="8" w:space="0" w:color="auto"/>
              <w:right w:val="single" w:sz="8" w:space="0" w:color="auto"/>
            </w:tcBorders>
            <w:shd w:val="clear" w:color="auto" w:fill="D9D9D9" w:themeFill="background1" w:themeFillShade="D9"/>
            <w:vAlign w:val="center"/>
            <w:hideMark/>
          </w:tcPr>
          <w:p w:rsidR="007870D7" w:rsidRPr="006D71D1" w:rsidRDefault="007870D7" w:rsidP="007870D7">
            <w:pPr>
              <w:spacing w:after="0"/>
              <w:ind w:firstLine="0"/>
              <w:jc w:val="center"/>
              <w:rPr>
                <w:color w:val="000000"/>
                <w:sz w:val="20"/>
                <w:lang w:eastAsia="lv-LV"/>
              </w:rPr>
            </w:pPr>
            <w:r w:rsidRPr="006D71D1">
              <w:rPr>
                <w:snapToGrid w:val="0"/>
                <w:color w:val="000000"/>
                <w:sz w:val="20"/>
                <w:lang w:eastAsia="lv-LV"/>
              </w:rPr>
              <w:t>plāns</w:t>
            </w:r>
          </w:p>
        </w:tc>
      </w:tr>
      <w:tr w:rsidR="007870D7" w:rsidRPr="006D71D1" w:rsidTr="008671DD">
        <w:trPr>
          <w:trHeight w:val="245"/>
        </w:trPr>
        <w:tc>
          <w:tcPr>
            <w:tcW w:w="3711" w:type="dxa"/>
            <w:tcBorders>
              <w:top w:val="nil"/>
              <w:left w:val="single" w:sz="8" w:space="0" w:color="auto"/>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rPr>
                <w:b/>
                <w:bCs/>
                <w:color w:val="000000"/>
                <w:sz w:val="20"/>
                <w:lang w:eastAsia="lv-LV"/>
              </w:rPr>
            </w:pPr>
            <w:r w:rsidRPr="006D71D1">
              <w:rPr>
                <w:b/>
                <w:bCs/>
                <w:snapToGrid w:val="0"/>
                <w:color w:val="000000"/>
                <w:sz w:val="20"/>
                <w:lang w:eastAsia="lv-LV"/>
              </w:rPr>
              <w:t>Sociālās apdrošināšanas iemaksas</w:t>
            </w:r>
            <w:r>
              <w:rPr>
                <w:b/>
                <w:bCs/>
                <w:snapToGrid w:val="0"/>
                <w:color w:val="000000"/>
                <w:sz w:val="20"/>
                <w:lang w:eastAsia="lv-LV"/>
              </w:rPr>
              <w:t xml:space="preserve"> speciālajā budžetā</w:t>
            </w:r>
            <w:r w:rsidRPr="006D71D1">
              <w:rPr>
                <w:snapToGrid w:val="0"/>
                <w:color w:val="000000"/>
                <w:sz w:val="20"/>
                <w:lang w:eastAsia="lv-LV"/>
              </w:rPr>
              <w:t xml:space="preserve">, milj. </w:t>
            </w:r>
            <w:proofErr w:type="spellStart"/>
            <w:r w:rsidRPr="006D71D1">
              <w:rPr>
                <w:i/>
                <w:iCs/>
                <w:snapToGrid w:val="0"/>
                <w:color w:val="000000"/>
                <w:sz w:val="20"/>
                <w:lang w:eastAsia="lv-LV"/>
              </w:rPr>
              <w:t>euro</w:t>
            </w:r>
            <w:proofErr w:type="spellEnd"/>
          </w:p>
        </w:tc>
        <w:tc>
          <w:tcPr>
            <w:tcW w:w="1392"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b/>
                <w:bCs/>
                <w:color w:val="000000"/>
                <w:sz w:val="20"/>
                <w:lang w:eastAsia="lv-LV"/>
              </w:rPr>
            </w:pPr>
            <w:r w:rsidRPr="006D71D1">
              <w:rPr>
                <w:b/>
                <w:bCs/>
                <w:snapToGrid w:val="0"/>
                <w:color w:val="000000"/>
                <w:sz w:val="20"/>
                <w:lang w:eastAsia="lv-LV"/>
              </w:rPr>
              <w:t>2 104,9</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b/>
                <w:bCs/>
                <w:color w:val="000000"/>
                <w:sz w:val="20"/>
                <w:lang w:eastAsia="lv-LV"/>
              </w:rPr>
            </w:pPr>
            <w:r w:rsidRPr="006D71D1">
              <w:rPr>
                <w:b/>
                <w:bCs/>
                <w:color w:val="000000"/>
                <w:sz w:val="20"/>
                <w:lang w:eastAsia="lv-LV"/>
              </w:rPr>
              <w:t>2 257,0</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b/>
                <w:bCs/>
                <w:color w:val="000000"/>
                <w:sz w:val="20"/>
                <w:lang w:eastAsia="lv-LV"/>
              </w:rPr>
            </w:pPr>
            <w:r w:rsidRPr="006D71D1">
              <w:rPr>
                <w:b/>
                <w:bCs/>
                <w:color w:val="000000"/>
                <w:sz w:val="20"/>
                <w:lang w:eastAsia="lv-LV"/>
              </w:rPr>
              <w:t>2 543,2</w:t>
            </w:r>
          </w:p>
        </w:tc>
        <w:tc>
          <w:tcPr>
            <w:tcW w:w="1417" w:type="dxa"/>
            <w:tcBorders>
              <w:top w:val="nil"/>
              <w:left w:val="nil"/>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jc w:val="center"/>
              <w:rPr>
                <w:b/>
                <w:bCs/>
                <w:color w:val="000000"/>
                <w:sz w:val="20"/>
                <w:lang w:eastAsia="lv-LV"/>
              </w:rPr>
            </w:pPr>
            <w:r>
              <w:rPr>
                <w:b/>
                <w:bCs/>
                <w:color w:val="000000"/>
                <w:sz w:val="20"/>
                <w:lang w:eastAsia="lv-LV"/>
              </w:rPr>
              <w:t>2 727,1</w:t>
            </w:r>
          </w:p>
        </w:tc>
      </w:tr>
      <w:tr w:rsidR="007870D7" w:rsidRPr="006D71D1" w:rsidTr="008671DD">
        <w:trPr>
          <w:trHeight w:val="245"/>
        </w:trPr>
        <w:tc>
          <w:tcPr>
            <w:tcW w:w="3711" w:type="dxa"/>
            <w:tcBorders>
              <w:top w:val="nil"/>
              <w:left w:val="single" w:sz="8" w:space="0" w:color="auto"/>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rPr>
                <w:i/>
                <w:iCs/>
                <w:color w:val="000000"/>
                <w:sz w:val="20"/>
                <w:lang w:eastAsia="lv-LV"/>
              </w:rPr>
            </w:pPr>
            <w:r w:rsidRPr="006D71D1">
              <w:rPr>
                <w:i/>
                <w:iCs/>
                <w:snapToGrid w:val="0"/>
                <w:color w:val="000000"/>
                <w:sz w:val="20"/>
                <w:lang w:eastAsia="lv-LV"/>
              </w:rPr>
              <w:t>pieauguma tempi, faktiskās cenās, %</w:t>
            </w:r>
          </w:p>
        </w:tc>
        <w:tc>
          <w:tcPr>
            <w:tcW w:w="1392"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snapToGrid w:val="0"/>
                <w:color w:val="000000"/>
                <w:sz w:val="20"/>
                <w:lang w:eastAsia="lv-LV"/>
              </w:rPr>
              <w:t>2,7</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7,2</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12,7</w:t>
            </w:r>
          </w:p>
        </w:tc>
        <w:tc>
          <w:tcPr>
            <w:tcW w:w="1417" w:type="dxa"/>
            <w:tcBorders>
              <w:top w:val="nil"/>
              <w:left w:val="nil"/>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7,2</w:t>
            </w:r>
          </w:p>
        </w:tc>
      </w:tr>
      <w:tr w:rsidR="007870D7" w:rsidRPr="002074E7" w:rsidTr="008671DD">
        <w:trPr>
          <w:trHeight w:val="245"/>
        </w:trPr>
        <w:tc>
          <w:tcPr>
            <w:tcW w:w="3711" w:type="dxa"/>
            <w:tcBorders>
              <w:top w:val="nil"/>
              <w:left w:val="single" w:sz="8" w:space="0" w:color="auto"/>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rPr>
                <w:i/>
                <w:iCs/>
                <w:color w:val="000000"/>
                <w:sz w:val="20"/>
                <w:lang w:eastAsia="lv-LV"/>
              </w:rPr>
            </w:pPr>
            <w:r w:rsidRPr="006D71D1">
              <w:rPr>
                <w:i/>
                <w:iCs/>
                <w:snapToGrid w:val="0"/>
                <w:color w:val="000000"/>
                <w:sz w:val="20"/>
                <w:lang w:eastAsia="lv-LV"/>
              </w:rPr>
              <w:t>% no IKP</w:t>
            </w:r>
          </w:p>
        </w:tc>
        <w:tc>
          <w:tcPr>
            <w:tcW w:w="1392"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snapToGrid w:val="0"/>
                <w:color w:val="000000"/>
                <w:sz w:val="20"/>
                <w:lang w:eastAsia="lv-LV"/>
              </w:rPr>
              <w:t>8,4</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8,3</w:t>
            </w:r>
          </w:p>
        </w:tc>
        <w:tc>
          <w:tcPr>
            <w:tcW w:w="1276" w:type="dxa"/>
            <w:tcBorders>
              <w:top w:val="nil"/>
              <w:left w:val="nil"/>
              <w:bottom w:val="single" w:sz="8" w:space="0" w:color="auto"/>
              <w:right w:val="single" w:sz="8" w:space="0" w:color="auto"/>
            </w:tcBorders>
            <w:shd w:val="clear" w:color="auto" w:fill="auto"/>
            <w:vAlign w:val="center"/>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8,8</w:t>
            </w:r>
          </w:p>
        </w:tc>
        <w:tc>
          <w:tcPr>
            <w:tcW w:w="1417" w:type="dxa"/>
            <w:tcBorders>
              <w:top w:val="nil"/>
              <w:left w:val="nil"/>
              <w:bottom w:val="single" w:sz="8" w:space="0" w:color="auto"/>
              <w:right w:val="single" w:sz="8" w:space="0" w:color="auto"/>
            </w:tcBorders>
            <w:shd w:val="clear" w:color="auto" w:fill="auto"/>
            <w:vAlign w:val="center"/>
            <w:hideMark/>
          </w:tcPr>
          <w:p w:rsidR="007870D7" w:rsidRPr="006D71D1" w:rsidRDefault="007870D7" w:rsidP="007870D7">
            <w:pPr>
              <w:spacing w:after="0"/>
              <w:ind w:firstLine="0"/>
              <w:jc w:val="center"/>
              <w:rPr>
                <w:i/>
                <w:iCs/>
                <w:color w:val="000000"/>
                <w:sz w:val="20"/>
                <w:lang w:eastAsia="lv-LV"/>
              </w:rPr>
            </w:pPr>
            <w:r w:rsidRPr="006D71D1">
              <w:rPr>
                <w:i/>
                <w:iCs/>
                <w:color w:val="000000"/>
                <w:sz w:val="20"/>
                <w:lang w:eastAsia="lv-LV"/>
              </w:rPr>
              <w:t>8,8</w:t>
            </w:r>
          </w:p>
        </w:tc>
      </w:tr>
    </w:tbl>
    <w:p w:rsidR="007870D7" w:rsidRDefault="007870D7" w:rsidP="00B4182D">
      <w:pPr>
        <w:ind w:firstLine="0"/>
        <w:rPr>
          <w:b/>
          <w:i/>
          <w:noProof/>
          <w:szCs w:val="24"/>
          <w:lang w:eastAsia="lv-LV"/>
        </w:rPr>
      </w:pPr>
    </w:p>
    <w:p w:rsidR="007870D7" w:rsidRDefault="00B4182D" w:rsidP="00B4182D">
      <w:pPr>
        <w:ind w:firstLine="0"/>
        <w:rPr>
          <w:b/>
          <w:i/>
        </w:rPr>
      </w:pPr>
      <w:r>
        <w:rPr>
          <w:noProof/>
          <w:lang w:eastAsia="lv-LV"/>
        </w:rPr>
        <w:lastRenderedPageBreak/>
        <w:drawing>
          <wp:inline distT="0" distB="0" distL="0" distR="0" wp14:anchorId="65472D7F" wp14:editId="15313059">
            <wp:extent cx="5572125" cy="2402979"/>
            <wp:effectExtent l="19050" t="19050" r="9525" b="165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339" t="50538" r="26744" b="12947"/>
                    <a:stretch/>
                  </pic:blipFill>
                  <pic:spPr bwMode="auto">
                    <a:xfrm>
                      <a:off x="0" y="0"/>
                      <a:ext cx="5598392" cy="241430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870D7" w:rsidRDefault="007870D7" w:rsidP="00B4182D">
      <w:pPr>
        <w:ind w:firstLine="0"/>
        <w:jc w:val="center"/>
        <w:rPr>
          <w:b/>
          <w:i/>
        </w:rPr>
      </w:pPr>
      <w:r w:rsidRPr="00CC4935">
        <w:rPr>
          <w:b/>
          <w:i/>
        </w:rPr>
        <w:t xml:space="preserve">3.3. att. Valsts sociālās apdrošināšanas iemaksu ieņēmumi speciālajā budžetā sadalījumā pa mēnešiem, milj. </w:t>
      </w:r>
      <w:proofErr w:type="spellStart"/>
      <w:r w:rsidRPr="00637D11">
        <w:rPr>
          <w:b/>
          <w:i/>
        </w:rPr>
        <w:t>euro</w:t>
      </w:r>
      <w:proofErr w:type="spellEnd"/>
    </w:p>
    <w:p w:rsidR="007870D7" w:rsidRDefault="007870D7" w:rsidP="007870D7">
      <w:r w:rsidRPr="00637D11">
        <w:t>Valsts</w:t>
      </w:r>
      <w:r>
        <w:t xml:space="preserve"> sociālās apdrošināšanas iemaksas pamatbudžetā veselības finansēšanai 2019.gadā tiek plānotas 97,8 milj. </w:t>
      </w:r>
      <w:proofErr w:type="spellStart"/>
      <w:r w:rsidRPr="009136BA">
        <w:rPr>
          <w:i/>
        </w:rPr>
        <w:t>euro</w:t>
      </w:r>
      <w:proofErr w:type="spellEnd"/>
      <w:r>
        <w:rPr>
          <w:i/>
        </w:rPr>
        <w:t xml:space="preserve"> </w:t>
      </w:r>
      <w:r>
        <w:t>apmērā, kas salīdzinājumā ar 2018.gadu ir par 12,2 milj. </w:t>
      </w:r>
      <w:proofErr w:type="spellStart"/>
      <w:r w:rsidRPr="009136BA">
        <w:rPr>
          <w:i/>
        </w:rPr>
        <w:t>euro</w:t>
      </w:r>
      <w:proofErr w:type="spellEnd"/>
      <w:r>
        <w:t xml:space="preserve"> jeb 14,3% vairāk.</w:t>
      </w:r>
    </w:p>
    <w:p w:rsidR="007870D7" w:rsidRPr="00E862F9" w:rsidRDefault="007870D7" w:rsidP="007870D7">
      <w:pPr>
        <w:spacing w:before="480"/>
        <w:ind w:firstLine="0"/>
        <w:jc w:val="center"/>
        <w:outlineLvl w:val="3"/>
        <w:rPr>
          <w:b/>
          <w:sz w:val="28"/>
        </w:rPr>
      </w:pPr>
      <w:r w:rsidRPr="00E862F9">
        <w:rPr>
          <w:b/>
          <w:sz w:val="28"/>
        </w:rPr>
        <w:t>Uzņēmumu ienākuma nodoklis</w:t>
      </w:r>
    </w:p>
    <w:p w:rsidR="007870D7" w:rsidRPr="00E862F9" w:rsidRDefault="007870D7" w:rsidP="007870D7">
      <w:pPr>
        <w:pStyle w:val="cipari"/>
        <w:spacing w:after="0"/>
      </w:pPr>
    </w:p>
    <w:p w:rsidR="007870D7" w:rsidRPr="00E862F9" w:rsidRDefault="007870D7" w:rsidP="007870D7">
      <w:r w:rsidRPr="00E862F9">
        <w:t>Uzņēmumu ienākuma nodokļa ieņēmumi 2018. gadā bija 304,0 milj. </w:t>
      </w:r>
      <w:proofErr w:type="spellStart"/>
      <w:r w:rsidRPr="00E862F9">
        <w:rPr>
          <w:i/>
        </w:rPr>
        <w:t>euro</w:t>
      </w:r>
      <w:proofErr w:type="spellEnd"/>
      <w:r w:rsidRPr="00E862F9">
        <w:t>, kas nodokļu reformas rezultātā salīdzinājumā ar 2017</w:t>
      </w:r>
      <w:r>
        <w:t>.</w:t>
      </w:r>
      <w:r w:rsidRPr="00E862F9">
        <w:t>gadu ir par 121,6 milj. </w:t>
      </w:r>
      <w:proofErr w:type="spellStart"/>
      <w:r w:rsidRPr="00E862F9">
        <w:rPr>
          <w:i/>
        </w:rPr>
        <w:t>euro</w:t>
      </w:r>
      <w:proofErr w:type="spellEnd"/>
      <w:r w:rsidRPr="00E862F9">
        <w:t xml:space="preserve"> jeb 28,6% mazāk. </w:t>
      </w:r>
      <w:r>
        <w:t>Ieņēmumus samazināja nodokļa režīma maiņa – šobrīd nodoklis netiek maksāts līdz peļņas sadales brīdim. Jāpiebilst, ka 2018.gada 1.pusgadā uzņēmumi vēl turpināja veikt nodokļa avansa maksājumus. Tāpat šo ieņēmumu samazinājumu daļēji kompensēja piemaksājamā nodokļa apmērs pēc deklarāciju par 2017.gadu iesniegšanas, kas bija lielāks nekā iepriekš prognozēts (par aptuveni 60 milj. </w:t>
      </w:r>
      <w:proofErr w:type="spellStart"/>
      <w:r w:rsidRPr="006A7C5A">
        <w:rPr>
          <w:i/>
        </w:rPr>
        <w:t>euro</w:t>
      </w:r>
      <w:proofErr w:type="spellEnd"/>
      <w:r>
        <w:t>).</w:t>
      </w:r>
    </w:p>
    <w:p w:rsidR="007870D7" w:rsidRDefault="007870D7" w:rsidP="007870D7">
      <w:pPr>
        <w:rPr>
          <w:noProof/>
          <w:szCs w:val="24"/>
          <w:lang w:eastAsia="lv-LV"/>
        </w:rPr>
      </w:pPr>
      <w:r w:rsidRPr="00E862F9">
        <w:t>Uzņēmumu ienākuma nodokļa</w:t>
      </w:r>
      <w:r w:rsidRPr="00E862F9">
        <w:rPr>
          <w:bCs/>
          <w:szCs w:val="24"/>
        </w:rPr>
        <w:t xml:space="preserve"> iemaksas samazinājās par 129,9</w:t>
      </w:r>
      <w:r>
        <w:rPr>
          <w:bCs/>
          <w:szCs w:val="24"/>
        </w:rPr>
        <w:t> </w:t>
      </w:r>
      <w:r w:rsidRPr="00E862F9">
        <w:rPr>
          <w:bCs/>
          <w:szCs w:val="24"/>
        </w:rPr>
        <w:t>milj.</w:t>
      </w:r>
      <w:r>
        <w:rPr>
          <w:bCs/>
          <w:szCs w:val="24"/>
        </w:rPr>
        <w:t> </w:t>
      </w:r>
      <w:proofErr w:type="spellStart"/>
      <w:r w:rsidRPr="00E862F9">
        <w:rPr>
          <w:bCs/>
          <w:i/>
          <w:szCs w:val="24"/>
        </w:rPr>
        <w:t>euro</w:t>
      </w:r>
      <w:proofErr w:type="spellEnd"/>
      <w:r w:rsidRPr="00E862F9">
        <w:rPr>
          <w:bCs/>
          <w:szCs w:val="24"/>
        </w:rPr>
        <w:t xml:space="preserve"> jeb 26,2%</w:t>
      </w:r>
      <w:r w:rsidRPr="00E862F9">
        <w:rPr>
          <w:bCs/>
          <w:i/>
          <w:szCs w:val="24"/>
        </w:rPr>
        <w:t xml:space="preserve">, </w:t>
      </w:r>
      <w:r w:rsidRPr="00E862F9">
        <w:rPr>
          <w:bCs/>
          <w:szCs w:val="24"/>
        </w:rPr>
        <w:t>salīdzinot ar iepriekšējo gadu un atmaksas attiecīgi par 8,2 milj.</w:t>
      </w:r>
      <w:r>
        <w:rPr>
          <w:bCs/>
          <w:szCs w:val="24"/>
        </w:rPr>
        <w:t> </w:t>
      </w:r>
      <w:proofErr w:type="spellStart"/>
      <w:r w:rsidRPr="00E862F9">
        <w:rPr>
          <w:bCs/>
          <w:i/>
          <w:szCs w:val="24"/>
        </w:rPr>
        <w:t>euro</w:t>
      </w:r>
      <w:proofErr w:type="spellEnd"/>
      <w:r w:rsidRPr="00E862F9">
        <w:rPr>
          <w:bCs/>
          <w:szCs w:val="24"/>
        </w:rPr>
        <w:t xml:space="preserve"> jeb 11,9</w:t>
      </w:r>
      <w:r>
        <w:rPr>
          <w:bCs/>
          <w:szCs w:val="24"/>
        </w:rPr>
        <w:t> </w:t>
      </w:r>
      <w:r w:rsidRPr="00E862F9">
        <w:rPr>
          <w:bCs/>
          <w:szCs w:val="24"/>
        </w:rPr>
        <w:t>procentiem.</w:t>
      </w:r>
      <w:r w:rsidRPr="00E862F9">
        <w:rPr>
          <w:szCs w:val="24"/>
        </w:rPr>
        <w:t xml:space="preserve"> 2018.gadā uzņēmumu ienākuma nodokļa iemaksās 41,2% ir no nodokļu maksātājiem, kuri darbojas tirdzniecības un automobiļu un motociklu remonta nozarē, elektroenerģijas, gāzes apgādes, siltumapgādes un gaisa kondicionēšanas nozarē</w:t>
      </w:r>
      <w:r>
        <w:rPr>
          <w:szCs w:val="24"/>
        </w:rPr>
        <w:t>, kā arī</w:t>
      </w:r>
      <w:r w:rsidRPr="00E862F9">
        <w:rPr>
          <w:szCs w:val="24"/>
        </w:rPr>
        <w:t xml:space="preserve"> finanšu pakalpojumu un apdrošināšanas nozarē. Nodokļu maksātājiem, kuri darbojas finanšu pakalpojumu un apdrošināšanas nozarē, tirdzniecības un automobiļu un motociklu remonta nozarē vai</w:t>
      </w:r>
      <w:r>
        <w:rPr>
          <w:szCs w:val="24"/>
        </w:rPr>
        <w:t xml:space="preserve"> </w:t>
      </w:r>
      <w:r w:rsidRPr="00E862F9">
        <w:rPr>
          <w:szCs w:val="24"/>
        </w:rPr>
        <w:t>būvniecības nozarē, atmaksātā summa ir 43,7% no kopējās 2018.gadā atmaksātās summas.</w:t>
      </w:r>
      <w:r w:rsidRPr="00C81EF6">
        <w:rPr>
          <w:noProof/>
          <w:szCs w:val="24"/>
          <w:lang w:eastAsia="lv-LV"/>
        </w:rPr>
        <w:t xml:space="preserve"> </w:t>
      </w:r>
    </w:p>
    <w:p w:rsidR="007E3DAA" w:rsidRDefault="007E3DAA" w:rsidP="007E3DAA">
      <w:pPr>
        <w:ind w:firstLine="0"/>
        <w:rPr>
          <w:noProof/>
          <w:szCs w:val="24"/>
          <w:lang w:eastAsia="lv-LV"/>
        </w:rPr>
      </w:pPr>
    </w:p>
    <w:p w:rsidR="00EF6C87" w:rsidRDefault="00EF6C87" w:rsidP="007E3DAA">
      <w:pPr>
        <w:ind w:firstLine="0"/>
        <w:rPr>
          <w:noProof/>
          <w:szCs w:val="24"/>
          <w:lang w:eastAsia="lv-LV"/>
        </w:rPr>
      </w:pPr>
    </w:p>
    <w:p w:rsidR="004A7C43" w:rsidRDefault="006A4EE6" w:rsidP="007E3DAA">
      <w:pPr>
        <w:ind w:firstLine="0"/>
        <w:rPr>
          <w:noProof/>
          <w:szCs w:val="24"/>
          <w:lang w:eastAsia="lv-LV"/>
        </w:rPr>
      </w:pPr>
      <w:r>
        <w:rPr>
          <w:noProof/>
          <w:lang w:eastAsia="lv-LV"/>
        </w:rPr>
        <w:lastRenderedPageBreak/>
        <w:drawing>
          <wp:inline distT="0" distB="0" distL="0" distR="0" wp14:anchorId="4322AFA5" wp14:editId="7017BCA3">
            <wp:extent cx="5638800" cy="2349500"/>
            <wp:effectExtent l="19050" t="19050" r="19050" b="12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977" t="51332" r="26414" b="15594"/>
                    <a:stretch/>
                  </pic:blipFill>
                  <pic:spPr bwMode="auto">
                    <a:xfrm>
                      <a:off x="0" y="0"/>
                      <a:ext cx="5649178" cy="235382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870D7" w:rsidRPr="00C81EF6" w:rsidRDefault="007870D7" w:rsidP="007870D7">
      <w:pPr>
        <w:ind w:firstLine="0"/>
        <w:jc w:val="center"/>
        <w:rPr>
          <w:b/>
          <w:i/>
        </w:rPr>
      </w:pPr>
      <w:r w:rsidRPr="00C81EF6">
        <w:rPr>
          <w:b/>
          <w:i/>
        </w:rPr>
        <w:t xml:space="preserve">3.4. att. Uzņēmumu ienākuma nodokļa ieņēmumi sadalījumā pa mēnešiem, milj. </w:t>
      </w:r>
      <w:proofErr w:type="spellStart"/>
      <w:r w:rsidRPr="00C81EF6">
        <w:rPr>
          <w:b/>
          <w:i/>
        </w:rPr>
        <w:t>euro</w:t>
      </w:r>
      <w:proofErr w:type="spellEnd"/>
    </w:p>
    <w:p w:rsidR="007870D7" w:rsidRPr="008C0127" w:rsidRDefault="007870D7" w:rsidP="007870D7">
      <w:pPr>
        <w:pStyle w:val="Default"/>
        <w:spacing w:before="360" w:after="120"/>
        <w:ind w:firstLine="720"/>
        <w:contextualSpacing/>
        <w:jc w:val="both"/>
      </w:pPr>
      <w:r w:rsidRPr="008C0127">
        <w:t>2018.gadā uzņēmumu ienākuma nodokļa deklarācijas par 2017.gadu iesnieguši 90</w:t>
      </w:r>
      <w:r>
        <w:t> </w:t>
      </w:r>
      <w:r w:rsidRPr="008C0127">
        <w:t>051 nodokļu maksātāj</w:t>
      </w:r>
      <w:r>
        <w:t>i</w:t>
      </w:r>
      <w:r w:rsidRPr="008C0127">
        <w:t xml:space="preserve">, kas ir par 6,8% vairāk nekā iepriekšējā gadā par 2016.gadu. </w:t>
      </w:r>
    </w:p>
    <w:p w:rsidR="007870D7" w:rsidRDefault="007870D7" w:rsidP="007870D7">
      <w:pPr>
        <w:spacing w:after="0"/>
        <w:contextualSpacing/>
        <w:rPr>
          <w:szCs w:val="24"/>
        </w:rPr>
      </w:pPr>
      <w:r w:rsidRPr="008C0127">
        <w:rPr>
          <w:szCs w:val="24"/>
        </w:rPr>
        <w:t xml:space="preserve">Nodokļu maksātāji, kuri iesnieguši deklarācijas par 2017.gadu, avansā samaksājuši mazāku nodokļa summu nekā taksācijas periodam aprēķinātā nodokļa summa, tādējādi piemaksu summa par 82,96 milj. </w:t>
      </w:r>
      <w:proofErr w:type="spellStart"/>
      <w:r w:rsidRPr="00E862F9">
        <w:rPr>
          <w:i/>
        </w:rPr>
        <w:t>euro</w:t>
      </w:r>
      <w:proofErr w:type="spellEnd"/>
      <w:r w:rsidRPr="008C0127">
        <w:rPr>
          <w:szCs w:val="24"/>
        </w:rPr>
        <w:t xml:space="preserve"> pārsniedz atmaksu summu, radot pozitīvu saldo.</w:t>
      </w:r>
    </w:p>
    <w:p w:rsidR="007870D7" w:rsidRPr="008C0127" w:rsidRDefault="007870D7" w:rsidP="007870D7">
      <w:pPr>
        <w:spacing w:after="0"/>
        <w:contextualSpacing/>
        <w:rPr>
          <w:szCs w:val="24"/>
        </w:rPr>
      </w:pPr>
    </w:p>
    <w:p w:rsidR="007870D7" w:rsidRDefault="007870D7" w:rsidP="007870D7">
      <w:pPr>
        <w:pStyle w:val="Default"/>
        <w:ind w:firstLine="709"/>
        <w:jc w:val="both"/>
        <w:rPr>
          <w:color w:val="auto"/>
        </w:rPr>
      </w:pPr>
      <w:r w:rsidRPr="008C0127">
        <w:t xml:space="preserve">Sākot ar 2018.gada jūliju, deklarācijas iesniegšanas kārtība ir būtiski mainījusies – tā ir jāiesniedz par katru mēnesi, ja tajā ir izveidojušies ar nodokli apliekami ienākumi. Jāatzīmē, ka daļa nodokļu maksātāju deklarācijas par 2018.gada 1.pusgadu iesnieguši, lai deklarētu veiktos uzņēmumu ienākuma nodokļa avansa maksājumus šajā periodā. Kopā </w:t>
      </w:r>
      <w:r w:rsidRPr="008C0127">
        <w:rPr>
          <w:color w:val="auto"/>
        </w:rPr>
        <w:t>iesniegtas 49</w:t>
      </w:r>
      <w:r>
        <w:rPr>
          <w:color w:val="auto"/>
        </w:rPr>
        <w:t> </w:t>
      </w:r>
      <w:r w:rsidRPr="008C0127">
        <w:rPr>
          <w:color w:val="auto"/>
        </w:rPr>
        <w:t>895 deklarācijas ar samaksas termiņu 2018.gadā, no kurām 19 448 deklarēts budžetā iemaksājamais nodoklis 19,31</w:t>
      </w:r>
      <w:r>
        <w:rPr>
          <w:color w:val="auto"/>
        </w:rPr>
        <w:t> </w:t>
      </w:r>
      <w:r w:rsidRPr="008C0127">
        <w:rPr>
          <w:color w:val="auto"/>
        </w:rPr>
        <w:t>milj.</w:t>
      </w:r>
      <w:r>
        <w:rPr>
          <w:color w:val="auto"/>
        </w:rPr>
        <w:t> </w:t>
      </w:r>
      <w:proofErr w:type="spellStart"/>
      <w:r w:rsidRPr="008C0127">
        <w:rPr>
          <w:i/>
        </w:rPr>
        <w:t>euro</w:t>
      </w:r>
      <w:proofErr w:type="spellEnd"/>
      <w:r w:rsidRPr="008C0127">
        <w:rPr>
          <w:color w:val="auto"/>
        </w:rPr>
        <w:t xml:space="preserve"> apmērā, bet 11</w:t>
      </w:r>
      <w:r>
        <w:rPr>
          <w:color w:val="auto"/>
        </w:rPr>
        <w:t> </w:t>
      </w:r>
      <w:r w:rsidRPr="008C0127">
        <w:rPr>
          <w:color w:val="auto"/>
        </w:rPr>
        <w:t>724 – atmaksājamais nodoklis 160,52</w:t>
      </w:r>
      <w:r>
        <w:rPr>
          <w:color w:val="auto"/>
        </w:rPr>
        <w:t> </w:t>
      </w:r>
      <w:r w:rsidRPr="008C0127">
        <w:rPr>
          <w:color w:val="auto"/>
        </w:rPr>
        <w:t>milj.</w:t>
      </w:r>
      <w:r>
        <w:rPr>
          <w:color w:val="auto"/>
        </w:rPr>
        <w:t> </w:t>
      </w:r>
      <w:proofErr w:type="spellStart"/>
      <w:r w:rsidRPr="008C0127">
        <w:rPr>
          <w:i/>
        </w:rPr>
        <w:t>euro</w:t>
      </w:r>
      <w:proofErr w:type="spellEnd"/>
      <w:r w:rsidRPr="008C0127">
        <w:rPr>
          <w:color w:val="auto"/>
        </w:rPr>
        <w:t>.</w:t>
      </w:r>
    </w:p>
    <w:p w:rsidR="000D5E82" w:rsidRPr="008C0127" w:rsidRDefault="000D5E82" w:rsidP="007870D7">
      <w:pPr>
        <w:pStyle w:val="Default"/>
        <w:ind w:firstLine="709"/>
        <w:jc w:val="both"/>
      </w:pPr>
    </w:p>
    <w:p w:rsidR="007870D7" w:rsidRPr="00FE3C15" w:rsidRDefault="007870D7" w:rsidP="007870D7">
      <w:pPr>
        <w:ind w:firstLine="0"/>
        <w:jc w:val="center"/>
      </w:pPr>
      <w:r w:rsidRPr="00FE3C15">
        <w:rPr>
          <w:noProof/>
          <w:lang w:eastAsia="lv-LV"/>
        </w:rPr>
        <w:drawing>
          <wp:inline distT="0" distB="0" distL="0" distR="0" wp14:anchorId="0F98F9B0" wp14:editId="7AAF9FF0">
            <wp:extent cx="5161907" cy="2440419"/>
            <wp:effectExtent l="19050" t="19050" r="20320" b="171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4065" r="8938"/>
                    <a:stretch/>
                  </pic:blipFill>
                  <pic:spPr bwMode="auto">
                    <a:xfrm>
                      <a:off x="0" y="0"/>
                      <a:ext cx="5175314" cy="24467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7870D7" w:rsidRPr="00FE3C15" w:rsidRDefault="007870D7" w:rsidP="007870D7">
      <w:pPr>
        <w:ind w:firstLine="0"/>
        <w:jc w:val="center"/>
        <w:rPr>
          <w:b/>
          <w:i/>
        </w:rPr>
      </w:pPr>
      <w:r w:rsidRPr="00FE3C15">
        <w:rPr>
          <w:b/>
          <w:i/>
        </w:rPr>
        <w:t>3.5. att. Uzņēmumu ienākuma nodokļa piemaksājamās un</w:t>
      </w:r>
      <w:r w:rsidRPr="00FE3C15">
        <w:rPr>
          <w:b/>
          <w:i/>
        </w:rPr>
        <w:br/>
        <w:t xml:space="preserve">atmaksājamās summas no valsts budžeta, milj. </w:t>
      </w:r>
      <w:proofErr w:type="spellStart"/>
      <w:r w:rsidRPr="00FE3C15">
        <w:rPr>
          <w:b/>
          <w:i/>
        </w:rPr>
        <w:t>euro</w:t>
      </w:r>
      <w:proofErr w:type="spellEnd"/>
    </w:p>
    <w:p w:rsidR="007870D7" w:rsidRPr="00FE3C15" w:rsidRDefault="007870D7" w:rsidP="007870D7"/>
    <w:p w:rsidR="007870D7" w:rsidRPr="00DF7DBF" w:rsidRDefault="007870D7" w:rsidP="007870D7">
      <w:pPr>
        <w:rPr>
          <w:szCs w:val="24"/>
        </w:rPr>
      </w:pPr>
      <w:r w:rsidRPr="00DF7DBF">
        <w:rPr>
          <w:szCs w:val="24"/>
        </w:rPr>
        <w:t>Saskaņā ar</w:t>
      </w:r>
      <w:r w:rsidRPr="00DF7DBF">
        <w:rPr>
          <w:b/>
          <w:szCs w:val="24"/>
        </w:rPr>
        <w:t xml:space="preserve"> </w:t>
      </w:r>
      <w:r w:rsidR="003216C5">
        <w:rPr>
          <w:color w:val="000000" w:themeColor="text1"/>
        </w:rPr>
        <w:t>likum</w:t>
      </w:r>
      <w:r w:rsidRPr="00DF7DBF">
        <w:rPr>
          <w:color w:val="000000" w:themeColor="text1"/>
        </w:rPr>
        <w:t xml:space="preserve">u „Par valsts budžetu 2019.gadam” </w:t>
      </w:r>
      <w:r w:rsidRPr="00DF7DBF">
        <w:rPr>
          <w:szCs w:val="24"/>
        </w:rPr>
        <w:t>uzņēmuma ienākuma nodokļa ieņēmumi</w:t>
      </w:r>
      <w:r w:rsidRPr="00DF7DBF">
        <w:rPr>
          <w:b/>
          <w:szCs w:val="24"/>
        </w:rPr>
        <w:t xml:space="preserve"> </w:t>
      </w:r>
      <w:r w:rsidRPr="00DF7DBF">
        <w:rPr>
          <w:szCs w:val="24"/>
        </w:rPr>
        <w:t>2019</w:t>
      </w:r>
      <w:r>
        <w:rPr>
          <w:szCs w:val="24"/>
        </w:rPr>
        <w:t>.</w:t>
      </w:r>
      <w:r w:rsidRPr="00DF7DBF">
        <w:rPr>
          <w:szCs w:val="24"/>
        </w:rPr>
        <w:t>gadā</w:t>
      </w:r>
      <w:r w:rsidRPr="00DF7DBF">
        <w:rPr>
          <w:b/>
          <w:szCs w:val="24"/>
        </w:rPr>
        <w:t xml:space="preserve"> </w:t>
      </w:r>
      <w:r w:rsidRPr="00DF7DBF">
        <w:rPr>
          <w:szCs w:val="24"/>
        </w:rPr>
        <w:t>tiek plānoti 201,</w:t>
      </w:r>
      <w:r w:rsidR="003216C5">
        <w:rPr>
          <w:szCs w:val="24"/>
        </w:rPr>
        <w:t>8</w:t>
      </w:r>
      <w:r>
        <w:rPr>
          <w:szCs w:val="24"/>
        </w:rPr>
        <w:t> </w:t>
      </w:r>
      <w:r w:rsidRPr="00DF7DBF">
        <w:rPr>
          <w:szCs w:val="24"/>
        </w:rPr>
        <w:t>milj. </w:t>
      </w:r>
      <w:proofErr w:type="spellStart"/>
      <w:r w:rsidRPr="00DF7DBF">
        <w:rPr>
          <w:i/>
          <w:szCs w:val="24"/>
        </w:rPr>
        <w:t>euro</w:t>
      </w:r>
      <w:proofErr w:type="spellEnd"/>
      <w:r w:rsidRPr="00DF7DBF">
        <w:rPr>
          <w:szCs w:val="24"/>
        </w:rPr>
        <w:t xml:space="preserve"> apmērā.</w:t>
      </w:r>
      <w:r>
        <w:rPr>
          <w:szCs w:val="24"/>
        </w:rPr>
        <w:t xml:space="preserve"> Ieņēmumu kritums, salīdzinot ar 2018.gadu, skaidrojams ar to, ka uzņēmumi 2019.gadā vairs neveic avansa maksājumus. </w:t>
      </w:r>
      <w:r>
        <w:rPr>
          <w:szCs w:val="24"/>
        </w:rPr>
        <w:lastRenderedPageBreak/>
        <w:t>Vienlaikus būtiska maksājamā nodokļa daļa tiks segta ar iepriekš veiktajiem avansa maksājumiem.</w:t>
      </w:r>
    </w:p>
    <w:p w:rsidR="007870D7" w:rsidRDefault="007870D7" w:rsidP="007870D7">
      <w:pPr>
        <w:rPr>
          <w:szCs w:val="24"/>
        </w:rPr>
      </w:pPr>
      <w:r w:rsidRPr="00DF7DBF">
        <w:rPr>
          <w:szCs w:val="24"/>
        </w:rPr>
        <w:t>201</w:t>
      </w:r>
      <w:r>
        <w:rPr>
          <w:szCs w:val="24"/>
        </w:rPr>
        <w:t>9</w:t>
      </w:r>
      <w:r w:rsidRPr="00DF7DBF">
        <w:rPr>
          <w:szCs w:val="24"/>
        </w:rPr>
        <w:t xml:space="preserve">. gada uzņēmumu ienākuma nodokļa ieņēmumu prognozes tika sagatavotas, ņemot vērā makroekonomisko rādītāju attīstības scenāriju, </w:t>
      </w:r>
      <w:r w:rsidRPr="00A968D0">
        <w:t xml:space="preserve">kā arī </w:t>
      </w:r>
      <w:r w:rsidRPr="00A968D0">
        <w:rPr>
          <w:i/>
          <w:szCs w:val="28"/>
          <w:lang w:eastAsia="lv-LV"/>
        </w:rPr>
        <w:t>Valsts nodokļu politikas pamatnostādņu 2018. – 2021.gadam</w:t>
      </w:r>
      <w:r w:rsidRPr="00A968D0">
        <w:rPr>
          <w:szCs w:val="28"/>
          <w:lang w:eastAsia="lv-LV"/>
        </w:rPr>
        <w:t xml:space="preserve"> apstiprināt</w:t>
      </w:r>
      <w:r>
        <w:rPr>
          <w:szCs w:val="28"/>
          <w:lang w:eastAsia="lv-LV"/>
        </w:rPr>
        <w:t>os</w:t>
      </w:r>
      <w:r w:rsidRPr="00A968D0">
        <w:rPr>
          <w:szCs w:val="28"/>
          <w:lang w:eastAsia="lv-LV"/>
        </w:rPr>
        <w:t xml:space="preserve"> </w:t>
      </w:r>
      <w:r w:rsidRPr="00A968D0">
        <w:rPr>
          <w:noProof/>
          <w:lang w:eastAsia="lv-LV"/>
        </w:rPr>
        <w:t>nodokļu reformas pasākum</w:t>
      </w:r>
      <w:r>
        <w:rPr>
          <w:noProof/>
          <w:lang w:eastAsia="lv-LV"/>
        </w:rPr>
        <w:t>us</w:t>
      </w:r>
      <w:r w:rsidRPr="00A968D0">
        <w:t xml:space="preserve"> un </w:t>
      </w:r>
      <w:r w:rsidRPr="00E86E94">
        <w:t xml:space="preserve">Ministru kabineta </w:t>
      </w:r>
      <w:r w:rsidRPr="00E86E94">
        <w:rPr>
          <w:szCs w:val="24"/>
        </w:rPr>
        <w:t>atbalstītās likumdošanas izmaiņas</w:t>
      </w:r>
      <w:r>
        <w:rPr>
          <w:szCs w:val="24"/>
        </w:rPr>
        <w:t>:</w:t>
      </w:r>
    </w:p>
    <w:p w:rsidR="007870D7" w:rsidRDefault="007870D7" w:rsidP="004A7868">
      <w:pPr>
        <w:pStyle w:val="ListParagraph"/>
        <w:numPr>
          <w:ilvl w:val="0"/>
          <w:numId w:val="17"/>
        </w:numPr>
        <w:ind w:left="709" w:hanging="11"/>
        <w:rPr>
          <w:szCs w:val="24"/>
        </w:rPr>
      </w:pPr>
      <w:r w:rsidRPr="00A968D0">
        <w:t xml:space="preserve">2019.gada </w:t>
      </w:r>
      <w:r>
        <w:t>uzņēmumu</w:t>
      </w:r>
      <w:r w:rsidRPr="00A968D0">
        <w:t xml:space="preserve"> ienākuma nodokļa ieņēmumu ietekmējošās likumdošanas izmaiņas saistībā ar </w:t>
      </w:r>
      <w:r w:rsidRPr="00BC6868">
        <w:rPr>
          <w:i/>
          <w:szCs w:val="28"/>
          <w:lang w:eastAsia="lv-LV"/>
        </w:rPr>
        <w:t>Valsts nodokļu politikas pamatnostādņu 2018. – 2021.gadam</w:t>
      </w:r>
      <w:r w:rsidRPr="00BC6868">
        <w:rPr>
          <w:szCs w:val="28"/>
          <w:lang w:eastAsia="lv-LV"/>
        </w:rPr>
        <w:t xml:space="preserve"> apstiprinātajiem </w:t>
      </w:r>
      <w:r w:rsidRPr="00A968D0">
        <w:rPr>
          <w:noProof/>
          <w:lang w:eastAsia="lv-LV"/>
        </w:rPr>
        <w:t>nodokļu reformas pasākumiem</w:t>
      </w:r>
      <w:r>
        <w:rPr>
          <w:noProof/>
          <w:lang w:eastAsia="lv-LV"/>
        </w:rPr>
        <w:t xml:space="preserve"> – </w:t>
      </w:r>
      <w:r w:rsidRPr="00BC6868">
        <w:rPr>
          <w:rFonts w:eastAsia="Calibri"/>
          <w:noProof/>
          <w:szCs w:val="24"/>
          <w:lang w:eastAsia="lv-LV"/>
        </w:rPr>
        <w:t>tiek paredzēts</w:t>
      </w:r>
      <w:r w:rsidRPr="00BC6868">
        <w:rPr>
          <w:szCs w:val="24"/>
        </w:rPr>
        <w:t xml:space="preserve"> konceptuāli jauns </w:t>
      </w:r>
      <w:r w:rsidRPr="00BC6868">
        <w:rPr>
          <w:noProof/>
          <w:szCs w:val="24"/>
        </w:rPr>
        <w:t>uzņēmumu ienākuma nodokļa</w:t>
      </w:r>
      <w:r w:rsidRPr="00BC6868">
        <w:rPr>
          <w:szCs w:val="24"/>
        </w:rPr>
        <w:t xml:space="preserve"> maksāšanas režīms. Jaunais modelis paredz nodokļa maksāšanas brīdi atlikt līdz brīdim, kad peļņa tiek sadalīta vai citādā veidā novirzīta tādiem izdevumiem, kuri nenodrošina uzņēmuma turpmāku a</w:t>
      </w:r>
      <w:r>
        <w:rPr>
          <w:szCs w:val="24"/>
        </w:rPr>
        <w:t>ttīstību (fiskālā ietekme 2019.</w:t>
      </w:r>
      <w:r w:rsidRPr="00BC6868">
        <w:rPr>
          <w:szCs w:val="24"/>
        </w:rPr>
        <w:t>gadā -296,8</w:t>
      </w:r>
      <w:r>
        <w:rPr>
          <w:szCs w:val="24"/>
        </w:rPr>
        <w:t> </w:t>
      </w:r>
      <w:r w:rsidRPr="00BC6868">
        <w:rPr>
          <w:szCs w:val="24"/>
        </w:rPr>
        <w:t>milj. </w:t>
      </w:r>
      <w:proofErr w:type="spellStart"/>
      <w:r w:rsidRPr="00BC6868">
        <w:rPr>
          <w:i/>
          <w:spacing w:val="-6"/>
          <w:szCs w:val="24"/>
        </w:rPr>
        <w:t>euro</w:t>
      </w:r>
      <w:proofErr w:type="spellEnd"/>
      <w:r w:rsidRPr="00BC6868">
        <w:rPr>
          <w:spacing w:val="-6"/>
          <w:szCs w:val="24"/>
        </w:rPr>
        <w:t>)</w:t>
      </w:r>
      <w:r>
        <w:rPr>
          <w:szCs w:val="24"/>
        </w:rPr>
        <w:t>.</w:t>
      </w:r>
    </w:p>
    <w:p w:rsidR="007870D7" w:rsidRPr="002F16B2" w:rsidRDefault="007870D7" w:rsidP="002F16B2">
      <w:pPr>
        <w:pStyle w:val="ListParagraph"/>
        <w:numPr>
          <w:ilvl w:val="0"/>
          <w:numId w:val="17"/>
        </w:numPr>
        <w:spacing w:after="0"/>
        <w:ind w:left="709" w:right="57" w:hanging="11"/>
      </w:pPr>
      <w:r w:rsidRPr="00E86E94">
        <w:t xml:space="preserve">Ministru kabineta </w:t>
      </w:r>
      <w:r w:rsidRPr="00E86E94">
        <w:rPr>
          <w:szCs w:val="24"/>
        </w:rPr>
        <w:t>atbalstītās likumdošanas izmaiņas</w:t>
      </w:r>
      <w:r w:rsidR="002F16B2">
        <w:t xml:space="preserve"> – </w:t>
      </w:r>
      <w:r w:rsidRPr="006274FB">
        <w:t>201</w:t>
      </w:r>
      <w:r>
        <w:t>8</w:t>
      </w:r>
      <w:r w:rsidRPr="006274FB">
        <w:t xml:space="preserve">.gada </w:t>
      </w:r>
      <w:r>
        <w:t>18</w:t>
      </w:r>
      <w:r w:rsidRPr="006274FB">
        <w:t>.</w:t>
      </w:r>
      <w:r>
        <w:t>decembra sēdē</w:t>
      </w:r>
      <w:r w:rsidRPr="006274FB">
        <w:t xml:space="preserve"> </w:t>
      </w:r>
      <w:r w:rsidR="002F16B2">
        <w:t>lemtais (protokols nr.60 §88) –</w:t>
      </w:r>
      <w:r>
        <w:t xml:space="preserve"> akciju sabiedrības “Latvijas valsts meži” dividendēs izmaksājamās peļņas daļas palielināšana par 2018.gadu par </w:t>
      </w:r>
      <w:r w:rsidRPr="002F16B2">
        <w:rPr>
          <w:szCs w:val="24"/>
        </w:rPr>
        <w:t>45 milj. </w:t>
      </w:r>
      <w:proofErr w:type="spellStart"/>
      <w:r w:rsidRPr="002F16B2">
        <w:rPr>
          <w:i/>
          <w:spacing w:val="-6"/>
          <w:szCs w:val="24"/>
        </w:rPr>
        <w:t>euro</w:t>
      </w:r>
      <w:proofErr w:type="spellEnd"/>
      <w:r>
        <w:t xml:space="preserve"> </w:t>
      </w:r>
      <w:r w:rsidRPr="002F16B2">
        <w:rPr>
          <w:szCs w:val="24"/>
        </w:rPr>
        <w:t>(UIN fiskālā ietekme 2019.gadā +9,0 milj. </w:t>
      </w:r>
      <w:proofErr w:type="spellStart"/>
      <w:r w:rsidRPr="002F16B2">
        <w:rPr>
          <w:i/>
          <w:spacing w:val="-6"/>
          <w:szCs w:val="24"/>
        </w:rPr>
        <w:t>euro</w:t>
      </w:r>
      <w:proofErr w:type="spellEnd"/>
      <w:r w:rsidRPr="002F16B2">
        <w:rPr>
          <w:szCs w:val="24"/>
        </w:rPr>
        <w:t>)</w:t>
      </w:r>
      <w:r w:rsidR="002F16B2">
        <w:rPr>
          <w:color w:val="000000"/>
          <w:szCs w:val="24"/>
          <w:lang w:eastAsia="lv-LV"/>
        </w:rPr>
        <w:t>.</w:t>
      </w:r>
    </w:p>
    <w:p w:rsidR="007870D7" w:rsidRPr="00CE04B9" w:rsidRDefault="007870D7" w:rsidP="007870D7">
      <w:pPr>
        <w:spacing w:before="360"/>
        <w:ind w:firstLine="0"/>
        <w:jc w:val="center"/>
        <w:rPr>
          <w:b/>
          <w:i/>
        </w:rPr>
      </w:pPr>
      <w:r w:rsidRPr="00CE04B9">
        <w:rPr>
          <w:b/>
          <w:i/>
        </w:rPr>
        <w:t>3.7. tabula. Uzņēmumu ienākuma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106"/>
        <w:gridCol w:w="1419"/>
        <w:gridCol w:w="1276"/>
        <w:gridCol w:w="993"/>
        <w:gridCol w:w="1267"/>
      </w:tblGrid>
      <w:tr w:rsidR="007870D7" w:rsidRPr="00CE04B9" w:rsidTr="008671DD">
        <w:trPr>
          <w:jc w:val="center"/>
        </w:trPr>
        <w:tc>
          <w:tcPr>
            <w:tcW w:w="2266" w:type="pct"/>
            <w:vMerge w:val="restart"/>
            <w:shd w:val="clear" w:color="auto" w:fill="D9D9D9" w:themeFill="background1" w:themeFillShade="D9"/>
          </w:tcPr>
          <w:p w:rsidR="007870D7" w:rsidRPr="00CE04B9" w:rsidRDefault="007870D7" w:rsidP="007870D7">
            <w:pPr>
              <w:spacing w:after="0"/>
              <w:ind w:firstLine="62"/>
              <w:jc w:val="center"/>
              <w:rPr>
                <w:b/>
                <w:snapToGrid w:val="0"/>
                <w:sz w:val="20"/>
              </w:rPr>
            </w:pPr>
          </w:p>
        </w:tc>
        <w:tc>
          <w:tcPr>
            <w:tcW w:w="783" w:type="pct"/>
            <w:shd w:val="clear" w:color="auto" w:fill="D9D9D9" w:themeFill="background1" w:themeFillShade="D9"/>
          </w:tcPr>
          <w:p w:rsidR="007870D7" w:rsidRPr="00CE04B9" w:rsidRDefault="007870D7" w:rsidP="008671DD">
            <w:pPr>
              <w:spacing w:after="0"/>
              <w:ind w:right="-157" w:firstLine="62"/>
              <w:jc w:val="center"/>
              <w:rPr>
                <w:b/>
                <w:snapToGrid w:val="0"/>
                <w:sz w:val="20"/>
              </w:rPr>
            </w:pPr>
            <w:r w:rsidRPr="00CE04B9">
              <w:rPr>
                <w:b/>
                <w:snapToGrid w:val="0"/>
                <w:sz w:val="20"/>
              </w:rPr>
              <w:t>2016</w:t>
            </w:r>
          </w:p>
        </w:tc>
        <w:tc>
          <w:tcPr>
            <w:tcW w:w="704" w:type="pct"/>
            <w:shd w:val="clear" w:color="auto" w:fill="D9D9D9" w:themeFill="background1" w:themeFillShade="D9"/>
          </w:tcPr>
          <w:p w:rsidR="007870D7" w:rsidRPr="00CE04B9" w:rsidRDefault="007870D7" w:rsidP="008671DD">
            <w:pPr>
              <w:spacing w:after="0"/>
              <w:ind w:right="-157" w:firstLine="62"/>
              <w:jc w:val="center"/>
              <w:rPr>
                <w:b/>
                <w:snapToGrid w:val="0"/>
                <w:sz w:val="20"/>
              </w:rPr>
            </w:pPr>
            <w:r w:rsidRPr="00CE04B9">
              <w:rPr>
                <w:b/>
                <w:snapToGrid w:val="0"/>
                <w:sz w:val="20"/>
              </w:rPr>
              <w:t>2017</w:t>
            </w:r>
          </w:p>
        </w:tc>
        <w:tc>
          <w:tcPr>
            <w:tcW w:w="548" w:type="pct"/>
            <w:shd w:val="clear" w:color="auto" w:fill="D9D9D9" w:themeFill="background1" w:themeFillShade="D9"/>
          </w:tcPr>
          <w:p w:rsidR="007870D7" w:rsidRPr="00CE04B9" w:rsidRDefault="007870D7" w:rsidP="008671DD">
            <w:pPr>
              <w:spacing w:after="0"/>
              <w:ind w:right="-157" w:firstLine="62"/>
              <w:jc w:val="center"/>
              <w:rPr>
                <w:b/>
                <w:snapToGrid w:val="0"/>
                <w:sz w:val="20"/>
              </w:rPr>
            </w:pPr>
            <w:r w:rsidRPr="00CE04B9">
              <w:rPr>
                <w:b/>
                <w:snapToGrid w:val="0"/>
                <w:sz w:val="20"/>
              </w:rPr>
              <w:t>2018</w:t>
            </w:r>
          </w:p>
        </w:tc>
        <w:tc>
          <w:tcPr>
            <w:tcW w:w="699" w:type="pct"/>
            <w:shd w:val="clear" w:color="auto" w:fill="D9D9D9" w:themeFill="background1" w:themeFillShade="D9"/>
          </w:tcPr>
          <w:p w:rsidR="007870D7" w:rsidRPr="00CE04B9" w:rsidRDefault="007870D7" w:rsidP="008671DD">
            <w:pPr>
              <w:spacing w:after="0"/>
              <w:ind w:right="-157" w:firstLine="62"/>
              <w:jc w:val="center"/>
              <w:rPr>
                <w:b/>
                <w:snapToGrid w:val="0"/>
                <w:sz w:val="20"/>
              </w:rPr>
            </w:pPr>
            <w:r w:rsidRPr="00CE04B9">
              <w:rPr>
                <w:b/>
                <w:snapToGrid w:val="0"/>
                <w:sz w:val="20"/>
              </w:rPr>
              <w:t>2019</w:t>
            </w:r>
          </w:p>
        </w:tc>
      </w:tr>
      <w:tr w:rsidR="007870D7" w:rsidRPr="00CE04B9" w:rsidTr="008671DD">
        <w:trPr>
          <w:jc w:val="center"/>
        </w:trPr>
        <w:tc>
          <w:tcPr>
            <w:tcW w:w="2266" w:type="pct"/>
            <w:vMerge/>
            <w:shd w:val="clear" w:color="auto" w:fill="D9D9D9" w:themeFill="background1" w:themeFillShade="D9"/>
          </w:tcPr>
          <w:p w:rsidR="007870D7" w:rsidRPr="00CE04B9" w:rsidRDefault="007870D7" w:rsidP="007870D7">
            <w:pPr>
              <w:spacing w:after="0"/>
              <w:ind w:firstLine="62"/>
              <w:jc w:val="center"/>
              <w:rPr>
                <w:b/>
                <w:snapToGrid w:val="0"/>
                <w:sz w:val="20"/>
              </w:rPr>
            </w:pPr>
          </w:p>
        </w:tc>
        <w:tc>
          <w:tcPr>
            <w:tcW w:w="2035" w:type="pct"/>
            <w:gridSpan w:val="3"/>
            <w:shd w:val="clear" w:color="auto" w:fill="D9D9D9" w:themeFill="background1" w:themeFillShade="D9"/>
          </w:tcPr>
          <w:p w:rsidR="007870D7" w:rsidRPr="00CE04B9" w:rsidRDefault="007870D7" w:rsidP="007870D7">
            <w:pPr>
              <w:spacing w:after="0"/>
              <w:ind w:firstLine="0"/>
              <w:jc w:val="center"/>
              <w:rPr>
                <w:snapToGrid w:val="0"/>
                <w:sz w:val="20"/>
              </w:rPr>
            </w:pPr>
            <w:r w:rsidRPr="00CE04B9">
              <w:rPr>
                <w:snapToGrid w:val="0"/>
                <w:sz w:val="20"/>
              </w:rPr>
              <w:t>fakts</w:t>
            </w:r>
          </w:p>
        </w:tc>
        <w:tc>
          <w:tcPr>
            <w:tcW w:w="699" w:type="pct"/>
            <w:shd w:val="clear" w:color="auto" w:fill="D9D9D9" w:themeFill="background1" w:themeFillShade="D9"/>
          </w:tcPr>
          <w:p w:rsidR="007870D7" w:rsidRPr="00CE04B9" w:rsidRDefault="007870D7" w:rsidP="007870D7">
            <w:pPr>
              <w:spacing w:after="0"/>
              <w:ind w:firstLine="62"/>
              <w:jc w:val="center"/>
              <w:rPr>
                <w:snapToGrid w:val="0"/>
                <w:sz w:val="20"/>
              </w:rPr>
            </w:pPr>
            <w:r w:rsidRPr="00CE04B9">
              <w:rPr>
                <w:snapToGrid w:val="0"/>
                <w:sz w:val="20"/>
              </w:rPr>
              <w:t>plāns</w:t>
            </w:r>
          </w:p>
        </w:tc>
      </w:tr>
      <w:tr w:rsidR="007870D7" w:rsidRPr="00CE04B9" w:rsidTr="008671DD">
        <w:trPr>
          <w:jc w:val="center"/>
        </w:trPr>
        <w:tc>
          <w:tcPr>
            <w:tcW w:w="2266" w:type="pct"/>
          </w:tcPr>
          <w:p w:rsidR="007870D7" w:rsidRPr="00CE04B9" w:rsidRDefault="007870D7" w:rsidP="007870D7">
            <w:pPr>
              <w:spacing w:after="0"/>
              <w:ind w:firstLine="0"/>
              <w:rPr>
                <w:snapToGrid w:val="0"/>
                <w:sz w:val="20"/>
              </w:rPr>
            </w:pPr>
            <w:r w:rsidRPr="00CE04B9">
              <w:rPr>
                <w:b/>
                <w:snapToGrid w:val="0"/>
                <w:sz w:val="20"/>
              </w:rPr>
              <w:t>Uzņēmumu ienākuma nodoklis</w:t>
            </w:r>
            <w:r w:rsidRPr="00CE04B9">
              <w:rPr>
                <w:snapToGrid w:val="0"/>
                <w:sz w:val="20"/>
              </w:rPr>
              <w:t xml:space="preserve">, milj. </w:t>
            </w:r>
            <w:proofErr w:type="spellStart"/>
            <w:r w:rsidRPr="00CE04B9">
              <w:rPr>
                <w:i/>
                <w:snapToGrid w:val="0"/>
                <w:sz w:val="20"/>
              </w:rPr>
              <w:t>euro</w:t>
            </w:r>
            <w:proofErr w:type="spellEnd"/>
          </w:p>
        </w:tc>
        <w:tc>
          <w:tcPr>
            <w:tcW w:w="783" w:type="pct"/>
          </w:tcPr>
          <w:p w:rsidR="007870D7" w:rsidRPr="00CE04B9" w:rsidRDefault="007870D7" w:rsidP="007870D7">
            <w:pPr>
              <w:spacing w:after="0"/>
              <w:ind w:right="-157" w:firstLine="62"/>
              <w:jc w:val="center"/>
              <w:rPr>
                <w:b/>
                <w:snapToGrid w:val="0"/>
                <w:sz w:val="20"/>
              </w:rPr>
            </w:pPr>
            <w:r w:rsidRPr="00CE04B9">
              <w:rPr>
                <w:b/>
                <w:snapToGrid w:val="0"/>
                <w:sz w:val="20"/>
              </w:rPr>
              <w:t>419,7</w:t>
            </w:r>
          </w:p>
        </w:tc>
        <w:tc>
          <w:tcPr>
            <w:tcW w:w="704" w:type="pct"/>
          </w:tcPr>
          <w:p w:rsidR="007870D7" w:rsidRPr="00CE04B9" w:rsidRDefault="007870D7" w:rsidP="007870D7">
            <w:pPr>
              <w:spacing w:after="0"/>
              <w:ind w:right="-157" w:firstLine="62"/>
              <w:jc w:val="center"/>
              <w:rPr>
                <w:b/>
                <w:snapToGrid w:val="0"/>
                <w:sz w:val="20"/>
              </w:rPr>
            </w:pPr>
            <w:r w:rsidRPr="00CE04B9">
              <w:rPr>
                <w:b/>
                <w:snapToGrid w:val="0"/>
                <w:sz w:val="20"/>
              </w:rPr>
              <w:t>425,6</w:t>
            </w:r>
          </w:p>
        </w:tc>
        <w:tc>
          <w:tcPr>
            <w:tcW w:w="548" w:type="pct"/>
          </w:tcPr>
          <w:p w:rsidR="007870D7" w:rsidRPr="00CE04B9" w:rsidRDefault="007870D7" w:rsidP="007870D7">
            <w:pPr>
              <w:spacing w:after="0"/>
              <w:ind w:right="-157" w:firstLine="62"/>
              <w:jc w:val="center"/>
              <w:rPr>
                <w:b/>
                <w:snapToGrid w:val="0"/>
                <w:sz w:val="20"/>
              </w:rPr>
            </w:pPr>
            <w:r w:rsidRPr="00CE04B9">
              <w:rPr>
                <w:b/>
                <w:snapToGrid w:val="0"/>
                <w:sz w:val="20"/>
              </w:rPr>
              <w:t>304,0</w:t>
            </w:r>
          </w:p>
        </w:tc>
        <w:tc>
          <w:tcPr>
            <w:tcW w:w="699" w:type="pct"/>
          </w:tcPr>
          <w:p w:rsidR="007870D7" w:rsidRPr="00CE04B9" w:rsidRDefault="007870D7" w:rsidP="003C1652">
            <w:pPr>
              <w:spacing w:after="0"/>
              <w:ind w:right="-157" w:firstLine="62"/>
              <w:jc w:val="center"/>
              <w:rPr>
                <w:b/>
                <w:snapToGrid w:val="0"/>
                <w:sz w:val="20"/>
              </w:rPr>
            </w:pPr>
            <w:r w:rsidRPr="00CE04B9">
              <w:rPr>
                <w:b/>
                <w:snapToGrid w:val="0"/>
                <w:sz w:val="20"/>
              </w:rPr>
              <w:t>201,</w:t>
            </w:r>
            <w:r w:rsidR="003C1652">
              <w:rPr>
                <w:b/>
                <w:snapToGrid w:val="0"/>
                <w:sz w:val="20"/>
              </w:rPr>
              <w:t>8</w:t>
            </w:r>
          </w:p>
        </w:tc>
      </w:tr>
      <w:tr w:rsidR="007870D7" w:rsidRPr="00CE04B9" w:rsidTr="008671DD">
        <w:trPr>
          <w:jc w:val="center"/>
        </w:trPr>
        <w:tc>
          <w:tcPr>
            <w:tcW w:w="2266" w:type="pct"/>
          </w:tcPr>
          <w:p w:rsidR="007870D7" w:rsidRPr="00CE04B9" w:rsidRDefault="007870D7" w:rsidP="007870D7">
            <w:pPr>
              <w:spacing w:after="0"/>
              <w:ind w:firstLine="62"/>
              <w:rPr>
                <w:i/>
                <w:snapToGrid w:val="0"/>
                <w:sz w:val="20"/>
              </w:rPr>
            </w:pPr>
            <w:r w:rsidRPr="00CE04B9">
              <w:rPr>
                <w:i/>
                <w:snapToGrid w:val="0"/>
                <w:sz w:val="20"/>
              </w:rPr>
              <w:t>pieauguma tempi faktiskās cenās, %</w:t>
            </w:r>
          </w:p>
        </w:tc>
        <w:tc>
          <w:tcPr>
            <w:tcW w:w="783" w:type="pct"/>
          </w:tcPr>
          <w:p w:rsidR="007870D7" w:rsidRPr="00CE04B9" w:rsidRDefault="007870D7" w:rsidP="007870D7">
            <w:pPr>
              <w:spacing w:after="0"/>
              <w:ind w:right="-157" w:firstLine="0"/>
              <w:jc w:val="center"/>
              <w:rPr>
                <w:i/>
                <w:snapToGrid w:val="0"/>
                <w:sz w:val="20"/>
              </w:rPr>
            </w:pPr>
            <w:r w:rsidRPr="00CE04B9">
              <w:rPr>
                <w:i/>
                <w:snapToGrid w:val="0"/>
                <w:sz w:val="20"/>
              </w:rPr>
              <w:t>9,6</w:t>
            </w:r>
          </w:p>
        </w:tc>
        <w:tc>
          <w:tcPr>
            <w:tcW w:w="704" w:type="pct"/>
          </w:tcPr>
          <w:p w:rsidR="007870D7" w:rsidRPr="00CE04B9" w:rsidRDefault="007870D7" w:rsidP="007870D7">
            <w:pPr>
              <w:spacing w:after="0"/>
              <w:ind w:right="-157" w:firstLine="62"/>
              <w:jc w:val="center"/>
              <w:rPr>
                <w:i/>
                <w:snapToGrid w:val="0"/>
                <w:sz w:val="20"/>
              </w:rPr>
            </w:pPr>
            <w:r w:rsidRPr="00CE04B9">
              <w:rPr>
                <w:i/>
                <w:snapToGrid w:val="0"/>
                <w:sz w:val="20"/>
              </w:rPr>
              <w:t>1,4</w:t>
            </w:r>
          </w:p>
        </w:tc>
        <w:tc>
          <w:tcPr>
            <w:tcW w:w="548" w:type="pct"/>
          </w:tcPr>
          <w:p w:rsidR="007870D7" w:rsidRPr="00CE04B9" w:rsidRDefault="007870D7" w:rsidP="007870D7">
            <w:pPr>
              <w:spacing w:after="0"/>
              <w:ind w:right="-157" w:firstLine="62"/>
              <w:jc w:val="center"/>
              <w:rPr>
                <w:i/>
                <w:snapToGrid w:val="0"/>
                <w:sz w:val="20"/>
              </w:rPr>
            </w:pPr>
            <w:r w:rsidRPr="00CE04B9">
              <w:rPr>
                <w:i/>
                <w:snapToGrid w:val="0"/>
                <w:sz w:val="20"/>
              </w:rPr>
              <w:t>-28,6</w:t>
            </w:r>
          </w:p>
        </w:tc>
        <w:tc>
          <w:tcPr>
            <w:tcW w:w="699" w:type="pct"/>
          </w:tcPr>
          <w:p w:rsidR="007870D7" w:rsidRPr="00CE04B9" w:rsidRDefault="007870D7" w:rsidP="003C1652">
            <w:pPr>
              <w:spacing w:after="0"/>
              <w:ind w:right="-157" w:firstLine="62"/>
              <w:jc w:val="center"/>
              <w:rPr>
                <w:i/>
                <w:snapToGrid w:val="0"/>
                <w:sz w:val="20"/>
              </w:rPr>
            </w:pPr>
            <w:r w:rsidRPr="00CE04B9">
              <w:rPr>
                <w:i/>
                <w:snapToGrid w:val="0"/>
                <w:sz w:val="20"/>
              </w:rPr>
              <w:t>-33,</w:t>
            </w:r>
            <w:r w:rsidR="003C1652">
              <w:rPr>
                <w:i/>
                <w:snapToGrid w:val="0"/>
                <w:sz w:val="20"/>
              </w:rPr>
              <w:t>6</w:t>
            </w:r>
          </w:p>
        </w:tc>
      </w:tr>
      <w:tr w:rsidR="007870D7" w:rsidRPr="002074E7" w:rsidTr="008671DD">
        <w:trPr>
          <w:jc w:val="center"/>
        </w:trPr>
        <w:tc>
          <w:tcPr>
            <w:tcW w:w="2266" w:type="pct"/>
          </w:tcPr>
          <w:p w:rsidR="007870D7" w:rsidRPr="00CE04B9" w:rsidRDefault="007870D7" w:rsidP="007870D7">
            <w:pPr>
              <w:spacing w:after="0"/>
              <w:ind w:firstLine="62"/>
              <w:rPr>
                <w:i/>
                <w:snapToGrid w:val="0"/>
                <w:sz w:val="20"/>
              </w:rPr>
            </w:pPr>
            <w:r w:rsidRPr="00CE04B9">
              <w:rPr>
                <w:i/>
                <w:snapToGrid w:val="0"/>
                <w:sz w:val="20"/>
              </w:rPr>
              <w:t xml:space="preserve"> % no IKP</w:t>
            </w:r>
          </w:p>
        </w:tc>
        <w:tc>
          <w:tcPr>
            <w:tcW w:w="783" w:type="pct"/>
          </w:tcPr>
          <w:p w:rsidR="007870D7" w:rsidRPr="00CE04B9" w:rsidRDefault="007870D7" w:rsidP="007870D7">
            <w:pPr>
              <w:spacing w:after="0"/>
              <w:ind w:right="-157" w:firstLine="62"/>
              <w:jc w:val="center"/>
              <w:rPr>
                <w:i/>
                <w:snapToGrid w:val="0"/>
                <w:sz w:val="20"/>
              </w:rPr>
            </w:pPr>
            <w:r w:rsidRPr="00CE04B9">
              <w:rPr>
                <w:i/>
                <w:snapToGrid w:val="0"/>
                <w:sz w:val="20"/>
              </w:rPr>
              <w:t>1,7</w:t>
            </w:r>
          </w:p>
        </w:tc>
        <w:tc>
          <w:tcPr>
            <w:tcW w:w="704" w:type="pct"/>
          </w:tcPr>
          <w:p w:rsidR="007870D7" w:rsidRPr="00CE04B9" w:rsidRDefault="007870D7" w:rsidP="007870D7">
            <w:pPr>
              <w:spacing w:after="0"/>
              <w:ind w:right="-157" w:firstLine="62"/>
              <w:jc w:val="center"/>
              <w:rPr>
                <w:i/>
                <w:snapToGrid w:val="0"/>
                <w:sz w:val="20"/>
              </w:rPr>
            </w:pPr>
            <w:r w:rsidRPr="00CE04B9">
              <w:rPr>
                <w:i/>
                <w:snapToGrid w:val="0"/>
                <w:sz w:val="20"/>
              </w:rPr>
              <w:t>1,6</w:t>
            </w:r>
          </w:p>
        </w:tc>
        <w:tc>
          <w:tcPr>
            <w:tcW w:w="548" w:type="pct"/>
          </w:tcPr>
          <w:p w:rsidR="007870D7" w:rsidRPr="00CE04B9" w:rsidRDefault="007870D7" w:rsidP="007870D7">
            <w:pPr>
              <w:spacing w:after="0"/>
              <w:ind w:right="-157" w:firstLine="62"/>
              <w:jc w:val="center"/>
              <w:rPr>
                <w:i/>
                <w:snapToGrid w:val="0"/>
                <w:sz w:val="20"/>
              </w:rPr>
            </w:pPr>
            <w:r w:rsidRPr="00CE04B9">
              <w:rPr>
                <w:i/>
                <w:snapToGrid w:val="0"/>
                <w:sz w:val="20"/>
              </w:rPr>
              <w:t>1,1</w:t>
            </w:r>
          </w:p>
        </w:tc>
        <w:tc>
          <w:tcPr>
            <w:tcW w:w="699" w:type="pct"/>
          </w:tcPr>
          <w:p w:rsidR="007870D7" w:rsidRPr="00CE04B9" w:rsidRDefault="007870D7" w:rsidP="007870D7">
            <w:pPr>
              <w:spacing w:after="0"/>
              <w:ind w:right="-157" w:firstLine="62"/>
              <w:jc w:val="center"/>
              <w:rPr>
                <w:i/>
                <w:snapToGrid w:val="0"/>
                <w:sz w:val="20"/>
              </w:rPr>
            </w:pPr>
            <w:r w:rsidRPr="00CE04B9">
              <w:rPr>
                <w:i/>
                <w:snapToGrid w:val="0"/>
                <w:sz w:val="20"/>
              </w:rPr>
              <w:t>0,7</w:t>
            </w:r>
          </w:p>
        </w:tc>
      </w:tr>
    </w:tbl>
    <w:p w:rsidR="00C31790" w:rsidRPr="00C9439C" w:rsidRDefault="00C31790" w:rsidP="00C9439C">
      <w:pPr>
        <w:pStyle w:val="cipari"/>
        <w:spacing w:after="0"/>
        <w:ind w:left="0" w:firstLine="0"/>
        <w:rPr>
          <w:sz w:val="18"/>
        </w:rPr>
      </w:pPr>
    </w:p>
    <w:p w:rsidR="0053461B" w:rsidRPr="00221972" w:rsidRDefault="0053461B" w:rsidP="00C9439C">
      <w:pPr>
        <w:pStyle w:val="cipari"/>
        <w:spacing w:after="0"/>
        <w:ind w:left="0" w:firstLine="0"/>
      </w:pPr>
    </w:p>
    <w:bookmarkEnd w:id="5"/>
    <w:bookmarkEnd w:id="6"/>
    <w:bookmarkEnd w:id="7"/>
    <w:p w:rsidR="003613E3" w:rsidRDefault="003613E3" w:rsidP="004E1EF0">
      <w:pPr>
        <w:pStyle w:val="H3"/>
      </w:pPr>
      <w:r w:rsidRPr="00221972">
        <w:t>3.</w:t>
      </w:r>
      <w:r w:rsidR="00BE4104">
        <w:t>2</w:t>
      </w:r>
      <w:r w:rsidRPr="00221972">
        <w:t>.2. Netiešie nodokļi</w:t>
      </w:r>
    </w:p>
    <w:p w:rsidR="007870D7" w:rsidRPr="00ED0C19" w:rsidRDefault="007870D7" w:rsidP="007870D7">
      <w:r w:rsidRPr="00ED0C19">
        <w:t>Lielāko daļu no netiešo nodokļu ieņēmumiem veido pievienotās vērtības nodokļa un akcīzes nodokļa ieņēmumi.</w:t>
      </w:r>
    </w:p>
    <w:p w:rsidR="007870D7" w:rsidRDefault="007870D7" w:rsidP="007870D7">
      <w:pPr>
        <w:spacing w:after="360"/>
      </w:pPr>
      <w:r w:rsidRPr="00ED0C19">
        <w:t>2019.gadā netiešo nodokļu ieņēmumu īpatsvars iekšzemes kopproduktā tiek plānots 12,8 </w:t>
      </w:r>
      <w:r>
        <w:t>%</w:t>
      </w:r>
      <w:r w:rsidR="00CA67AC">
        <w:t xml:space="preserve"> apmērā. Saskaņā ar likum</w:t>
      </w:r>
      <w:r w:rsidRPr="00ED0C19">
        <w:t>u „Par valsts budžetu 2019.gadam” 2019.gadā netiešo nodokļu īpatsvars iekšzemes kopproduktā tiek plānots virs 2018.gada apmēra, kas, salīdzinot</w:t>
      </w:r>
      <w:r>
        <w:t>,</w:t>
      </w:r>
      <w:r w:rsidRPr="00ED0C19">
        <w:t xml:space="preserve"> ir par 0,2</w:t>
      </w:r>
      <w:r>
        <w:t> procentpunktiem vairāk.</w:t>
      </w:r>
    </w:p>
    <w:p w:rsidR="00C9439C" w:rsidRDefault="00C9439C" w:rsidP="00C9439C">
      <w:pPr>
        <w:pStyle w:val="cipari"/>
        <w:spacing w:after="0"/>
      </w:pPr>
    </w:p>
    <w:bookmarkEnd w:id="0"/>
    <w:bookmarkEnd w:id="1"/>
    <w:bookmarkEnd w:id="2"/>
    <w:bookmarkEnd w:id="3"/>
    <w:bookmarkEnd w:id="4"/>
    <w:p w:rsidR="007870D7" w:rsidRPr="00215149" w:rsidRDefault="007870D7" w:rsidP="007870D7">
      <w:pPr>
        <w:spacing w:after="360"/>
        <w:ind w:firstLine="284"/>
        <w:jc w:val="center"/>
      </w:pPr>
      <w:r>
        <w:rPr>
          <w:noProof/>
          <w:lang w:eastAsia="lv-LV"/>
        </w:rPr>
        <w:lastRenderedPageBreak/>
        <w:drawing>
          <wp:inline distT="0" distB="0" distL="0" distR="0" wp14:anchorId="0FF2EBD2" wp14:editId="754D9B2C">
            <wp:extent cx="5193101" cy="3095029"/>
            <wp:effectExtent l="19050" t="19050" r="26670" b="101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363" t="32351" r="24364" b="17800"/>
                    <a:stretch/>
                  </pic:blipFill>
                  <pic:spPr bwMode="auto">
                    <a:xfrm>
                      <a:off x="0" y="0"/>
                      <a:ext cx="5216685" cy="3109085"/>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r w:rsidRPr="00215149">
        <w:rPr>
          <w:b/>
          <w:i/>
        </w:rPr>
        <w:t>3.6. att. Netiešo nodokļu ieņēmumi, % no iekšzemes kopprodukta</w:t>
      </w:r>
    </w:p>
    <w:p w:rsidR="007870D7" w:rsidRPr="00610539" w:rsidRDefault="007870D7" w:rsidP="007870D7">
      <w:pPr>
        <w:pStyle w:val="H4"/>
        <w:spacing w:before="60" w:after="60"/>
      </w:pPr>
      <w:r w:rsidRPr="00610539">
        <w:t>Pievienotās vērtības nodoklis</w:t>
      </w:r>
    </w:p>
    <w:p w:rsidR="007870D7" w:rsidRPr="003B393B" w:rsidRDefault="007870D7" w:rsidP="007870D7">
      <w:pPr>
        <w:spacing w:after="0"/>
        <w:ind w:firstLine="0"/>
        <w:rPr>
          <w:bCs/>
        </w:rPr>
      </w:pPr>
    </w:p>
    <w:p w:rsidR="007870D7" w:rsidRPr="003B393B" w:rsidRDefault="007870D7" w:rsidP="007870D7">
      <w:pPr>
        <w:rPr>
          <w:color w:val="000000" w:themeColor="text1"/>
        </w:rPr>
      </w:pPr>
      <w:r w:rsidRPr="003B393B">
        <w:rPr>
          <w:color w:val="000000" w:themeColor="text1"/>
        </w:rPr>
        <w:t>Pievienotās vērtības nodokļa ieņēmumi ir nozīmīgs valsts pamatbudžeta ieņēmumu avots, kas 2018.gadā veidoja 54,8% no valsts pamatbudžeta nodokļu ieņēmumiem.</w:t>
      </w:r>
    </w:p>
    <w:p w:rsidR="007870D7" w:rsidRDefault="007870D7" w:rsidP="007870D7">
      <w:pPr>
        <w:rPr>
          <w:color w:val="000000" w:themeColor="text1"/>
        </w:rPr>
      </w:pPr>
      <w:r w:rsidRPr="007459A3">
        <w:rPr>
          <w:color w:val="000000" w:themeColor="text1"/>
        </w:rPr>
        <w:t>Pievienotās vērtības nodokļa ieņēmumi 2018.ga</w:t>
      </w:r>
      <w:r w:rsidR="007D327E">
        <w:rPr>
          <w:color w:val="000000" w:themeColor="text1"/>
        </w:rPr>
        <w:t>dā bija 2 </w:t>
      </w:r>
      <w:r w:rsidRPr="007459A3">
        <w:rPr>
          <w:color w:val="000000" w:themeColor="text1"/>
        </w:rPr>
        <w:t>457,0 milj. </w:t>
      </w:r>
      <w:proofErr w:type="spellStart"/>
      <w:r w:rsidRPr="007459A3">
        <w:rPr>
          <w:i/>
          <w:color w:val="000000" w:themeColor="text1"/>
        </w:rPr>
        <w:t>euro</w:t>
      </w:r>
      <w:proofErr w:type="spellEnd"/>
      <w:r w:rsidRPr="007459A3">
        <w:rPr>
          <w:color w:val="000000" w:themeColor="text1"/>
        </w:rPr>
        <w:t>, kas salīdzinājumā ar 2017.gadu ir par 269,2 milj. </w:t>
      </w:r>
      <w:proofErr w:type="spellStart"/>
      <w:r w:rsidRPr="007459A3">
        <w:rPr>
          <w:i/>
          <w:color w:val="000000" w:themeColor="text1"/>
        </w:rPr>
        <w:t>euro</w:t>
      </w:r>
      <w:proofErr w:type="spellEnd"/>
      <w:r w:rsidRPr="007459A3">
        <w:rPr>
          <w:color w:val="000000" w:themeColor="text1"/>
        </w:rPr>
        <w:t xml:space="preserve"> jeb 12,3% vairāk.</w:t>
      </w:r>
    </w:p>
    <w:p w:rsidR="00165337" w:rsidRDefault="00165337" w:rsidP="007870D7">
      <w:pPr>
        <w:rPr>
          <w:color w:val="000000" w:themeColor="text1"/>
        </w:rPr>
      </w:pPr>
      <w:r>
        <w:rPr>
          <w:noProof/>
          <w:color w:val="000000" w:themeColor="text1"/>
          <w:lang w:eastAsia="lv-LV"/>
        </w:rPr>
        <w:drawing>
          <wp:inline distT="0" distB="0" distL="0" distR="0" wp14:anchorId="2D4FCC3A">
            <wp:extent cx="5228885" cy="2562225"/>
            <wp:effectExtent l="19050" t="19050" r="1016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6327" r="15215"/>
                    <a:stretch/>
                  </pic:blipFill>
                  <pic:spPr bwMode="auto">
                    <a:xfrm>
                      <a:off x="0" y="0"/>
                      <a:ext cx="5251687" cy="2573398"/>
                    </a:xfrm>
                    <a:prstGeom prst="rect">
                      <a:avLst/>
                    </a:prstGeom>
                    <a:noFill/>
                    <a:ln>
                      <a:solidFill>
                        <a:schemeClr val="tx1">
                          <a:lumMod val="75000"/>
                          <a:lumOff val="25000"/>
                        </a:schemeClr>
                      </a:solidFill>
                    </a:ln>
                    <a:extLst>
                      <a:ext uri="{53640926-AAD7-44D8-BBD7-CCE9431645EC}">
                        <a14:shadowObscured xmlns:a14="http://schemas.microsoft.com/office/drawing/2010/main"/>
                      </a:ext>
                    </a:extLst>
                  </pic:spPr>
                </pic:pic>
              </a:graphicData>
            </a:graphic>
          </wp:inline>
        </w:drawing>
      </w:r>
    </w:p>
    <w:p w:rsidR="007870D7" w:rsidRPr="00B05F0F" w:rsidRDefault="007870D7" w:rsidP="007870D7">
      <w:pPr>
        <w:pStyle w:val="Z"/>
        <w:spacing w:after="360"/>
        <w:ind w:firstLine="709"/>
        <w:rPr>
          <w:color w:val="000000" w:themeColor="text1"/>
        </w:rPr>
      </w:pPr>
      <w:r w:rsidRPr="00B05F0F">
        <w:rPr>
          <w:color w:val="000000" w:themeColor="text1"/>
        </w:rPr>
        <w:t xml:space="preserve">3.7. att. Pievienotās vērtības nodokļa ieņēmumi sadalījumā pa mēnešiem, milj. </w:t>
      </w:r>
      <w:proofErr w:type="spellStart"/>
      <w:r w:rsidRPr="00B05F0F">
        <w:rPr>
          <w:color w:val="000000" w:themeColor="text1"/>
        </w:rPr>
        <w:t>euro</w:t>
      </w:r>
      <w:proofErr w:type="spellEnd"/>
    </w:p>
    <w:p w:rsidR="007870D7" w:rsidRDefault="007870D7" w:rsidP="007870D7">
      <w:pPr>
        <w:rPr>
          <w:color w:val="000000" w:themeColor="text1"/>
        </w:rPr>
      </w:pPr>
      <w:r w:rsidRPr="00D1595B">
        <w:t>Saskaņā ar Centrālās statistikas pārvaldes datiem mazumtirdzniecības uzņēmumu kopējais apgrozījums (ieskaitot auto degvielas mazumtirdzniecību), faktiskajās cenās 2018.gadā</w:t>
      </w:r>
      <w:r>
        <w:t>,</w:t>
      </w:r>
      <w:r w:rsidRPr="00D1595B">
        <w:t xml:space="preserve"> salīdzinājumā ar 2017.gadu</w:t>
      </w:r>
      <w:r>
        <w:t>,</w:t>
      </w:r>
      <w:r w:rsidRPr="00D1595B">
        <w:t xml:space="preserve"> </w:t>
      </w:r>
      <w:r w:rsidRPr="000360F6">
        <w:t xml:space="preserve">palielinājās par </w:t>
      </w:r>
      <w:r>
        <w:t>6,7 </w:t>
      </w:r>
      <w:r w:rsidRPr="000360F6">
        <w:t>procentiem</w:t>
      </w:r>
      <w:r w:rsidRPr="00AB6150">
        <w:t xml:space="preserve">. </w:t>
      </w:r>
      <w:r w:rsidRPr="00AB6150">
        <w:rPr>
          <w:color w:val="000000" w:themeColor="text1"/>
        </w:rPr>
        <w:t xml:space="preserve">Pārtikas preču mazumtirdzniecības apgrozījums palielinājās par 5,7%,  </w:t>
      </w:r>
      <w:r w:rsidRPr="006E616D">
        <w:rPr>
          <w:color w:val="000000" w:themeColor="text1"/>
        </w:rPr>
        <w:t xml:space="preserve">nepārtikas preču (neieskaitot auto degvielas mazumtirdzniecību) pārdošanas apjoms palielinājās par 4,2% un auto degvielas mazumtirdzniecība par 15,8 procentiem. </w:t>
      </w:r>
    </w:p>
    <w:p w:rsidR="007870D7" w:rsidRDefault="007870D7" w:rsidP="007870D7">
      <w:pPr>
        <w:rPr>
          <w:bCs/>
          <w:szCs w:val="24"/>
        </w:rPr>
      </w:pPr>
      <w:r w:rsidRPr="00D56833">
        <w:rPr>
          <w:bCs/>
          <w:noProof/>
          <w:szCs w:val="24"/>
          <w:lang w:eastAsia="lv-LV"/>
        </w:rPr>
        <w:lastRenderedPageBreak/>
        <w:drawing>
          <wp:anchor distT="0" distB="0" distL="114300" distR="114300" simplePos="0" relativeHeight="251660288" behindDoc="0" locked="0" layoutInCell="1" allowOverlap="1" wp14:anchorId="16F18DB5" wp14:editId="4BD61C6A">
            <wp:simplePos x="0" y="0"/>
            <wp:positionH relativeFrom="margin">
              <wp:align>right</wp:align>
            </wp:positionH>
            <wp:positionV relativeFrom="paragraph">
              <wp:posOffset>1321435</wp:posOffset>
            </wp:positionV>
            <wp:extent cx="5712460" cy="2197735"/>
            <wp:effectExtent l="19050" t="19050" r="21590" b="1206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7901" r="16874" b="3014"/>
                    <a:stretch/>
                  </pic:blipFill>
                  <pic:spPr bwMode="auto">
                    <a:xfrm>
                      <a:off x="0" y="0"/>
                      <a:ext cx="5712460" cy="219773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706B">
        <w:rPr>
          <w:bCs/>
          <w:szCs w:val="24"/>
        </w:rPr>
        <w:t>2018.gadā ieņēmumi pārsniedz plānotos ieņēmumus par 5,8 milj. </w:t>
      </w:r>
      <w:proofErr w:type="spellStart"/>
      <w:r w:rsidRPr="00B5706B">
        <w:rPr>
          <w:bCs/>
          <w:i/>
          <w:szCs w:val="24"/>
        </w:rPr>
        <w:t>euro</w:t>
      </w:r>
      <w:proofErr w:type="spellEnd"/>
      <w:r w:rsidRPr="00B5706B">
        <w:rPr>
          <w:bCs/>
          <w:szCs w:val="24"/>
        </w:rPr>
        <w:t xml:space="preserve"> jeb </w:t>
      </w:r>
      <w:r>
        <w:rPr>
          <w:bCs/>
          <w:szCs w:val="24"/>
        </w:rPr>
        <w:t>0,2 procentiem</w:t>
      </w:r>
      <w:r w:rsidRPr="004C4D33">
        <w:rPr>
          <w:bCs/>
          <w:szCs w:val="24"/>
        </w:rPr>
        <w:t xml:space="preserve">. Plāna </w:t>
      </w:r>
      <w:proofErr w:type="spellStart"/>
      <w:r w:rsidRPr="004C4D33">
        <w:rPr>
          <w:bCs/>
          <w:szCs w:val="24"/>
        </w:rPr>
        <w:t>pārpilde</w:t>
      </w:r>
      <w:proofErr w:type="spellEnd"/>
      <w:r w:rsidRPr="004C4D33">
        <w:rPr>
          <w:bCs/>
          <w:szCs w:val="24"/>
        </w:rPr>
        <w:t xml:space="preserve"> saistīta ar atmaksu samazināšanos (</w:t>
      </w:r>
      <w:r w:rsidRPr="004C4D33">
        <w:rPr>
          <w:color w:val="000000" w:themeColor="text1"/>
        </w:rPr>
        <w:t>saskaņā ar Valsts ieņēmumu dienesta informāciju</w:t>
      </w:r>
      <w:r w:rsidRPr="004C4D33">
        <w:rPr>
          <w:bCs/>
          <w:szCs w:val="24"/>
        </w:rPr>
        <w:t xml:space="preserve"> atmaksas samazinājušās par  26,9 milj. </w:t>
      </w:r>
      <w:proofErr w:type="spellStart"/>
      <w:r w:rsidRPr="004C4D33">
        <w:rPr>
          <w:bCs/>
          <w:i/>
          <w:szCs w:val="24"/>
        </w:rPr>
        <w:t>euro</w:t>
      </w:r>
      <w:proofErr w:type="spellEnd"/>
      <w:r w:rsidRPr="004C4D33">
        <w:rPr>
          <w:bCs/>
          <w:szCs w:val="24"/>
        </w:rPr>
        <w:t xml:space="preserve"> jeb 2,9%</w:t>
      </w:r>
      <w:r>
        <w:rPr>
          <w:bCs/>
          <w:szCs w:val="24"/>
        </w:rPr>
        <w:t>, salīdzinot ar</w:t>
      </w:r>
      <w:r w:rsidRPr="004C4D33">
        <w:rPr>
          <w:bCs/>
          <w:szCs w:val="24"/>
        </w:rPr>
        <w:t xml:space="preserve"> </w:t>
      </w:r>
      <w:r>
        <w:rPr>
          <w:bCs/>
          <w:szCs w:val="24"/>
        </w:rPr>
        <w:t>2017.gadu</w:t>
      </w:r>
      <w:r w:rsidRPr="004C4D33">
        <w:rPr>
          <w:bCs/>
          <w:szCs w:val="24"/>
        </w:rPr>
        <w:t xml:space="preserve">). </w:t>
      </w:r>
      <w:r w:rsidRPr="006C2D60">
        <w:rPr>
          <w:bCs/>
          <w:szCs w:val="24"/>
        </w:rPr>
        <w:t xml:space="preserve">Lielākais atmaksu samazinājums  ir nodokļu maksātājiem, kas darbojas </w:t>
      </w:r>
      <w:r>
        <w:rPr>
          <w:bCs/>
          <w:szCs w:val="24"/>
        </w:rPr>
        <w:t>b</w:t>
      </w:r>
      <w:r w:rsidRPr="006C2D60">
        <w:rPr>
          <w:bCs/>
          <w:szCs w:val="24"/>
        </w:rPr>
        <w:t>ūvniecība</w:t>
      </w:r>
      <w:r>
        <w:rPr>
          <w:bCs/>
          <w:szCs w:val="24"/>
        </w:rPr>
        <w:t xml:space="preserve">s </w:t>
      </w:r>
      <w:r w:rsidRPr="006C2D60">
        <w:rPr>
          <w:bCs/>
          <w:szCs w:val="24"/>
        </w:rPr>
        <w:t>nozarē (par 36,5 milj. </w:t>
      </w:r>
      <w:proofErr w:type="spellStart"/>
      <w:r w:rsidRPr="006C2D60">
        <w:rPr>
          <w:bCs/>
          <w:i/>
          <w:szCs w:val="24"/>
        </w:rPr>
        <w:t>euro</w:t>
      </w:r>
      <w:proofErr w:type="spellEnd"/>
      <w:r w:rsidRPr="006C2D60">
        <w:rPr>
          <w:bCs/>
          <w:szCs w:val="24"/>
        </w:rPr>
        <w:t xml:space="preserve"> jeb 26,3%), </w:t>
      </w:r>
      <w:r>
        <w:rPr>
          <w:bCs/>
          <w:szCs w:val="24"/>
        </w:rPr>
        <w:t>e</w:t>
      </w:r>
      <w:r w:rsidRPr="006C2D60">
        <w:rPr>
          <w:bCs/>
          <w:szCs w:val="24"/>
        </w:rPr>
        <w:t>lektroenerģijas, gāzes un siltumapgāde</w:t>
      </w:r>
      <w:r>
        <w:rPr>
          <w:bCs/>
          <w:szCs w:val="24"/>
        </w:rPr>
        <w:t xml:space="preserve">s </w:t>
      </w:r>
      <w:r w:rsidRPr="006C2D60">
        <w:rPr>
          <w:bCs/>
          <w:szCs w:val="24"/>
        </w:rPr>
        <w:t>nozarē (par 18,6 milj. </w:t>
      </w:r>
      <w:proofErr w:type="spellStart"/>
      <w:r w:rsidRPr="006C2D60">
        <w:rPr>
          <w:bCs/>
          <w:i/>
          <w:szCs w:val="24"/>
        </w:rPr>
        <w:t>euro</w:t>
      </w:r>
      <w:proofErr w:type="spellEnd"/>
      <w:r w:rsidRPr="006C2D60">
        <w:rPr>
          <w:bCs/>
          <w:szCs w:val="24"/>
        </w:rPr>
        <w:t xml:space="preserve"> jeb 44,0%)</w:t>
      </w:r>
      <w:r>
        <w:rPr>
          <w:bCs/>
          <w:szCs w:val="24"/>
        </w:rPr>
        <w:t xml:space="preserve"> un t</w:t>
      </w:r>
      <w:r w:rsidRPr="006C2D60">
        <w:rPr>
          <w:bCs/>
          <w:szCs w:val="24"/>
        </w:rPr>
        <w:t>ransport</w:t>
      </w:r>
      <w:r>
        <w:rPr>
          <w:bCs/>
          <w:szCs w:val="24"/>
        </w:rPr>
        <w:t>a</w:t>
      </w:r>
      <w:r w:rsidRPr="006C2D60">
        <w:rPr>
          <w:bCs/>
          <w:szCs w:val="24"/>
        </w:rPr>
        <w:t xml:space="preserve"> un uzglabāšana</w:t>
      </w:r>
      <w:r>
        <w:rPr>
          <w:bCs/>
          <w:szCs w:val="24"/>
        </w:rPr>
        <w:t xml:space="preserve">s </w:t>
      </w:r>
      <w:r w:rsidRPr="006C2D60">
        <w:rPr>
          <w:bCs/>
          <w:szCs w:val="24"/>
        </w:rPr>
        <w:t>nozarē (par 8,0 milj. </w:t>
      </w:r>
      <w:proofErr w:type="spellStart"/>
      <w:r w:rsidRPr="006C2D60">
        <w:rPr>
          <w:bCs/>
          <w:i/>
          <w:szCs w:val="24"/>
        </w:rPr>
        <w:t>euro</w:t>
      </w:r>
      <w:proofErr w:type="spellEnd"/>
      <w:r w:rsidRPr="006C2D60">
        <w:rPr>
          <w:bCs/>
          <w:szCs w:val="24"/>
        </w:rPr>
        <w:t xml:space="preserve"> jeb 5,8%).</w:t>
      </w:r>
    </w:p>
    <w:p w:rsidR="007870D7" w:rsidRPr="00D56833" w:rsidRDefault="007870D7" w:rsidP="007870D7">
      <w:pPr>
        <w:jc w:val="center"/>
        <w:rPr>
          <w:b/>
          <w:bCs/>
          <w:i/>
          <w:color w:val="000000" w:themeColor="text1"/>
          <w:szCs w:val="24"/>
        </w:rPr>
      </w:pPr>
      <w:r w:rsidRPr="00D56833">
        <w:rPr>
          <w:b/>
          <w:i/>
          <w:color w:val="000000" w:themeColor="text1"/>
        </w:rPr>
        <w:t xml:space="preserve">3.8. att. Pievienotās vērtības nodokļa atmaksu dinamika, milj. </w:t>
      </w:r>
      <w:proofErr w:type="spellStart"/>
      <w:r w:rsidRPr="00D56833">
        <w:rPr>
          <w:b/>
          <w:i/>
          <w:color w:val="000000" w:themeColor="text1"/>
        </w:rPr>
        <w:t>euro</w:t>
      </w:r>
      <w:proofErr w:type="spellEnd"/>
      <w:r w:rsidRPr="00D56833">
        <w:rPr>
          <w:b/>
          <w:i/>
          <w:color w:val="000000" w:themeColor="text1"/>
        </w:rPr>
        <w:br/>
      </w:r>
      <w:r w:rsidRPr="00D56833">
        <w:rPr>
          <w:i/>
          <w:color w:val="000000" w:themeColor="text1"/>
        </w:rPr>
        <w:t>(Datu avots: Valsts ieņēmumu dienests)</w:t>
      </w:r>
    </w:p>
    <w:p w:rsidR="007870D7" w:rsidRDefault="007870D7" w:rsidP="007870D7">
      <w:pPr>
        <w:rPr>
          <w:bCs/>
          <w:color w:val="000000" w:themeColor="text1"/>
          <w:szCs w:val="24"/>
        </w:rPr>
      </w:pPr>
      <w:r>
        <w:rPr>
          <w:bCs/>
          <w:noProof/>
          <w:color w:val="000000" w:themeColor="text1"/>
          <w:szCs w:val="24"/>
          <w:lang w:eastAsia="lv-LV"/>
        </w:rPr>
        <w:drawing>
          <wp:anchor distT="0" distB="0" distL="114300" distR="114300" simplePos="0" relativeHeight="251661312" behindDoc="0" locked="0" layoutInCell="1" allowOverlap="1" wp14:anchorId="700CE92B" wp14:editId="3A5A0E95">
            <wp:simplePos x="0" y="0"/>
            <wp:positionH relativeFrom="margin">
              <wp:align>right</wp:align>
            </wp:positionH>
            <wp:positionV relativeFrom="paragraph">
              <wp:posOffset>1568063</wp:posOffset>
            </wp:positionV>
            <wp:extent cx="5712460" cy="2392680"/>
            <wp:effectExtent l="19050" t="19050" r="21590" b="2667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8429" r="16572" b="3244"/>
                    <a:stretch/>
                  </pic:blipFill>
                  <pic:spPr bwMode="auto">
                    <a:xfrm>
                      <a:off x="0" y="0"/>
                      <a:ext cx="5712460" cy="239268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7661">
        <w:rPr>
          <w:color w:val="000000" w:themeColor="text1"/>
        </w:rPr>
        <w:t>Pievienotās vērtības nodokļa bruto iemaksas 2018.gadā bija 3 344,2</w:t>
      </w:r>
      <w:r>
        <w:rPr>
          <w:color w:val="000000" w:themeColor="text1"/>
        </w:rPr>
        <w:t> </w:t>
      </w:r>
      <w:r w:rsidRPr="00927661">
        <w:rPr>
          <w:color w:val="000000" w:themeColor="text1"/>
        </w:rPr>
        <w:t>milj. </w:t>
      </w:r>
      <w:proofErr w:type="spellStart"/>
      <w:r w:rsidRPr="00927661">
        <w:rPr>
          <w:i/>
          <w:color w:val="000000" w:themeColor="text1"/>
        </w:rPr>
        <w:t>euro</w:t>
      </w:r>
      <w:proofErr w:type="spellEnd"/>
      <w:r w:rsidRPr="00927661">
        <w:rPr>
          <w:color w:val="000000" w:themeColor="text1"/>
        </w:rPr>
        <w:t>, kas ir par 242,3 milj. </w:t>
      </w:r>
      <w:proofErr w:type="spellStart"/>
      <w:r w:rsidRPr="00927661">
        <w:rPr>
          <w:i/>
          <w:color w:val="000000" w:themeColor="text1"/>
        </w:rPr>
        <w:t>euro</w:t>
      </w:r>
      <w:proofErr w:type="spellEnd"/>
      <w:r w:rsidRPr="00927661">
        <w:rPr>
          <w:color w:val="000000" w:themeColor="text1"/>
        </w:rPr>
        <w:t xml:space="preserve"> jeb 7,8% vairāk nekā 2017.gadā. </w:t>
      </w:r>
      <w:r w:rsidRPr="00FD4796">
        <w:rPr>
          <w:color w:val="000000" w:themeColor="text1"/>
        </w:rPr>
        <w:t>Pievienotās vērtības nodokļa</w:t>
      </w:r>
      <w:r w:rsidRPr="00FD4796">
        <w:rPr>
          <w:bCs/>
          <w:color w:val="000000" w:themeColor="text1"/>
          <w:szCs w:val="24"/>
        </w:rPr>
        <w:t xml:space="preserve"> iemaksu </w:t>
      </w:r>
      <w:r>
        <w:rPr>
          <w:bCs/>
          <w:color w:val="000000" w:themeColor="text1"/>
          <w:szCs w:val="24"/>
        </w:rPr>
        <w:t>pieaugumu</w:t>
      </w:r>
      <w:r w:rsidRPr="00FD4796">
        <w:rPr>
          <w:bCs/>
          <w:color w:val="000000" w:themeColor="text1"/>
          <w:szCs w:val="24"/>
        </w:rPr>
        <w:t xml:space="preserve"> ietekmēja</w:t>
      </w:r>
      <w:r w:rsidRPr="007B2255">
        <w:rPr>
          <w:bCs/>
          <w:color w:val="000000" w:themeColor="text1"/>
          <w:szCs w:val="24"/>
        </w:rPr>
        <w:t xml:space="preserve"> ekonomikas izaugsmes tempa palielināšanās, ko noteica investīciju palielināšanās, kas saistīta ar Eiropas Savienības struktūrfondu apgūšanu</w:t>
      </w:r>
      <w:r w:rsidRPr="00680EAB">
        <w:rPr>
          <w:bCs/>
          <w:color w:val="000000" w:themeColor="text1"/>
          <w:szCs w:val="24"/>
        </w:rPr>
        <w:t>. Lielākais iemaksu palielinājums  ir valsts pārvaldē un aizsardzībā (par 56,5 milj. </w:t>
      </w:r>
      <w:proofErr w:type="spellStart"/>
      <w:r w:rsidRPr="00680EAB">
        <w:rPr>
          <w:bCs/>
          <w:i/>
          <w:color w:val="000000" w:themeColor="text1"/>
          <w:szCs w:val="24"/>
        </w:rPr>
        <w:t>euro</w:t>
      </w:r>
      <w:proofErr w:type="spellEnd"/>
      <w:r w:rsidRPr="00680EAB">
        <w:rPr>
          <w:bCs/>
          <w:color w:val="000000" w:themeColor="text1"/>
          <w:szCs w:val="24"/>
        </w:rPr>
        <w:t xml:space="preserve"> jeb 38,3%), </w:t>
      </w:r>
      <w:r w:rsidRPr="00433A2F">
        <w:rPr>
          <w:bCs/>
          <w:color w:val="000000" w:themeColor="text1"/>
          <w:szCs w:val="24"/>
        </w:rPr>
        <w:t>tirdzniecībā, izņemot automobiļus un motociklus (par 48,1 milj. </w:t>
      </w:r>
      <w:proofErr w:type="spellStart"/>
      <w:r w:rsidRPr="00433A2F">
        <w:rPr>
          <w:bCs/>
          <w:i/>
          <w:color w:val="000000" w:themeColor="text1"/>
          <w:szCs w:val="24"/>
        </w:rPr>
        <w:t>euro</w:t>
      </w:r>
      <w:proofErr w:type="spellEnd"/>
      <w:r w:rsidRPr="00433A2F">
        <w:rPr>
          <w:bCs/>
          <w:color w:val="000000" w:themeColor="text1"/>
          <w:szCs w:val="24"/>
        </w:rPr>
        <w:t xml:space="preserve"> jeb 3,5%), </w:t>
      </w:r>
      <w:r w:rsidRPr="00BF085C">
        <w:rPr>
          <w:bCs/>
          <w:color w:val="000000" w:themeColor="text1"/>
          <w:szCs w:val="24"/>
        </w:rPr>
        <w:t>operācijas ar nekustāmo īpašumu nozarē (par 24,7 milj. </w:t>
      </w:r>
      <w:proofErr w:type="spellStart"/>
      <w:r w:rsidRPr="00BF085C">
        <w:rPr>
          <w:bCs/>
          <w:i/>
          <w:color w:val="000000" w:themeColor="text1"/>
          <w:szCs w:val="24"/>
        </w:rPr>
        <w:t>euro</w:t>
      </w:r>
      <w:proofErr w:type="spellEnd"/>
      <w:r>
        <w:rPr>
          <w:bCs/>
          <w:color w:val="000000" w:themeColor="text1"/>
          <w:szCs w:val="24"/>
        </w:rPr>
        <w:t xml:space="preserve"> jeb 15,3%), transports un uzg</w:t>
      </w:r>
      <w:r w:rsidRPr="00BF085C">
        <w:rPr>
          <w:bCs/>
          <w:color w:val="000000" w:themeColor="text1"/>
          <w:szCs w:val="24"/>
        </w:rPr>
        <w:t>l</w:t>
      </w:r>
      <w:r>
        <w:rPr>
          <w:bCs/>
          <w:color w:val="000000" w:themeColor="text1"/>
          <w:szCs w:val="24"/>
        </w:rPr>
        <w:t>a</w:t>
      </w:r>
      <w:r w:rsidRPr="00BF085C">
        <w:rPr>
          <w:bCs/>
          <w:color w:val="000000" w:themeColor="text1"/>
          <w:szCs w:val="24"/>
        </w:rPr>
        <w:t>bāšana nozarē (par 20,3 milj. </w:t>
      </w:r>
      <w:proofErr w:type="spellStart"/>
      <w:r w:rsidRPr="00BF085C">
        <w:rPr>
          <w:bCs/>
          <w:i/>
          <w:color w:val="000000" w:themeColor="text1"/>
          <w:szCs w:val="24"/>
        </w:rPr>
        <w:t>euro</w:t>
      </w:r>
      <w:proofErr w:type="spellEnd"/>
      <w:r w:rsidRPr="00BF085C">
        <w:rPr>
          <w:bCs/>
          <w:color w:val="000000" w:themeColor="text1"/>
          <w:szCs w:val="24"/>
        </w:rPr>
        <w:t xml:space="preserve"> jeb 10,7</w:t>
      </w:r>
      <w:r>
        <w:rPr>
          <w:bCs/>
          <w:color w:val="000000" w:themeColor="text1"/>
          <w:szCs w:val="24"/>
        </w:rPr>
        <w:t>%)</w:t>
      </w:r>
      <w:r w:rsidRPr="00BF085C">
        <w:rPr>
          <w:bCs/>
          <w:color w:val="000000" w:themeColor="text1"/>
          <w:szCs w:val="24"/>
        </w:rPr>
        <w:t>.</w:t>
      </w:r>
    </w:p>
    <w:p w:rsidR="007870D7" w:rsidRPr="008B0AE3" w:rsidRDefault="007870D7" w:rsidP="007870D7">
      <w:pPr>
        <w:ind w:firstLine="0"/>
        <w:jc w:val="center"/>
        <w:rPr>
          <w:b/>
          <w:bCs/>
          <w:i/>
          <w:color w:val="000000" w:themeColor="text1"/>
          <w:szCs w:val="24"/>
        </w:rPr>
      </w:pPr>
      <w:r w:rsidRPr="008B0AE3">
        <w:rPr>
          <w:b/>
          <w:i/>
          <w:color w:val="000000" w:themeColor="text1"/>
        </w:rPr>
        <w:t xml:space="preserve">3.9. att. Pievienotās vērtības nodokļa bruto iemaksu dinamika, milj. </w:t>
      </w:r>
      <w:proofErr w:type="spellStart"/>
      <w:r w:rsidRPr="008B0AE3">
        <w:rPr>
          <w:b/>
          <w:i/>
          <w:color w:val="000000" w:themeColor="text1"/>
        </w:rPr>
        <w:t>euro</w:t>
      </w:r>
      <w:proofErr w:type="spellEnd"/>
      <w:r w:rsidRPr="008B0AE3">
        <w:rPr>
          <w:b/>
          <w:i/>
          <w:color w:val="000000" w:themeColor="text1"/>
        </w:rPr>
        <w:br/>
      </w:r>
      <w:r w:rsidRPr="008B0AE3">
        <w:rPr>
          <w:i/>
          <w:color w:val="000000" w:themeColor="text1"/>
        </w:rPr>
        <w:t>(Datu avots: Valsts ieņēmumu dienests)</w:t>
      </w:r>
    </w:p>
    <w:p w:rsidR="007870D7" w:rsidRDefault="007870D7" w:rsidP="007870D7">
      <w:r w:rsidRPr="00927661">
        <w:rPr>
          <w:color w:val="000000" w:themeColor="text1"/>
        </w:rPr>
        <w:t>Pievienotās vērtības nodokļa ieņēmumu pieaugumu 2018.gadā ietekmēja arī izmaiņas gan pievienotās vērtības nodokļa, gan arī citu nodokļu likumdošanā, un ieviestie ēnu ekonomikas apkarošanas pasākumi</w:t>
      </w:r>
      <w:r w:rsidRPr="005550C6">
        <w:rPr>
          <w:color w:val="000000" w:themeColor="text1"/>
        </w:rPr>
        <w:t xml:space="preserve">. Piemēram, lai samazinātu krāpšanos pievienotās vērtības </w:t>
      </w:r>
      <w:r w:rsidRPr="005550C6">
        <w:rPr>
          <w:color w:val="000000" w:themeColor="text1"/>
        </w:rPr>
        <w:lastRenderedPageBreak/>
        <w:t xml:space="preserve">nodokļa jomā, ar 2018.gada 1.janvāri tika ieviesta </w:t>
      </w:r>
      <w:r w:rsidRPr="005550C6">
        <w:t>pievienotās vērtības nodokļa apgrieztā maksāšanas kārtība būvmateriālu, metālizstrādājumu un sadzīves tehnikas piegādēm.</w:t>
      </w:r>
    </w:p>
    <w:p w:rsidR="007870D7" w:rsidRPr="004E189F" w:rsidRDefault="007870D7" w:rsidP="007870D7">
      <w:pPr>
        <w:rPr>
          <w:color w:val="000000"/>
          <w:spacing w:val="-2"/>
          <w:shd w:val="clear" w:color="auto" w:fill="FFFFFF"/>
        </w:rPr>
      </w:pPr>
      <w:r w:rsidRPr="004E189F">
        <w:rPr>
          <w:color w:val="000000"/>
          <w:spacing w:val="-2"/>
          <w:shd w:val="clear" w:color="auto" w:fill="FFFFFF"/>
        </w:rPr>
        <w:t xml:space="preserve">Saskaņā ar pievienotās vērtības nodokļa deklarāciju pielikumu datiem 2018.gadā, salīdzinot ar 2017.gadu, iekšzemē veikto būvniecības pakalpojumu, kurus deklarējuši un par kuriem nodokli maksā preču vai pakalpojumu saņēmēji (bez pievienotās vērtības nodokļa), vērtība palielinājusies par 41,9 procentiem.  </w:t>
      </w:r>
    </w:p>
    <w:p w:rsidR="007870D7" w:rsidRPr="004E189F" w:rsidRDefault="007870D7" w:rsidP="007870D7">
      <w:pPr>
        <w:rPr>
          <w:color w:val="000000"/>
          <w:spacing w:val="-2"/>
          <w:shd w:val="clear" w:color="auto" w:fill="FFFFFF"/>
        </w:rPr>
      </w:pPr>
      <w:r>
        <w:rPr>
          <w:color w:val="000000"/>
          <w:spacing w:val="-2"/>
          <w:shd w:val="clear" w:color="auto" w:fill="FFFFFF"/>
        </w:rPr>
        <w:t>P</w:t>
      </w:r>
      <w:r w:rsidRPr="00A00DB0">
        <w:rPr>
          <w:color w:val="000000"/>
          <w:spacing w:val="-2"/>
          <w:shd w:val="clear" w:color="auto" w:fill="FFFFFF"/>
        </w:rPr>
        <w:t xml:space="preserve">ievienotās vērtības nodokļa </w:t>
      </w:r>
      <w:r w:rsidRPr="004E189F">
        <w:rPr>
          <w:color w:val="000000"/>
          <w:spacing w:val="-2"/>
          <w:shd w:val="clear" w:color="auto" w:fill="FFFFFF"/>
        </w:rPr>
        <w:t xml:space="preserve">apgriezto jeb reverso darījumu vērtības pieaugums būvniecības nozarē ir izskaidrojams gan ar straujo ekonomikas izaugsmi 2018. gadā, ko noteica straujais investīciju aktivitātes kāpums, pieaugot Eiropas Savienības (ES) fondu līdzekļu plūsmai, kas nodrošinājis būvniecības nozares kāpumu kopumā, gan </w:t>
      </w:r>
      <w:r w:rsidRPr="00A00DB0">
        <w:rPr>
          <w:color w:val="000000"/>
          <w:spacing w:val="-2"/>
          <w:shd w:val="clear" w:color="auto" w:fill="FFFFFF"/>
        </w:rPr>
        <w:t xml:space="preserve">pievienotās vērtības nodokļa </w:t>
      </w:r>
      <w:r w:rsidRPr="004E189F">
        <w:rPr>
          <w:color w:val="000000"/>
          <w:spacing w:val="-2"/>
          <w:shd w:val="clear" w:color="auto" w:fill="FFFFFF"/>
        </w:rPr>
        <w:t xml:space="preserve">apgrieztās jeb reversās maksāšanas kārtības ieviešana būvmateriālu piegādēm. </w:t>
      </w:r>
    </w:p>
    <w:p w:rsidR="007870D7" w:rsidRPr="004E189F" w:rsidRDefault="007870D7" w:rsidP="007870D7">
      <w:pPr>
        <w:rPr>
          <w:color w:val="000000"/>
          <w:spacing w:val="-2"/>
          <w:shd w:val="clear" w:color="auto" w:fill="FFFFFF"/>
        </w:rPr>
      </w:pPr>
      <w:r w:rsidRPr="004E189F">
        <w:rPr>
          <w:color w:val="000000"/>
          <w:spacing w:val="-2"/>
          <w:shd w:val="clear" w:color="auto" w:fill="FFFFFF"/>
        </w:rPr>
        <w:t xml:space="preserve">Analizējot nozaru atmaksu īpatsvaru kopējās </w:t>
      </w:r>
      <w:r w:rsidRPr="00A00DB0">
        <w:rPr>
          <w:color w:val="000000"/>
          <w:spacing w:val="-2"/>
          <w:shd w:val="clear" w:color="auto" w:fill="FFFFFF"/>
        </w:rPr>
        <w:t xml:space="preserve">pievienotās vērtības nodokļa </w:t>
      </w:r>
      <w:r w:rsidRPr="004E189F">
        <w:rPr>
          <w:color w:val="000000"/>
          <w:spacing w:val="-2"/>
          <w:shd w:val="clear" w:color="auto" w:fill="FFFFFF"/>
        </w:rPr>
        <w:t xml:space="preserve">atmaksās, būvniecības nozare saņem vienas no lielākajām atmaksām. Nodokļu maksātāji, kuri darbojas būvniecības nozarē, 2018.gadā saņēma 11,5% no kopējās pievienotās vērtības nodokļa atmaksām, kas ir mazāks īpatsvars kā 2017.gadā, kad saņēma 15,2 procentus. Atmaksātā summa no valsts budžeta 2018. gadā, salīdzinot ar 2017. gadu samazinājusies par 36,5 milj. </w:t>
      </w:r>
      <w:proofErr w:type="spellStart"/>
      <w:r w:rsidRPr="00D4405C">
        <w:rPr>
          <w:i/>
          <w:color w:val="000000"/>
          <w:spacing w:val="-2"/>
          <w:shd w:val="clear" w:color="auto" w:fill="FFFFFF"/>
        </w:rPr>
        <w:t>euro</w:t>
      </w:r>
      <w:proofErr w:type="spellEnd"/>
      <w:r w:rsidRPr="004E189F">
        <w:rPr>
          <w:color w:val="000000"/>
          <w:spacing w:val="-2"/>
          <w:shd w:val="clear" w:color="auto" w:fill="FFFFFF"/>
        </w:rPr>
        <w:t xml:space="preserve"> jeb 26,3 procentiem. Tas ir izskaidrojams ar ieviesto </w:t>
      </w:r>
      <w:r w:rsidRPr="00A00DB0">
        <w:rPr>
          <w:color w:val="000000"/>
          <w:spacing w:val="-2"/>
          <w:shd w:val="clear" w:color="auto" w:fill="FFFFFF"/>
        </w:rPr>
        <w:t xml:space="preserve">pievienotās vērtības nodokļa </w:t>
      </w:r>
      <w:r w:rsidRPr="004E189F">
        <w:rPr>
          <w:color w:val="000000"/>
          <w:spacing w:val="-2"/>
          <w:shd w:val="clear" w:color="auto" w:fill="FFFFFF"/>
        </w:rPr>
        <w:t xml:space="preserve">apgriezto jeb reverso maksāšanas kārtību būvmateriālu piegādēm reģistrētiem </w:t>
      </w:r>
      <w:r w:rsidRPr="00A00DB0">
        <w:rPr>
          <w:color w:val="000000"/>
          <w:spacing w:val="-2"/>
          <w:shd w:val="clear" w:color="auto" w:fill="FFFFFF"/>
        </w:rPr>
        <w:t xml:space="preserve">pievienotās vērtības nodokļa </w:t>
      </w:r>
      <w:r w:rsidRPr="004E189F">
        <w:rPr>
          <w:color w:val="000000"/>
          <w:spacing w:val="-2"/>
          <w:shd w:val="clear" w:color="auto" w:fill="FFFFFF"/>
        </w:rPr>
        <w:t xml:space="preserve">maksātājiem. </w:t>
      </w:r>
    </w:p>
    <w:p w:rsidR="007870D7" w:rsidRDefault="007870D7" w:rsidP="007870D7">
      <w:pPr>
        <w:rPr>
          <w:color w:val="000000"/>
          <w:spacing w:val="-2"/>
          <w:shd w:val="clear" w:color="auto" w:fill="FFFFFF"/>
        </w:rPr>
      </w:pPr>
      <w:r w:rsidRPr="004E189F">
        <w:rPr>
          <w:color w:val="000000"/>
          <w:spacing w:val="-2"/>
          <w:shd w:val="clear" w:color="auto" w:fill="FFFFFF"/>
        </w:rPr>
        <w:t xml:space="preserve">Atmaksājamās summas samazinājums pēc </w:t>
      </w:r>
      <w:r w:rsidRPr="00A00DB0">
        <w:rPr>
          <w:color w:val="000000"/>
          <w:spacing w:val="-2"/>
          <w:shd w:val="clear" w:color="auto" w:fill="FFFFFF"/>
        </w:rPr>
        <w:t xml:space="preserve">pievienotās vērtības nodokļa </w:t>
      </w:r>
      <w:r w:rsidRPr="004E189F">
        <w:rPr>
          <w:color w:val="000000"/>
          <w:spacing w:val="-2"/>
          <w:shd w:val="clear" w:color="auto" w:fill="FFFFFF"/>
        </w:rPr>
        <w:t xml:space="preserve">apgrieztās jeb reversās maksāšanas kārtības ieviešanas var būt izskaidrojams ar </w:t>
      </w:r>
      <w:proofErr w:type="spellStart"/>
      <w:r w:rsidRPr="004E189F">
        <w:rPr>
          <w:color w:val="000000"/>
          <w:spacing w:val="-2"/>
          <w:shd w:val="clear" w:color="auto" w:fill="FFFFFF"/>
        </w:rPr>
        <w:t>krāpniecības</w:t>
      </w:r>
      <w:proofErr w:type="spellEnd"/>
      <w:r w:rsidRPr="004E189F">
        <w:rPr>
          <w:color w:val="000000"/>
          <w:spacing w:val="-2"/>
          <w:shd w:val="clear" w:color="auto" w:fill="FFFFFF"/>
        </w:rPr>
        <w:t xml:space="preserve"> samazinājumu būvizstrādājumu jomā, jo būvniecības nozares reģistrētiem PVN maksātājiem lielākās izmaksas ir izmaksas par būvizstrādājumiem, kas arī veido PVN atmaksājamo summu.</w:t>
      </w:r>
    </w:p>
    <w:p w:rsidR="007870D7" w:rsidRPr="00B22DC7" w:rsidRDefault="007870D7" w:rsidP="007870D7">
      <w:pPr>
        <w:rPr>
          <w:color w:val="000000" w:themeColor="text1"/>
        </w:rPr>
      </w:pPr>
      <w:r w:rsidRPr="00375029">
        <w:rPr>
          <w:color w:val="000000" w:themeColor="text1"/>
        </w:rPr>
        <w:t xml:space="preserve">Prognozēts, ka 2019.gadā pievienotās vērtības nodokļa ieņēmumu pieaugumu veicinās </w:t>
      </w:r>
      <w:r w:rsidRPr="00DA17CB">
        <w:rPr>
          <w:color w:val="000000" w:themeColor="text1"/>
        </w:rPr>
        <w:t xml:space="preserve">privātais patēriņš, kas saskaņā ar prognozēm, salīdzinot ar 2018.gadu, pieaugs par </w:t>
      </w:r>
      <w:r>
        <w:rPr>
          <w:color w:val="000000" w:themeColor="text1"/>
        </w:rPr>
        <w:t>6</w:t>
      </w:r>
      <w:r w:rsidRPr="00DA17CB">
        <w:rPr>
          <w:color w:val="000000" w:themeColor="text1"/>
        </w:rPr>
        <w:t>,</w:t>
      </w:r>
      <w:r>
        <w:rPr>
          <w:color w:val="000000" w:themeColor="text1"/>
        </w:rPr>
        <w:t>8</w:t>
      </w:r>
      <w:r w:rsidRPr="00DA17CB">
        <w:rPr>
          <w:color w:val="000000" w:themeColor="text1"/>
        </w:rPr>
        <w:t> procentiem. Inflācijas līmenis 2019.gadā būs 2018.gada līmenī - 2,5 procenti.</w:t>
      </w:r>
    </w:p>
    <w:p w:rsidR="007870D7" w:rsidRPr="00521074" w:rsidRDefault="007870D7" w:rsidP="007870D7">
      <w:pPr>
        <w:rPr>
          <w:color w:val="000000" w:themeColor="text1"/>
        </w:rPr>
      </w:pPr>
      <w:r w:rsidRPr="007B26F9">
        <w:rPr>
          <w:color w:val="000000" w:themeColor="text1"/>
        </w:rPr>
        <w:t>Saskaņā ar likum</w:t>
      </w:r>
      <w:r w:rsidR="00985115">
        <w:rPr>
          <w:color w:val="000000" w:themeColor="text1"/>
        </w:rPr>
        <w:t>u</w:t>
      </w:r>
      <w:r w:rsidRPr="007B26F9">
        <w:rPr>
          <w:color w:val="000000" w:themeColor="text1"/>
        </w:rPr>
        <w:t xml:space="preserve"> „Par valsts budžetu 2019.gadam” pievienotās vērtības nodokļa ieņēmumi 2019.gadā tiek plānoti </w:t>
      </w:r>
      <w:r w:rsidR="00F64530">
        <w:rPr>
          <w:color w:val="000000" w:themeColor="text1"/>
        </w:rPr>
        <w:t>2 </w:t>
      </w:r>
      <w:r w:rsidR="00F64530" w:rsidRPr="00F64530">
        <w:rPr>
          <w:color w:val="000000" w:themeColor="text1"/>
        </w:rPr>
        <w:t>648,</w:t>
      </w:r>
      <w:r w:rsidR="00F64530">
        <w:rPr>
          <w:color w:val="000000" w:themeColor="text1"/>
        </w:rPr>
        <w:t>4 </w:t>
      </w:r>
      <w:r w:rsidRPr="00521074">
        <w:rPr>
          <w:color w:val="000000" w:themeColor="text1"/>
        </w:rPr>
        <w:t>milj. </w:t>
      </w:r>
      <w:proofErr w:type="spellStart"/>
      <w:r w:rsidRPr="00521074">
        <w:rPr>
          <w:i/>
          <w:color w:val="000000" w:themeColor="text1"/>
        </w:rPr>
        <w:t>euro</w:t>
      </w:r>
      <w:proofErr w:type="spellEnd"/>
      <w:r w:rsidRPr="00521074">
        <w:rPr>
          <w:color w:val="000000" w:themeColor="text1"/>
        </w:rPr>
        <w:t xml:space="preserve">, t.i., par </w:t>
      </w:r>
      <w:r w:rsidR="00F64530" w:rsidRPr="00F64530">
        <w:rPr>
          <w:color w:val="000000" w:themeColor="text1"/>
        </w:rPr>
        <w:t xml:space="preserve">191,4 </w:t>
      </w:r>
      <w:r w:rsidRPr="00521074">
        <w:rPr>
          <w:color w:val="000000" w:themeColor="text1"/>
        </w:rPr>
        <w:t>milj. </w:t>
      </w:r>
      <w:proofErr w:type="spellStart"/>
      <w:r w:rsidRPr="00521074">
        <w:rPr>
          <w:i/>
          <w:color w:val="000000" w:themeColor="text1"/>
        </w:rPr>
        <w:t>euro</w:t>
      </w:r>
      <w:proofErr w:type="spellEnd"/>
      <w:r w:rsidRPr="00521074">
        <w:rPr>
          <w:color w:val="000000" w:themeColor="text1"/>
        </w:rPr>
        <w:t xml:space="preserve"> jeb 7,</w:t>
      </w:r>
      <w:r w:rsidR="00F64530">
        <w:rPr>
          <w:color w:val="000000" w:themeColor="text1"/>
        </w:rPr>
        <w:t>8</w:t>
      </w:r>
      <w:r w:rsidRPr="00521074">
        <w:rPr>
          <w:color w:val="000000" w:themeColor="text1"/>
        </w:rPr>
        <w:t xml:space="preserve">% vairāk nekā 2018.gadā. </w:t>
      </w:r>
    </w:p>
    <w:p w:rsidR="007870D7" w:rsidRPr="006B6A9D" w:rsidRDefault="007870D7" w:rsidP="007870D7">
      <w:pPr>
        <w:rPr>
          <w:szCs w:val="24"/>
        </w:rPr>
      </w:pPr>
      <w:r w:rsidRPr="00AF2901">
        <w:rPr>
          <w:color w:val="000000" w:themeColor="text1"/>
        </w:rPr>
        <w:t>Pievienotās vērtības nodokļa ieņēmumu plāns 2019.gadam ir sagatavots, ņemot vērā gan prognozējamās tautsaimniecības attīstības tendences, tajā skaitā iekšzemes pieprasījuma pieaugumu kā galveno tautsaimniecības attīstību virzītāju, gan pievienotās vērtības nodokļa ieņēmumu pieaugumu 2018.gadā, kā</w:t>
      </w:r>
      <w:r w:rsidRPr="00AF2901">
        <w:t xml:space="preserve"> arī </w:t>
      </w:r>
      <w:r w:rsidRPr="006B6A9D">
        <w:t xml:space="preserve">iepriekšējos gados un </w:t>
      </w:r>
      <w:r w:rsidRPr="006B6A9D">
        <w:rPr>
          <w:szCs w:val="24"/>
        </w:rPr>
        <w:t>2018.gadā pieņemtās likumdošanas izmaiņas, kas stājas spēkā ar 2019.gadu</w:t>
      </w:r>
      <w:r>
        <w:rPr>
          <w:szCs w:val="24"/>
        </w:rPr>
        <w:t>:</w:t>
      </w:r>
    </w:p>
    <w:p w:rsidR="007870D7" w:rsidRPr="007834E1" w:rsidRDefault="007870D7" w:rsidP="004A7868">
      <w:pPr>
        <w:pStyle w:val="ListParagraph"/>
        <w:numPr>
          <w:ilvl w:val="0"/>
          <w:numId w:val="3"/>
        </w:numPr>
        <w:spacing w:after="80"/>
        <w:rPr>
          <w:color w:val="000000" w:themeColor="text1"/>
        </w:rPr>
      </w:pPr>
      <w:r w:rsidRPr="007834E1">
        <w:rPr>
          <w:color w:val="000000" w:themeColor="text1"/>
        </w:rPr>
        <w:t>C</w:t>
      </w:r>
      <w:r w:rsidRPr="007834E1">
        <w:t>itu likumu, noteikumu izmaiņas paredz:</w:t>
      </w:r>
    </w:p>
    <w:p w:rsidR="007870D7" w:rsidRPr="00A5468A" w:rsidRDefault="007870D7" w:rsidP="004A7868">
      <w:pPr>
        <w:pStyle w:val="ListParagraph"/>
        <w:numPr>
          <w:ilvl w:val="0"/>
          <w:numId w:val="26"/>
        </w:numPr>
        <w:spacing w:before="120"/>
        <w:ind w:hanging="357"/>
        <w:contextualSpacing w:val="0"/>
      </w:pPr>
      <w:r w:rsidRPr="00A5468A">
        <w:t xml:space="preserve">Čeku loterijas likums, Saeimā </w:t>
      </w:r>
      <w:r>
        <w:t>pieņemts 2018. gada 1. novembrī (l</w:t>
      </w:r>
      <w:r w:rsidRPr="00FA4329">
        <w:t>ikums stājas spēkā 2019. gada 1. jūlijā</w:t>
      </w:r>
      <w:r>
        <w:t>), kas paredz</w:t>
      </w:r>
      <w:r w:rsidRPr="00AA2FC3">
        <w:t xml:space="preserve"> </w:t>
      </w:r>
      <w:r>
        <w:t>organizēt</w:t>
      </w:r>
      <w:r w:rsidRPr="00AA2FC3">
        <w:t xml:space="preserve"> čeku spēli, lai veicinātu godīgu konkurenci un labprātīgu nodokļu saistību izpildi, apkarotu nodokļu </w:t>
      </w:r>
      <w:proofErr w:type="spellStart"/>
      <w:r w:rsidRPr="00AA2FC3">
        <w:t>krāpniecību</w:t>
      </w:r>
      <w:proofErr w:type="spellEnd"/>
      <w:r w:rsidRPr="00AA2FC3">
        <w:t xml:space="preserve"> un mudinātu pircējus pieprasīt čekus un kvītis par </w:t>
      </w:r>
      <w:r>
        <w:t xml:space="preserve">pirkumiem – fiskālā ietekme +3,0 milj. </w:t>
      </w:r>
      <w:proofErr w:type="spellStart"/>
      <w:r w:rsidRPr="009F1CFA">
        <w:rPr>
          <w:i/>
        </w:rPr>
        <w:t>euro</w:t>
      </w:r>
      <w:proofErr w:type="spellEnd"/>
      <w:r>
        <w:t>.</w:t>
      </w:r>
    </w:p>
    <w:p w:rsidR="007870D7" w:rsidRPr="004747FB" w:rsidRDefault="007870D7" w:rsidP="004A7868">
      <w:pPr>
        <w:pStyle w:val="ListParagraph"/>
        <w:numPr>
          <w:ilvl w:val="0"/>
          <w:numId w:val="26"/>
        </w:numPr>
      </w:pPr>
      <w:r w:rsidRPr="004747FB">
        <w:rPr>
          <w:szCs w:val="24"/>
        </w:rPr>
        <w:t>atgriezeniskais efekts no akcīzes nodokļa likmju palielināšanas -72,0 tūks</w:t>
      </w:r>
      <w:r>
        <w:rPr>
          <w:szCs w:val="24"/>
        </w:rPr>
        <w:t>t</w:t>
      </w:r>
      <w:r w:rsidRPr="004747FB">
        <w:rPr>
          <w:szCs w:val="24"/>
        </w:rPr>
        <w:t xml:space="preserve">. </w:t>
      </w:r>
      <w:proofErr w:type="spellStart"/>
      <w:r w:rsidRPr="004747FB">
        <w:rPr>
          <w:i/>
          <w:szCs w:val="24"/>
        </w:rPr>
        <w:t>euro</w:t>
      </w:r>
      <w:proofErr w:type="spellEnd"/>
      <w:r w:rsidRPr="004747FB">
        <w:rPr>
          <w:szCs w:val="24"/>
        </w:rPr>
        <w:t xml:space="preserve">. </w:t>
      </w:r>
    </w:p>
    <w:p w:rsidR="007870D7" w:rsidRDefault="007870D7" w:rsidP="004A7868">
      <w:pPr>
        <w:pStyle w:val="ListParagraph"/>
        <w:numPr>
          <w:ilvl w:val="0"/>
          <w:numId w:val="26"/>
        </w:numPr>
      </w:pPr>
      <w:r>
        <w:t xml:space="preserve">Saskaņā ar </w:t>
      </w:r>
      <w:r w:rsidRPr="00CF6C9F">
        <w:t xml:space="preserve">MK 08.02.2019. sēdes </w:t>
      </w:r>
      <w:proofErr w:type="spellStart"/>
      <w:r w:rsidRPr="00CF6C9F">
        <w:t>protokllēmum</w:t>
      </w:r>
      <w:r>
        <w:t>u</w:t>
      </w:r>
      <w:proofErr w:type="spellEnd"/>
      <w:r>
        <w:t xml:space="preserve"> </w:t>
      </w:r>
      <w:bookmarkStart w:id="14" w:name="1"/>
      <w:r w:rsidRPr="00AC01D9">
        <w:t>1.§</w:t>
      </w:r>
      <w:bookmarkEnd w:id="14"/>
      <w:r>
        <w:rPr>
          <w:b/>
          <w:bCs/>
          <w:color w:val="82140F"/>
          <w:sz w:val="20"/>
          <w:lang w:eastAsia="lv-LV"/>
        </w:rPr>
        <w:t xml:space="preserve"> </w:t>
      </w:r>
      <w:r w:rsidRPr="00AC01D9">
        <w:t>Informatīvais ziņojums "Par fiskālo telpu palielinošiem pasākumiem un izdevumiem prioritārajiem pasākumiem valsts budžetam 2019.gadam"</w:t>
      </w:r>
      <w:r>
        <w:t xml:space="preserve"> 9.punktu,</w:t>
      </w:r>
      <w:r w:rsidRPr="00CF6C9F">
        <w:t xml:space="preserve"> </w:t>
      </w:r>
      <w:r w:rsidRPr="00415CF5">
        <w:t>samazināt</w:t>
      </w:r>
      <w:r w:rsidRPr="00CF6C9F">
        <w:t xml:space="preserve"> valsts pamatbudžeta prognozējamos ieņēmumus valsts budžetā no valsts nodevas par naftas produktu drošības rezervju uzturēšanu un no pievien</w:t>
      </w:r>
      <w:r>
        <w:t xml:space="preserve">otās vērtības nodokļa 2019.gadā – fiskālā ietekme </w:t>
      </w:r>
      <w:r w:rsidRPr="00415CF5">
        <w:t xml:space="preserve">-724,0 tūkst. </w:t>
      </w:r>
      <w:proofErr w:type="spellStart"/>
      <w:r w:rsidRPr="00415CF5">
        <w:rPr>
          <w:i/>
        </w:rPr>
        <w:t>euro</w:t>
      </w:r>
      <w:proofErr w:type="spellEnd"/>
      <w:r w:rsidRPr="00415CF5">
        <w:t xml:space="preserve">. </w:t>
      </w:r>
    </w:p>
    <w:p w:rsidR="007870D7" w:rsidRPr="00F164D0" w:rsidRDefault="007870D7" w:rsidP="004A7868">
      <w:pPr>
        <w:pStyle w:val="ListParagraph"/>
        <w:numPr>
          <w:ilvl w:val="0"/>
          <w:numId w:val="3"/>
        </w:numPr>
        <w:spacing w:before="160"/>
        <w:ind w:left="714" w:hanging="357"/>
        <w:contextualSpacing w:val="0"/>
        <w:rPr>
          <w:color w:val="000000" w:themeColor="text1"/>
          <w:szCs w:val="24"/>
        </w:rPr>
      </w:pPr>
      <w:r w:rsidRPr="00F164D0">
        <w:rPr>
          <w:color w:val="000000" w:themeColor="text1"/>
          <w:szCs w:val="24"/>
        </w:rPr>
        <w:lastRenderedPageBreak/>
        <w:t>Ēnu ekonomikas apkarošanas un nodokļu administrēšanas uzlabošanas pasākumus:</w:t>
      </w:r>
    </w:p>
    <w:p w:rsidR="007870D7" w:rsidRDefault="00A24407" w:rsidP="00410CE6">
      <w:pPr>
        <w:pStyle w:val="ListParagraph"/>
        <w:numPr>
          <w:ilvl w:val="0"/>
          <w:numId w:val="25"/>
        </w:numPr>
        <w:contextualSpacing w:val="0"/>
      </w:pPr>
      <w:r>
        <w:t>ar g</w:t>
      </w:r>
      <w:r w:rsidR="00410CE6" w:rsidRPr="00410CE6">
        <w:t>rozījumi</w:t>
      </w:r>
      <w:r>
        <w:t>em</w:t>
      </w:r>
      <w:r w:rsidR="00410CE6" w:rsidRPr="00410CE6">
        <w:t xml:space="preserve"> likumā “Par nodokļiem un nodevām”, kas stājās spēkā 2018.gada 14.novembrī, tiek pilnveidots elektroniskās komercijas nodokļu administrēšanas tiesiskais regulējums. Likums, cita starpā, paplašina Valsts ieņēmumu dienesta pilnvaras pieprasīt datus no trešajām personām (kredītiestādēm, maksājumu karšu apstrādes uzņēmumiem, pasta komersantiem u.c.), līdz ar ko ļaujot labāk kontrolēt nedek</w:t>
      </w:r>
      <w:r w:rsidR="00662F20">
        <w:t>larētos nodokļus Latvijā. Fiskāl</w:t>
      </w:r>
      <w:r w:rsidR="00410CE6" w:rsidRPr="00410CE6">
        <w:t xml:space="preserve">ā ietekme 2019.gadā +2,0 milj. </w:t>
      </w:r>
      <w:proofErr w:type="spellStart"/>
      <w:r w:rsidR="00410CE6" w:rsidRPr="00410CE6">
        <w:rPr>
          <w:i/>
        </w:rPr>
        <w:t>euro</w:t>
      </w:r>
      <w:proofErr w:type="spellEnd"/>
      <w:r w:rsidR="00410CE6" w:rsidRPr="00410CE6">
        <w:t>.</w:t>
      </w:r>
    </w:p>
    <w:p w:rsidR="007870D7" w:rsidRDefault="007870D7" w:rsidP="004A7868">
      <w:pPr>
        <w:pStyle w:val="ListParagraph"/>
        <w:numPr>
          <w:ilvl w:val="0"/>
          <w:numId w:val="3"/>
        </w:numPr>
        <w:spacing w:before="120"/>
        <w:ind w:left="714" w:hanging="357"/>
      </w:pPr>
      <w:r>
        <w:t xml:space="preserve">Atgriezeniskais efekts no papildu finansējuma piešķiršanas veselības aprūpes darbinieku (veselības, tieslietu, izglītības, </w:t>
      </w:r>
      <w:proofErr w:type="spellStart"/>
      <w:r>
        <w:t>iekšlietu</w:t>
      </w:r>
      <w:proofErr w:type="spellEnd"/>
      <w:r>
        <w:t xml:space="preserve"> un labklājības nozares jomā strādājošiem) darba samaksas paaugstināšanai - fiskālā ietekme +883,3 tūkst. </w:t>
      </w:r>
      <w:proofErr w:type="spellStart"/>
      <w:r w:rsidRPr="004F2F57">
        <w:rPr>
          <w:i/>
        </w:rPr>
        <w:t>euro</w:t>
      </w:r>
      <w:proofErr w:type="spellEnd"/>
      <w:r>
        <w:rPr>
          <w:i/>
        </w:rPr>
        <w:t>.</w:t>
      </w:r>
    </w:p>
    <w:p w:rsidR="007870D7" w:rsidRPr="0020185F" w:rsidRDefault="007870D7" w:rsidP="007870D7">
      <w:pPr>
        <w:pStyle w:val="T"/>
        <w:spacing w:before="360"/>
        <w:rPr>
          <w:color w:val="000000" w:themeColor="text1"/>
        </w:rPr>
      </w:pPr>
      <w:r w:rsidRPr="0020185F">
        <w:rPr>
          <w:color w:val="000000" w:themeColor="text1"/>
        </w:rPr>
        <w:t>3.8. tabula. Pievienotās vērtības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96"/>
        <w:gridCol w:w="850"/>
        <w:gridCol w:w="997"/>
        <w:gridCol w:w="913"/>
        <w:gridCol w:w="1105"/>
      </w:tblGrid>
      <w:tr w:rsidR="007870D7" w:rsidRPr="004E0156" w:rsidTr="008671DD">
        <w:trPr>
          <w:tblHeader/>
          <w:jc w:val="center"/>
        </w:trPr>
        <w:tc>
          <w:tcPr>
            <w:tcW w:w="2867" w:type="pct"/>
            <w:vMerge w:val="restart"/>
            <w:shd w:val="clear" w:color="auto" w:fill="D9D9D9" w:themeFill="background1" w:themeFillShade="D9"/>
          </w:tcPr>
          <w:p w:rsidR="007870D7" w:rsidRPr="004E0156" w:rsidRDefault="007870D7" w:rsidP="007870D7">
            <w:pPr>
              <w:pStyle w:val="tabtekst"/>
              <w:rPr>
                <w:b/>
                <w:color w:val="000000" w:themeColor="text1"/>
              </w:rPr>
            </w:pPr>
          </w:p>
        </w:tc>
        <w:tc>
          <w:tcPr>
            <w:tcW w:w="469" w:type="pct"/>
            <w:shd w:val="clear" w:color="auto" w:fill="D9D9D9" w:themeFill="background1" w:themeFillShade="D9"/>
          </w:tcPr>
          <w:p w:rsidR="007870D7" w:rsidRPr="004E0156" w:rsidRDefault="007870D7" w:rsidP="007870D7">
            <w:pPr>
              <w:pStyle w:val="tabtekst"/>
              <w:jc w:val="center"/>
              <w:rPr>
                <w:b/>
                <w:color w:val="000000" w:themeColor="text1"/>
              </w:rPr>
            </w:pPr>
            <w:r w:rsidRPr="004E0156">
              <w:rPr>
                <w:b/>
                <w:color w:val="000000" w:themeColor="text1"/>
              </w:rPr>
              <w:t>2016</w:t>
            </w:r>
          </w:p>
        </w:tc>
        <w:tc>
          <w:tcPr>
            <w:tcW w:w="550" w:type="pct"/>
            <w:shd w:val="clear" w:color="auto" w:fill="D9D9D9" w:themeFill="background1" w:themeFillShade="D9"/>
          </w:tcPr>
          <w:p w:rsidR="007870D7" w:rsidRPr="004E0156" w:rsidRDefault="007870D7" w:rsidP="007870D7">
            <w:pPr>
              <w:pStyle w:val="tabtekst"/>
              <w:jc w:val="center"/>
              <w:rPr>
                <w:b/>
                <w:color w:val="000000" w:themeColor="text1"/>
              </w:rPr>
            </w:pPr>
            <w:r w:rsidRPr="004E0156">
              <w:rPr>
                <w:b/>
                <w:color w:val="000000" w:themeColor="text1"/>
              </w:rPr>
              <w:t>2017</w:t>
            </w:r>
          </w:p>
        </w:tc>
        <w:tc>
          <w:tcPr>
            <w:tcW w:w="504" w:type="pct"/>
            <w:shd w:val="clear" w:color="auto" w:fill="D9D9D9" w:themeFill="background1" w:themeFillShade="D9"/>
          </w:tcPr>
          <w:p w:rsidR="007870D7" w:rsidRPr="004E0156" w:rsidRDefault="007870D7" w:rsidP="007870D7">
            <w:pPr>
              <w:pStyle w:val="tabtekst"/>
              <w:jc w:val="center"/>
              <w:rPr>
                <w:b/>
                <w:color w:val="000000" w:themeColor="text1"/>
              </w:rPr>
            </w:pPr>
            <w:r w:rsidRPr="004E0156">
              <w:rPr>
                <w:b/>
                <w:color w:val="000000" w:themeColor="text1"/>
              </w:rPr>
              <w:t>2018</w:t>
            </w:r>
          </w:p>
        </w:tc>
        <w:tc>
          <w:tcPr>
            <w:tcW w:w="611" w:type="pct"/>
            <w:shd w:val="clear" w:color="auto" w:fill="D9D9D9" w:themeFill="background1" w:themeFillShade="D9"/>
          </w:tcPr>
          <w:p w:rsidR="007870D7" w:rsidRPr="004E0156" w:rsidRDefault="007870D7" w:rsidP="007870D7">
            <w:pPr>
              <w:pStyle w:val="tabtekst"/>
              <w:jc w:val="center"/>
              <w:rPr>
                <w:b/>
                <w:color w:val="000000" w:themeColor="text1"/>
              </w:rPr>
            </w:pPr>
            <w:r w:rsidRPr="004E0156">
              <w:rPr>
                <w:b/>
                <w:color w:val="000000" w:themeColor="text1"/>
              </w:rPr>
              <w:t>2019</w:t>
            </w:r>
          </w:p>
        </w:tc>
      </w:tr>
      <w:tr w:rsidR="007870D7" w:rsidRPr="004E0156" w:rsidTr="008671DD">
        <w:trPr>
          <w:tblHeader/>
          <w:jc w:val="center"/>
        </w:trPr>
        <w:tc>
          <w:tcPr>
            <w:tcW w:w="2867" w:type="pct"/>
            <w:vMerge/>
            <w:shd w:val="clear" w:color="auto" w:fill="D9D9D9" w:themeFill="background1" w:themeFillShade="D9"/>
          </w:tcPr>
          <w:p w:rsidR="007870D7" w:rsidRPr="004E0156" w:rsidRDefault="007870D7" w:rsidP="007870D7">
            <w:pPr>
              <w:pStyle w:val="tabtekst"/>
              <w:rPr>
                <w:b/>
                <w:color w:val="000000" w:themeColor="text1"/>
              </w:rPr>
            </w:pPr>
          </w:p>
        </w:tc>
        <w:tc>
          <w:tcPr>
            <w:tcW w:w="1523" w:type="pct"/>
            <w:gridSpan w:val="3"/>
            <w:shd w:val="clear" w:color="auto" w:fill="D9D9D9" w:themeFill="background1" w:themeFillShade="D9"/>
          </w:tcPr>
          <w:p w:rsidR="007870D7" w:rsidRPr="004E0156" w:rsidRDefault="007870D7" w:rsidP="007870D7">
            <w:pPr>
              <w:pStyle w:val="tabtekst"/>
              <w:jc w:val="center"/>
              <w:rPr>
                <w:color w:val="000000" w:themeColor="text1"/>
              </w:rPr>
            </w:pPr>
            <w:r w:rsidRPr="004E0156">
              <w:rPr>
                <w:color w:val="000000" w:themeColor="text1"/>
              </w:rPr>
              <w:t>fakts</w:t>
            </w:r>
          </w:p>
        </w:tc>
        <w:tc>
          <w:tcPr>
            <w:tcW w:w="611" w:type="pct"/>
            <w:shd w:val="clear" w:color="auto" w:fill="D9D9D9" w:themeFill="background1" w:themeFillShade="D9"/>
          </w:tcPr>
          <w:p w:rsidR="007870D7" w:rsidRPr="004E0156" w:rsidRDefault="00B75BD0" w:rsidP="007870D7">
            <w:pPr>
              <w:pStyle w:val="tabtekst"/>
              <w:jc w:val="center"/>
              <w:rPr>
                <w:color w:val="000000" w:themeColor="text1"/>
              </w:rPr>
            </w:pPr>
            <w:r>
              <w:rPr>
                <w:color w:val="000000" w:themeColor="text1"/>
              </w:rPr>
              <w:t>plāns</w:t>
            </w:r>
          </w:p>
        </w:tc>
      </w:tr>
      <w:tr w:rsidR="007870D7" w:rsidRPr="004E0156" w:rsidTr="008671DD">
        <w:trPr>
          <w:jc w:val="center"/>
        </w:trPr>
        <w:tc>
          <w:tcPr>
            <w:tcW w:w="2867" w:type="pct"/>
            <w:shd w:val="clear" w:color="auto" w:fill="auto"/>
          </w:tcPr>
          <w:p w:rsidR="007870D7" w:rsidRPr="004E0156" w:rsidRDefault="007870D7" w:rsidP="007870D7">
            <w:pPr>
              <w:pStyle w:val="tabtekst"/>
              <w:rPr>
                <w:color w:val="000000" w:themeColor="text1"/>
              </w:rPr>
            </w:pPr>
            <w:r w:rsidRPr="004E0156">
              <w:rPr>
                <w:b/>
                <w:color w:val="000000" w:themeColor="text1"/>
              </w:rPr>
              <w:t>Pievienotās vērtības nodoklis</w:t>
            </w:r>
            <w:r w:rsidRPr="004E0156">
              <w:rPr>
                <w:color w:val="000000" w:themeColor="text1"/>
              </w:rPr>
              <w:t xml:space="preserve">, milj. </w:t>
            </w:r>
            <w:proofErr w:type="spellStart"/>
            <w:r w:rsidRPr="004E0156">
              <w:rPr>
                <w:i/>
                <w:color w:val="000000" w:themeColor="text1"/>
              </w:rPr>
              <w:t>euro</w:t>
            </w:r>
            <w:proofErr w:type="spellEnd"/>
          </w:p>
        </w:tc>
        <w:tc>
          <w:tcPr>
            <w:tcW w:w="469" w:type="pct"/>
            <w:tcBorders>
              <w:bottom w:val="single" w:sz="4" w:space="0" w:color="auto"/>
            </w:tcBorders>
            <w:shd w:val="clear" w:color="auto" w:fill="auto"/>
            <w:vAlign w:val="bottom"/>
          </w:tcPr>
          <w:p w:rsidR="007870D7" w:rsidRPr="004E0156" w:rsidRDefault="007870D7" w:rsidP="007870D7">
            <w:pPr>
              <w:spacing w:after="0"/>
              <w:ind w:firstLine="0"/>
              <w:rPr>
                <w:b/>
                <w:snapToGrid w:val="0"/>
                <w:color w:val="000000" w:themeColor="text1"/>
                <w:sz w:val="20"/>
              </w:rPr>
            </w:pPr>
            <w:r w:rsidRPr="004E0156">
              <w:rPr>
                <w:b/>
                <w:snapToGrid w:val="0"/>
                <w:color w:val="000000" w:themeColor="text1"/>
                <w:sz w:val="20"/>
              </w:rPr>
              <w:t xml:space="preserve">2 </w:t>
            </w:r>
            <w:r>
              <w:rPr>
                <w:b/>
                <w:snapToGrid w:val="0"/>
                <w:color w:val="000000" w:themeColor="text1"/>
                <w:sz w:val="20"/>
              </w:rPr>
              <w:t>0</w:t>
            </w:r>
            <w:r w:rsidRPr="004E0156">
              <w:rPr>
                <w:b/>
                <w:snapToGrid w:val="0"/>
                <w:color w:val="000000" w:themeColor="text1"/>
                <w:sz w:val="20"/>
              </w:rPr>
              <w:t>18,9</w:t>
            </w:r>
          </w:p>
        </w:tc>
        <w:tc>
          <w:tcPr>
            <w:tcW w:w="550" w:type="pct"/>
            <w:tcBorders>
              <w:bottom w:val="single" w:sz="4" w:space="0" w:color="auto"/>
            </w:tcBorders>
            <w:shd w:val="clear" w:color="auto" w:fill="auto"/>
            <w:vAlign w:val="bottom"/>
          </w:tcPr>
          <w:p w:rsidR="007870D7" w:rsidRPr="004E0156" w:rsidRDefault="007870D7" w:rsidP="007870D7">
            <w:pPr>
              <w:spacing w:after="0"/>
              <w:ind w:firstLine="0"/>
              <w:rPr>
                <w:b/>
                <w:snapToGrid w:val="0"/>
                <w:color w:val="000000" w:themeColor="text1"/>
                <w:sz w:val="20"/>
              </w:rPr>
            </w:pPr>
            <w:r w:rsidRPr="004E0156">
              <w:rPr>
                <w:b/>
                <w:snapToGrid w:val="0"/>
                <w:color w:val="000000" w:themeColor="text1"/>
                <w:sz w:val="20"/>
              </w:rPr>
              <w:t>2 187,8</w:t>
            </w:r>
          </w:p>
        </w:tc>
        <w:tc>
          <w:tcPr>
            <w:tcW w:w="504" w:type="pct"/>
            <w:tcBorders>
              <w:bottom w:val="single" w:sz="4" w:space="0" w:color="auto"/>
            </w:tcBorders>
            <w:shd w:val="clear" w:color="auto" w:fill="auto"/>
            <w:vAlign w:val="bottom"/>
          </w:tcPr>
          <w:p w:rsidR="007870D7" w:rsidRPr="004E0156" w:rsidRDefault="007870D7" w:rsidP="007870D7">
            <w:pPr>
              <w:spacing w:after="0"/>
              <w:ind w:firstLine="0"/>
              <w:rPr>
                <w:b/>
                <w:snapToGrid w:val="0"/>
                <w:color w:val="000000" w:themeColor="text1"/>
                <w:sz w:val="20"/>
              </w:rPr>
            </w:pPr>
            <w:r w:rsidRPr="004E0156">
              <w:rPr>
                <w:b/>
                <w:snapToGrid w:val="0"/>
                <w:color w:val="000000" w:themeColor="text1"/>
                <w:sz w:val="20"/>
              </w:rPr>
              <w:t>2 457,0</w:t>
            </w:r>
          </w:p>
        </w:tc>
        <w:tc>
          <w:tcPr>
            <w:tcW w:w="611" w:type="pct"/>
            <w:tcBorders>
              <w:bottom w:val="single" w:sz="4" w:space="0" w:color="auto"/>
            </w:tcBorders>
            <w:shd w:val="clear" w:color="auto" w:fill="auto"/>
            <w:vAlign w:val="bottom"/>
          </w:tcPr>
          <w:p w:rsidR="007870D7" w:rsidRPr="004E0156" w:rsidRDefault="007870D7" w:rsidP="00B9344B">
            <w:pPr>
              <w:spacing w:after="0"/>
              <w:ind w:firstLine="0"/>
              <w:jc w:val="center"/>
              <w:rPr>
                <w:b/>
                <w:snapToGrid w:val="0"/>
                <w:color w:val="000000" w:themeColor="text1"/>
                <w:sz w:val="20"/>
              </w:rPr>
            </w:pPr>
            <w:r w:rsidRPr="004E0156">
              <w:rPr>
                <w:b/>
                <w:snapToGrid w:val="0"/>
                <w:color w:val="000000" w:themeColor="text1"/>
                <w:sz w:val="20"/>
              </w:rPr>
              <w:t>2 64</w:t>
            </w:r>
            <w:r w:rsidR="00B9344B">
              <w:rPr>
                <w:b/>
                <w:snapToGrid w:val="0"/>
                <w:color w:val="000000" w:themeColor="text1"/>
                <w:sz w:val="20"/>
              </w:rPr>
              <w:t>8</w:t>
            </w:r>
            <w:r w:rsidRPr="004E0156">
              <w:rPr>
                <w:b/>
                <w:snapToGrid w:val="0"/>
                <w:color w:val="000000" w:themeColor="text1"/>
                <w:sz w:val="20"/>
              </w:rPr>
              <w:t>,</w:t>
            </w:r>
            <w:r w:rsidR="00B9344B">
              <w:rPr>
                <w:b/>
                <w:snapToGrid w:val="0"/>
                <w:color w:val="000000" w:themeColor="text1"/>
                <w:sz w:val="20"/>
              </w:rPr>
              <w:t>4</w:t>
            </w:r>
          </w:p>
        </w:tc>
      </w:tr>
      <w:tr w:rsidR="007870D7" w:rsidRPr="004E0156" w:rsidTr="008671DD">
        <w:trPr>
          <w:jc w:val="center"/>
        </w:trPr>
        <w:tc>
          <w:tcPr>
            <w:tcW w:w="2867" w:type="pct"/>
            <w:shd w:val="clear" w:color="auto" w:fill="auto"/>
          </w:tcPr>
          <w:p w:rsidR="007870D7" w:rsidRPr="004E0156" w:rsidRDefault="007870D7" w:rsidP="007870D7">
            <w:pPr>
              <w:pStyle w:val="tabtekst"/>
              <w:rPr>
                <w:i/>
                <w:color w:val="000000" w:themeColor="text1"/>
              </w:rPr>
            </w:pPr>
            <w:r w:rsidRPr="004E0156">
              <w:rPr>
                <w:i/>
                <w:color w:val="000000" w:themeColor="text1"/>
              </w:rPr>
              <w:t xml:space="preserve">   pieauguma tempi faktiskās cenās, %</w:t>
            </w:r>
          </w:p>
        </w:tc>
        <w:tc>
          <w:tcPr>
            <w:tcW w:w="469" w:type="pct"/>
            <w:tcBorders>
              <w:top w:val="single" w:sz="4" w:space="0" w:color="auto"/>
              <w:left w:val="nil"/>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6,1%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8,4%</w:t>
            </w:r>
          </w:p>
        </w:tc>
        <w:tc>
          <w:tcPr>
            <w:tcW w:w="504"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12,3%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B9344B" w:rsidP="007870D7">
            <w:pPr>
              <w:pStyle w:val="tabtekst"/>
              <w:jc w:val="center"/>
              <w:rPr>
                <w:i/>
                <w:color w:val="000000" w:themeColor="text1"/>
              </w:rPr>
            </w:pPr>
            <w:r>
              <w:rPr>
                <w:i/>
                <w:color w:val="000000" w:themeColor="text1"/>
              </w:rPr>
              <w:t>7,8</w:t>
            </w:r>
            <w:r w:rsidR="007870D7" w:rsidRPr="004E0156">
              <w:rPr>
                <w:i/>
                <w:color w:val="000000" w:themeColor="text1"/>
              </w:rPr>
              <w:t>%</w:t>
            </w:r>
          </w:p>
        </w:tc>
      </w:tr>
      <w:tr w:rsidR="007870D7" w:rsidRPr="002074E7" w:rsidTr="008671DD">
        <w:trPr>
          <w:jc w:val="center"/>
        </w:trPr>
        <w:tc>
          <w:tcPr>
            <w:tcW w:w="2867" w:type="pct"/>
          </w:tcPr>
          <w:p w:rsidR="007870D7" w:rsidRPr="004E0156" w:rsidRDefault="007870D7" w:rsidP="007870D7">
            <w:pPr>
              <w:pStyle w:val="tabtekst"/>
              <w:rPr>
                <w:i/>
                <w:color w:val="000000" w:themeColor="text1"/>
              </w:rPr>
            </w:pPr>
            <w:r w:rsidRPr="004E0156">
              <w:rPr>
                <w:i/>
                <w:color w:val="000000" w:themeColor="text1"/>
              </w:rPr>
              <w:t xml:space="preserve">   % no IKP</w:t>
            </w:r>
          </w:p>
        </w:tc>
        <w:tc>
          <w:tcPr>
            <w:tcW w:w="469" w:type="pct"/>
            <w:tcBorders>
              <w:top w:val="single" w:sz="4" w:space="0" w:color="auto"/>
              <w:left w:val="nil"/>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8,1%</w:t>
            </w:r>
          </w:p>
        </w:tc>
        <w:tc>
          <w:tcPr>
            <w:tcW w:w="550"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8,1%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8,5%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bottom"/>
          </w:tcPr>
          <w:p w:rsidR="007870D7" w:rsidRPr="004E0156" w:rsidRDefault="007870D7" w:rsidP="007870D7">
            <w:pPr>
              <w:pStyle w:val="tabtekst"/>
              <w:jc w:val="center"/>
              <w:rPr>
                <w:i/>
                <w:color w:val="000000" w:themeColor="text1"/>
              </w:rPr>
            </w:pPr>
            <w:r w:rsidRPr="004E0156">
              <w:rPr>
                <w:i/>
                <w:color w:val="000000" w:themeColor="text1"/>
              </w:rPr>
              <w:t>8,6%</w:t>
            </w:r>
          </w:p>
        </w:tc>
      </w:tr>
    </w:tbl>
    <w:p w:rsidR="009E421B" w:rsidRDefault="009E421B" w:rsidP="0075515C">
      <w:pPr>
        <w:pStyle w:val="H4"/>
      </w:pPr>
    </w:p>
    <w:p w:rsidR="007870D7" w:rsidRPr="0075515C" w:rsidRDefault="007870D7" w:rsidP="0075515C">
      <w:pPr>
        <w:pStyle w:val="H4"/>
      </w:pPr>
      <w:r w:rsidRPr="000C257E">
        <w:t>Akcīzes nodoklis</w:t>
      </w:r>
    </w:p>
    <w:p w:rsidR="0075515C" w:rsidRDefault="0075515C" w:rsidP="007870D7">
      <w:bookmarkStart w:id="15" w:name="_Toc150840178"/>
      <w:bookmarkStart w:id="16" w:name="_Toc150941368"/>
      <w:bookmarkStart w:id="17" w:name="_Toc150840180"/>
      <w:bookmarkStart w:id="18" w:name="_Toc150941370"/>
    </w:p>
    <w:p w:rsidR="007870D7" w:rsidRPr="00B22DC7" w:rsidRDefault="007870D7" w:rsidP="007870D7">
      <w:r w:rsidRPr="000C311C">
        <w:t>2018.</w:t>
      </w:r>
      <w:r w:rsidRPr="00300278">
        <w:t>gadā akcīzes nodokļa ieņēmumi bija 1 029,2 milj. </w:t>
      </w:r>
      <w:proofErr w:type="spellStart"/>
      <w:r w:rsidRPr="00300278">
        <w:rPr>
          <w:i/>
        </w:rPr>
        <w:t>euro</w:t>
      </w:r>
      <w:proofErr w:type="spellEnd"/>
      <w:r w:rsidRPr="00300278">
        <w:t>. Salīdzinājumā ar 2017.gadu akcīzes nodokļa ieņēmumi ir palielinājušies par 122,2 milj. </w:t>
      </w:r>
      <w:proofErr w:type="spellStart"/>
      <w:r w:rsidRPr="00300278">
        <w:rPr>
          <w:i/>
        </w:rPr>
        <w:t>euro</w:t>
      </w:r>
      <w:proofErr w:type="spellEnd"/>
      <w:r w:rsidRPr="00300278">
        <w:t xml:space="preserve"> jeb 13,5 procentiem. To ietekmēja gan atsevišķu akcīzes nodokļa objektu patēriņa apjoma pieaugums, akcīzes nodokļa likmju izmaiņas alkoholiskajiem dzērieniem un alum Igaunijā, gan iepriekšējos gados pieņemtās normatīvo aktu izmaiņas, kas stājās spēkā 2018.gadā.</w:t>
      </w:r>
    </w:p>
    <w:p w:rsidR="007870D7" w:rsidRPr="000C311C" w:rsidRDefault="007870D7" w:rsidP="007870D7">
      <w:pPr>
        <w:spacing w:before="120"/>
      </w:pPr>
      <w:r w:rsidRPr="000C311C">
        <w:t xml:space="preserve">Saskaņā ar iepriekšējos gados pieņemtajām izmaiņām normatīvajos aktos: </w:t>
      </w:r>
    </w:p>
    <w:p w:rsidR="007870D7" w:rsidRPr="00FA20A5" w:rsidRDefault="007870D7" w:rsidP="004A7868">
      <w:pPr>
        <w:pStyle w:val="ListParagraph"/>
        <w:numPr>
          <w:ilvl w:val="0"/>
          <w:numId w:val="20"/>
        </w:numPr>
        <w:tabs>
          <w:tab w:val="left" w:pos="993"/>
        </w:tabs>
      </w:pPr>
      <w:r w:rsidRPr="000C311C">
        <w:t>ar 2016.gada 23.novembrī Saeimā pieņemtajiem grozījumi</w:t>
      </w:r>
      <w:r>
        <w:t xml:space="preserve">em likumā „Par akcīzes nodokli” </w:t>
      </w:r>
      <w:r w:rsidRPr="000C311C">
        <w:t xml:space="preserve">ar 2018.gada 1.janvāri tika paaugstināts akcīzes nodoklis cigāriem, </w:t>
      </w:r>
      <w:proofErr w:type="spellStart"/>
      <w:r w:rsidRPr="000C311C">
        <w:t>cigarillām</w:t>
      </w:r>
      <w:proofErr w:type="spellEnd"/>
      <w:r w:rsidRPr="000C311C">
        <w:t xml:space="preserve">, smēķējamai tabakai </w:t>
      </w:r>
      <w:r>
        <w:t>un tabakas lapām;</w:t>
      </w:r>
    </w:p>
    <w:p w:rsidR="007870D7" w:rsidRPr="00C13DDA" w:rsidRDefault="007870D7" w:rsidP="004A7868">
      <w:pPr>
        <w:pStyle w:val="ListParagraph"/>
        <w:numPr>
          <w:ilvl w:val="0"/>
          <w:numId w:val="20"/>
        </w:numPr>
        <w:tabs>
          <w:tab w:val="left" w:pos="993"/>
        </w:tabs>
      </w:pPr>
      <w:r w:rsidRPr="00C13DDA">
        <w:t>saskaņā ar 2017.gada 27.jūlijā Saeimā pieņemtajiem grozījumiem likumā „Par akcīzes nodokli”:</w:t>
      </w:r>
    </w:p>
    <w:p w:rsidR="007870D7" w:rsidRPr="00C13DDA" w:rsidRDefault="007870D7" w:rsidP="004A7868">
      <w:pPr>
        <w:pStyle w:val="ListParagraph"/>
        <w:numPr>
          <w:ilvl w:val="1"/>
          <w:numId w:val="22"/>
        </w:numPr>
        <w:tabs>
          <w:tab w:val="left" w:pos="993"/>
        </w:tabs>
      </w:pPr>
      <w:r w:rsidRPr="00C13DDA">
        <w:t>ar 2018.gada 1.janvāri tika paaugstinātas akcīzes nodokļa likmes naftas produktiem, ko izmanto par degvielu. Akcīzes nodokļa likme marķētajai dīzeļdegvielai tika paaugstināta ar 2018.gada 1.jūliju;</w:t>
      </w:r>
    </w:p>
    <w:p w:rsidR="007870D7" w:rsidRPr="00C13DDA" w:rsidRDefault="007870D7" w:rsidP="004A7868">
      <w:pPr>
        <w:pStyle w:val="ListParagraph"/>
        <w:numPr>
          <w:ilvl w:val="1"/>
          <w:numId w:val="22"/>
        </w:numPr>
        <w:tabs>
          <w:tab w:val="left" w:pos="993"/>
        </w:tabs>
      </w:pPr>
      <w:r w:rsidRPr="00C13DDA">
        <w:t>ar 2018.gada 1.martu tika paaugstinātas akcīzes nodokļa likmes alkoholiskajiem dzērieniem un alum;</w:t>
      </w:r>
    </w:p>
    <w:p w:rsidR="007870D7" w:rsidRPr="00C13DDA" w:rsidRDefault="007870D7" w:rsidP="004A7868">
      <w:pPr>
        <w:pStyle w:val="ListParagraph"/>
        <w:numPr>
          <w:ilvl w:val="1"/>
          <w:numId w:val="22"/>
        </w:numPr>
        <w:tabs>
          <w:tab w:val="left" w:pos="993"/>
        </w:tabs>
      </w:pPr>
      <w:r w:rsidRPr="00C13DDA">
        <w:t>ar 2018.gada 1.jūliju tika paaugstinātas akcīzes nodokļa likmes cigaretēm.</w:t>
      </w:r>
    </w:p>
    <w:p w:rsidR="007870D7" w:rsidRPr="000C311C" w:rsidRDefault="007870D7" w:rsidP="007870D7">
      <w:r w:rsidRPr="000C311C">
        <w:t xml:space="preserve">Saskaņā ar </w:t>
      </w:r>
      <w:r w:rsidRPr="00FA20A5">
        <w:t xml:space="preserve">likumu </w:t>
      </w:r>
      <w:r w:rsidRPr="000C311C">
        <w:t>„Par valsts budžetu 2019.gadam” akcīzes nodokļa ieņēmumi tiek plānoti 1 118,9 milj. </w:t>
      </w:r>
      <w:proofErr w:type="spellStart"/>
      <w:r w:rsidRPr="000C311C">
        <w:rPr>
          <w:i/>
        </w:rPr>
        <w:t>euro</w:t>
      </w:r>
      <w:proofErr w:type="spellEnd"/>
      <w:r w:rsidRPr="000C311C">
        <w:t xml:space="preserve"> apmērā, kas ir par 89,7 milj. </w:t>
      </w:r>
      <w:proofErr w:type="spellStart"/>
      <w:r w:rsidRPr="000C311C">
        <w:rPr>
          <w:i/>
        </w:rPr>
        <w:t>euro</w:t>
      </w:r>
      <w:proofErr w:type="spellEnd"/>
      <w:r w:rsidRPr="000C311C">
        <w:t xml:space="preserve"> jeb 8,7% vairāk nekā 2018.gadā iekasēts, nodrošinot ieņēmumu īpatsvara IKP pieaugumu no 3,5% 2018.gadā līdz 3,6% 2019.gadā. </w:t>
      </w:r>
    </w:p>
    <w:p w:rsidR="007870D7" w:rsidRPr="000C311C" w:rsidRDefault="007870D7" w:rsidP="00B75DFA">
      <w:r w:rsidRPr="000C311C">
        <w:t>Sagatavojot 2019.gada akcīzes nodokļa ieņēmumu plānu, tika ņemts vērā prognozētais IKP pieauguma temps (salīdzinot ar 2018.gadu, tas būs 6,2%), prognozētais darba samaksas pieauguma temps (salīdzinot ar 2018.gadu, tas būs 6,0%), prognozētais privātā patēriņa pieaugums (salīdzinot ar 2018.gadu, tas būs 6,8%), pieņemti</w:t>
      </w:r>
      <w:r>
        <w:t xml:space="preserve">e grozījumi </w:t>
      </w:r>
      <w:r w:rsidRPr="006101B1">
        <w:t>normatīvajos aktos, kā arī akcīzes nodokļa politika Baltijas valstīs.</w:t>
      </w:r>
    </w:p>
    <w:p w:rsidR="007870D7" w:rsidRPr="00B22DC7" w:rsidRDefault="007870D7" w:rsidP="00D81781">
      <w:r w:rsidRPr="00FD7D74">
        <w:lastRenderedPageBreak/>
        <w:t>2019.gadā paredzētas vairākas akcīzes nodokļa izmaiņas:</w:t>
      </w:r>
    </w:p>
    <w:p w:rsidR="007870D7" w:rsidRDefault="007870D7" w:rsidP="004A7868">
      <w:pPr>
        <w:pStyle w:val="ListParagraph"/>
        <w:numPr>
          <w:ilvl w:val="0"/>
          <w:numId w:val="21"/>
        </w:numPr>
        <w:tabs>
          <w:tab w:val="left" w:pos="993"/>
        </w:tabs>
      </w:pPr>
      <w:r w:rsidRPr="00FD7D74">
        <w:t xml:space="preserve">saskaņā </w:t>
      </w:r>
      <w:r w:rsidRPr="000C311C">
        <w:t>ar 2016.gada 23.novembrī Saeimā pieņemtajiem grozījumi</w:t>
      </w:r>
      <w:r>
        <w:t xml:space="preserve">em likumā „Par akcīzes nodokli” </w:t>
      </w:r>
      <w:r w:rsidRPr="000C311C">
        <w:t>ar 201</w:t>
      </w:r>
      <w:r>
        <w:t>9</w:t>
      </w:r>
      <w:r w:rsidRPr="000C311C">
        <w:t xml:space="preserve">.gada 1.janvāri tika paaugstināts akcīzes nodoklis cigāriem, </w:t>
      </w:r>
      <w:proofErr w:type="spellStart"/>
      <w:r w:rsidRPr="000C311C">
        <w:t>cigarillām</w:t>
      </w:r>
      <w:proofErr w:type="spellEnd"/>
      <w:r w:rsidRPr="000C311C">
        <w:t xml:space="preserve">, smēķējamai tabakai </w:t>
      </w:r>
      <w:r>
        <w:t>un tabakas lapām;</w:t>
      </w:r>
    </w:p>
    <w:p w:rsidR="007870D7" w:rsidRPr="00FA20A5" w:rsidRDefault="007870D7" w:rsidP="007870D7">
      <w:pPr>
        <w:pStyle w:val="ListParagraph"/>
        <w:tabs>
          <w:tab w:val="left" w:pos="993"/>
        </w:tabs>
        <w:ind w:left="502" w:firstLine="0"/>
      </w:pPr>
    </w:p>
    <w:p w:rsidR="007870D7" w:rsidRPr="00FD7D74" w:rsidRDefault="007870D7" w:rsidP="004A7868">
      <w:pPr>
        <w:pStyle w:val="ListParagraph"/>
        <w:numPr>
          <w:ilvl w:val="0"/>
          <w:numId w:val="21"/>
        </w:numPr>
        <w:tabs>
          <w:tab w:val="left" w:pos="993"/>
        </w:tabs>
      </w:pPr>
      <w:r w:rsidRPr="00FD7D74">
        <w:t>saskaņā ar 2017.gada 27.jūlijā Saeimā pieņemtajiem grozījumiem likumā „Par akcīzes nodokli”:</w:t>
      </w:r>
    </w:p>
    <w:p w:rsidR="007870D7" w:rsidRPr="00FD7D74" w:rsidRDefault="007870D7" w:rsidP="004A7868">
      <w:pPr>
        <w:pStyle w:val="ListParagraph"/>
        <w:numPr>
          <w:ilvl w:val="1"/>
          <w:numId w:val="22"/>
        </w:numPr>
        <w:tabs>
          <w:tab w:val="left" w:pos="993"/>
        </w:tabs>
      </w:pPr>
      <w:r w:rsidRPr="00FD7D74">
        <w:t>ar 2019.gada 1.martu tik</w:t>
      </w:r>
      <w:r w:rsidR="005A3AA2">
        <w:t>a</w:t>
      </w:r>
      <w:r w:rsidRPr="00FD7D74">
        <w:t xml:space="preserve"> paaugstinātas akcīzes nodokļa likmes alkoholiskajiem dzērieniem un alum;</w:t>
      </w:r>
    </w:p>
    <w:p w:rsidR="007870D7" w:rsidRDefault="007870D7" w:rsidP="004A7868">
      <w:pPr>
        <w:pStyle w:val="ListParagraph"/>
        <w:numPr>
          <w:ilvl w:val="1"/>
          <w:numId w:val="22"/>
        </w:numPr>
        <w:tabs>
          <w:tab w:val="left" w:pos="993"/>
        </w:tabs>
      </w:pPr>
      <w:r w:rsidRPr="00FD7D74">
        <w:t>ar 2019.gada 1.jūliju tiks paaugstinātas a</w:t>
      </w:r>
      <w:r>
        <w:t>kcīzes nodokļa likmes cigaretēm;</w:t>
      </w:r>
    </w:p>
    <w:p w:rsidR="007870D7" w:rsidRPr="00FD7D74" w:rsidRDefault="007870D7" w:rsidP="007870D7">
      <w:pPr>
        <w:pStyle w:val="ListParagraph"/>
        <w:tabs>
          <w:tab w:val="left" w:pos="993"/>
        </w:tabs>
        <w:ind w:left="1440" w:firstLine="0"/>
      </w:pPr>
    </w:p>
    <w:p w:rsidR="007870D7" w:rsidRPr="00FD7D74" w:rsidRDefault="007870D7" w:rsidP="004A7868">
      <w:pPr>
        <w:pStyle w:val="ListParagraph"/>
        <w:numPr>
          <w:ilvl w:val="0"/>
          <w:numId w:val="21"/>
        </w:numPr>
        <w:tabs>
          <w:tab w:val="left" w:pos="993"/>
        </w:tabs>
      </w:pPr>
      <w:r w:rsidRPr="00FD7D74">
        <w:t>saskaņā ar 201</w:t>
      </w:r>
      <w:r>
        <w:t>8</w:t>
      </w:r>
      <w:r w:rsidRPr="00FD7D74">
        <w:t>.gada 2</w:t>
      </w:r>
      <w:r>
        <w:t>5</w:t>
      </w:r>
      <w:r w:rsidRPr="00FD7D74">
        <w:t>.</w:t>
      </w:r>
      <w:r>
        <w:t>oktobrī</w:t>
      </w:r>
      <w:r w:rsidRPr="00FD7D74">
        <w:t xml:space="preserve"> Saeimā pieņemtajiem grozījumiem likumā „Par akcīzes nodokli”:</w:t>
      </w:r>
    </w:p>
    <w:p w:rsidR="007870D7" w:rsidRDefault="007870D7" w:rsidP="004A7868">
      <w:pPr>
        <w:pStyle w:val="ListParagraph"/>
        <w:numPr>
          <w:ilvl w:val="1"/>
          <w:numId w:val="22"/>
        </w:numPr>
        <w:tabs>
          <w:tab w:val="left" w:pos="993"/>
        </w:tabs>
      </w:pPr>
      <w:r>
        <w:t xml:space="preserve">ar </w:t>
      </w:r>
      <w:r w:rsidRPr="00FD7D74">
        <w:t>2019.gada 1.janvāri</w:t>
      </w:r>
      <w:r>
        <w:t xml:space="preserve"> lauksaimniekiem paredzēto marķēto dīzeļdegvielu atļauts izmantot kravas automobiļus, kuros sēdvietu skaits, neskaitot vadītāja sēdvietu, nepārsniedz četras sēdvietas līdzšinējo divu sēdvietu vietā;</w:t>
      </w:r>
    </w:p>
    <w:p w:rsidR="007870D7" w:rsidRDefault="007870D7" w:rsidP="004A7868">
      <w:pPr>
        <w:pStyle w:val="ListParagraph"/>
        <w:numPr>
          <w:ilvl w:val="1"/>
          <w:numId w:val="22"/>
        </w:numPr>
        <w:tabs>
          <w:tab w:val="left" w:pos="993"/>
        </w:tabs>
      </w:pPr>
      <w:r w:rsidRPr="00FD7D74">
        <w:t>ar 2019.gada 1.martu</w:t>
      </w:r>
      <w:r>
        <w:t xml:space="preserve"> mazajās alkoholisko dzērienu darītavās saražotajiem pārējiem alkoholiskajiem dzērieniem </w:t>
      </w:r>
      <w:r w:rsidRPr="00FD7D74">
        <w:t>t</w:t>
      </w:r>
      <w:r w:rsidR="005A3AA2">
        <w:t>iek</w:t>
      </w:r>
      <w:r w:rsidRPr="00FD7D74">
        <w:t xml:space="preserve"> </w:t>
      </w:r>
      <w:r>
        <w:t xml:space="preserve">piemērota </w:t>
      </w:r>
      <w:r w:rsidRPr="00FD7D74">
        <w:t>samazinātā likme</w:t>
      </w:r>
      <w:r>
        <w:t xml:space="preserve"> </w:t>
      </w:r>
      <w:r w:rsidRPr="00FD7D74">
        <w:t xml:space="preserve">50% apmērā no </w:t>
      </w:r>
      <w:proofErr w:type="spellStart"/>
      <w:r w:rsidRPr="00FD7D74">
        <w:t>standartlikmes</w:t>
      </w:r>
      <w:proofErr w:type="spellEnd"/>
      <w:r>
        <w:t>.</w:t>
      </w:r>
    </w:p>
    <w:p w:rsidR="007870D7" w:rsidRPr="00B22DC7" w:rsidRDefault="009E421B" w:rsidP="009E421B">
      <w:pPr>
        <w:tabs>
          <w:tab w:val="left" w:pos="993"/>
        </w:tabs>
        <w:jc w:val="left"/>
        <w:rPr>
          <w:noProof/>
          <w:lang w:eastAsia="lv-LV"/>
        </w:rPr>
      </w:pPr>
      <w:r w:rsidRPr="009E421B">
        <w:rPr>
          <w:noProof/>
          <w:lang w:eastAsia="lv-LV"/>
        </w:rPr>
        <w:drawing>
          <wp:inline distT="0" distB="0" distL="0" distR="0" wp14:anchorId="4149C587">
            <wp:extent cx="5363151" cy="2460473"/>
            <wp:effectExtent l="19050" t="19050" r="9525"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372" t="36829" r="9444" b="2611"/>
                    <a:stretch/>
                  </pic:blipFill>
                  <pic:spPr bwMode="auto">
                    <a:xfrm>
                      <a:off x="0" y="0"/>
                      <a:ext cx="5397778" cy="247635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7870D7" w:rsidRDefault="007870D7" w:rsidP="00D81781">
      <w:pPr>
        <w:rPr>
          <w:b/>
          <w:i/>
        </w:rPr>
      </w:pPr>
      <w:r w:rsidRPr="000C257E">
        <w:rPr>
          <w:b/>
          <w:i/>
        </w:rPr>
        <w:t>3.10.att. Akcīzes nodokļa ieņēmumi sadalījumā pa mēnešiem, milj. </w:t>
      </w:r>
      <w:proofErr w:type="spellStart"/>
      <w:r w:rsidRPr="000C257E">
        <w:rPr>
          <w:b/>
          <w:i/>
        </w:rPr>
        <w:t>euro</w:t>
      </w:r>
      <w:proofErr w:type="spellEnd"/>
    </w:p>
    <w:p w:rsidR="00D81781" w:rsidRPr="00D81781" w:rsidRDefault="00D81781" w:rsidP="00D81781">
      <w:pPr>
        <w:rPr>
          <w:b/>
          <w:i/>
        </w:rPr>
      </w:pPr>
    </w:p>
    <w:p w:rsidR="007870D7" w:rsidRPr="00FA20A5" w:rsidRDefault="007870D7" w:rsidP="007870D7">
      <w:pPr>
        <w:spacing w:after="360"/>
        <w:ind w:firstLine="0"/>
        <w:rPr>
          <w:u w:val="single"/>
        </w:rPr>
      </w:pPr>
      <w:r w:rsidRPr="00FA20A5">
        <w:rPr>
          <w:u w:val="single"/>
        </w:rPr>
        <w:t>Akcīzes nodoklis naftas produktiem</w:t>
      </w:r>
    </w:p>
    <w:p w:rsidR="007870D7" w:rsidRPr="009E421B" w:rsidRDefault="007870D7" w:rsidP="007870D7">
      <w:r w:rsidRPr="006F6C5D">
        <w:t>2018.gadā akcīzes nodokļa naftas produktiem ieņēmumi bija 539,6 milj. </w:t>
      </w:r>
      <w:proofErr w:type="spellStart"/>
      <w:r w:rsidRPr="006F6C5D">
        <w:rPr>
          <w:i/>
        </w:rPr>
        <w:t>euro</w:t>
      </w:r>
      <w:proofErr w:type="spellEnd"/>
      <w:r w:rsidRPr="006F6C5D">
        <w:t xml:space="preserve">, salīdzinot ar 2017.gadu, </w:t>
      </w:r>
      <w:r>
        <w:t>tie</w:t>
      </w:r>
      <w:r w:rsidRPr="006F6C5D">
        <w:t xml:space="preserve"> ir palielinājušies par 57,4 milj. </w:t>
      </w:r>
      <w:proofErr w:type="spellStart"/>
      <w:r w:rsidRPr="006F6C5D">
        <w:rPr>
          <w:i/>
        </w:rPr>
        <w:t>euro</w:t>
      </w:r>
      <w:proofErr w:type="spellEnd"/>
      <w:r w:rsidRPr="006F6C5D">
        <w:t xml:space="preserve"> jeb 11,9%, kas saistīts ar  akcīzes nodokļa likmju </w:t>
      </w:r>
      <w:r w:rsidRPr="009E421B">
        <w:t xml:space="preserve">paaugstināšanu degvielai un patēriņam nodotā naftas produktu apjoma pieaugumu. </w:t>
      </w:r>
    </w:p>
    <w:p w:rsidR="007870D7" w:rsidRPr="009E421B" w:rsidRDefault="007870D7" w:rsidP="00B75DFA">
      <w:r w:rsidRPr="009E421B">
        <w:t xml:space="preserve">Saskaņā ar Valsts ieņēmumu dienesta informāciju naftas produktu kopējā patēriņa apjoms 2018.gada 11 mēnešos un 2016.gada decembrī salīdzinājumā ar 2017. un 2016.gada attiecīgo periodu pieaudzis par 2,8%, t.sk. dīzeļdegvielas patēriņš pieaudzis par 4,1%, bet benzīna un sašķidrinātās naftas gāzes patēriņš samazinājies attiecīgi par 2,9% un 5,6 procentiem. Petrolejas patēriņš palielinājies par 26,9%, bet degvieleļļas patēriņš samazinājies par 25,3 procentiem. </w:t>
      </w:r>
    </w:p>
    <w:p w:rsidR="007870D7" w:rsidRPr="005B5047" w:rsidRDefault="007870D7" w:rsidP="007870D7">
      <w:pPr>
        <w:pStyle w:val="Z"/>
      </w:pPr>
      <w:r w:rsidRPr="005B5047">
        <w:rPr>
          <w:noProof/>
          <w:lang w:eastAsia="lv-LV"/>
        </w:rPr>
        <w:lastRenderedPageBreak/>
        <w:drawing>
          <wp:inline distT="0" distB="0" distL="0" distR="0" wp14:anchorId="13297950" wp14:editId="391F9BA6">
            <wp:extent cx="5657850" cy="3219449"/>
            <wp:effectExtent l="0" t="0" r="0" b="6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870D7" w:rsidRPr="005B5047" w:rsidRDefault="007870D7" w:rsidP="007870D7">
      <w:pPr>
        <w:pStyle w:val="Z"/>
        <w:rPr>
          <w:b w:val="0"/>
        </w:rPr>
      </w:pPr>
      <w:r w:rsidRPr="005B5047">
        <w:t>3.11.att. Naftas produktu patēriņš attiecīgā gada 11 mēnešos un iepriekšējā gada decembrī, tonnās</w:t>
      </w:r>
      <w:r w:rsidRPr="005B5047">
        <w:br/>
        <w:t xml:space="preserve"> </w:t>
      </w:r>
      <w:r w:rsidRPr="005B5047">
        <w:rPr>
          <w:b w:val="0"/>
        </w:rPr>
        <w:t>(Datu avots: Valsts ieņēmumu dienests)</w:t>
      </w:r>
    </w:p>
    <w:p w:rsidR="007870D7" w:rsidRPr="00F2046F" w:rsidRDefault="007870D7" w:rsidP="007870D7">
      <w:pPr>
        <w:rPr>
          <w:szCs w:val="24"/>
        </w:rPr>
      </w:pPr>
      <w:r w:rsidRPr="006F6C5D">
        <w:tab/>
      </w:r>
      <w:r w:rsidRPr="00F2046F">
        <w:t>Saskaņā ar Ceļu satiksmes drošības direkcijas informāciju 2019.gada 1.janvārī salīdzinājumā ar 2018.gada 1.</w:t>
      </w:r>
      <w:r w:rsidRPr="00F2046F">
        <w:rPr>
          <w:szCs w:val="24"/>
        </w:rPr>
        <w:t xml:space="preserve">janvāri kopējais reģistrēto transportlīdzekļu skaits palielinājies par 2,6%, t.sk. transportlīdzekļu, kas patērē dīzeļdegvielu, īpatsvars kopējā transportlīdzekļu skaitā ir pieaudzis no 60,8% līdz 63,3% un to skaits ir 507 339, benzīnu patērējošo transportlīdzekļu īpatsvars ir samazinājies no 32,3% līdz 30,1% un to skaits ir 241 302. Sašķidrinātās naftas gāzes patērējošo transportlīdzekļu īpatsvars samazinājies par 0,4 procentpunktiem. </w:t>
      </w:r>
    </w:p>
    <w:p w:rsidR="007870D7" w:rsidRPr="006F6C5D" w:rsidRDefault="007870D7" w:rsidP="007870D7">
      <w:pPr>
        <w:tabs>
          <w:tab w:val="left" w:pos="709"/>
        </w:tabs>
        <w:ind w:firstLine="0"/>
      </w:pPr>
      <w:r>
        <w:rPr>
          <w:iCs/>
        </w:rPr>
        <w:tab/>
      </w:r>
      <w:r w:rsidRPr="006F6C5D">
        <w:rPr>
          <w:iCs/>
        </w:rPr>
        <w:t>Akcīzes nodokļa ieņēmumus ietekmēja arī iepriekšējos gados pieņemtās izmaiņas normatīvajos aktos:</w:t>
      </w:r>
    </w:p>
    <w:p w:rsidR="007870D7" w:rsidRDefault="007870D7" w:rsidP="004A7868">
      <w:pPr>
        <w:pStyle w:val="ListParagraph"/>
        <w:numPr>
          <w:ilvl w:val="0"/>
          <w:numId w:val="23"/>
        </w:numPr>
        <w:rPr>
          <w:color w:val="000000" w:themeColor="text1"/>
        </w:rPr>
      </w:pPr>
      <w:r w:rsidRPr="003D2FC9">
        <w:t>sas</w:t>
      </w:r>
      <w:r w:rsidRPr="003D2FC9">
        <w:rPr>
          <w:color w:val="000000" w:themeColor="text1"/>
        </w:rPr>
        <w:t>kaņā ar 2017.gada 27.jūlijā pieņemtajiem grozījumiem likumā „Par akcīzes nodokli</w:t>
      </w:r>
      <w:r>
        <w:rPr>
          <w:color w:val="000000" w:themeColor="text1"/>
        </w:rPr>
        <w:t>:</w:t>
      </w:r>
    </w:p>
    <w:p w:rsidR="007870D7" w:rsidRPr="003D2FC9" w:rsidRDefault="007870D7" w:rsidP="004A7868">
      <w:pPr>
        <w:pStyle w:val="ListParagraph"/>
        <w:numPr>
          <w:ilvl w:val="1"/>
          <w:numId w:val="23"/>
        </w:numPr>
        <w:rPr>
          <w:color w:val="000000" w:themeColor="text1"/>
        </w:rPr>
      </w:pPr>
      <w:r w:rsidRPr="003D2FC9">
        <w:rPr>
          <w:color w:val="000000" w:themeColor="text1"/>
        </w:rPr>
        <w:t xml:space="preserve"> ar 2018.gada 1.janvāri tika paaugstinātas akcīzes nodokļa likmes:</w:t>
      </w:r>
    </w:p>
    <w:p w:rsidR="007870D7" w:rsidRPr="003D2FC9" w:rsidRDefault="007870D7" w:rsidP="004A7868">
      <w:pPr>
        <w:pStyle w:val="ListParagraph"/>
        <w:numPr>
          <w:ilvl w:val="0"/>
          <w:numId w:val="19"/>
        </w:numPr>
        <w:rPr>
          <w:color w:val="000000" w:themeColor="text1"/>
        </w:rPr>
      </w:pPr>
      <w:r w:rsidRPr="003D2FC9">
        <w:rPr>
          <w:color w:val="000000" w:themeColor="text1"/>
        </w:rPr>
        <w:t xml:space="preserve">svinu nesaturošam benzīnam no 436,0 </w:t>
      </w:r>
      <w:proofErr w:type="spellStart"/>
      <w:r w:rsidRPr="003D2FC9">
        <w:rPr>
          <w:i/>
          <w:color w:val="000000" w:themeColor="text1"/>
        </w:rPr>
        <w:t>euro</w:t>
      </w:r>
      <w:proofErr w:type="spellEnd"/>
      <w:r w:rsidRPr="003D2FC9">
        <w:rPr>
          <w:color w:val="000000" w:themeColor="text1"/>
        </w:rPr>
        <w:t xml:space="preserve"> līdz 476,0 </w:t>
      </w:r>
      <w:proofErr w:type="spellStart"/>
      <w:r w:rsidRPr="003D2FC9">
        <w:rPr>
          <w:i/>
          <w:color w:val="000000" w:themeColor="text1"/>
        </w:rPr>
        <w:t>euro</w:t>
      </w:r>
      <w:proofErr w:type="spellEnd"/>
      <w:r w:rsidRPr="003D2FC9">
        <w:rPr>
          <w:color w:val="000000" w:themeColor="text1"/>
        </w:rPr>
        <w:t xml:space="preserve"> par 1 000 litriem;</w:t>
      </w:r>
    </w:p>
    <w:p w:rsidR="007870D7" w:rsidRPr="003D2FC9" w:rsidRDefault="007870D7" w:rsidP="004A7868">
      <w:pPr>
        <w:pStyle w:val="ListParagraph"/>
        <w:numPr>
          <w:ilvl w:val="0"/>
          <w:numId w:val="19"/>
        </w:numPr>
      </w:pPr>
      <w:r w:rsidRPr="003D2FC9">
        <w:t xml:space="preserve">svinu saturošam benzīnam no 455,32 </w:t>
      </w:r>
      <w:proofErr w:type="spellStart"/>
      <w:r w:rsidRPr="003D2FC9">
        <w:rPr>
          <w:i/>
        </w:rPr>
        <w:t>euro</w:t>
      </w:r>
      <w:proofErr w:type="spellEnd"/>
      <w:r w:rsidRPr="003D2FC9">
        <w:t xml:space="preserve"> līdz 594,0 </w:t>
      </w:r>
      <w:proofErr w:type="spellStart"/>
      <w:r w:rsidRPr="003D2FC9">
        <w:rPr>
          <w:i/>
        </w:rPr>
        <w:t>euro</w:t>
      </w:r>
      <w:proofErr w:type="spellEnd"/>
      <w:r w:rsidRPr="003D2FC9">
        <w:t xml:space="preserve"> par 1 000 litriem;</w:t>
      </w:r>
    </w:p>
    <w:p w:rsidR="007870D7" w:rsidRPr="003D2FC9" w:rsidRDefault="007870D7" w:rsidP="004A7868">
      <w:pPr>
        <w:pStyle w:val="ListParagraph"/>
        <w:numPr>
          <w:ilvl w:val="0"/>
          <w:numId w:val="19"/>
        </w:numPr>
      </w:pPr>
      <w:r w:rsidRPr="003D2FC9">
        <w:t xml:space="preserve">dīzeļdegvielai, petrolejai, degvieleļļai, kuras kolorimetriskais indekss ir mazāks par 2,0 un kinemātiskā viskozitāte 50°C ir mazāka par 25 mm2/s, to aizstājējproduktiem un komponentiem no 341,0 </w:t>
      </w:r>
      <w:proofErr w:type="spellStart"/>
      <w:r w:rsidRPr="003D2FC9">
        <w:rPr>
          <w:i/>
        </w:rPr>
        <w:t>euro</w:t>
      </w:r>
      <w:proofErr w:type="spellEnd"/>
      <w:r w:rsidRPr="003D2FC9">
        <w:t xml:space="preserve"> līdz 372,0 </w:t>
      </w:r>
      <w:proofErr w:type="spellStart"/>
      <w:r w:rsidRPr="003D2FC9">
        <w:rPr>
          <w:i/>
        </w:rPr>
        <w:t>euro</w:t>
      </w:r>
      <w:proofErr w:type="spellEnd"/>
      <w:r w:rsidRPr="003D2FC9">
        <w:t xml:space="preserve"> par 1 000 litriem;</w:t>
      </w:r>
    </w:p>
    <w:p w:rsidR="007870D7" w:rsidRDefault="007870D7" w:rsidP="004A7868">
      <w:pPr>
        <w:pStyle w:val="ListParagraph"/>
        <w:numPr>
          <w:ilvl w:val="0"/>
          <w:numId w:val="19"/>
        </w:numPr>
        <w:spacing w:after="0"/>
        <w:contextualSpacing w:val="0"/>
      </w:pPr>
      <w:r w:rsidRPr="003D2FC9">
        <w:t>naftas gāzēm un pārējiem gāzveida ogļūdeņražiem no 206,0 </w:t>
      </w:r>
      <w:proofErr w:type="spellStart"/>
      <w:r w:rsidRPr="003D2FC9">
        <w:rPr>
          <w:i/>
        </w:rPr>
        <w:t>euro</w:t>
      </w:r>
      <w:proofErr w:type="spellEnd"/>
      <w:r w:rsidRPr="003D2FC9">
        <w:t xml:space="preserve"> līdz 244,0 </w:t>
      </w:r>
      <w:proofErr w:type="spellStart"/>
      <w:r w:rsidRPr="003D2FC9">
        <w:rPr>
          <w:i/>
        </w:rPr>
        <w:t>euro</w:t>
      </w:r>
      <w:proofErr w:type="spellEnd"/>
      <w:r>
        <w:t xml:space="preserve"> par 1 000 kg;</w:t>
      </w:r>
    </w:p>
    <w:p w:rsidR="007870D7" w:rsidRPr="003D2FC9" w:rsidRDefault="007870D7" w:rsidP="004A7868">
      <w:pPr>
        <w:pStyle w:val="ListParagraph"/>
        <w:numPr>
          <w:ilvl w:val="1"/>
          <w:numId w:val="23"/>
        </w:numPr>
        <w:rPr>
          <w:color w:val="000000" w:themeColor="text1"/>
        </w:rPr>
      </w:pPr>
      <w:r w:rsidRPr="003D2FC9">
        <w:rPr>
          <w:color w:val="000000" w:themeColor="text1"/>
        </w:rPr>
        <w:t>ar 2018.gada 1.jūliju akcīzes nodokļa likme iezīmētajai (marķētajai) dīzeļdegvielai (gāzeļļai), ko izmanto lauksaimniecības produkcijas ražošanai, lauksaimniecības zemes apstrādei un meža vai purva zemes apstrādei, kurā kultivē dzērvenes vai mellenes, kā arī zemes apstrādei zem zivju dīķiem, tik</w:t>
      </w:r>
      <w:r>
        <w:rPr>
          <w:color w:val="000000" w:themeColor="text1"/>
        </w:rPr>
        <w:t>a</w:t>
      </w:r>
      <w:r w:rsidRPr="003D2FC9">
        <w:rPr>
          <w:color w:val="000000" w:themeColor="text1"/>
        </w:rPr>
        <w:t xml:space="preserve"> paaugstināta no 50,0 </w:t>
      </w:r>
      <w:proofErr w:type="spellStart"/>
      <w:r w:rsidRPr="003D2FC9">
        <w:rPr>
          <w:color w:val="000000" w:themeColor="text1"/>
        </w:rPr>
        <w:t>euro</w:t>
      </w:r>
      <w:proofErr w:type="spellEnd"/>
      <w:r w:rsidRPr="003D2FC9">
        <w:rPr>
          <w:color w:val="000000" w:themeColor="text1"/>
        </w:rPr>
        <w:t xml:space="preserve"> līdz 55,8 </w:t>
      </w:r>
      <w:proofErr w:type="spellStart"/>
      <w:r w:rsidRPr="003D2FC9">
        <w:rPr>
          <w:i/>
          <w:color w:val="000000" w:themeColor="text1"/>
        </w:rPr>
        <w:t>euro</w:t>
      </w:r>
      <w:proofErr w:type="spellEnd"/>
      <w:r w:rsidRPr="003D2FC9">
        <w:rPr>
          <w:color w:val="000000" w:themeColor="text1"/>
        </w:rPr>
        <w:t xml:space="preserve"> par 1 000 litriem (15% apmērā no dīzeļdegvielai noteiktās likmes). </w:t>
      </w:r>
    </w:p>
    <w:p w:rsidR="007870D7" w:rsidRPr="00751467" w:rsidRDefault="007870D7" w:rsidP="007870D7">
      <w:pPr>
        <w:rPr>
          <w:color w:val="000000" w:themeColor="text1"/>
        </w:rPr>
      </w:pPr>
      <w:r w:rsidRPr="00751467">
        <w:lastRenderedPageBreak/>
        <w:t>Saskaņā ar likumu „Par valsts budžetu 2019.gadam” akcīzes nodokļa naftas produktiem ieņēmumi tiek plānoti 576,3 milj. </w:t>
      </w:r>
      <w:proofErr w:type="spellStart"/>
      <w:r w:rsidRPr="00751467">
        <w:rPr>
          <w:i/>
        </w:rPr>
        <w:t>euro</w:t>
      </w:r>
      <w:proofErr w:type="spellEnd"/>
      <w:r w:rsidRPr="00751467">
        <w:t xml:space="preserve"> apmērā, kas ir par 36,6 </w:t>
      </w:r>
      <w:r w:rsidRPr="00751467">
        <w:rPr>
          <w:szCs w:val="24"/>
        </w:rPr>
        <w:t>milj. </w:t>
      </w:r>
      <w:proofErr w:type="spellStart"/>
      <w:r w:rsidRPr="00751467">
        <w:rPr>
          <w:i/>
          <w:szCs w:val="24"/>
        </w:rPr>
        <w:t>euro</w:t>
      </w:r>
      <w:proofErr w:type="spellEnd"/>
      <w:r w:rsidRPr="00751467">
        <w:rPr>
          <w:szCs w:val="24"/>
        </w:rPr>
        <w:t xml:space="preserve"> jeb 6,8% vairāk nekā iekasēts 2018.gadā. </w:t>
      </w:r>
      <w:r w:rsidRPr="00751467">
        <w:t>2019.gada plāns ir sagatavots, ņemot vērā 2018.gadā pieņemtās izmaiņas normatīvajos aktos, 2018.gada ieņēmumu izpildes tendences</w:t>
      </w:r>
      <w:r>
        <w:t xml:space="preserve">, </w:t>
      </w:r>
      <w:r w:rsidRPr="00751467">
        <w:t xml:space="preserve">prognozēto </w:t>
      </w:r>
      <w:r w:rsidRPr="00751467">
        <w:rPr>
          <w:color w:val="000000" w:themeColor="text1"/>
        </w:rPr>
        <w:t>naftas produktu patēriņu</w:t>
      </w:r>
      <w:r>
        <w:rPr>
          <w:color w:val="000000" w:themeColor="text1"/>
        </w:rPr>
        <w:t xml:space="preserve"> </w:t>
      </w:r>
      <w:r w:rsidRPr="001B5835">
        <w:rPr>
          <w:color w:val="000000" w:themeColor="text1"/>
        </w:rPr>
        <w:t xml:space="preserve">un </w:t>
      </w:r>
      <w:r w:rsidRPr="001B5835">
        <w:t>ēnu ekonomikas apkarošanas pasākumus</w:t>
      </w:r>
      <w:r w:rsidRPr="001B5835">
        <w:rPr>
          <w:color w:val="000000" w:themeColor="text1"/>
        </w:rPr>
        <w:t>.</w:t>
      </w:r>
      <w:r w:rsidRPr="00751467">
        <w:rPr>
          <w:color w:val="000000" w:themeColor="text1"/>
        </w:rPr>
        <w:t xml:space="preserve"> </w:t>
      </w:r>
    </w:p>
    <w:p w:rsidR="007870D7" w:rsidRDefault="007870D7" w:rsidP="007870D7">
      <w:pPr>
        <w:tabs>
          <w:tab w:val="left" w:pos="709"/>
        </w:tabs>
        <w:ind w:firstLine="0"/>
      </w:pPr>
      <w:r>
        <w:tab/>
        <w:t>S</w:t>
      </w:r>
      <w:r w:rsidRPr="00FD7D74">
        <w:t>askaņā ar 201</w:t>
      </w:r>
      <w:r>
        <w:t>8</w:t>
      </w:r>
      <w:r w:rsidRPr="00FD7D74">
        <w:t>.gada 2</w:t>
      </w:r>
      <w:r>
        <w:t>5</w:t>
      </w:r>
      <w:r w:rsidRPr="00FD7D74">
        <w:t>.</w:t>
      </w:r>
      <w:r>
        <w:t>oktobrī</w:t>
      </w:r>
      <w:r w:rsidRPr="00FD7D74">
        <w:t xml:space="preserve"> Saeimā pieņemtajiem grozījumi</w:t>
      </w:r>
      <w:r>
        <w:t xml:space="preserve">em likumā „Par akcīzes nodokli” ar </w:t>
      </w:r>
      <w:r w:rsidRPr="00FD7D74">
        <w:t>2019.gada 1.janvāri</w:t>
      </w:r>
      <w:r>
        <w:t xml:space="preserve"> lauksaimniekiem paredzēto marķēto dīzeļdegvielu atļauts izmantot kravas automobiļus, kuros sēdvietu skaits, neskaitot vadītāja sēdvietu, nepārsniedz četras sēdvietas līdzšinējo divu sēdvietu vietā. Fiskālā ietekme -0,3 milj. </w:t>
      </w:r>
      <w:proofErr w:type="spellStart"/>
      <w:r w:rsidRPr="00E2373E">
        <w:rPr>
          <w:bCs/>
          <w:i/>
          <w:szCs w:val="24"/>
        </w:rPr>
        <w:t>euro</w:t>
      </w:r>
      <w:proofErr w:type="spellEnd"/>
      <w:r>
        <w:t>.</w:t>
      </w:r>
    </w:p>
    <w:p w:rsidR="007870D7" w:rsidRPr="00964689" w:rsidRDefault="007870D7" w:rsidP="00207E07">
      <w:pPr>
        <w:tabs>
          <w:tab w:val="left" w:pos="993"/>
        </w:tabs>
        <w:spacing w:after="0"/>
      </w:pPr>
      <w:r w:rsidRPr="00964689">
        <w:t xml:space="preserve">Pamatojoties uz vienošanos starp Valsts ieņēmumu dienestu un Lauku atbalsta dienestu “Par naftas produktu ar akcīzes nodokļa atvieglojumu vai atbrīvojumu no akcīzes nodokļa uzskaites nodrošināšanu Lauku atbalsta dienesta Elektroniskajā pieteikšanās sistēmā tiešsaistes datu pārraides režīmā”, ar 2019.gada 1.februāri Valsts ieņēmumu dienestam ir iespēja savlaicīgi identificēt riskus neatbilstošas lauksaimniecības vajadzībām paredzētu naftas produktu izmantošanā, nodrošinot efektīvu naftas produktu aprites uzraudzību un kontroli. Fiskālā ietekme +0,06 milj. </w:t>
      </w:r>
      <w:proofErr w:type="spellStart"/>
      <w:r w:rsidRPr="00964689">
        <w:rPr>
          <w:i/>
        </w:rPr>
        <w:t>euro</w:t>
      </w:r>
      <w:proofErr w:type="spellEnd"/>
      <w:r w:rsidRPr="00964689">
        <w:t>.</w:t>
      </w:r>
    </w:p>
    <w:p w:rsidR="007870D7" w:rsidRPr="009C7BCB" w:rsidRDefault="007870D7" w:rsidP="00207E07">
      <w:pPr>
        <w:spacing w:after="0"/>
        <w:ind w:firstLine="0"/>
        <w:rPr>
          <w:u w:val="single"/>
        </w:rPr>
      </w:pPr>
    </w:p>
    <w:p w:rsidR="007870D7" w:rsidRPr="009C7BCB" w:rsidRDefault="007870D7" w:rsidP="007870D7">
      <w:pPr>
        <w:spacing w:after="240"/>
        <w:ind w:firstLine="0"/>
        <w:rPr>
          <w:u w:val="single"/>
        </w:rPr>
      </w:pPr>
      <w:r w:rsidRPr="009C7BCB">
        <w:rPr>
          <w:u w:val="single"/>
        </w:rPr>
        <w:t>Akcīzes nodoklis alkoholiskajiem dzērieniem un alum</w:t>
      </w:r>
    </w:p>
    <w:p w:rsidR="007870D7" w:rsidRDefault="007870D7" w:rsidP="007870D7">
      <w:r w:rsidRPr="00F2046F">
        <w:t>2018.gadā akcīzes nodokļa alkoholiskajiem dzērieniem (neskaitot alu) ieņēmumi bija 188,9 milj. </w:t>
      </w:r>
      <w:proofErr w:type="spellStart"/>
      <w:r w:rsidRPr="00F2046F">
        <w:rPr>
          <w:i/>
        </w:rPr>
        <w:t>euro</w:t>
      </w:r>
      <w:proofErr w:type="spellEnd"/>
      <w:r w:rsidRPr="00F2046F">
        <w:rPr>
          <w:i/>
        </w:rPr>
        <w:t xml:space="preserve">, </w:t>
      </w:r>
      <w:r w:rsidRPr="00F2046F">
        <w:t>salīdzinot ar 2017.gadu, akcīzes nodokļa ieņēmumi par alkoholiskajiem dzērieniem iekasēti par 27,7 milj. </w:t>
      </w:r>
      <w:proofErr w:type="spellStart"/>
      <w:r w:rsidRPr="00F2046F">
        <w:rPr>
          <w:i/>
        </w:rPr>
        <w:t>euro</w:t>
      </w:r>
      <w:proofErr w:type="spellEnd"/>
      <w:r w:rsidRPr="00F2046F">
        <w:t xml:space="preserve"> jeb par 17,2% vairāk. </w:t>
      </w:r>
    </w:p>
    <w:p w:rsidR="007870D7" w:rsidRPr="006C4444" w:rsidRDefault="007870D7" w:rsidP="007870D7">
      <w:pPr>
        <w:ind w:firstLine="284"/>
        <w:jc w:val="left"/>
      </w:pPr>
      <w:r w:rsidRPr="006C4444">
        <w:rPr>
          <w:noProof/>
          <w:lang w:eastAsia="lv-LV"/>
        </w:rPr>
        <w:drawing>
          <wp:inline distT="0" distB="0" distL="0" distR="0" wp14:anchorId="0CA301E1" wp14:editId="648BCEA8">
            <wp:extent cx="5760085" cy="2759075"/>
            <wp:effectExtent l="0" t="0" r="12065" b="317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870D7" w:rsidRPr="006C4444" w:rsidRDefault="007870D7" w:rsidP="007870D7">
      <w:pPr>
        <w:pStyle w:val="Z"/>
        <w:rPr>
          <w:b w:val="0"/>
        </w:rPr>
      </w:pPr>
      <w:r w:rsidRPr="006C4444">
        <w:t>3.12.att. Alkoholisko dzērienu patēriņš attiecīgā gada 11 mēnešos un iepriekšējā gada decembrī, dekalitri</w:t>
      </w:r>
      <w:r w:rsidRPr="006C4444">
        <w:br/>
      </w:r>
      <w:r w:rsidRPr="006C4444">
        <w:rPr>
          <w:b w:val="0"/>
        </w:rPr>
        <w:t xml:space="preserve"> (Datu avots: Valsts ieņēmumu dienests)</w:t>
      </w:r>
    </w:p>
    <w:p w:rsidR="007870D7" w:rsidRPr="009C7BCB" w:rsidRDefault="007870D7" w:rsidP="007870D7">
      <w:pPr>
        <w:spacing w:before="240"/>
      </w:pPr>
      <w:r w:rsidRPr="009C7BCB">
        <w:t xml:space="preserve">Saskaņā ar Valsts ieņēmumu dienesta informāciju 2018.gada 11 mēnešos un 2017.gada decembrī, salīdzinot ar 2017. un 2016.gada attiecīgo periodu, patēriņam nodoti par </w:t>
      </w:r>
      <w:r>
        <w:t>12,2</w:t>
      </w:r>
      <w:r w:rsidRPr="009C7BCB">
        <w:t xml:space="preserve">% vairāk alkoholisko dzērienu </w:t>
      </w:r>
      <w:r w:rsidRPr="009C7BCB">
        <w:rPr>
          <w:szCs w:val="24"/>
          <w:lang w:eastAsia="lv-LV"/>
        </w:rPr>
        <w:t>(neskaitot alu)</w:t>
      </w:r>
      <w:r w:rsidRPr="009C7BCB">
        <w:t>. Pārējo alkoholisko dzērienu patēriņš samazinājies par 3,1%, vīna un raudzēto dzērienu patēriņš palielinājies par 19,5% un starpproduktu patēriņš palielinājies par 60,7 procentiem.</w:t>
      </w:r>
    </w:p>
    <w:p w:rsidR="007870D7" w:rsidRPr="00160BF7" w:rsidRDefault="007870D7" w:rsidP="007870D7">
      <w:r w:rsidRPr="009C7BCB">
        <w:t xml:space="preserve">Alkoholisko dzērienu patēriņu ietekmēja akcīzes nodokļa alkoholiskajiem dzērieniem likmju paaugstināšana. Saskaņā ar 2017.gada 27.jūlijā Saeimā pieņemtajiem grozījumiem </w:t>
      </w:r>
      <w:r w:rsidRPr="009C7BCB">
        <w:lastRenderedPageBreak/>
        <w:t>likumā „Par akcīzes nodokli</w:t>
      </w:r>
      <w:r>
        <w:t>”</w:t>
      </w:r>
      <w:r w:rsidRPr="001552B5">
        <w:rPr>
          <w:szCs w:val="24"/>
        </w:rPr>
        <w:t xml:space="preserve"> </w:t>
      </w:r>
      <w:r w:rsidRPr="009C7BCB">
        <w:rPr>
          <w:szCs w:val="24"/>
        </w:rPr>
        <w:t>ar 2018.gada 1.martu</w:t>
      </w:r>
      <w:r w:rsidRPr="009C7BCB">
        <w:t xml:space="preserve"> </w:t>
      </w:r>
      <w:r w:rsidRPr="009C7BCB">
        <w:rPr>
          <w:szCs w:val="24"/>
        </w:rPr>
        <w:t>akcīzes nodokļa likmes alkoholiskajiem dzērieniem tika paaugstinātas</w:t>
      </w:r>
      <w:r>
        <w:rPr>
          <w:szCs w:val="24"/>
        </w:rPr>
        <w:t xml:space="preserve"> straujāk </w:t>
      </w:r>
      <w:r w:rsidRPr="00160BF7">
        <w:rPr>
          <w:szCs w:val="24"/>
        </w:rPr>
        <w:t xml:space="preserve">nekā iepriekš plānots. </w:t>
      </w:r>
    </w:p>
    <w:p w:rsidR="007870D7" w:rsidRPr="00A13982" w:rsidRDefault="007870D7" w:rsidP="007870D7">
      <w:r w:rsidRPr="00160BF7">
        <w:t xml:space="preserve">Alkoholisko dzērienu patēriņu būtiski ietekmēja ne vien iepriekš minētās izmaiņas normatīvajos aktos, bet arī akcīzes nodokļa likmju </w:t>
      </w:r>
      <w:r w:rsidRPr="006101B1">
        <w:t xml:space="preserve">paaugstināšana Igaunijā 2018.gadā, kā rezultātā būtiski pieauga alkoholisko dzērienu patēriņš pierobežā. Igaunijā iepriekš tika plānots paaugstināt akcīzes nodokļa likmes alkoholiskajiem dzērieniem gan 2019.gadā, gan 2020.gadā, tomēr 2018.gada nogalē tika nolemts likmes saglabāt 2018.gada līmenī (skat. 3.9.tabulu). Tomēr, lai arī akcīzes nodokļa likmes alkoholiskajiem dzērieniem Igaunijā netiks paaugstinātas 2019. un 2020.gadā, joprojām saglabāsies ievērojamas alkoholisko dzērienu cenu atšķirības, piemēram, 1 litram stiprā alkoholiskā dzēriena (ar absolūtā spirta sastāvu 40 tilpumprocenti), nodokļu daļas cenas atšķirība, ieskaitot pievienotās vērtības nodokli, ar 2019.gada 1. martu </w:t>
      </w:r>
      <w:r w:rsidR="005A3AA2">
        <w:t>ir</w:t>
      </w:r>
      <w:r w:rsidRPr="006101B1">
        <w:t xml:space="preserve"> 3,13 </w:t>
      </w:r>
      <w:proofErr w:type="spellStart"/>
      <w:r w:rsidRPr="006101B1">
        <w:rPr>
          <w:i/>
        </w:rPr>
        <w:t>euro</w:t>
      </w:r>
      <w:proofErr w:type="spellEnd"/>
      <w:r w:rsidRPr="006101B1">
        <w:t xml:space="preserve"> jeb 35,2%, bet ar 2020.gada 1.martu </w:t>
      </w:r>
      <w:r w:rsidR="005A3AA2">
        <w:t xml:space="preserve">tā būs </w:t>
      </w:r>
      <w:r w:rsidRPr="006101B1">
        <w:t xml:space="preserve">2,24 </w:t>
      </w:r>
      <w:proofErr w:type="spellStart"/>
      <w:r w:rsidRPr="006101B1">
        <w:rPr>
          <w:i/>
        </w:rPr>
        <w:t>euro</w:t>
      </w:r>
      <w:proofErr w:type="spellEnd"/>
      <w:r w:rsidRPr="006101B1">
        <w:t xml:space="preserve"> jeb 22,8%. Līdz ar to prognozējams, ka alkoholisko dzērienu tirdzniecība Igaunijas – Latvijas pierobežā turpinās pastāvēt.</w:t>
      </w:r>
    </w:p>
    <w:p w:rsidR="007870D7" w:rsidRDefault="007870D7" w:rsidP="007870D7">
      <w:r w:rsidRPr="00EF1BDE">
        <w:t>Ņemot vērā to, ka Latvijas – Igaunijas pierobežā notiekošā alkoholisko dzērienu un alus tirdzniecība ietekmē Latvijas nodokļu ieņēmumus, akcīzes nodokļa ieņēmumu prognozēs ņemtas vērā izmaiņas Igaunijas nodokļu politikā attiecībā uz akcīzes nodokli</w:t>
      </w:r>
      <w:r>
        <w:t xml:space="preserve"> alkoholiskajiem dzērieniem un alum. </w:t>
      </w:r>
    </w:p>
    <w:p w:rsidR="007870D7" w:rsidRPr="001552B5" w:rsidRDefault="007870D7" w:rsidP="007870D7">
      <w:pPr>
        <w:spacing w:after="0"/>
        <w:contextualSpacing/>
        <w:jc w:val="center"/>
        <w:rPr>
          <w:b/>
          <w:i/>
        </w:rPr>
      </w:pPr>
      <w:r w:rsidRPr="001552B5">
        <w:rPr>
          <w:b/>
          <w:i/>
        </w:rPr>
        <w:t>3.9.tabula.</w:t>
      </w:r>
      <w:r w:rsidRPr="001552B5">
        <w:t xml:space="preserve"> </w:t>
      </w:r>
      <w:r w:rsidRPr="001552B5">
        <w:rPr>
          <w:b/>
          <w:i/>
        </w:rPr>
        <w:t xml:space="preserve">Akcīzes nodokļa likmes alkoholiskajiem dzērieniem </w:t>
      </w:r>
    </w:p>
    <w:p w:rsidR="007870D7" w:rsidRPr="001552B5" w:rsidRDefault="007870D7" w:rsidP="007870D7">
      <w:pPr>
        <w:spacing w:after="0"/>
        <w:contextualSpacing/>
        <w:jc w:val="center"/>
        <w:rPr>
          <w:b/>
          <w:i/>
        </w:rPr>
      </w:pPr>
      <w:r w:rsidRPr="001552B5">
        <w:rPr>
          <w:b/>
          <w:i/>
        </w:rPr>
        <w:t>Baltijas valstīs</w:t>
      </w:r>
    </w:p>
    <w:tbl>
      <w:tblPr>
        <w:tblW w:w="9061" w:type="dxa"/>
        <w:jc w:val="center"/>
        <w:tblLook w:val="04A0" w:firstRow="1" w:lastRow="0" w:firstColumn="1" w:lastColumn="0" w:noHBand="0" w:noVBand="1"/>
      </w:tblPr>
      <w:tblGrid>
        <w:gridCol w:w="3771"/>
        <w:gridCol w:w="2071"/>
        <w:gridCol w:w="1901"/>
        <w:gridCol w:w="1318"/>
      </w:tblGrid>
      <w:tr w:rsidR="007870D7" w:rsidRPr="001552B5" w:rsidTr="007870D7">
        <w:trPr>
          <w:trHeight w:val="256"/>
          <w:tblHeader/>
          <w:jc w:val="center"/>
        </w:trPr>
        <w:tc>
          <w:tcPr>
            <w:tcW w:w="3771" w:type="dxa"/>
            <w:tcBorders>
              <w:top w:val="single" w:sz="4" w:space="0" w:color="auto"/>
              <w:left w:val="single" w:sz="4" w:space="0" w:color="auto"/>
              <w:bottom w:val="single" w:sz="4" w:space="0" w:color="auto"/>
              <w:right w:val="single" w:sz="8" w:space="0" w:color="auto"/>
            </w:tcBorders>
            <w:shd w:val="clear" w:color="auto" w:fill="D9D9D9" w:themeFill="background1" w:themeFillShade="D9"/>
            <w:noWrap/>
            <w:hideMark/>
          </w:tcPr>
          <w:p w:rsidR="007870D7" w:rsidRPr="001552B5" w:rsidRDefault="007870D7" w:rsidP="007870D7">
            <w:pPr>
              <w:spacing w:after="0"/>
              <w:ind w:firstLine="0"/>
              <w:jc w:val="center"/>
              <w:rPr>
                <w:b/>
                <w:color w:val="000000"/>
                <w:sz w:val="20"/>
                <w:lang w:eastAsia="lv-LV"/>
              </w:rPr>
            </w:pPr>
            <w:r w:rsidRPr="001552B5">
              <w:rPr>
                <w:b/>
                <w:color w:val="000000"/>
                <w:sz w:val="20"/>
                <w:lang w:eastAsia="lv-LV"/>
              </w:rPr>
              <w:t>Alkoholiskā dzēriena veids</w:t>
            </w:r>
          </w:p>
        </w:tc>
        <w:tc>
          <w:tcPr>
            <w:tcW w:w="2071"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rsidR="007870D7" w:rsidRPr="001552B5" w:rsidRDefault="007870D7" w:rsidP="007870D7">
            <w:pPr>
              <w:spacing w:after="0"/>
              <w:ind w:firstLine="0"/>
              <w:jc w:val="center"/>
              <w:rPr>
                <w:b/>
                <w:bCs/>
                <w:sz w:val="20"/>
                <w:lang w:eastAsia="lv-LV"/>
              </w:rPr>
            </w:pPr>
            <w:r w:rsidRPr="001552B5">
              <w:rPr>
                <w:b/>
                <w:bCs/>
                <w:sz w:val="20"/>
                <w:lang w:eastAsia="lv-LV"/>
              </w:rPr>
              <w:t>2017</w:t>
            </w:r>
          </w:p>
        </w:tc>
        <w:tc>
          <w:tcPr>
            <w:tcW w:w="19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870D7" w:rsidRPr="001552B5" w:rsidRDefault="007870D7" w:rsidP="007870D7">
            <w:pPr>
              <w:spacing w:after="0"/>
              <w:ind w:firstLine="0"/>
              <w:jc w:val="center"/>
              <w:rPr>
                <w:b/>
                <w:bCs/>
                <w:sz w:val="20"/>
                <w:lang w:eastAsia="lv-LV"/>
              </w:rPr>
            </w:pPr>
            <w:r w:rsidRPr="001552B5">
              <w:rPr>
                <w:b/>
                <w:bCs/>
                <w:sz w:val="20"/>
                <w:lang w:eastAsia="lv-LV"/>
              </w:rPr>
              <w:t>2018</w:t>
            </w:r>
          </w:p>
        </w:tc>
        <w:tc>
          <w:tcPr>
            <w:tcW w:w="1318" w:type="dxa"/>
            <w:tcBorders>
              <w:top w:val="single" w:sz="4" w:space="0" w:color="auto"/>
              <w:left w:val="nil"/>
              <w:bottom w:val="single" w:sz="4" w:space="0" w:color="auto"/>
              <w:right w:val="single" w:sz="4" w:space="0" w:color="auto"/>
            </w:tcBorders>
            <w:shd w:val="clear" w:color="auto" w:fill="D9D9D9" w:themeFill="background1" w:themeFillShade="D9"/>
          </w:tcPr>
          <w:p w:rsidR="007870D7" w:rsidRPr="001552B5" w:rsidRDefault="007870D7" w:rsidP="007870D7">
            <w:pPr>
              <w:spacing w:after="0"/>
              <w:ind w:firstLine="0"/>
              <w:jc w:val="center"/>
              <w:rPr>
                <w:b/>
                <w:bCs/>
                <w:sz w:val="20"/>
                <w:lang w:eastAsia="lv-LV"/>
              </w:rPr>
            </w:pPr>
            <w:r w:rsidRPr="001552B5">
              <w:rPr>
                <w:b/>
                <w:bCs/>
                <w:sz w:val="20"/>
                <w:lang w:eastAsia="lv-LV"/>
              </w:rPr>
              <w:t>2019</w:t>
            </w:r>
          </w:p>
        </w:tc>
      </w:tr>
      <w:tr w:rsidR="007870D7" w:rsidRPr="001552B5" w:rsidTr="007870D7">
        <w:trPr>
          <w:trHeight w:val="256"/>
          <w:jc w:val="center"/>
        </w:trPr>
        <w:tc>
          <w:tcPr>
            <w:tcW w:w="77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7870D7" w:rsidRPr="001552B5" w:rsidRDefault="007870D7" w:rsidP="007870D7">
            <w:pPr>
              <w:spacing w:after="0"/>
              <w:ind w:firstLine="0"/>
              <w:jc w:val="left"/>
              <w:rPr>
                <w:b/>
                <w:bCs/>
                <w:sz w:val="20"/>
                <w:lang w:eastAsia="lv-LV"/>
              </w:rPr>
            </w:pPr>
            <w:r w:rsidRPr="001552B5">
              <w:rPr>
                <w:b/>
                <w:color w:val="000000"/>
                <w:sz w:val="20"/>
                <w:lang w:eastAsia="lv-LV"/>
              </w:rPr>
              <w:t>Raudzētie dzērieni ar absolūtā spirta saturu zem 6 tilpumprocentiem</w:t>
            </w:r>
            <w:r w:rsidRPr="001552B5">
              <w:rPr>
                <w:color w:val="000000"/>
                <w:sz w:val="20"/>
                <w:lang w:eastAsia="lv-LV"/>
              </w:rPr>
              <w:t xml:space="preserve">, </w:t>
            </w:r>
            <w:proofErr w:type="spellStart"/>
            <w:r w:rsidRPr="001552B5">
              <w:rPr>
                <w:i/>
                <w:color w:val="000000"/>
                <w:sz w:val="20"/>
                <w:lang w:eastAsia="lv-LV"/>
              </w:rPr>
              <w:t>euro</w:t>
            </w:r>
            <w:proofErr w:type="spellEnd"/>
            <w:r w:rsidRPr="001552B5">
              <w:rPr>
                <w:color w:val="000000"/>
                <w:sz w:val="20"/>
                <w:lang w:eastAsia="lv-LV"/>
              </w:rPr>
              <w:t>/100 l</w:t>
            </w:r>
          </w:p>
        </w:tc>
        <w:tc>
          <w:tcPr>
            <w:tcW w:w="1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70D7" w:rsidRPr="001552B5" w:rsidRDefault="007870D7" w:rsidP="007870D7">
            <w:pPr>
              <w:spacing w:after="0"/>
              <w:ind w:firstLine="0"/>
              <w:jc w:val="left"/>
              <w:rPr>
                <w:b/>
                <w:color w:val="000000"/>
                <w:sz w:val="20"/>
                <w:lang w:eastAsia="lv-LV"/>
              </w:rPr>
            </w:pPr>
          </w:p>
        </w:tc>
      </w:tr>
      <w:tr w:rsidR="007870D7" w:rsidRPr="001552B5" w:rsidTr="007870D7">
        <w:trPr>
          <w:trHeight w:val="256"/>
          <w:jc w:val="center"/>
        </w:trPr>
        <w:tc>
          <w:tcPr>
            <w:tcW w:w="3771" w:type="dxa"/>
            <w:tcBorders>
              <w:top w:val="single" w:sz="4" w:space="0" w:color="auto"/>
              <w:left w:val="single" w:sz="4" w:space="0" w:color="auto"/>
              <w:right w:val="single" w:sz="4" w:space="0" w:color="auto"/>
            </w:tcBorders>
            <w:shd w:val="clear" w:color="auto" w:fill="auto"/>
            <w:noWrap/>
            <w:vAlign w:val="center"/>
          </w:tcPr>
          <w:p w:rsidR="007870D7" w:rsidRPr="001552B5" w:rsidRDefault="007870D7" w:rsidP="007870D7">
            <w:pPr>
              <w:spacing w:after="0"/>
              <w:ind w:firstLine="0"/>
              <w:jc w:val="center"/>
              <w:rPr>
                <w:b/>
                <w:color w:val="000000"/>
                <w:sz w:val="20"/>
                <w:lang w:eastAsia="lv-LV"/>
              </w:rPr>
            </w:pPr>
            <w:r w:rsidRPr="001552B5">
              <w:rPr>
                <w:b/>
                <w:color w:val="000000"/>
                <w:sz w:val="20"/>
                <w:lang w:eastAsia="lv-LV"/>
              </w:rPr>
              <w:t>Latvija</w:t>
            </w:r>
          </w:p>
        </w:tc>
        <w:tc>
          <w:tcPr>
            <w:tcW w:w="2071" w:type="dxa"/>
            <w:tcBorders>
              <w:top w:val="single" w:sz="4" w:space="0" w:color="auto"/>
              <w:left w:val="single" w:sz="4" w:space="0" w:color="auto"/>
              <w:right w:val="single" w:sz="4" w:space="0" w:color="auto"/>
            </w:tcBorders>
            <w:shd w:val="clear" w:color="auto" w:fill="auto"/>
            <w:noWrap/>
            <w:vAlign w:val="center"/>
          </w:tcPr>
          <w:p w:rsidR="007870D7" w:rsidRPr="00B22DC7" w:rsidRDefault="007870D7" w:rsidP="007870D7">
            <w:pPr>
              <w:spacing w:after="0"/>
              <w:ind w:firstLine="0"/>
              <w:jc w:val="center"/>
              <w:rPr>
                <w:b/>
                <w:bCs/>
                <w:sz w:val="20"/>
                <w:lang w:eastAsia="lv-LV"/>
              </w:rPr>
            </w:pPr>
            <w:r w:rsidRPr="00B22DC7">
              <w:rPr>
                <w:b/>
                <w:bCs/>
                <w:sz w:val="20"/>
                <w:lang w:eastAsia="lv-LV"/>
              </w:rPr>
              <w:t>64,00</w:t>
            </w:r>
          </w:p>
        </w:tc>
        <w:tc>
          <w:tcPr>
            <w:tcW w:w="1901" w:type="dxa"/>
            <w:tcBorders>
              <w:top w:val="single" w:sz="4" w:space="0" w:color="auto"/>
              <w:left w:val="single" w:sz="4" w:space="0" w:color="auto"/>
              <w:right w:val="single" w:sz="4" w:space="0" w:color="auto"/>
            </w:tcBorders>
            <w:shd w:val="clear" w:color="auto" w:fill="auto"/>
            <w:noWrap/>
            <w:vAlign w:val="center"/>
          </w:tcPr>
          <w:p w:rsidR="007870D7" w:rsidRPr="00B22DC7" w:rsidRDefault="007870D7" w:rsidP="007870D7">
            <w:pPr>
              <w:spacing w:after="0"/>
              <w:ind w:firstLine="0"/>
              <w:jc w:val="center"/>
              <w:rPr>
                <w:b/>
                <w:bCs/>
                <w:sz w:val="20"/>
                <w:lang w:eastAsia="lv-LV"/>
              </w:rPr>
            </w:pPr>
            <w:r w:rsidRPr="00B22DC7">
              <w:rPr>
                <w:b/>
                <w:bCs/>
                <w:sz w:val="20"/>
                <w:lang w:eastAsia="lv-LV"/>
              </w:rPr>
              <w:t>64,00</w:t>
            </w:r>
          </w:p>
        </w:tc>
        <w:tc>
          <w:tcPr>
            <w:tcW w:w="1318" w:type="dxa"/>
            <w:tcBorders>
              <w:top w:val="single" w:sz="4" w:space="0" w:color="auto"/>
              <w:left w:val="single" w:sz="4" w:space="0" w:color="auto"/>
              <w:right w:val="single" w:sz="4" w:space="0" w:color="auto"/>
            </w:tcBorders>
          </w:tcPr>
          <w:p w:rsidR="007870D7" w:rsidRPr="00B22DC7" w:rsidRDefault="007870D7" w:rsidP="007870D7">
            <w:pPr>
              <w:spacing w:after="0"/>
              <w:ind w:firstLine="0"/>
              <w:jc w:val="center"/>
              <w:rPr>
                <w:b/>
                <w:bCs/>
                <w:sz w:val="20"/>
                <w:lang w:eastAsia="lv-LV"/>
              </w:rPr>
            </w:pPr>
            <w:r w:rsidRPr="00B22DC7">
              <w:rPr>
                <w:b/>
                <w:bCs/>
                <w:sz w:val="20"/>
                <w:lang w:eastAsia="lv-LV"/>
              </w:rPr>
              <w:t>64,00</w:t>
            </w:r>
          </w:p>
        </w:tc>
      </w:tr>
      <w:tr w:rsidR="007870D7" w:rsidRPr="001552B5" w:rsidTr="007870D7">
        <w:trPr>
          <w:trHeight w:val="256"/>
          <w:jc w:val="center"/>
        </w:trPr>
        <w:tc>
          <w:tcPr>
            <w:tcW w:w="3771" w:type="dxa"/>
            <w:tcBorders>
              <w:left w:val="single" w:sz="4" w:space="0" w:color="auto"/>
              <w:right w:val="single" w:sz="4" w:space="0" w:color="auto"/>
            </w:tcBorders>
            <w:shd w:val="clear" w:color="auto" w:fill="auto"/>
            <w:noWrap/>
            <w:vAlign w:val="bottom"/>
          </w:tcPr>
          <w:p w:rsidR="007870D7" w:rsidRPr="001552B5" w:rsidRDefault="007870D7" w:rsidP="00AA0C50">
            <w:pPr>
              <w:spacing w:after="0"/>
              <w:ind w:firstLine="0"/>
              <w:jc w:val="center"/>
              <w:rPr>
                <w:color w:val="000000"/>
                <w:sz w:val="20"/>
                <w:lang w:eastAsia="lv-LV"/>
              </w:rPr>
            </w:pPr>
            <w:r w:rsidRPr="001552B5">
              <w:rPr>
                <w:color w:val="000000"/>
                <w:sz w:val="20"/>
                <w:lang w:eastAsia="lv-LV"/>
              </w:rPr>
              <w:t>Lietuva</w:t>
            </w:r>
            <w:r w:rsidR="00AA0C50" w:rsidRPr="00AA0C50">
              <w:rPr>
                <w:color w:val="000000"/>
                <w:sz w:val="20"/>
                <w:vertAlign w:val="superscript"/>
                <w:lang w:eastAsia="lv-LV"/>
              </w:rPr>
              <w:t>6</w:t>
            </w:r>
          </w:p>
        </w:tc>
        <w:tc>
          <w:tcPr>
            <w:tcW w:w="2071" w:type="dxa"/>
            <w:tcBorders>
              <w:left w:val="single" w:sz="4" w:space="0" w:color="auto"/>
              <w:right w:val="single" w:sz="4" w:space="0" w:color="auto"/>
            </w:tcBorders>
            <w:shd w:val="clear" w:color="auto" w:fill="auto"/>
            <w:noWrap/>
            <w:vAlign w:val="center"/>
          </w:tcPr>
          <w:p w:rsidR="007870D7" w:rsidRPr="00B22DC7" w:rsidRDefault="007870D7" w:rsidP="007870D7">
            <w:pPr>
              <w:spacing w:after="0"/>
              <w:ind w:firstLine="0"/>
              <w:jc w:val="center"/>
              <w:rPr>
                <w:bCs/>
                <w:sz w:val="20"/>
                <w:lang w:eastAsia="lv-LV"/>
              </w:rPr>
            </w:pPr>
            <w:r w:rsidRPr="00B22DC7">
              <w:rPr>
                <w:bCs/>
                <w:sz w:val="20"/>
                <w:lang w:eastAsia="lv-LV"/>
              </w:rPr>
              <w:t>65,46</w:t>
            </w:r>
          </w:p>
        </w:tc>
        <w:tc>
          <w:tcPr>
            <w:tcW w:w="1901" w:type="dxa"/>
            <w:tcBorders>
              <w:left w:val="single" w:sz="4" w:space="0" w:color="auto"/>
              <w:right w:val="single" w:sz="4" w:space="0" w:color="auto"/>
            </w:tcBorders>
            <w:shd w:val="clear" w:color="auto" w:fill="auto"/>
            <w:noWrap/>
            <w:vAlign w:val="center"/>
          </w:tcPr>
          <w:p w:rsidR="007870D7" w:rsidRPr="00B22DC7" w:rsidRDefault="007870D7" w:rsidP="007870D7">
            <w:pPr>
              <w:spacing w:after="0"/>
              <w:ind w:firstLine="0"/>
              <w:jc w:val="center"/>
              <w:rPr>
                <w:bCs/>
                <w:sz w:val="20"/>
                <w:lang w:eastAsia="lv-LV"/>
              </w:rPr>
            </w:pPr>
            <w:r w:rsidRPr="00B22DC7">
              <w:rPr>
                <w:bCs/>
                <w:sz w:val="20"/>
                <w:lang w:eastAsia="lv-LV"/>
              </w:rPr>
              <w:t>65,46</w:t>
            </w:r>
          </w:p>
        </w:tc>
        <w:tc>
          <w:tcPr>
            <w:tcW w:w="1318" w:type="dxa"/>
            <w:tcBorders>
              <w:left w:val="single" w:sz="4" w:space="0" w:color="auto"/>
              <w:right w:val="single" w:sz="4" w:space="0" w:color="auto"/>
            </w:tcBorders>
          </w:tcPr>
          <w:p w:rsidR="007870D7" w:rsidRPr="00B22DC7" w:rsidRDefault="007870D7" w:rsidP="007870D7">
            <w:pPr>
              <w:spacing w:after="0"/>
              <w:ind w:firstLine="0"/>
              <w:jc w:val="center"/>
              <w:rPr>
                <w:bCs/>
                <w:sz w:val="20"/>
                <w:lang w:eastAsia="lv-LV"/>
              </w:rPr>
            </w:pPr>
            <w:r w:rsidRPr="00B22DC7">
              <w:rPr>
                <w:bCs/>
                <w:sz w:val="20"/>
                <w:lang w:eastAsia="lv-LV"/>
              </w:rPr>
              <w:t>65,46</w:t>
            </w:r>
          </w:p>
        </w:tc>
      </w:tr>
      <w:tr w:rsidR="007870D7" w:rsidRPr="001552B5" w:rsidTr="007870D7">
        <w:trPr>
          <w:trHeight w:val="256"/>
          <w:jc w:val="center"/>
        </w:trPr>
        <w:tc>
          <w:tcPr>
            <w:tcW w:w="3771" w:type="dxa"/>
            <w:tcBorders>
              <w:left w:val="single" w:sz="4" w:space="0" w:color="auto"/>
              <w:bottom w:val="single" w:sz="4" w:space="0" w:color="auto"/>
              <w:right w:val="single" w:sz="4" w:space="0" w:color="auto"/>
            </w:tcBorders>
            <w:shd w:val="clear" w:color="auto" w:fill="auto"/>
            <w:noWrap/>
            <w:vAlign w:val="bottom"/>
          </w:tcPr>
          <w:p w:rsidR="007870D7" w:rsidRPr="001552B5" w:rsidRDefault="007870D7" w:rsidP="00AA0C50">
            <w:pPr>
              <w:spacing w:after="0"/>
              <w:ind w:firstLine="0"/>
              <w:jc w:val="center"/>
              <w:rPr>
                <w:color w:val="000000"/>
                <w:sz w:val="20"/>
                <w:lang w:eastAsia="lv-LV"/>
              </w:rPr>
            </w:pPr>
            <w:r w:rsidRPr="001552B5">
              <w:rPr>
                <w:color w:val="000000"/>
                <w:sz w:val="20"/>
                <w:lang w:eastAsia="lv-LV"/>
              </w:rPr>
              <w:t>Igaunija</w:t>
            </w:r>
            <w:r w:rsidR="00AA0C50" w:rsidRPr="00AA0C50">
              <w:rPr>
                <w:color w:val="000000"/>
                <w:sz w:val="20"/>
                <w:vertAlign w:val="superscript"/>
                <w:lang w:eastAsia="lv-LV"/>
              </w:rPr>
              <w:t>7</w:t>
            </w:r>
          </w:p>
        </w:tc>
        <w:tc>
          <w:tcPr>
            <w:tcW w:w="2071" w:type="dxa"/>
            <w:tcBorders>
              <w:left w:val="single" w:sz="4" w:space="0" w:color="auto"/>
              <w:bottom w:val="single" w:sz="4" w:space="0" w:color="auto"/>
              <w:right w:val="single" w:sz="4" w:space="0" w:color="auto"/>
            </w:tcBorders>
            <w:shd w:val="clear" w:color="auto" w:fill="auto"/>
            <w:noWrap/>
            <w:vAlign w:val="center"/>
          </w:tcPr>
          <w:p w:rsidR="007870D7" w:rsidRPr="00B22DC7" w:rsidRDefault="007870D7" w:rsidP="007870D7">
            <w:pPr>
              <w:spacing w:after="0"/>
              <w:ind w:firstLine="0"/>
              <w:jc w:val="center"/>
              <w:rPr>
                <w:bCs/>
                <w:sz w:val="20"/>
                <w:lang w:eastAsia="lv-LV"/>
              </w:rPr>
            </w:pPr>
            <w:r w:rsidRPr="00B22DC7">
              <w:rPr>
                <w:bCs/>
                <w:sz w:val="20"/>
                <w:lang w:eastAsia="lv-LV"/>
              </w:rPr>
              <w:t>53,41/77,44</w:t>
            </w:r>
          </w:p>
        </w:tc>
        <w:tc>
          <w:tcPr>
            <w:tcW w:w="1901" w:type="dxa"/>
            <w:tcBorders>
              <w:left w:val="single" w:sz="4" w:space="0" w:color="auto"/>
              <w:bottom w:val="single" w:sz="4" w:space="0" w:color="auto"/>
              <w:right w:val="single" w:sz="4" w:space="0" w:color="auto"/>
            </w:tcBorders>
            <w:shd w:val="clear" w:color="auto" w:fill="auto"/>
            <w:noWrap/>
            <w:vAlign w:val="center"/>
          </w:tcPr>
          <w:p w:rsidR="007870D7" w:rsidRPr="00B22DC7" w:rsidRDefault="00326BFF" w:rsidP="007870D7">
            <w:pPr>
              <w:spacing w:after="0"/>
              <w:ind w:firstLine="0"/>
              <w:jc w:val="center"/>
              <w:rPr>
                <w:bCs/>
                <w:sz w:val="20"/>
                <w:lang w:eastAsia="lv-LV"/>
              </w:rPr>
            </w:pPr>
            <w:r w:rsidRPr="00B22DC7">
              <w:rPr>
                <w:bCs/>
                <w:sz w:val="20"/>
                <w:lang w:eastAsia="lv-LV"/>
              </w:rPr>
              <w:t>84,41</w:t>
            </w:r>
          </w:p>
        </w:tc>
        <w:tc>
          <w:tcPr>
            <w:tcW w:w="1318" w:type="dxa"/>
            <w:tcBorders>
              <w:left w:val="single" w:sz="4" w:space="0" w:color="auto"/>
              <w:bottom w:val="single" w:sz="4" w:space="0" w:color="auto"/>
              <w:right w:val="single" w:sz="4" w:space="0" w:color="auto"/>
            </w:tcBorders>
          </w:tcPr>
          <w:p w:rsidR="007870D7" w:rsidRPr="00B22DC7" w:rsidRDefault="00326BFF" w:rsidP="007870D7">
            <w:pPr>
              <w:spacing w:after="0"/>
              <w:ind w:firstLine="0"/>
              <w:jc w:val="center"/>
              <w:rPr>
                <w:bCs/>
                <w:sz w:val="20"/>
                <w:lang w:eastAsia="lv-LV"/>
              </w:rPr>
            </w:pPr>
            <w:r w:rsidRPr="00B22DC7">
              <w:rPr>
                <w:bCs/>
                <w:sz w:val="20"/>
                <w:lang w:eastAsia="lv-LV"/>
              </w:rPr>
              <w:t>84,41</w:t>
            </w:r>
          </w:p>
        </w:tc>
      </w:tr>
      <w:tr w:rsidR="007870D7" w:rsidRPr="001552B5" w:rsidTr="007870D7">
        <w:trPr>
          <w:trHeight w:val="256"/>
          <w:jc w:val="center"/>
        </w:trPr>
        <w:tc>
          <w:tcPr>
            <w:tcW w:w="7743"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noWrap/>
            <w:vAlign w:val="center"/>
            <w:hideMark/>
          </w:tcPr>
          <w:p w:rsidR="007870D7" w:rsidRPr="001552B5" w:rsidRDefault="007870D7" w:rsidP="007870D7">
            <w:pPr>
              <w:spacing w:after="0"/>
              <w:ind w:firstLine="0"/>
              <w:jc w:val="left"/>
              <w:rPr>
                <w:b/>
                <w:bCs/>
                <w:sz w:val="20"/>
                <w:lang w:eastAsia="lv-LV"/>
              </w:rPr>
            </w:pPr>
            <w:r w:rsidRPr="001552B5">
              <w:rPr>
                <w:b/>
                <w:color w:val="000000"/>
                <w:sz w:val="20"/>
                <w:shd w:val="clear" w:color="auto" w:fill="D9D9D9" w:themeFill="background1" w:themeFillShade="D9"/>
                <w:lang w:eastAsia="lv-LV"/>
              </w:rPr>
              <w:t>Vīns un raudzētie dzērieni ar absolūtā spirta saturu virs 6 tilpumprocentiem</w:t>
            </w:r>
            <w:r w:rsidRPr="001552B5">
              <w:rPr>
                <w:color w:val="000000"/>
                <w:sz w:val="20"/>
                <w:shd w:val="clear" w:color="auto" w:fill="D9D9D9" w:themeFill="background1" w:themeFillShade="D9"/>
                <w:lang w:eastAsia="lv-LV"/>
              </w:rPr>
              <w:t xml:space="preserve">, </w:t>
            </w:r>
            <w:proofErr w:type="spellStart"/>
            <w:r w:rsidRPr="001552B5">
              <w:rPr>
                <w:i/>
                <w:color w:val="000000"/>
                <w:sz w:val="20"/>
                <w:shd w:val="clear" w:color="auto" w:fill="D9D9D9" w:themeFill="background1" w:themeFillShade="D9"/>
                <w:lang w:eastAsia="lv-LV"/>
              </w:rPr>
              <w:t>euro</w:t>
            </w:r>
            <w:proofErr w:type="spellEnd"/>
            <w:r w:rsidRPr="001552B5">
              <w:rPr>
                <w:color w:val="000000"/>
                <w:sz w:val="20"/>
                <w:lang w:eastAsia="lv-LV"/>
              </w:rPr>
              <w:t>/100 l</w:t>
            </w:r>
          </w:p>
        </w:tc>
        <w:tc>
          <w:tcPr>
            <w:tcW w:w="1318" w:type="dxa"/>
            <w:tcBorders>
              <w:top w:val="single" w:sz="4" w:space="0" w:color="auto"/>
              <w:left w:val="single" w:sz="4" w:space="0" w:color="auto"/>
              <w:bottom w:val="single" w:sz="8" w:space="0" w:color="auto"/>
              <w:right w:val="single" w:sz="4" w:space="0" w:color="auto"/>
            </w:tcBorders>
            <w:shd w:val="clear" w:color="auto" w:fill="D9D9D9" w:themeFill="background1" w:themeFillShade="D9"/>
          </w:tcPr>
          <w:p w:rsidR="007870D7" w:rsidRPr="001552B5" w:rsidRDefault="007870D7" w:rsidP="007870D7">
            <w:pPr>
              <w:spacing w:after="0"/>
              <w:ind w:firstLine="0"/>
              <w:jc w:val="left"/>
              <w:rPr>
                <w:b/>
                <w:color w:val="000000"/>
                <w:sz w:val="20"/>
                <w:shd w:val="clear" w:color="auto" w:fill="D9D9D9" w:themeFill="background1" w:themeFillShade="D9"/>
                <w:lang w:eastAsia="lv-LV"/>
              </w:rPr>
            </w:pPr>
          </w:p>
        </w:tc>
      </w:tr>
      <w:tr w:rsidR="007870D7" w:rsidRPr="001552B5" w:rsidTr="007870D7">
        <w:trPr>
          <w:trHeight w:val="245"/>
          <w:jc w:val="center"/>
        </w:trPr>
        <w:tc>
          <w:tcPr>
            <w:tcW w:w="3771" w:type="dxa"/>
            <w:tcBorders>
              <w:top w:val="nil"/>
              <w:left w:val="single" w:sz="4" w:space="0" w:color="auto"/>
              <w:bottom w:val="nil"/>
              <w:right w:val="nil"/>
            </w:tcBorders>
            <w:shd w:val="clear" w:color="auto" w:fill="auto"/>
            <w:noWrap/>
            <w:hideMark/>
          </w:tcPr>
          <w:p w:rsidR="007870D7" w:rsidRPr="001552B5" w:rsidRDefault="007870D7" w:rsidP="00AA0C50">
            <w:pPr>
              <w:spacing w:after="0"/>
              <w:ind w:firstLine="0"/>
              <w:jc w:val="center"/>
              <w:rPr>
                <w:b/>
                <w:color w:val="000000"/>
                <w:sz w:val="20"/>
                <w:lang w:eastAsia="lv-LV"/>
              </w:rPr>
            </w:pPr>
            <w:r w:rsidRPr="001552B5">
              <w:rPr>
                <w:b/>
                <w:color w:val="000000"/>
                <w:sz w:val="20"/>
                <w:lang w:eastAsia="lv-LV"/>
              </w:rPr>
              <w:t>Latvija</w:t>
            </w:r>
            <w:r w:rsidR="00AA0C50" w:rsidRPr="00AA0C50">
              <w:rPr>
                <w:b/>
                <w:color w:val="000000"/>
                <w:sz w:val="20"/>
                <w:vertAlign w:val="superscript"/>
                <w:lang w:eastAsia="lv-LV"/>
              </w:rPr>
              <w:t>5</w:t>
            </w:r>
          </w:p>
        </w:tc>
        <w:tc>
          <w:tcPr>
            <w:tcW w:w="2071" w:type="dxa"/>
            <w:tcBorders>
              <w:top w:val="nil"/>
              <w:left w:val="single" w:sz="8" w:space="0" w:color="auto"/>
              <w:bottom w:val="nil"/>
              <w:right w:val="nil"/>
            </w:tcBorders>
            <w:shd w:val="clear" w:color="auto" w:fill="auto"/>
            <w:noWrap/>
            <w:vAlign w:val="center"/>
            <w:hideMark/>
          </w:tcPr>
          <w:p w:rsidR="007870D7" w:rsidRPr="00B22DC7" w:rsidRDefault="007870D7" w:rsidP="007870D7">
            <w:pPr>
              <w:spacing w:after="0"/>
              <w:ind w:firstLine="0"/>
              <w:jc w:val="center"/>
              <w:rPr>
                <w:b/>
                <w:color w:val="000000"/>
                <w:sz w:val="20"/>
                <w:lang w:eastAsia="lv-LV"/>
              </w:rPr>
            </w:pPr>
            <w:r w:rsidRPr="00B22DC7">
              <w:rPr>
                <w:b/>
                <w:color w:val="000000"/>
                <w:sz w:val="20"/>
                <w:lang w:eastAsia="lv-LV"/>
              </w:rPr>
              <w:t>78,00</w:t>
            </w:r>
          </w:p>
        </w:tc>
        <w:tc>
          <w:tcPr>
            <w:tcW w:w="1901" w:type="dxa"/>
            <w:tcBorders>
              <w:top w:val="nil"/>
              <w:left w:val="single" w:sz="8" w:space="0" w:color="auto"/>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b/>
                <w:bCs/>
                <w:iCs/>
                <w:sz w:val="20"/>
                <w:lang w:eastAsia="lv-LV"/>
              </w:rPr>
            </w:pPr>
            <w:r w:rsidRPr="00B22DC7">
              <w:rPr>
                <w:b/>
                <w:bCs/>
                <w:iCs/>
                <w:sz w:val="20"/>
                <w:lang w:eastAsia="lv-LV"/>
              </w:rPr>
              <w:t>92,00</w:t>
            </w:r>
          </w:p>
        </w:tc>
        <w:tc>
          <w:tcPr>
            <w:tcW w:w="1318" w:type="dxa"/>
            <w:tcBorders>
              <w:top w:val="nil"/>
              <w:left w:val="single" w:sz="8" w:space="0" w:color="auto"/>
              <w:bottom w:val="nil"/>
              <w:right w:val="single" w:sz="4" w:space="0" w:color="auto"/>
            </w:tcBorders>
          </w:tcPr>
          <w:p w:rsidR="007870D7" w:rsidRPr="00B22DC7" w:rsidRDefault="007870D7" w:rsidP="007870D7">
            <w:pPr>
              <w:spacing w:after="0"/>
              <w:ind w:firstLine="0"/>
              <w:jc w:val="center"/>
              <w:rPr>
                <w:b/>
                <w:bCs/>
                <w:iCs/>
                <w:sz w:val="20"/>
                <w:lang w:eastAsia="lv-LV"/>
              </w:rPr>
            </w:pPr>
            <w:r w:rsidRPr="00B22DC7">
              <w:rPr>
                <w:b/>
                <w:bCs/>
                <w:iCs/>
                <w:sz w:val="20"/>
                <w:lang w:eastAsia="lv-LV"/>
              </w:rPr>
              <w:t>101,00</w:t>
            </w:r>
          </w:p>
        </w:tc>
      </w:tr>
      <w:tr w:rsidR="007870D7" w:rsidRPr="001552B5" w:rsidTr="007870D7">
        <w:trPr>
          <w:trHeight w:val="245"/>
          <w:jc w:val="center"/>
        </w:trPr>
        <w:tc>
          <w:tcPr>
            <w:tcW w:w="3771" w:type="dxa"/>
            <w:tcBorders>
              <w:top w:val="nil"/>
              <w:left w:val="single" w:sz="4" w:space="0" w:color="auto"/>
              <w:bottom w:val="nil"/>
              <w:right w:val="nil"/>
            </w:tcBorders>
            <w:shd w:val="clear" w:color="auto" w:fill="auto"/>
            <w:noWrap/>
            <w:vAlign w:val="bottom"/>
            <w:hideMark/>
          </w:tcPr>
          <w:p w:rsidR="007870D7" w:rsidRPr="001552B5" w:rsidRDefault="007870D7" w:rsidP="00AA0C50">
            <w:pPr>
              <w:spacing w:after="0"/>
              <w:ind w:firstLine="0"/>
              <w:jc w:val="center"/>
              <w:rPr>
                <w:color w:val="000000"/>
                <w:sz w:val="20"/>
                <w:lang w:eastAsia="lv-LV"/>
              </w:rPr>
            </w:pPr>
            <w:r w:rsidRPr="001552B5">
              <w:rPr>
                <w:color w:val="000000"/>
                <w:sz w:val="20"/>
                <w:lang w:eastAsia="lv-LV"/>
              </w:rPr>
              <w:t>Lietuva</w:t>
            </w:r>
            <w:r w:rsidR="00AA0C50" w:rsidRPr="00AA0C50">
              <w:rPr>
                <w:color w:val="000000"/>
                <w:sz w:val="20"/>
                <w:vertAlign w:val="superscript"/>
                <w:lang w:eastAsia="lv-LV"/>
              </w:rPr>
              <w:t>6</w:t>
            </w:r>
          </w:p>
        </w:tc>
        <w:tc>
          <w:tcPr>
            <w:tcW w:w="2071" w:type="dxa"/>
            <w:tcBorders>
              <w:top w:val="nil"/>
              <w:left w:val="single" w:sz="8" w:space="0" w:color="auto"/>
              <w:bottom w:val="nil"/>
              <w:right w:val="nil"/>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bCs/>
                <w:sz w:val="20"/>
                <w:lang w:eastAsia="lv-LV"/>
              </w:rPr>
              <w:t>164,67</w:t>
            </w:r>
          </w:p>
        </w:tc>
        <w:tc>
          <w:tcPr>
            <w:tcW w:w="1901" w:type="dxa"/>
            <w:tcBorders>
              <w:top w:val="nil"/>
              <w:left w:val="single" w:sz="8" w:space="0" w:color="auto"/>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bCs/>
                <w:sz w:val="20"/>
                <w:lang w:eastAsia="lv-LV"/>
              </w:rPr>
              <w:t>164,67</w:t>
            </w:r>
          </w:p>
        </w:tc>
        <w:tc>
          <w:tcPr>
            <w:tcW w:w="1318" w:type="dxa"/>
            <w:tcBorders>
              <w:top w:val="nil"/>
              <w:left w:val="single" w:sz="8" w:space="0" w:color="auto"/>
              <w:bottom w:val="nil"/>
              <w:right w:val="single" w:sz="4" w:space="0" w:color="auto"/>
            </w:tcBorders>
            <w:vAlign w:val="center"/>
          </w:tcPr>
          <w:p w:rsidR="007870D7" w:rsidRPr="00B22DC7" w:rsidRDefault="007870D7" w:rsidP="007870D7">
            <w:pPr>
              <w:spacing w:after="0"/>
              <w:ind w:firstLine="0"/>
              <w:jc w:val="center"/>
              <w:rPr>
                <w:bCs/>
                <w:sz w:val="20"/>
                <w:lang w:eastAsia="lv-LV"/>
              </w:rPr>
            </w:pPr>
            <w:r w:rsidRPr="00B22DC7">
              <w:rPr>
                <w:bCs/>
                <w:sz w:val="20"/>
                <w:lang w:eastAsia="lv-LV"/>
              </w:rPr>
              <w:t>164,67</w:t>
            </w:r>
          </w:p>
        </w:tc>
      </w:tr>
      <w:tr w:rsidR="007870D7" w:rsidRPr="001552B5" w:rsidTr="007870D7">
        <w:trPr>
          <w:trHeight w:val="256"/>
          <w:jc w:val="center"/>
        </w:trPr>
        <w:tc>
          <w:tcPr>
            <w:tcW w:w="3771" w:type="dxa"/>
            <w:tcBorders>
              <w:top w:val="nil"/>
              <w:left w:val="single" w:sz="4" w:space="0" w:color="auto"/>
              <w:bottom w:val="single" w:sz="8" w:space="0" w:color="auto"/>
              <w:right w:val="nil"/>
            </w:tcBorders>
            <w:shd w:val="clear" w:color="auto" w:fill="auto"/>
            <w:noWrap/>
            <w:vAlign w:val="bottom"/>
            <w:hideMark/>
          </w:tcPr>
          <w:p w:rsidR="007870D7" w:rsidRPr="001552B5" w:rsidRDefault="007870D7" w:rsidP="00AA0C50">
            <w:pPr>
              <w:spacing w:after="0"/>
              <w:ind w:firstLine="0"/>
              <w:jc w:val="center"/>
              <w:rPr>
                <w:color w:val="000000"/>
                <w:sz w:val="20"/>
                <w:lang w:eastAsia="lv-LV"/>
              </w:rPr>
            </w:pPr>
            <w:r w:rsidRPr="001552B5">
              <w:rPr>
                <w:color w:val="000000"/>
                <w:sz w:val="20"/>
                <w:lang w:eastAsia="lv-LV"/>
              </w:rPr>
              <w:t>Igaunija</w:t>
            </w:r>
            <w:r w:rsidR="00AA0C50" w:rsidRPr="00AA0C50">
              <w:rPr>
                <w:color w:val="000000"/>
                <w:sz w:val="20"/>
                <w:vertAlign w:val="superscript"/>
                <w:lang w:eastAsia="lv-LV"/>
              </w:rPr>
              <w:t>7</w:t>
            </w:r>
          </w:p>
        </w:tc>
        <w:tc>
          <w:tcPr>
            <w:tcW w:w="2071" w:type="dxa"/>
            <w:tcBorders>
              <w:top w:val="nil"/>
              <w:left w:val="single" w:sz="8" w:space="0" w:color="auto"/>
              <w:bottom w:val="single" w:sz="8" w:space="0" w:color="auto"/>
              <w:right w:val="nil"/>
            </w:tcBorders>
            <w:shd w:val="clear" w:color="auto" w:fill="auto"/>
            <w:noWrap/>
            <w:vAlign w:val="center"/>
            <w:hideMark/>
          </w:tcPr>
          <w:p w:rsidR="007870D7" w:rsidRPr="00B22DC7" w:rsidRDefault="007870D7" w:rsidP="007870D7">
            <w:pPr>
              <w:spacing w:after="0"/>
              <w:ind w:firstLine="0"/>
              <w:jc w:val="center"/>
              <w:rPr>
                <w:bCs/>
                <w:sz w:val="20"/>
                <w:lang w:eastAsia="lv-LV"/>
              </w:rPr>
            </w:pPr>
            <w:r w:rsidRPr="00B22DC7">
              <w:rPr>
                <w:bCs/>
                <w:sz w:val="20"/>
                <w:lang w:eastAsia="lv-LV"/>
              </w:rPr>
              <w:t>123,18</w:t>
            </w:r>
          </w:p>
        </w:tc>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7870D7" w:rsidRPr="00B22DC7" w:rsidRDefault="007870D7" w:rsidP="007870D7">
            <w:pPr>
              <w:spacing w:after="0"/>
              <w:ind w:firstLine="0"/>
              <w:jc w:val="center"/>
              <w:rPr>
                <w:bCs/>
                <w:sz w:val="20"/>
                <w:lang w:eastAsia="lv-LV"/>
              </w:rPr>
            </w:pPr>
            <w:r w:rsidRPr="00B22DC7">
              <w:rPr>
                <w:bCs/>
                <w:sz w:val="20"/>
                <w:lang w:eastAsia="lv-LV"/>
              </w:rPr>
              <w:t>147,82</w:t>
            </w:r>
          </w:p>
        </w:tc>
        <w:tc>
          <w:tcPr>
            <w:tcW w:w="1318" w:type="dxa"/>
            <w:tcBorders>
              <w:top w:val="nil"/>
              <w:left w:val="single" w:sz="8" w:space="0" w:color="auto"/>
              <w:bottom w:val="single" w:sz="8" w:space="0" w:color="auto"/>
              <w:right w:val="single" w:sz="4" w:space="0" w:color="auto"/>
            </w:tcBorders>
            <w:vAlign w:val="center"/>
          </w:tcPr>
          <w:p w:rsidR="007870D7" w:rsidRPr="00B22DC7" w:rsidRDefault="007870D7" w:rsidP="007870D7">
            <w:pPr>
              <w:spacing w:after="0"/>
              <w:ind w:firstLine="0"/>
              <w:jc w:val="center"/>
              <w:rPr>
                <w:bCs/>
                <w:sz w:val="20"/>
                <w:lang w:eastAsia="lv-LV"/>
              </w:rPr>
            </w:pPr>
            <w:r w:rsidRPr="00B22DC7">
              <w:rPr>
                <w:bCs/>
                <w:sz w:val="20"/>
                <w:lang w:eastAsia="lv-LV"/>
              </w:rPr>
              <w:t>147,82</w:t>
            </w:r>
          </w:p>
        </w:tc>
      </w:tr>
      <w:tr w:rsidR="007870D7" w:rsidRPr="001552B5" w:rsidTr="007870D7">
        <w:trPr>
          <w:trHeight w:val="256"/>
          <w:jc w:val="center"/>
        </w:trPr>
        <w:tc>
          <w:tcPr>
            <w:tcW w:w="7743" w:type="dxa"/>
            <w:gridSpan w:val="3"/>
            <w:tcBorders>
              <w:top w:val="nil"/>
              <w:left w:val="single" w:sz="4" w:space="0" w:color="auto"/>
              <w:bottom w:val="single" w:sz="8" w:space="0" w:color="auto"/>
              <w:right w:val="single" w:sz="4" w:space="0" w:color="auto"/>
            </w:tcBorders>
            <w:shd w:val="clear" w:color="auto" w:fill="D9D9D9" w:themeFill="background1" w:themeFillShade="D9"/>
            <w:noWrap/>
            <w:vAlign w:val="center"/>
            <w:hideMark/>
          </w:tcPr>
          <w:p w:rsidR="007870D7" w:rsidRPr="001552B5" w:rsidRDefault="007870D7" w:rsidP="007870D7">
            <w:pPr>
              <w:spacing w:after="0"/>
              <w:ind w:firstLine="0"/>
              <w:jc w:val="left"/>
              <w:rPr>
                <w:b/>
                <w:bCs/>
                <w:sz w:val="20"/>
                <w:lang w:eastAsia="lv-LV"/>
              </w:rPr>
            </w:pPr>
            <w:r w:rsidRPr="001552B5">
              <w:rPr>
                <w:b/>
                <w:color w:val="000000"/>
                <w:sz w:val="20"/>
                <w:lang w:eastAsia="lv-LV"/>
              </w:rPr>
              <w:t>Starpprodukti ar absolūtā spirta saturu līdz 15 tilpumprocentiem,</w:t>
            </w:r>
            <w:r w:rsidRPr="001552B5">
              <w:rPr>
                <w:color w:val="000000"/>
                <w:sz w:val="20"/>
                <w:lang w:eastAsia="lv-LV"/>
              </w:rPr>
              <w:t xml:space="preserve"> </w:t>
            </w:r>
            <w:proofErr w:type="spellStart"/>
            <w:r w:rsidRPr="001552B5">
              <w:rPr>
                <w:i/>
                <w:color w:val="000000"/>
                <w:sz w:val="20"/>
                <w:lang w:eastAsia="lv-LV"/>
              </w:rPr>
              <w:t>euro</w:t>
            </w:r>
            <w:proofErr w:type="spellEnd"/>
            <w:r w:rsidRPr="001552B5">
              <w:rPr>
                <w:color w:val="000000"/>
                <w:sz w:val="20"/>
                <w:lang w:eastAsia="lv-LV"/>
              </w:rPr>
              <w:t>/ 100 l</w:t>
            </w:r>
          </w:p>
        </w:tc>
        <w:tc>
          <w:tcPr>
            <w:tcW w:w="1318" w:type="dxa"/>
            <w:tcBorders>
              <w:top w:val="nil"/>
              <w:left w:val="single" w:sz="4" w:space="0" w:color="auto"/>
              <w:bottom w:val="single" w:sz="8" w:space="0" w:color="auto"/>
              <w:right w:val="single" w:sz="4" w:space="0" w:color="auto"/>
            </w:tcBorders>
            <w:shd w:val="clear" w:color="auto" w:fill="D9D9D9" w:themeFill="background1" w:themeFillShade="D9"/>
          </w:tcPr>
          <w:p w:rsidR="007870D7" w:rsidRPr="001552B5" w:rsidRDefault="007870D7" w:rsidP="007870D7">
            <w:pPr>
              <w:spacing w:after="0"/>
              <w:ind w:firstLine="0"/>
              <w:jc w:val="left"/>
              <w:rPr>
                <w:b/>
                <w:color w:val="000000"/>
                <w:sz w:val="20"/>
                <w:lang w:eastAsia="lv-LV"/>
              </w:rPr>
            </w:pPr>
          </w:p>
        </w:tc>
      </w:tr>
      <w:tr w:rsidR="007870D7" w:rsidRPr="001552B5" w:rsidTr="007870D7">
        <w:trPr>
          <w:trHeight w:val="245"/>
          <w:jc w:val="center"/>
        </w:trPr>
        <w:tc>
          <w:tcPr>
            <w:tcW w:w="3771" w:type="dxa"/>
            <w:tcBorders>
              <w:top w:val="nil"/>
              <w:left w:val="single" w:sz="4" w:space="0" w:color="auto"/>
              <w:bottom w:val="nil"/>
              <w:right w:val="nil"/>
            </w:tcBorders>
            <w:shd w:val="clear" w:color="auto" w:fill="auto"/>
            <w:noWrap/>
            <w:hideMark/>
          </w:tcPr>
          <w:p w:rsidR="007870D7" w:rsidRPr="001552B5" w:rsidRDefault="007870D7" w:rsidP="007870D7">
            <w:pPr>
              <w:spacing w:after="0"/>
              <w:ind w:firstLine="0"/>
              <w:jc w:val="center"/>
              <w:rPr>
                <w:b/>
                <w:color w:val="000000"/>
                <w:sz w:val="20"/>
                <w:lang w:eastAsia="lv-LV"/>
              </w:rPr>
            </w:pPr>
            <w:r w:rsidRPr="001552B5">
              <w:rPr>
                <w:b/>
                <w:color w:val="000000"/>
                <w:sz w:val="20"/>
                <w:lang w:eastAsia="lv-LV"/>
              </w:rPr>
              <w:t>Latvija</w:t>
            </w:r>
            <w:r w:rsidR="00AA0C50" w:rsidRPr="00AA0C50">
              <w:rPr>
                <w:b/>
                <w:color w:val="000000"/>
                <w:sz w:val="20"/>
                <w:vertAlign w:val="superscript"/>
                <w:lang w:eastAsia="lv-LV"/>
              </w:rPr>
              <w:t>5</w:t>
            </w:r>
          </w:p>
        </w:tc>
        <w:tc>
          <w:tcPr>
            <w:tcW w:w="2071" w:type="dxa"/>
            <w:tcBorders>
              <w:top w:val="nil"/>
              <w:left w:val="single" w:sz="8" w:space="0" w:color="auto"/>
              <w:bottom w:val="nil"/>
              <w:right w:val="nil"/>
            </w:tcBorders>
            <w:shd w:val="clear" w:color="auto" w:fill="auto"/>
            <w:noWrap/>
            <w:vAlign w:val="center"/>
            <w:hideMark/>
          </w:tcPr>
          <w:p w:rsidR="007870D7" w:rsidRPr="00B22DC7" w:rsidRDefault="007870D7" w:rsidP="007870D7">
            <w:pPr>
              <w:spacing w:after="0"/>
              <w:ind w:firstLine="0"/>
              <w:jc w:val="center"/>
              <w:rPr>
                <w:b/>
                <w:color w:val="000000"/>
                <w:sz w:val="20"/>
                <w:lang w:eastAsia="lv-LV"/>
              </w:rPr>
            </w:pPr>
            <w:r w:rsidRPr="00B22DC7">
              <w:rPr>
                <w:b/>
                <w:color w:val="000000"/>
                <w:sz w:val="20"/>
                <w:lang w:eastAsia="lv-LV"/>
              </w:rPr>
              <w:t>78,00</w:t>
            </w:r>
          </w:p>
        </w:tc>
        <w:tc>
          <w:tcPr>
            <w:tcW w:w="1901" w:type="dxa"/>
            <w:tcBorders>
              <w:top w:val="nil"/>
              <w:left w:val="single" w:sz="8" w:space="0" w:color="auto"/>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b/>
                <w:bCs/>
                <w:iCs/>
                <w:sz w:val="20"/>
                <w:lang w:eastAsia="lv-LV"/>
              </w:rPr>
            </w:pPr>
            <w:r w:rsidRPr="00B22DC7">
              <w:rPr>
                <w:b/>
                <w:bCs/>
                <w:iCs/>
                <w:sz w:val="20"/>
                <w:lang w:eastAsia="lv-LV"/>
              </w:rPr>
              <w:t>92,00</w:t>
            </w:r>
          </w:p>
        </w:tc>
        <w:tc>
          <w:tcPr>
            <w:tcW w:w="1318" w:type="dxa"/>
            <w:tcBorders>
              <w:top w:val="nil"/>
              <w:left w:val="single" w:sz="8" w:space="0" w:color="auto"/>
              <w:bottom w:val="nil"/>
              <w:right w:val="single" w:sz="4" w:space="0" w:color="auto"/>
            </w:tcBorders>
            <w:vAlign w:val="center"/>
          </w:tcPr>
          <w:p w:rsidR="007870D7" w:rsidRPr="00B22DC7" w:rsidRDefault="007870D7" w:rsidP="007870D7">
            <w:pPr>
              <w:spacing w:after="0"/>
              <w:ind w:firstLine="0"/>
              <w:jc w:val="center"/>
              <w:rPr>
                <w:b/>
                <w:bCs/>
                <w:iCs/>
                <w:sz w:val="20"/>
                <w:lang w:eastAsia="lv-LV"/>
              </w:rPr>
            </w:pPr>
            <w:r w:rsidRPr="00B22DC7">
              <w:rPr>
                <w:b/>
                <w:bCs/>
                <w:iCs/>
                <w:sz w:val="20"/>
                <w:lang w:eastAsia="lv-LV"/>
              </w:rPr>
              <w:t>101,00</w:t>
            </w:r>
          </w:p>
        </w:tc>
      </w:tr>
      <w:tr w:rsidR="007870D7" w:rsidRPr="001552B5" w:rsidTr="007870D7">
        <w:trPr>
          <w:trHeight w:val="245"/>
          <w:jc w:val="center"/>
        </w:trPr>
        <w:tc>
          <w:tcPr>
            <w:tcW w:w="3771" w:type="dxa"/>
            <w:tcBorders>
              <w:top w:val="nil"/>
              <w:left w:val="single" w:sz="4" w:space="0" w:color="auto"/>
              <w:bottom w:val="nil"/>
              <w:right w:val="nil"/>
            </w:tcBorders>
            <w:shd w:val="clear" w:color="auto" w:fill="auto"/>
            <w:noWrap/>
            <w:vAlign w:val="bottom"/>
            <w:hideMark/>
          </w:tcPr>
          <w:p w:rsidR="007870D7" w:rsidRPr="001552B5" w:rsidRDefault="007870D7" w:rsidP="007870D7">
            <w:pPr>
              <w:spacing w:after="0"/>
              <w:ind w:firstLine="0"/>
              <w:jc w:val="center"/>
              <w:rPr>
                <w:color w:val="000000"/>
                <w:sz w:val="20"/>
                <w:lang w:eastAsia="lv-LV"/>
              </w:rPr>
            </w:pPr>
            <w:r w:rsidRPr="001552B5">
              <w:rPr>
                <w:color w:val="000000"/>
                <w:sz w:val="20"/>
                <w:lang w:eastAsia="lv-LV"/>
              </w:rPr>
              <w:t>Lietuva</w:t>
            </w:r>
            <w:r w:rsidR="00AA0C50" w:rsidRPr="00AA0C50">
              <w:rPr>
                <w:color w:val="000000"/>
                <w:sz w:val="20"/>
                <w:vertAlign w:val="superscript"/>
                <w:lang w:eastAsia="lv-LV"/>
              </w:rPr>
              <w:t>6</w:t>
            </w:r>
          </w:p>
        </w:tc>
        <w:tc>
          <w:tcPr>
            <w:tcW w:w="2071" w:type="dxa"/>
            <w:tcBorders>
              <w:top w:val="nil"/>
              <w:left w:val="single" w:sz="8" w:space="0" w:color="auto"/>
              <w:bottom w:val="nil"/>
              <w:right w:val="nil"/>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185,82</w:t>
            </w:r>
          </w:p>
        </w:tc>
        <w:tc>
          <w:tcPr>
            <w:tcW w:w="1901" w:type="dxa"/>
            <w:tcBorders>
              <w:top w:val="nil"/>
              <w:left w:val="single" w:sz="8" w:space="0" w:color="auto"/>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185,82</w:t>
            </w:r>
          </w:p>
        </w:tc>
        <w:tc>
          <w:tcPr>
            <w:tcW w:w="1318" w:type="dxa"/>
            <w:tcBorders>
              <w:top w:val="nil"/>
              <w:left w:val="single" w:sz="8" w:space="0" w:color="auto"/>
              <w:bottom w:val="nil"/>
              <w:right w:val="single" w:sz="4" w:space="0" w:color="auto"/>
            </w:tcBorders>
            <w:vAlign w:val="center"/>
          </w:tcPr>
          <w:p w:rsidR="007870D7" w:rsidRPr="00B22DC7" w:rsidRDefault="007870D7" w:rsidP="007870D7">
            <w:pPr>
              <w:spacing w:after="0"/>
              <w:ind w:firstLine="0"/>
              <w:jc w:val="center"/>
              <w:rPr>
                <w:color w:val="000000"/>
                <w:sz w:val="20"/>
                <w:lang w:eastAsia="lv-LV"/>
              </w:rPr>
            </w:pPr>
            <w:r w:rsidRPr="00B22DC7">
              <w:rPr>
                <w:color w:val="000000"/>
                <w:sz w:val="20"/>
                <w:lang w:eastAsia="lv-LV"/>
              </w:rPr>
              <w:t>185,82</w:t>
            </w:r>
          </w:p>
        </w:tc>
      </w:tr>
      <w:tr w:rsidR="007870D7" w:rsidRPr="001552B5" w:rsidTr="007870D7">
        <w:trPr>
          <w:trHeight w:val="256"/>
          <w:jc w:val="center"/>
        </w:trPr>
        <w:tc>
          <w:tcPr>
            <w:tcW w:w="3771" w:type="dxa"/>
            <w:tcBorders>
              <w:top w:val="nil"/>
              <w:left w:val="single" w:sz="4" w:space="0" w:color="auto"/>
              <w:bottom w:val="single" w:sz="8" w:space="0" w:color="auto"/>
              <w:right w:val="nil"/>
            </w:tcBorders>
            <w:shd w:val="clear" w:color="auto" w:fill="auto"/>
            <w:noWrap/>
            <w:vAlign w:val="bottom"/>
            <w:hideMark/>
          </w:tcPr>
          <w:p w:rsidR="007870D7" w:rsidRPr="001552B5" w:rsidRDefault="007870D7" w:rsidP="007870D7">
            <w:pPr>
              <w:spacing w:after="0"/>
              <w:ind w:firstLine="0"/>
              <w:jc w:val="center"/>
              <w:rPr>
                <w:color w:val="000000"/>
                <w:sz w:val="20"/>
                <w:lang w:eastAsia="lv-LV"/>
              </w:rPr>
            </w:pPr>
            <w:r w:rsidRPr="001552B5">
              <w:rPr>
                <w:color w:val="000000"/>
                <w:sz w:val="20"/>
                <w:lang w:eastAsia="lv-LV"/>
              </w:rPr>
              <w:t>Igaunija***</w:t>
            </w:r>
          </w:p>
        </w:tc>
        <w:tc>
          <w:tcPr>
            <w:tcW w:w="2071" w:type="dxa"/>
            <w:tcBorders>
              <w:top w:val="nil"/>
              <w:left w:val="single" w:sz="8" w:space="0" w:color="auto"/>
              <w:bottom w:val="single" w:sz="8" w:space="0" w:color="auto"/>
              <w:right w:val="nil"/>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263,03</w:t>
            </w:r>
          </w:p>
        </w:tc>
        <w:tc>
          <w:tcPr>
            <w:tcW w:w="1901" w:type="dxa"/>
            <w:tcBorders>
              <w:top w:val="nil"/>
              <w:left w:val="single" w:sz="8" w:space="0" w:color="auto"/>
              <w:bottom w:val="single" w:sz="8" w:space="0" w:color="auto"/>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289,33</w:t>
            </w:r>
          </w:p>
        </w:tc>
        <w:tc>
          <w:tcPr>
            <w:tcW w:w="1318" w:type="dxa"/>
            <w:tcBorders>
              <w:top w:val="nil"/>
              <w:left w:val="single" w:sz="8" w:space="0" w:color="auto"/>
              <w:bottom w:val="single" w:sz="8" w:space="0" w:color="auto"/>
              <w:right w:val="single" w:sz="4" w:space="0" w:color="auto"/>
            </w:tcBorders>
            <w:vAlign w:val="center"/>
          </w:tcPr>
          <w:p w:rsidR="007870D7" w:rsidRPr="00B22DC7" w:rsidRDefault="007870D7" w:rsidP="007870D7">
            <w:pPr>
              <w:spacing w:after="0"/>
              <w:ind w:firstLine="0"/>
              <w:jc w:val="center"/>
              <w:rPr>
                <w:color w:val="000000"/>
                <w:sz w:val="20"/>
                <w:lang w:eastAsia="lv-LV"/>
              </w:rPr>
            </w:pPr>
            <w:r w:rsidRPr="00B22DC7">
              <w:rPr>
                <w:color w:val="000000"/>
                <w:sz w:val="20"/>
                <w:lang w:eastAsia="lv-LV"/>
              </w:rPr>
              <w:t>289,33</w:t>
            </w:r>
          </w:p>
        </w:tc>
      </w:tr>
      <w:tr w:rsidR="007870D7" w:rsidRPr="001552B5" w:rsidTr="007870D7">
        <w:trPr>
          <w:trHeight w:val="256"/>
          <w:jc w:val="center"/>
        </w:trPr>
        <w:tc>
          <w:tcPr>
            <w:tcW w:w="7743" w:type="dxa"/>
            <w:gridSpan w:val="3"/>
            <w:tcBorders>
              <w:top w:val="nil"/>
              <w:left w:val="single" w:sz="4" w:space="0" w:color="auto"/>
              <w:bottom w:val="single" w:sz="8" w:space="0" w:color="auto"/>
              <w:right w:val="single" w:sz="4" w:space="0" w:color="auto"/>
            </w:tcBorders>
            <w:shd w:val="clear" w:color="auto" w:fill="D9D9D9" w:themeFill="background1" w:themeFillShade="D9"/>
            <w:noWrap/>
            <w:vAlign w:val="center"/>
            <w:hideMark/>
          </w:tcPr>
          <w:p w:rsidR="007870D7" w:rsidRPr="001552B5" w:rsidRDefault="007870D7" w:rsidP="007870D7">
            <w:pPr>
              <w:spacing w:after="0"/>
              <w:ind w:firstLine="0"/>
              <w:jc w:val="left"/>
              <w:rPr>
                <w:b/>
                <w:bCs/>
                <w:sz w:val="20"/>
                <w:lang w:eastAsia="lv-LV"/>
              </w:rPr>
            </w:pPr>
            <w:r w:rsidRPr="001552B5">
              <w:rPr>
                <w:b/>
                <w:color w:val="000000"/>
                <w:sz w:val="20"/>
                <w:lang w:eastAsia="lv-LV"/>
              </w:rPr>
              <w:t>Starpprodukti ar absolūtā spirta saturu no 15 tilpumprocentiem līdz 22 tilpumprocentiem,</w:t>
            </w:r>
            <w:r w:rsidRPr="001552B5">
              <w:rPr>
                <w:color w:val="000000"/>
                <w:sz w:val="20"/>
                <w:lang w:eastAsia="lv-LV"/>
              </w:rPr>
              <w:t xml:space="preserve"> </w:t>
            </w:r>
            <w:proofErr w:type="spellStart"/>
            <w:r w:rsidRPr="001552B5">
              <w:rPr>
                <w:i/>
                <w:color w:val="000000"/>
                <w:sz w:val="20"/>
                <w:lang w:eastAsia="lv-LV"/>
              </w:rPr>
              <w:t>euro</w:t>
            </w:r>
            <w:proofErr w:type="spellEnd"/>
            <w:r w:rsidRPr="001552B5">
              <w:rPr>
                <w:color w:val="000000"/>
                <w:sz w:val="20"/>
                <w:lang w:eastAsia="lv-LV"/>
              </w:rPr>
              <w:t>/100 l</w:t>
            </w:r>
          </w:p>
        </w:tc>
        <w:tc>
          <w:tcPr>
            <w:tcW w:w="1318" w:type="dxa"/>
            <w:tcBorders>
              <w:top w:val="nil"/>
              <w:left w:val="single" w:sz="4" w:space="0" w:color="auto"/>
              <w:bottom w:val="single" w:sz="8" w:space="0" w:color="auto"/>
              <w:right w:val="single" w:sz="4" w:space="0" w:color="auto"/>
            </w:tcBorders>
            <w:shd w:val="clear" w:color="auto" w:fill="D9D9D9" w:themeFill="background1" w:themeFillShade="D9"/>
          </w:tcPr>
          <w:p w:rsidR="007870D7" w:rsidRPr="001552B5" w:rsidRDefault="007870D7" w:rsidP="007870D7">
            <w:pPr>
              <w:spacing w:after="0"/>
              <w:ind w:firstLine="0"/>
              <w:jc w:val="left"/>
              <w:rPr>
                <w:b/>
                <w:color w:val="000000"/>
                <w:sz w:val="20"/>
                <w:lang w:eastAsia="lv-LV"/>
              </w:rPr>
            </w:pPr>
          </w:p>
        </w:tc>
      </w:tr>
      <w:tr w:rsidR="007870D7" w:rsidRPr="001552B5" w:rsidTr="007870D7">
        <w:trPr>
          <w:trHeight w:val="245"/>
          <w:jc w:val="center"/>
        </w:trPr>
        <w:tc>
          <w:tcPr>
            <w:tcW w:w="3771" w:type="dxa"/>
            <w:tcBorders>
              <w:top w:val="nil"/>
              <w:left w:val="single" w:sz="4" w:space="0" w:color="auto"/>
              <w:bottom w:val="nil"/>
              <w:right w:val="single" w:sz="8" w:space="0" w:color="auto"/>
            </w:tcBorders>
            <w:shd w:val="clear" w:color="auto" w:fill="auto"/>
            <w:noWrap/>
            <w:hideMark/>
          </w:tcPr>
          <w:p w:rsidR="007870D7" w:rsidRPr="001552B5" w:rsidRDefault="007870D7" w:rsidP="007870D7">
            <w:pPr>
              <w:spacing w:after="0"/>
              <w:ind w:firstLine="0"/>
              <w:jc w:val="center"/>
              <w:rPr>
                <w:b/>
                <w:color w:val="000000"/>
                <w:sz w:val="20"/>
                <w:lang w:eastAsia="lv-LV"/>
              </w:rPr>
            </w:pPr>
            <w:r w:rsidRPr="001552B5">
              <w:rPr>
                <w:b/>
                <w:color w:val="000000"/>
                <w:sz w:val="20"/>
                <w:lang w:eastAsia="lv-LV"/>
              </w:rPr>
              <w:t>Latvija</w:t>
            </w:r>
            <w:r w:rsidR="00AA0C50" w:rsidRPr="00AA0C50">
              <w:rPr>
                <w:b/>
                <w:color w:val="000000"/>
                <w:sz w:val="20"/>
                <w:vertAlign w:val="superscript"/>
                <w:lang w:eastAsia="lv-LV"/>
              </w:rPr>
              <w:t>5</w:t>
            </w:r>
          </w:p>
        </w:tc>
        <w:tc>
          <w:tcPr>
            <w:tcW w:w="2071" w:type="dxa"/>
            <w:tcBorders>
              <w:top w:val="nil"/>
              <w:left w:val="nil"/>
              <w:bottom w:val="nil"/>
              <w:right w:val="single" w:sz="8" w:space="0" w:color="auto"/>
            </w:tcBorders>
            <w:shd w:val="clear" w:color="auto" w:fill="auto"/>
            <w:noWrap/>
            <w:vAlign w:val="center"/>
            <w:hideMark/>
          </w:tcPr>
          <w:p w:rsidR="007870D7" w:rsidRPr="00B22DC7" w:rsidRDefault="007870D7" w:rsidP="007870D7">
            <w:pPr>
              <w:spacing w:after="0"/>
              <w:ind w:firstLine="0"/>
              <w:jc w:val="center"/>
              <w:rPr>
                <w:b/>
                <w:color w:val="000000"/>
                <w:sz w:val="20"/>
                <w:lang w:eastAsia="lv-LV"/>
              </w:rPr>
            </w:pPr>
            <w:r w:rsidRPr="00B22DC7">
              <w:rPr>
                <w:b/>
                <w:color w:val="000000"/>
                <w:sz w:val="20"/>
                <w:lang w:eastAsia="lv-LV"/>
              </w:rPr>
              <w:t>130,00</w:t>
            </w:r>
          </w:p>
        </w:tc>
        <w:tc>
          <w:tcPr>
            <w:tcW w:w="1901" w:type="dxa"/>
            <w:tcBorders>
              <w:top w:val="nil"/>
              <w:left w:val="nil"/>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b/>
                <w:bCs/>
                <w:iCs/>
                <w:sz w:val="20"/>
                <w:lang w:eastAsia="lv-LV"/>
              </w:rPr>
            </w:pPr>
            <w:r w:rsidRPr="00B22DC7">
              <w:rPr>
                <w:b/>
                <w:bCs/>
                <w:iCs/>
                <w:sz w:val="20"/>
                <w:lang w:eastAsia="lv-LV"/>
              </w:rPr>
              <w:t>150,00</w:t>
            </w:r>
          </w:p>
        </w:tc>
        <w:tc>
          <w:tcPr>
            <w:tcW w:w="1318" w:type="dxa"/>
            <w:tcBorders>
              <w:top w:val="nil"/>
              <w:left w:val="nil"/>
              <w:bottom w:val="nil"/>
              <w:right w:val="single" w:sz="4" w:space="0" w:color="auto"/>
            </w:tcBorders>
            <w:vAlign w:val="center"/>
          </w:tcPr>
          <w:p w:rsidR="007870D7" w:rsidRPr="00B22DC7" w:rsidRDefault="007870D7" w:rsidP="007870D7">
            <w:pPr>
              <w:spacing w:after="0"/>
              <w:ind w:firstLine="0"/>
              <w:jc w:val="center"/>
              <w:rPr>
                <w:b/>
                <w:bCs/>
                <w:iCs/>
                <w:sz w:val="20"/>
                <w:lang w:eastAsia="lv-LV"/>
              </w:rPr>
            </w:pPr>
            <w:r w:rsidRPr="00B22DC7">
              <w:rPr>
                <w:b/>
                <w:bCs/>
                <w:iCs/>
                <w:sz w:val="20"/>
                <w:lang w:eastAsia="lv-LV"/>
              </w:rPr>
              <w:t>168,00</w:t>
            </w:r>
          </w:p>
        </w:tc>
      </w:tr>
      <w:tr w:rsidR="007870D7" w:rsidRPr="001552B5" w:rsidTr="007870D7">
        <w:trPr>
          <w:trHeight w:val="245"/>
          <w:jc w:val="center"/>
        </w:trPr>
        <w:tc>
          <w:tcPr>
            <w:tcW w:w="3771" w:type="dxa"/>
            <w:tcBorders>
              <w:top w:val="nil"/>
              <w:left w:val="single" w:sz="4" w:space="0" w:color="auto"/>
              <w:bottom w:val="nil"/>
              <w:right w:val="single" w:sz="8" w:space="0" w:color="auto"/>
            </w:tcBorders>
            <w:shd w:val="clear" w:color="auto" w:fill="auto"/>
            <w:noWrap/>
            <w:vAlign w:val="bottom"/>
            <w:hideMark/>
          </w:tcPr>
          <w:p w:rsidR="007870D7" w:rsidRPr="001552B5" w:rsidRDefault="007870D7" w:rsidP="007870D7">
            <w:pPr>
              <w:spacing w:after="0"/>
              <w:ind w:firstLine="0"/>
              <w:jc w:val="center"/>
              <w:rPr>
                <w:color w:val="000000"/>
                <w:sz w:val="20"/>
                <w:lang w:eastAsia="lv-LV"/>
              </w:rPr>
            </w:pPr>
            <w:r w:rsidRPr="001552B5">
              <w:rPr>
                <w:color w:val="000000"/>
                <w:sz w:val="20"/>
                <w:lang w:eastAsia="lv-LV"/>
              </w:rPr>
              <w:t>Lietuva</w:t>
            </w:r>
            <w:r w:rsidR="00AA0C50" w:rsidRPr="00AA0C50">
              <w:rPr>
                <w:color w:val="000000"/>
                <w:sz w:val="20"/>
                <w:vertAlign w:val="superscript"/>
                <w:lang w:eastAsia="lv-LV"/>
              </w:rPr>
              <w:t>6</w:t>
            </w:r>
          </w:p>
        </w:tc>
        <w:tc>
          <w:tcPr>
            <w:tcW w:w="2071" w:type="dxa"/>
            <w:tcBorders>
              <w:top w:val="nil"/>
              <w:left w:val="nil"/>
              <w:bottom w:val="nil"/>
              <w:right w:val="single" w:sz="8"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264,52</w:t>
            </w:r>
          </w:p>
        </w:tc>
        <w:tc>
          <w:tcPr>
            <w:tcW w:w="1901" w:type="dxa"/>
            <w:tcBorders>
              <w:top w:val="nil"/>
              <w:left w:val="nil"/>
              <w:bottom w:val="nil"/>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264,52</w:t>
            </w:r>
          </w:p>
        </w:tc>
        <w:tc>
          <w:tcPr>
            <w:tcW w:w="1318" w:type="dxa"/>
            <w:tcBorders>
              <w:top w:val="nil"/>
              <w:left w:val="nil"/>
              <w:bottom w:val="nil"/>
              <w:right w:val="single" w:sz="4" w:space="0" w:color="auto"/>
            </w:tcBorders>
            <w:vAlign w:val="center"/>
          </w:tcPr>
          <w:p w:rsidR="007870D7" w:rsidRPr="00B22DC7" w:rsidRDefault="007870D7" w:rsidP="007870D7">
            <w:pPr>
              <w:spacing w:after="0"/>
              <w:ind w:firstLine="0"/>
              <w:jc w:val="center"/>
              <w:rPr>
                <w:color w:val="000000"/>
                <w:sz w:val="20"/>
                <w:lang w:eastAsia="lv-LV"/>
              </w:rPr>
            </w:pPr>
            <w:r w:rsidRPr="00B22DC7">
              <w:rPr>
                <w:color w:val="000000"/>
                <w:sz w:val="20"/>
                <w:lang w:eastAsia="lv-LV"/>
              </w:rPr>
              <w:t>264,52</w:t>
            </w:r>
          </w:p>
        </w:tc>
      </w:tr>
      <w:tr w:rsidR="007870D7" w:rsidRPr="001552B5" w:rsidTr="007870D7">
        <w:trPr>
          <w:trHeight w:val="256"/>
          <w:jc w:val="center"/>
        </w:trPr>
        <w:tc>
          <w:tcPr>
            <w:tcW w:w="3771" w:type="dxa"/>
            <w:tcBorders>
              <w:top w:val="nil"/>
              <w:left w:val="single" w:sz="4" w:space="0" w:color="auto"/>
              <w:bottom w:val="single" w:sz="8" w:space="0" w:color="auto"/>
              <w:right w:val="single" w:sz="8" w:space="0" w:color="auto"/>
            </w:tcBorders>
            <w:shd w:val="clear" w:color="auto" w:fill="auto"/>
            <w:noWrap/>
            <w:vAlign w:val="bottom"/>
            <w:hideMark/>
          </w:tcPr>
          <w:p w:rsidR="007870D7" w:rsidRPr="001552B5" w:rsidRDefault="007870D7" w:rsidP="00B058C2">
            <w:pPr>
              <w:spacing w:after="0"/>
              <w:ind w:firstLine="0"/>
              <w:jc w:val="center"/>
              <w:rPr>
                <w:color w:val="000000"/>
                <w:sz w:val="20"/>
                <w:lang w:eastAsia="lv-LV"/>
              </w:rPr>
            </w:pPr>
            <w:r w:rsidRPr="001552B5">
              <w:rPr>
                <w:color w:val="000000"/>
                <w:sz w:val="20"/>
                <w:lang w:eastAsia="lv-LV"/>
              </w:rPr>
              <w:t>Igaunija</w:t>
            </w:r>
            <w:r w:rsidR="00AA0C50" w:rsidRPr="00AA0C50">
              <w:rPr>
                <w:color w:val="000000"/>
                <w:sz w:val="20"/>
                <w:vertAlign w:val="superscript"/>
                <w:lang w:eastAsia="lv-LV"/>
              </w:rPr>
              <w:t>7</w:t>
            </w:r>
          </w:p>
        </w:tc>
        <w:tc>
          <w:tcPr>
            <w:tcW w:w="2071" w:type="dxa"/>
            <w:tcBorders>
              <w:top w:val="nil"/>
              <w:left w:val="nil"/>
              <w:bottom w:val="single" w:sz="8" w:space="0" w:color="auto"/>
              <w:right w:val="single" w:sz="8"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263,03</w:t>
            </w:r>
          </w:p>
        </w:tc>
        <w:tc>
          <w:tcPr>
            <w:tcW w:w="1901" w:type="dxa"/>
            <w:tcBorders>
              <w:top w:val="nil"/>
              <w:left w:val="nil"/>
              <w:bottom w:val="single" w:sz="8" w:space="0" w:color="auto"/>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289,33</w:t>
            </w:r>
          </w:p>
        </w:tc>
        <w:tc>
          <w:tcPr>
            <w:tcW w:w="1318" w:type="dxa"/>
            <w:tcBorders>
              <w:top w:val="nil"/>
              <w:left w:val="nil"/>
              <w:bottom w:val="single" w:sz="8" w:space="0" w:color="auto"/>
              <w:right w:val="single" w:sz="4" w:space="0" w:color="auto"/>
            </w:tcBorders>
          </w:tcPr>
          <w:p w:rsidR="007870D7" w:rsidRPr="00B22DC7" w:rsidRDefault="007870D7" w:rsidP="007870D7">
            <w:pPr>
              <w:spacing w:after="0"/>
              <w:ind w:firstLine="0"/>
              <w:jc w:val="center"/>
              <w:rPr>
                <w:color w:val="000000"/>
                <w:sz w:val="20"/>
                <w:lang w:eastAsia="lv-LV"/>
              </w:rPr>
            </w:pPr>
            <w:r w:rsidRPr="00B22DC7">
              <w:rPr>
                <w:color w:val="000000"/>
                <w:sz w:val="20"/>
                <w:lang w:eastAsia="lv-LV"/>
              </w:rPr>
              <w:t>289,33</w:t>
            </w:r>
          </w:p>
        </w:tc>
      </w:tr>
      <w:tr w:rsidR="007870D7" w:rsidRPr="001552B5" w:rsidTr="007870D7">
        <w:trPr>
          <w:trHeight w:val="256"/>
          <w:jc w:val="center"/>
        </w:trPr>
        <w:tc>
          <w:tcPr>
            <w:tcW w:w="7743" w:type="dxa"/>
            <w:gridSpan w:val="3"/>
            <w:tcBorders>
              <w:top w:val="nil"/>
              <w:left w:val="single" w:sz="4" w:space="0" w:color="auto"/>
              <w:bottom w:val="single" w:sz="8" w:space="0" w:color="auto"/>
              <w:right w:val="single" w:sz="4" w:space="0" w:color="auto"/>
            </w:tcBorders>
            <w:shd w:val="clear" w:color="auto" w:fill="D9D9D9" w:themeFill="background1" w:themeFillShade="D9"/>
            <w:noWrap/>
            <w:vAlign w:val="center"/>
            <w:hideMark/>
          </w:tcPr>
          <w:p w:rsidR="007870D7" w:rsidRPr="001552B5" w:rsidRDefault="007870D7" w:rsidP="007870D7">
            <w:pPr>
              <w:spacing w:after="0"/>
              <w:ind w:firstLine="0"/>
              <w:jc w:val="left"/>
              <w:rPr>
                <w:b/>
                <w:bCs/>
                <w:sz w:val="20"/>
                <w:lang w:eastAsia="lv-LV"/>
              </w:rPr>
            </w:pPr>
            <w:r w:rsidRPr="001552B5">
              <w:rPr>
                <w:b/>
                <w:color w:val="000000"/>
                <w:sz w:val="20"/>
                <w:lang w:eastAsia="lv-LV"/>
              </w:rPr>
              <w:t>Pārējie alkoholiskie dzērieni</w:t>
            </w:r>
            <w:r w:rsidRPr="001552B5">
              <w:rPr>
                <w:color w:val="000000"/>
                <w:sz w:val="20"/>
                <w:lang w:eastAsia="lv-LV"/>
              </w:rPr>
              <w:t xml:space="preserve">, </w:t>
            </w:r>
            <w:proofErr w:type="spellStart"/>
            <w:r w:rsidRPr="001552B5">
              <w:rPr>
                <w:i/>
                <w:color w:val="000000"/>
                <w:sz w:val="20"/>
                <w:lang w:eastAsia="lv-LV"/>
              </w:rPr>
              <w:t>euro</w:t>
            </w:r>
            <w:proofErr w:type="spellEnd"/>
            <w:r w:rsidRPr="001552B5">
              <w:rPr>
                <w:color w:val="000000"/>
                <w:sz w:val="20"/>
                <w:lang w:eastAsia="lv-LV"/>
              </w:rPr>
              <w:t xml:space="preserve"> par 100 l absolūtā spirta</w:t>
            </w:r>
          </w:p>
        </w:tc>
        <w:tc>
          <w:tcPr>
            <w:tcW w:w="1318" w:type="dxa"/>
            <w:tcBorders>
              <w:top w:val="nil"/>
              <w:left w:val="single" w:sz="4" w:space="0" w:color="auto"/>
              <w:bottom w:val="single" w:sz="8" w:space="0" w:color="auto"/>
              <w:right w:val="single" w:sz="4" w:space="0" w:color="auto"/>
            </w:tcBorders>
            <w:shd w:val="clear" w:color="auto" w:fill="D9D9D9" w:themeFill="background1" w:themeFillShade="D9"/>
          </w:tcPr>
          <w:p w:rsidR="007870D7" w:rsidRPr="001552B5" w:rsidRDefault="007870D7" w:rsidP="007870D7">
            <w:pPr>
              <w:spacing w:after="0"/>
              <w:ind w:firstLine="0"/>
              <w:jc w:val="left"/>
              <w:rPr>
                <w:b/>
                <w:color w:val="000000"/>
                <w:sz w:val="20"/>
                <w:lang w:eastAsia="lv-LV"/>
              </w:rPr>
            </w:pPr>
          </w:p>
        </w:tc>
      </w:tr>
      <w:tr w:rsidR="007870D7" w:rsidRPr="001552B5" w:rsidTr="007870D7">
        <w:trPr>
          <w:trHeight w:val="256"/>
          <w:jc w:val="center"/>
        </w:trPr>
        <w:tc>
          <w:tcPr>
            <w:tcW w:w="3771" w:type="dxa"/>
            <w:tcBorders>
              <w:top w:val="nil"/>
              <w:left w:val="single" w:sz="4" w:space="0" w:color="auto"/>
              <w:right w:val="single" w:sz="8" w:space="0" w:color="auto"/>
            </w:tcBorders>
            <w:shd w:val="clear" w:color="auto" w:fill="auto"/>
            <w:noWrap/>
            <w:vAlign w:val="bottom"/>
            <w:hideMark/>
          </w:tcPr>
          <w:p w:rsidR="007870D7" w:rsidRPr="001552B5" w:rsidRDefault="007870D7" w:rsidP="007870D7">
            <w:pPr>
              <w:spacing w:after="0"/>
              <w:ind w:firstLine="0"/>
              <w:jc w:val="center"/>
              <w:rPr>
                <w:b/>
                <w:color w:val="000000"/>
                <w:sz w:val="20"/>
                <w:lang w:eastAsia="lv-LV"/>
              </w:rPr>
            </w:pPr>
            <w:r w:rsidRPr="001552B5">
              <w:rPr>
                <w:b/>
                <w:color w:val="000000"/>
                <w:sz w:val="20"/>
                <w:lang w:eastAsia="lv-LV"/>
              </w:rPr>
              <w:t>Latvija</w:t>
            </w:r>
            <w:r w:rsidR="00AA0C50" w:rsidRPr="00AA0C50">
              <w:rPr>
                <w:b/>
                <w:color w:val="000000"/>
                <w:sz w:val="20"/>
                <w:vertAlign w:val="superscript"/>
                <w:lang w:eastAsia="lv-LV"/>
              </w:rPr>
              <w:t>5</w:t>
            </w:r>
          </w:p>
        </w:tc>
        <w:tc>
          <w:tcPr>
            <w:tcW w:w="2071" w:type="dxa"/>
            <w:tcBorders>
              <w:top w:val="nil"/>
              <w:left w:val="nil"/>
              <w:right w:val="single" w:sz="8" w:space="0" w:color="auto"/>
            </w:tcBorders>
            <w:shd w:val="clear" w:color="auto" w:fill="auto"/>
            <w:noWrap/>
            <w:vAlign w:val="center"/>
            <w:hideMark/>
          </w:tcPr>
          <w:p w:rsidR="007870D7" w:rsidRPr="00B22DC7" w:rsidRDefault="007870D7" w:rsidP="007870D7">
            <w:pPr>
              <w:spacing w:after="0"/>
              <w:ind w:firstLine="0"/>
              <w:jc w:val="center"/>
              <w:rPr>
                <w:b/>
                <w:color w:val="000000"/>
                <w:sz w:val="20"/>
                <w:lang w:eastAsia="lv-LV"/>
              </w:rPr>
            </w:pPr>
            <w:r w:rsidRPr="00B22DC7">
              <w:rPr>
                <w:b/>
                <w:color w:val="000000"/>
                <w:sz w:val="20"/>
                <w:lang w:eastAsia="lv-LV"/>
              </w:rPr>
              <w:t>1 450,00</w:t>
            </w:r>
          </w:p>
        </w:tc>
        <w:tc>
          <w:tcPr>
            <w:tcW w:w="1901" w:type="dxa"/>
            <w:tcBorders>
              <w:top w:val="nil"/>
              <w:left w:val="nil"/>
              <w:right w:val="single" w:sz="4" w:space="0" w:color="auto"/>
            </w:tcBorders>
            <w:shd w:val="clear" w:color="auto" w:fill="auto"/>
            <w:noWrap/>
            <w:vAlign w:val="center"/>
            <w:hideMark/>
          </w:tcPr>
          <w:p w:rsidR="007870D7" w:rsidRPr="00B22DC7" w:rsidRDefault="007870D7" w:rsidP="007870D7">
            <w:pPr>
              <w:spacing w:after="0"/>
              <w:ind w:firstLine="0"/>
              <w:jc w:val="center"/>
              <w:rPr>
                <w:b/>
                <w:bCs/>
                <w:iCs/>
                <w:sz w:val="20"/>
                <w:lang w:eastAsia="lv-LV"/>
              </w:rPr>
            </w:pPr>
            <w:r w:rsidRPr="00B22DC7">
              <w:rPr>
                <w:b/>
                <w:bCs/>
                <w:iCs/>
                <w:sz w:val="20"/>
                <w:lang w:eastAsia="lv-LV"/>
              </w:rPr>
              <w:t>1 670,00</w:t>
            </w:r>
          </w:p>
        </w:tc>
        <w:tc>
          <w:tcPr>
            <w:tcW w:w="1318" w:type="dxa"/>
            <w:tcBorders>
              <w:top w:val="nil"/>
              <w:left w:val="nil"/>
              <w:right w:val="single" w:sz="4" w:space="0" w:color="auto"/>
            </w:tcBorders>
            <w:vAlign w:val="center"/>
          </w:tcPr>
          <w:p w:rsidR="007870D7" w:rsidRPr="00B22DC7" w:rsidRDefault="007870D7" w:rsidP="007870D7">
            <w:pPr>
              <w:spacing w:after="0"/>
              <w:ind w:firstLine="0"/>
              <w:jc w:val="center"/>
              <w:rPr>
                <w:b/>
                <w:bCs/>
                <w:iCs/>
                <w:sz w:val="20"/>
                <w:lang w:eastAsia="lv-LV"/>
              </w:rPr>
            </w:pPr>
            <w:r w:rsidRPr="00B22DC7">
              <w:rPr>
                <w:b/>
                <w:bCs/>
                <w:iCs/>
                <w:sz w:val="20"/>
                <w:lang w:eastAsia="lv-LV"/>
              </w:rPr>
              <w:t>1 840,00</w:t>
            </w:r>
          </w:p>
        </w:tc>
      </w:tr>
      <w:tr w:rsidR="007870D7" w:rsidRPr="00160BF7" w:rsidTr="007870D7">
        <w:trPr>
          <w:trHeight w:val="256"/>
          <w:jc w:val="center"/>
        </w:trPr>
        <w:tc>
          <w:tcPr>
            <w:tcW w:w="3771" w:type="dxa"/>
            <w:tcBorders>
              <w:left w:val="single" w:sz="4" w:space="0" w:color="auto"/>
              <w:right w:val="single" w:sz="8" w:space="0" w:color="auto"/>
            </w:tcBorders>
            <w:shd w:val="clear" w:color="auto" w:fill="auto"/>
            <w:noWrap/>
            <w:vAlign w:val="bottom"/>
            <w:hideMark/>
          </w:tcPr>
          <w:p w:rsidR="007870D7" w:rsidRPr="00160BF7" w:rsidRDefault="007870D7" w:rsidP="007870D7">
            <w:pPr>
              <w:spacing w:after="0"/>
              <w:ind w:firstLine="0"/>
              <w:jc w:val="center"/>
              <w:rPr>
                <w:color w:val="000000"/>
                <w:sz w:val="20"/>
                <w:lang w:eastAsia="lv-LV"/>
              </w:rPr>
            </w:pPr>
            <w:r w:rsidRPr="00160BF7">
              <w:rPr>
                <w:color w:val="000000"/>
                <w:sz w:val="20"/>
                <w:lang w:eastAsia="lv-LV"/>
              </w:rPr>
              <w:t>Lietuv</w:t>
            </w:r>
            <w:r w:rsidR="00AA0C50">
              <w:rPr>
                <w:color w:val="000000"/>
                <w:sz w:val="20"/>
                <w:lang w:eastAsia="lv-LV"/>
              </w:rPr>
              <w:t>a</w:t>
            </w:r>
            <w:r w:rsidR="00AA0C50" w:rsidRPr="00AA0C50">
              <w:rPr>
                <w:color w:val="000000"/>
                <w:sz w:val="20"/>
                <w:vertAlign w:val="superscript"/>
                <w:lang w:eastAsia="lv-LV"/>
              </w:rPr>
              <w:t>6</w:t>
            </w:r>
          </w:p>
        </w:tc>
        <w:tc>
          <w:tcPr>
            <w:tcW w:w="2071" w:type="dxa"/>
            <w:tcBorders>
              <w:left w:val="nil"/>
              <w:right w:val="single" w:sz="8"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1 665,04</w:t>
            </w:r>
          </w:p>
        </w:tc>
        <w:tc>
          <w:tcPr>
            <w:tcW w:w="1901" w:type="dxa"/>
            <w:tcBorders>
              <w:left w:val="nil"/>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1 665,04</w:t>
            </w:r>
          </w:p>
        </w:tc>
        <w:tc>
          <w:tcPr>
            <w:tcW w:w="1318" w:type="dxa"/>
            <w:tcBorders>
              <w:left w:val="nil"/>
              <w:right w:val="single" w:sz="4" w:space="0" w:color="auto"/>
            </w:tcBorders>
            <w:vAlign w:val="center"/>
          </w:tcPr>
          <w:p w:rsidR="007870D7" w:rsidRPr="00B22DC7" w:rsidRDefault="007870D7" w:rsidP="00B058C2">
            <w:pPr>
              <w:spacing w:after="0"/>
              <w:ind w:firstLine="0"/>
              <w:jc w:val="center"/>
              <w:rPr>
                <w:color w:val="000000"/>
                <w:sz w:val="20"/>
                <w:lang w:eastAsia="lv-LV"/>
              </w:rPr>
            </w:pPr>
            <w:r w:rsidRPr="00B22DC7">
              <w:rPr>
                <w:color w:val="000000"/>
                <w:sz w:val="20"/>
                <w:lang w:eastAsia="lv-LV"/>
              </w:rPr>
              <w:t>1 </w:t>
            </w:r>
            <w:r w:rsidR="00B058C2" w:rsidRPr="00B22DC7">
              <w:rPr>
                <w:color w:val="000000"/>
                <w:sz w:val="20"/>
                <w:lang w:eastAsia="lv-LV"/>
              </w:rPr>
              <w:t>832</w:t>
            </w:r>
            <w:r w:rsidRPr="00B22DC7">
              <w:rPr>
                <w:color w:val="000000"/>
                <w:sz w:val="20"/>
                <w:lang w:eastAsia="lv-LV"/>
              </w:rPr>
              <w:t>,0</w:t>
            </w:r>
            <w:r w:rsidR="00B058C2" w:rsidRPr="00B22DC7">
              <w:rPr>
                <w:color w:val="000000"/>
                <w:sz w:val="20"/>
                <w:lang w:eastAsia="lv-LV"/>
              </w:rPr>
              <w:t>0</w:t>
            </w:r>
          </w:p>
        </w:tc>
      </w:tr>
      <w:tr w:rsidR="007870D7" w:rsidRPr="00160BF7" w:rsidTr="007870D7">
        <w:trPr>
          <w:trHeight w:val="256"/>
          <w:jc w:val="center"/>
        </w:trPr>
        <w:tc>
          <w:tcPr>
            <w:tcW w:w="3771" w:type="dxa"/>
            <w:tcBorders>
              <w:left w:val="single" w:sz="4" w:space="0" w:color="auto"/>
              <w:bottom w:val="single" w:sz="4" w:space="0" w:color="auto"/>
              <w:right w:val="single" w:sz="8" w:space="0" w:color="auto"/>
            </w:tcBorders>
            <w:shd w:val="clear" w:color="auto" w:fill="auto"/>
            <w:noWrap/>
            <w:vAlign w:val="bottom"/>
            <w:hideMark/>
          </w:tcPr>
          <w:p w:rsidR="007870D7" w:rsidRPr="00160BF7" w:rsidRDefault="007870D7" w:rsidP="007870D7">
            <w:pPr>
              <w:spacing w:after="0"/>
              <w:ind w:firstLine="0"/>
              <w:jc w:val="center"/>
              <w:rPr>
                <w:sz w:val="20"/>
                <w:lang w:eastAsia="lv-LV"/>
              </w:rPr>
            </w:pPr>
            <w:r w:rsidRPr="00160BF7">
              <w:rPr>
                <w:sz w:val="20"/>
                <w:lang w:eastAsia="lv-LV"/>
              </w:rPr>
              <w:t>Igaunija</w:t>
            </w:r>
            <w:r w:rsidR="00AA0C50" w:rsidRPr="00AA0C50">
              <w:rPr>
                <w:color w:val="000000"/>
                <w:sz w:val="20"/>
                <w:vertAlign w:val="superscript"/>
                <w:lang w:eastAsia="lv-LV"/>
              </w:rPr>
              <w:t>7</w:t>
            </w:r>
          </w:p>
        </w:tc>
        <w:tc>
          <w:tcPr>
            <w:tcW w:w="2071" w:type="dxa"/>
            <w:tcBorders>
              <w:left w:val="nil"/>
              <w:bottom w:val="single" w:sz="4" w:space="0" w:color="auto"/>
              <w:right w:val="single" w:sz="8" w:space="0" w:color="auto"/>
            </w:tcBorders>
            <w:shd w:val="clear" w:color="auto" w:fill="auto"/>
            <w:noWrap/>
            <w:vAlign w:val="center"/>
            <w:hideMark/>
          </w:tcPr>
          <w:p w:rsidR="007870D7" w:rsidRPr="00B22DC7" w:rsidRDefault="007870D7" w:rsidP="007870D7">
            <w:pPr>
              <w:spacing w:after="0"/>
              <w:ind w:firstLine="0"/>
              <w:jc w:val="center"/>
              <w:rPr>
                <w:sz w:val="20"/>
                <w:lang w:eastAsia="lv-LV"/>
              </w:rPr>
            </w:pPr>
            <w:r w:rsidRPr="00B22DC7">
              <w:rPr>
                <w:sz w:val="20"/>
                <w:lang w:eastAsia="lv-LV"/>
              </w:rPr>
              <w:t>2 389,00</w:t>
            </w:r>
          </w:p>
        </w:tc>
        <w:tc>
          <w:tcPr>
            <w:tcW w:w="1901" w:type="dxa"/>
            <w:tcBorders>
              <w:left w:val="nil"/>
              <w:bottom w:val="single" w:sz="4" w:space="0" w:color="auto"/>
              <w:right w:val="single" w:sz="4" w:space="0" w:color="auto"/>
            </w:tcBorders>
            <w:shd w:val="clear" w:color="auto" w:fill="auto"/>
            <w:noWrap/>
            <w:vAlign w:val="center"/>
            <w:hideMark/>
          </w:tcPr>
          <w:p w:rsidR="007870D7" w:rsidRPr="00B22DC7" w:rsidRDefault="007870D7" w:rsidP="00326BFF">
            <w:pPr>
              <w:spacing w:after="0"/>
              <w:ind w:firstLine="0"/>
              <w:jc w:val="center"/>
              <w:rPr>
                <w:sz w:val="20"/>
                <w:lang w:eastAsia="lv-LV"/>
              </w:rPr>
            </w:pPr>
            <w:r w:rsidRPr="00B22DC7">
              <w:rPr>
                <w:sz w:val="20"/>
                <w:lang w:eastAsia="lv-LV"/>
              </w:rPr>
              <w:t>2 </w:t>
            </w:r>
            <w:r w:rsidR="00326BFF" w:rsidRPr="00B22DC7">
              <w:rPr>
                <w:sz w:val="20"/>
                <w:lang w:eastAsia="lv-LV"/>
              </w:rPr>
              <w:t>508</w:t>
            </w:r>
            <w:r w:rsidRPr="00B22DC7">
              <w:rPr>
                <w:sz w:val="20"/>
                <w:lang w:eastAsia="lv-LV"/>
              </w:rPr>
              <w:t>,00</w:t>
            </w:r>
          </w:p>
        </w:tc>
        <w:tc>
          <w:tcPr>
            <w:tcW w:w="1318" w:type="dxa"/>
            <w:tcBorders>
              <w:left w:val="nil"/>
              <w:bottom w:val="single" w:sz="4" w:space="0" w:color="auto"/>
              <w:right w:val="single" w:sz="4" w:space="0" w:color="auto"/>
            </w:tcBorders>
            <w:vAlign w:val="center"/>
          </w:tcPr>
          <w:p w:rsidR="007870D7" w:rsidRPr="00B22DC7" w:rsidRDefault="00326BFF" w:rsidP="007870D7">
            <w:pPr>
              <w:spacing w:after="0"/>
              <w:ind w:firstLine="0"/>
              <w:jc w:val="center"/>
              <w:rPr>
                <w:sz w:val="20"/>
                <w:lang w:eastAsia="lv-LV"/>
              </w:rPr>
            </w:pPr>
            <w:r w:rsidRPr="00B22DC7">
              <w:rPr>
                <w:sz w:val="20"/>
                <w:lang w:eastAsia="lv-LV"/>
              </w:rPr>
              <w:t>2 508,00</w:t>
            </w:r>
          </w:p>
        </w:tc>
      </w:tr>
    </w:tbl>
    <w:p w:rsidR="007870D7" w:rsidRPr="00160BF7" w:rsidRDefault="00AA0C50" w:rsidP="00B75DFA">
      <w:pPr>
        <w:spacing w:after="0"/>
        <w:ind w:firstLine="0"/>
        <w:rPr>
          <w:sz w:val="20"/>
          <w:szCs w:val="24"/>
        </w:rPr>
      </w:pPr>
      <w:r w:rsidRPr="00AA0C50">
        <w:rPr>
          <w:color w:val="000000"/>
          <w:sz w:val="20"/>
          <w:vertAlign w:val="superscript"/>
          <w:lang w:eastAsia="lv-LV"/>
        </w:rPr>
        <w:t>5</w:t>
      </w:r>
      <w:r w:rsidR="007870D7" w:rsidRPr="00160BF7">
        <w:rPr>
          <w:sz w:val="20"/>
          <w:szCs w:val="24"/>
        </w:rPr>
        <w:t>Ar katra gada 1.martu (2018.–2020.gadā saskaņā ar 2017.gada 27.jūlijā pieņemtajiem grozījumiem likumā „Par akcīzes nodokli”)</w:t>
      </w:r>
    </w:p>
    <w:p w:rsidR="007870D7" w:rsidRPr="00160BF7" w:rsidRDefault="00AA0C50" w:rsidP="00B75DFA">
      <w:pPr>
        <w:spacing w:after="0"/>
        <w:ind w:firstLine="0"/>
        <w:rPr>
          <w:sz w:val="20"/>
          <w:szCs w:val="24"/>
        </w:rPr>
      </w:pPr>
      <w:r w:rsidRPr="00AA0C50">
        <w:rPr>
          <w:sz w:val="20"/>
          <w:szCs w:val="24"/>
          <w:vertAlign w:val="superscript"/>
        </w:rPr>
        <w:t>6</w:t>
      </w:r>
      <w:r w:rsidR="007870D7" w:rsidRPr="00160BF7">
        <w:rPr>
          <w:sz w:val="20"/>
          <w:szCs w:val="24"/>
        </w:rPr>
        <w:t>Ar 2017.gada 1.martu</w:t>
      </w:r>
      <w:r w:rsidR="00326BFF">
        <w:rPr>
          <w:sz w:val="20"/>
          <w:szCs w:val="24"/>
        </w:rPr>
        <w:t xml:space="preserve"> un 2019.gada 1.martu</w:t>
      </w:r>
    </w:p>
    <w:p w:rsidR="007870D7" w:rsidRDefault="00AA0C50" w:rsidP="00B75DFA">
      <w:pPr>
        <w:spacing w:after="0"/>
        <w:ind w:firstLine="0"/>
        <w:rPr>
          <w:sz w:val="20"/>
          <w:szCs w:val="24"/>
        </w:rPr>
      </w:pPr>
      <w:r w:rsidRPr="00AA0C50">
        <w:rPr>
          <w:color w:val="000000"/>
          <w:sz w:val="20"/>
          <w:vertAlign w:val="superscript"/>
          <w:lang w:eastAsia="lv-LV"/>
        </w:rPr>
        <w:t>7</w:t>
      </w:r>
      <w:r w:rsidR="007870D7" w:rsidRPr="00160BF7">
        <w:rPr>
          <w:sz w:val="20"/>
          <w:szCs w:val="24"/>
        </w:rPr>
        <w:t xml:space="preserve">Igaunijā 2017.gadā likmes alkoholiskajiem dzērieniem tika paaugstinātas ar 1.februāri, bet raudzētajiem dzērieniem ar absolūtā spirta saturu zem 6 tilpumprocentiem likme tika paaugstināta arī ar 1.jūliju. 2018.gadā likmes paaugstināja ar 1.februāri. </w:t>
      </w:r>
    </w:p>
    <w:p w:rsidR="00B75DFA" w:rsidRPr="00160BF7" w:rsidRDefault="00B75DFA" w:rsidP="007870D7">
      <w:pPr>
        <w:spacing w:after="0"/>
        <w:ind w:left="709" w:firstLine="0"/>
        <w:rPr>
          <w:sz w:val="20"/>
          <w:szCs w:val="24"/>
        </w:rPr>
      </w:pPr>
    </w:p>
    <w:p w:rsidR="007870D7" w:rsidRPr="00160BF7" w:rsidRDefault="007870D7" w:rsidP="007870D7">
      <w:r w:rsidRPr="00160BF7">
        <w:rPr>
          <w:szCs w:val="24"/>
        </w:rPr>
        <w:t xml:space="preserve">Saskaņā ar </w:t>
      </w:r>
      <w:r w:rsidRPr="00160BF7">
        <w:t>likum</w:t>
      </w:r>
      <w:r w:rsidR="00B058C2">
        <w:t>u</w:t>
      </w:r>
      <w:r w:rsidRPr="00160BF7">
        <w:t xml:space="preserve"> „Par valsts budžetu 2019.gadam” </w:t>
      </w:r>
      <w:r w:rsidRPr="00160BF7">
        <w:rPr>
          <w:szCs w:val="24"/>
        </w:rPr>
        <w:t>2019.gadā akcīzes nodokļa alkoholiskiem dzērieniem ieņēmumi plānoti 223,4 milj. </w:t>
      </w:r>
      <w:proofErr w:type="spellStart"/>
      <w:r w:rsidRPr="00160BF7">
        <w:rPr>
          <w:i/>
          <w:szCs w:val="24"/>
        </w:rPr>
        <w:t>euro</w:t>
      </w:r>
      <w:proofErr w:type="spellEnd"/>
      <w:r w:rsidRPr="00160BF7">
        <w:rPr>
          <w:szCs w:val="24"/>
        </w:rPr>
        <w:t xml:space="preserve"> apmērā, kas ir par 34,4 milj. </w:t>
      </w:r>
      <w:proofErr w:type="spellStart"/>
      <w:r w:rsidRPr="00160BF7">
        <w:rPr>
          <w:i/>
          <w:szCs w:val="24"/>
        </w:rPr>
        <w:t>euro</w:t>
      </w:r>
      <w:proofErr w:type="spellEnd"/>
      <w:r w:rsidRPr="00160BF7">
        <w:rPr>
          <w:szCs w:val="24"/>
        </w:rPr>
        <w:t xml:space="preserve"> jeb 18,2% vairāk nekā iekasēts 2018.gadā. </w:t>
      </w:r>
      <w:r w:rsidRPr="00160BF7">
        <w:t xml:space="preserve">2019.gada plāns ir sagatavots, ņemot vērā 2018.gada </w:t>
      </w:r>
      <w:r w:rsidRPr="00160BF7">
        <w:lastRenderedPageBreak/>
        <w:t xml:space="preserve">ieņēmumu izpildes </w:t>
      </w:r>
      <w:r w:rsidRPr="00340377">
        <w:t>tendences, 2017. un 2018.gadā pieņemtos grozījumus likumā „Par akcīzes nodokli, prognozēto alkoholisko</w:t>
      </w:r>
      <w:r w:rsidRPr="00160BF7">
        <w:t xml:space="preserve"> dzērienu kopējo patēriņa apjomu</w:t>
      </w:r>
      <w:r>
        <w:t>, ņemot vērā Igaunijas nodokļu politiku attiecībā uz akcīzes nodokli alkoholiskajiem dzērieniem.</w:t>
      </w:r>
    </w:p>
    <w:p w:rsidR="007870D7" w:rsidRDefault="007870D7" w:rsidP="007870D7">
      <w:r w:rsidRPr="00160BF7">
        <w:t xml:space="preserve">3.9.tabulā atspoguļotas arī Latvijā plānotās akcīzes nodokļa likmju izmaiņas alkoholiskajiem dzērieniem – saskaņā ar 2017.gada 27.jūlijā pieņemtajiem grozījumiem likumā „Par akcīzes nodokli” ar 2019.gada 1.martu </w:t>
      </w:r>
      <w:r w:rsidR="0075515C" w:rsidRPr="00160BF7">
        <w:t>tik</w:t>
      </w:r>
      <w:r w:rsidR="0075515C">
        <w:t>a</w:t>
      </w:r>
      <w:r w:rsidR="0075515C" w:rsidRPr="00160BF7">
        <w:t xml:space="preserve"> paaugstinātas </w:t>
      </w:r>
      <w:r w:rsidRPr="00160BF7">
        <w:t>akcīzes nodokļa likmes alkoholiskajiem dzērieniem, turklāt tās tiks paaugstinātas arī ar 2020.gada 1.martu. Akcīzes nodokļa likme raudzētajiem dzērieniem ar absolūtā spirta saturu līdz 6 tilpumprocentiem ti</w:t>
      </w:r>
      <w:r w:rsidR="0075515C">
        <w:t xml:space="preserve">ek </w:t>
      </w:r>
      <w:r w:rsidRPr="00160BF7">
        <w:t>saglabāta iepriekšējā līmenī – 64,0 </w:t>
      </w:r>
      <w:proofErr w:type="spellStart"/>
      <w:r w:rsidRPr="00160BF7">
        <w:rPr>
          <w:i/>
        </w:rPr>
        <w:t>euro</w:t>
      </w:r>
      <w:proofErr w:type="spellEnd"/>
      <w:r w:rsidRPr="00160BF7">
        <w:t xml:space="preserve"> par 100 litriem. Fiskālā ietekme no likmju paaugstināšanas 2019.gadā +17,3 </w:t>
      </w:r>
      <w:r w:rsidRPr="00340377">
        <w:t>milj. </w:t>
      </w:r>
      <w:proofErr w:type="spellStart"/>
      <w:r w:rsidRPr="00340377">
        <w:rPr>
          <w:i/>
        </w:rPr>
        <w:t>euro</w:t>
      </w:r>
      <w:proofErr w:type="spellEnd"/>
      <w:r w:rsidRPr="00340377">
        <w:t xml:space="preserve">. </w:t>
      </w:r>
    </w:p>
    <w:p w:rsidR="007870D7" w:rsidRPr="00340377" w:rsidRDefault="007870D7" w:rsidP="00B75DFA">
      <w:pPr>
        <w:tabs>
          <w:tab w:val="left" w:pos="993"/>
        </w:tabs>
        <w:ind w:firstLine="0"/>
      </w:pPr>
      <w:r>
        <w:tab/>
        <w:t>S</w:t>
      </w:r>
      <w:r w:rsidRPr="00FD7D74">
        <w:t>askaņā ar 201</w:t>
      </w:r>
      <w:r>
        <w:t>8</w:t>
      </w:r>
      <w:r w:rsidRPr="00FD7D74">
        <w:t>.gada 2</w:t>
      </w:r>
      <w:r>
        <w:t>5</w:t>
      </w:r>
      <w:r w:rsidRPr="00FD7D74">
        <w:t>.</w:t>
      </w:r>
      <w:r>
        <w:t>oktobrī</w:t>
      </w:r>
      <w:r w:rsidRPr="00FD7D74">
        <w:t xml:space="preserve"> Saeimā pieņemtajiem grozījumi</w:t>
      </w:r>
      <w:r>
        <w:t xml:space="preserve">em likumā „Par akcīzes nodokli” </w:t>
      </w:r>
      <w:r w:rsidRPr="00FD7D74">
        <w:t>ar 2019.gada 1.martu</w:t>
      </w:r>
      <w:r>
        <w:t xml:space="preserve"> mazajās alkoholisko dzērienu darītavās saražotajiem pārējiem alkoholiskajiem dzērieniem </w:t>
      </w:r>
      <w:r w:rsidRPr="00FD7D74">
        <w:t>ti</w:t>
      </w:r>
      <w:r w:rsidR="00B058C2">
        <w:t>ek</w:t>
      </w:r>
      <w:r w:rsidRPr="00FD7D74">
        <w:t xml:space="preserve"> </w:t>
      </w:r>
      <w:r>
        <w:t xml:space="preserve">piemērota </w:t>
      </w:r>
      <w:r w:rsidRPr="00FD7D74">
        <w:t>samazinātā likmes</w:t>
      </w:r>
      <w:r>
        <w:t xml:space="preserve"> </w:t>
      </w:r>
      <w:r w:rsidRPr="00FD7D74">
        <w:t xml:space="preserve">50% apmērā no </w:t>
      </w:r>
      <w:proofErr w:type="spellStart"/>
      <w:r w:rsidRPr="00FD7D74">
        <w:t>standartlikmes</w:t>
      </w:r>
      <w:proofErr w:type="spellEnd"/>
      <w:r>
        <w:t xml:space="preserve">. </w:t>
      </w:r>
      <w:r w:rsidRPr="00160BF7">
        <w:t>Fiskālā ietekme</w:t>
      </w:r>
      <w:r>
        <w:t xml:space="preserve"> -0,04 milj. </w:t>
      </w:r>
      <w:proofErr w:type="spellStart"/>
      <w:r w:rsidRPr="00E2373E">
        <w:rPr>
          <w:bCs/>
          <w:i/>
          <w:szCs w:val="24"/>
        </w:rPr>
        <w:t>euro</w:t>
      </w:r>
      <w:proofErr w:type="spellEnd"/>
      <w:r>
        <w:t xml:space="preserve">. </w:t>
      </w:r>
    </w:p>
    <w:p w:rsidR="007870D7" w:rsidRPr="00340377" w:rsidRDefault="007870D7" w:rsidP="007870D7">
      <w:r w:rsidRPr="00340377">
        <w:t xml:space="preserve">2018.gadā akcīzes nodokļa </w:t>
      </w:r>
      <w:r w:rsidRPr="00207E07">
        <w:t>alum</w:t>
      </w:r>
      <w:r w:rsidRPr="00340377">
        <w:t xml:space="preserve"> ieņēmumi bija 53,1 milj. </w:t>
      </w:r>
      <w:proofErr w:type="spellStart"/>
      <w:r w:rsidRPr="00340377">
        <w:rPr>
          <w:i/>
        </w:rPr>
        <w:t>euro</w:t>
      </w:r>
      <w:proofErr w:type="spellEnd"/>
      <w:r w:rsidRPr="00340377">
        <w:t>, kas, salīdzinot ar 2017.gadu, ir par 16,2 milj. </w:t>
      </w:r>
      <w:proofErr w:type="spellStart"/>
      <w:r w:rsidRPr="00340377">
        <w:rPr>
          <w:i/>
        </w:rPr>
        <w:t>euro</w:t>
      </w:r>
      <w:proofErr w:type="spellEnd"/>
      <w:r w:rsidRPr="00340377">
        <w:t xml:space="preserve"> jeb 44,0% vairāk. Tāpat kā akcīzes nodokļa no alkoholiskajiem dzērieniem ieņēmumu pieaugumu arī akcīzes nodokļa no alus ieņēmumu pieaugumu noteica akcīzes nodokļa likmju būtiskais palielinājums un patēriņa pieaugums pierobežā, kas saistīts ar akcīzes nodokļa likmju alum paaugstināšanu Igaunijā.</w:t>
      </w:r>
    </w:p>
    <w:p w:rsidR="007870D7" w:rsidRPr="00B22DC7" w:rsidRDefault="007870D7" w:rsidP="007870D7">
      <w:r>
        <w:t>A</w:t>
      </w:r>
      <w:r w:rsidRPr="009C7BCB">
        <w:t>r 2017.gada 27.jūlijā Saeimā pieņemtajiem grozījumiem likumā „Par akcīzes nodokli</w:t>
      </w:r>
      <w:r>
        <w:t>”</w:t>
      </w:r>
      <w:r w:rsidRPr="001552B5">
        <w:rPr>
          <w:szCs w:val="24"/>
        </w:rPr>
        <w:t xml:space="preserve"> </w:t>
      </w:r>
      <w:r w:rsidRPr="009C7BCB">
        <w:rPr>
          <w:szCs w:val="24"/>
        </w:rPr>
        <w:t>ar 2018.</w:t>
      </w:r>
      <w:r w:rsidRPr="00340377">
        <w:rPr>
          <w:szCs w:val="24"/>
        </w:rPr>
        <w:t>gada 1.martu</w:t>
      </w:r>
      <w:r w:rsidRPr="00340377">
        <w:t xml:space="preserve"> </w:t>
      </w:r>
      <w:r w:rsidRPr="00340377">
        <w:rPr>
          <w:szCs w:val="24"/>
        </w:rPr>
        <w:t xml:space="preserve">akcīzes nodokļa likmes alum </w:t>
      </w:r>
      <w:r w:rsidRPr="00340377">
        <w:rPr>
          <w:color w:val="000000"/>
          <w:szCs w:val="24"/>
        </w:rPr>
        <w:t>tika paaugstināts līdz 6,8 </w:t>
      </w:r>
      <w:proofErr w:type="spellStart"/>
      <w:r w:rsidRPr="00340377">
        <w:rPr>
          <w:i/>
          <w:color w:val="000000"/>
          <w:szCs w:val="24"/>
        </w:rPr>
        <w:t>euro</w:t>
      </w:r>
      <w:proofErr w:type="spellEnd"/>
      <w:r w:rsidRPr="00340377">
        <w:rPr>
          <w:color w:val="000000"/>
          <w:szCs w:val="24"/>
        </w:rPr>
        <w:t xml:space="preserve"> </w:t>
      </w:r>
      <w:r w:rsidRPr="00340377">
        <w:t xml:space="preserve">par katru absolūtā spirta tilpumprocentu par 100 litriem alus, bet minimālā likme </w:t>
      </w:r>
      <w:r w:rsidRPr="00340377">
        <w:rPr>
          <w:color w:val="000000"/>
          <w:szCs w:val="24"/>
        </w:rPr>
        <w:t>–</w:t>
      </w:r>
      <w:r w:rsidRPr="00340377">
        <w:t xml:space="preserve"> līdz 12,5 </w:t>
      </w:r>
      <w:proofErr w:type="spellStart"/>
      <w:r w:rsidRPr="00340377">
        <w:rPr>
          <w:i/>
        </w:rPr>
        <w:t>euro</w:t>
      </w:r>
      <w:proofErr w:type="spellEnd"/>
      <w:r w:rsidRPr="00340377">
        <w:t xml:space="preserve"> par 100 litriem alus. </w:t>
      </w:r>
    </w:p>
    <w:p w:rsidR="007870D7" w:rsidRPr="00340377" w:rsidRDefault="007870D7" w:rsidP="007870D7">
      <w:pPr>
        <w:rPr>
          <w:szCs w:val="24"/>
        </w:rPr>
      </w:pPr>
      <w:r w:rsidRPr="00340377">
        <w:rPr>
          <w:szCs w:val="24"/>
        </w:rPr>
        <w:t xml:space="preserve">Saskaņā ar Valsts ieņēmumu dienesta informāciju </w:t>
      </w:r>
      <w:r w:rsidRPr="00340377">
        <w:rPr>
          <w:szCs w:val="24"/>
          <w:lang w:eastAsia="lv-LV"/>
        </w:rPr>
        <w:t xml:space="preserve">alus produktu </w:t>
      </w:r>
      <w:r w:rsidRPr="00340377">
        <w:rPr>
          <w:szCs w:val="24"/>
        </w:rPr>
        <w:t>kopējais patēriņš 2018.gada 11 mēnešos un 2017.</w:t>
      </w:r>
      <w:r w:rsidRPr="00340377">
        <w:t>gada decembrī</w:t>
      </w:r>
      <w:r w:rsidRPr="00340377">
        <w:rPr>
          <w:szCs w:val="24"/>
        </w:rPr>
        <w:t xml:space="preserve"> salīdzinājumā ar 2017. un 2016.gada atbilstošo periodu ir palielinājies par 3,2 procentiem. </w:t>
      </w:r>
    </w:p>
    <w:p w:rsidR="007870D7" w:rsidRPr="00B22DC7" w:rsidRDefault="007870D7" w:rsidP="007870D7">
      <w:pPr>
        <w:rPr>
          <w:szCs w:val="24"/>
        </w:rPr>
      </w:pPr>
      <w:r w:rsidRPr="00340377">
        <w:rPr>
          <w:szCs w:val="24"/>
        </w:rPr>
        <w:t xml:space="preserve">Akcīzes nodokļa ieņēmumus no alus ietekmē arī mazajās alus darītavās saražotā alus daudzuma pieauguma dinamika, jo tajās saražotajam alum (par pirmajiem 10 000 hektolitru kalendārajā gadā) tiek piešķirts akcīzes nodokļa atvieglojums 50% apmērā. Patstāvīgās mazās alus darītavas statuss 2018.gada septembra beigās bija piešķirts 50 komersantiem. 2018.gada deviņos mēnešos no kopējā saražotā alus daudzuma 26% tika saražoti mazajās alus darītavās. </w:t>
      </w:r>
    </w:p>
    <w:p w:rsidR="007870D7" w:rsidRPr="00160BF7" w:rsidRDefault="007870D7" w:rsidP="007870D7">
      <w:r w:rsidRPr="00340377">
        <w:rPr>
          <w:szCs w:val="24"/>
        </w:rPr>
        <w:t>Saskaņā ar likumu</w:t>
      </w:r>
      <w:r w:rsidRPr="00340377">
        <w:t xml:space="preserve"> „Par valsts budžetu 2019.gadam” akcīzes nodokļa ieņēmumi no alus 2019.gadā tiek plānoti 60,8 milj. </w:t>
      </w:r>
      <w:proofErr w:type="spellStart"/>
      <w:r w:rsidRPr="00340377">
        <w:rPr>
          <w:i/>
        </w:rPr>
        <w:t>euro</w:t>
      </w:r>
      <w:proofErr w:type="spellEnd"/>
      <w:r w:rsidRPr="00340377">
        <w:t xml:space="preserve"> apmērā, kas ir par 7,7 milj. </w:t>
      </w:r>
      <w:proofErr w:type="spellStart"/>
      <w:r w:rsidRPr="00340377">
        <w:rPr>
          <w:i/>
        </w:rPr>
        <w:t>euro</w:t>
      </w:r>
      <w:proofErr w:type="spellEnd"/>
      <w:r w:rsidRPr="00340377">
        <w:t xml:space="preserve"> jeb 14,6% vairāk nekā iekasēts 2018.gadā. 2019.gada plāns ir sagatavots, ņemot vērā 2018.gada ieņēmumu izpildes tendences, </w:t>
      </w:r>
      <w:r w:rsidRPr="002C511E">
        <w:t>2017.gadā pieņemtos grozījumus likumā „Par akcīzes nodokli”, prognozēto alus patēriņu, ņemot vērā Igaunijas nodokļu politiku attiecībā uz akcīzes nodokli alum.</w:t>
      </w:r>
    </w:p>
    <w:p w:rsidR="007870D7" w:rsidRPr="00B22DC7" w:rsidRDefault="007870D7" w:rsidP="007870D7">
      <w:r w:rsidRPr="009E607B">
        <w:t>Saskaņā ar 2017.gada 27.jūlijā pieņemtajiem grozījumiem likumā „Par akcīzes nodokli” ar 2019.gada 1.martu akcīzes nodokļa likme alum tik</w:t>
      </w:r>
      <w:r w:rsidR="00B058C2">
        <w:t>a</w:t>
      </w:r>
      <w:r w:rsidRPr="009E607B">
        <w:t xml:space="preserve"> paaugstināta līdz 7,4 </w:t>
      </w:r>
      <w:proofErr w:type="spellStart"/>
      <w:r w:rsidRPr="009E607B">
        <w:rPr>
          <w:bCs/>
          <w:i/>
          <w:szCs w:val="24"/>
        </w:rPr>
        <w:t>euro</w:t>
      </w:r>
      <w:proofErr w:type="spellEnd"/>
      <w:r w:rsidRPr="009E607B">
        <w:t xml:space="preserve"> par katru spirta tilpumprocentu, bet minimālais līmenis līdz 13,6 </w:t>
      </w:r>
      <w:proofErr w:type="spellStart"/>
      <w:r w:rsidRPr="009E607B">
        <w:rPr>
          <w:bCs/>
          <w:i/>
          <w:szCs w:val="24"/>
        </w:rPr>
        <w:t>euro</w:t>
      </w:r>
      <w:proofErr w:type="spellEnd"/>
      <w:r w:rsidRPr="009E607B">
        <w:t xml:space="preserve"> par 100 litriem alus.</w:t>
      </w:r>
      <w:r w:rsidR="00326BFF">
        <w:t xml:space="preserve"> </w:t>
      </w:r>
      <w:r w:rsidRPr="009E607B">
        <w:t>Likmes tiks paaugstinātas arī ar 2020.gada 1.martu. Fiskālā ietekme 2019.gadā +11,9 milj. </w:t>
      </w:r>
      <w:proofErr w:type="spellStart"/>
      <w:r w:rsidRPr="009E607B">
        <w:rPr>
          <w:i/>
        </w:rPr>
        <w:t>euro</w:t>
      </w:r>
      <w:proofErr w:type="spellEnd"/>
      <w:r w:rsidRPr="009E607B">
        <w:t>.</w:t>
      </w:r>
    </w:p>
    <w:p w:rsidR="007870D7" w:rsidRDefault="007870D7" w:rsidP="007870D7">
      <w:pPr>
        <w:rPr>
          <w:color w:val="FF0000"/>
        </w:rPr>
      </w:pPr>
      <w:r w:rsidRPr="00E87FE2">
        <w:t>3.10.tabulā atspoguļotas akcīzes nodokļa alum likmes arī pārējās Baltijas valstīs</w:t>
      </w:r>
      <w:r w:rsidRPr="006101B1">
        <w:t xml:space="preserve">. Tāpat kā alkoholiskajiem dzērieniem arī alum Igaunijā 2019. un 2020.gadā likmes netiks paaugstinātas, tomēr joprojām saglabāsies augsta cenu atšķirība (nodokļu daļas cenas atšķirība, ieskaitot pievienotās vērtības nodokli, 0,5 litru alus pudelei (ar absolūtā spirta saturu 5,2 tilpumprocenti) ar 2019.gada 1.martu </w:t>
      </w:r>
      <w:r w:rsidR="00B058C2">
        <w:t>ir</w:t>
      </w:r>
      <w:r w:rsidRPr="006101B1">
        <w:t xml:space="preserve"> 0,30 </w:t>
      </w:r>
      <w:proofErr w:type="spellStart"/>
      <w:r w:rsidRPr="006101B1">
        <w:rPr>
          <w:i/>
        </w:rPr>
        <w:t>euro</w:t>
      </w:r>
      <w:proofErr w:type="spellEnd"/>
      <w:r w:rsidRPr="006101B1">
        <w:t xml:space="preserve">, bet ar 2020.gada 1.martu </w:t>
      </w:r>
      <w:r w:rsidR="00B058C2">
        <w:t>tā būs</w:t>
      </w:r>
      <w:r w:rsidRPr="006101B1">
        <w:t xml:space="preserve"> 0,27 </w:t>
      </w:r>
      <w:proofErr w:type="spellStart"/>
      <w:r w:rsidRPr="006101B1">
        <w:rPr>
          <w:bCs/>
          <w:i/>
          <w:szCs w:val="24"/>
        </w:rPr>
        <w:t>euro</w:t>
      </w:r>
      <w:proofErr w:type="spellEnd"/>
      <w:r w:rsidRPr="006101B1">
        <w:t>). Līdz ar to prognozējams, ka arī alus tirdzniecību Igaunijas – Latvijas pierobežā turpinās pastāvēt.</w:t>
      </w:r>
    </w:p>
    <w:p w:rsidR="007870D7" w:rsidRPr="00E87FE2" w:rsidRDefault="007870D7" w:rsidP="007870D7">
      <w:pPr>
        <w:spacing w:after="0"/>
        <w:contextualSpacing/>
        <w:jc w:val="center"/>
        <w:rPr>
          <w:b/>
          <w:i/>
        </w:rPr>
      </w:pPr>
      <w:r w:rsidRPr="00E87FE2">
        <w:rPr>
          <w:b/>
          <w:i/>
        </w:rPr>
        <w:lastRenderedPageBreak/>
        <w:t>3.10.tabula.</w:t>
      </w:r>
      <w:r w:rsidRPr="00E87FE2">
        <w:t xml:space="preserve"> </w:t>
      </w:r>
      <w:r w:rsidRPr="00E87FE2">
        <w:rPr>
          <w:b/>
          <w:i/>
        </w:rPr>
        <w:t>Akcīzes nodokļa likmes alum Baltijas valstīs</w:t>
      </w:r>
    </w:p>
    <w:tbl>
      <w:tblPr>
        <w:tblW w:w="9197" w:type="dxa"/>
        <w:jc w:val="center"/>
        <w:tblLook w:val="04A0" w:firstRow="1" w:lastRow="0" w:firstColumn="1" w:lastColumn="0" w:noHBand="0" w:noVBand="1"/>
      </w:tblPr>
      <w:tblGrid>
        <w:gridCol w:w="3301"/>
        <w:gridCol w:w="2303"/>
        <w:gridCol w:w="1872"/>
        <w:gridCol w:w="1721"/>
      </w:tblGrid>
      <w:tr w:rsidR="007870D7" w:rsidRPr="00E87FE2" w:rsidTr="00B75DFA">
        <w:trPr>
          <w:trHeight w:val="272"/>
          <w:jc w:val="center"/>
        </w:trPr>
        <w:tc>
          <w:tcPr>
            <w:tcW w:w="3301"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7870D7" w:rsidRPr="00E87FE2" w:rsidRDefault="007870D7" w:rsidP="007870D7">
            <w:pPr>
              <w:spacing w:after="0"/>
              <w:ind w:firstLine="0"/>
              <w:jc w:val="left"/>
              <w:rPr>
                <w:b/>
                <w:color w:val="000000"/>
                <w:sz w:val="20"/>
                <w:lang w:eastAsia="lv-LV"/>
              </w:rPr>
            </w:pPr>
          </w:p>
        </w:tc>
        <w:tc>
          <w:tcPr>
            <w:tcW w:w="2303"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7870D7" w:rsidRPr="00E87FE2" w:rsidRDefault="007870D7" w:rsidP="007870D7">
            <w:pPr>
              <w:spacing w:after="0"/>
              <w:ind w:firstLine="0"/>
              <w:jc w:val="center"/>
              <w:rPr>
                <w:b/>
                <w:bCs/>
                <w:sz w:val="20"/>
                <w:lang w:eastAsia="lv-LV"/>
              </w:rPr>
            </w:pPr>
            <w:r w:rsidRPr="00E87FE2">
              <w:rPr>
                <w:b/>
                <w:bCs/>
                <w:sz w:val="20"/>
                <w:lang w:eastAsia="lv-LV"/>
              </w:rPr>
              <w:t>2017</w:t>
            </w:r>
          </w:p>
        </w:tc>
        <w:tc>
          <w:tcPr>
            <w:tcW w:w="1870"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7870D7" w:rsidRPr="00E87FE2" w:rsidRDefault="007870D7" w:rsidP="007870D7">
            <w:pPr>
              <w:spacing w:after="0"/>
              <w:ind w:firstLine="0"/>
              <w:jc w:val="center"/>
              <w:rPr>
                <w:b/>
                <w:bCs/>
                <w:sz w:val="20"/>
                <w:lang w:eastAsia="lv-LV"/>
              </w:rPr>
            </w:pPr>
            <w:r w:rsidRPr="00E87FE2">
              <w:rPr>
                <w:b/>
                <w:bCs/>
                <w:sz w:val="20"/>
                <w:lang w:eastAsia="lv-LV"/>
              </w:rPr>
              <w:t>2018</w:t>
            </w:r>
          </w:p>
        </w:tc>
        <w:tc>
          <w:tcPr>
            <w:tcW w:w="1721" w:type="dxa"/>
            <w:tcBorders>
              <w:top w:val="single" w:sz="4" w:space="0" w:color="auto"/>
              <w:left w:val="nil"/>
              <w:bottom w:val="single" w:sz="8" w:space="0" w:color="auto"/>
              <w:right w:val="single" w:sz="4" w:space="0" w:color="auto"/>
            </w:tcBorders>
            <w:shd w:val="clear" w:color="auto" w:fill="D9D9D9" w:themeFill="background1" w:themeFillShade="D9"/>
          </w:tcPr>
          <w:p w:rsidR="007870D7" w:rsidRPr="00E87FE2" w:rsidRDefault="007870D7" w:rsidP="007870D7">
            <w:pPr>
              <w:spacing w:after="0"/>
              <w:ind w:firstLine="0"/>
              <w:jc w:val="center"/>
              <w:rPr>
                <w:b/>
                <w:bCs/>
                <w:sz w:val="20"/>
                <w:lang w:eastAsia="lv-LV"/>
              </w:rPr>
            </w:pPr>
            <w:r w:rsidRPr="00E87FE2">
              <w:rPr>
                <w:b/>
                <w:bCs/>
                <w:sz w:val="20"/>
                <w:lang w:eastAsia="lv-LV"/>
              </w:rPr>
              <w:t>2019</w:t>
            </w:r>
          </w:p>
        </w:tc>
      </w:tr>
      <w:tr w:rsidR="007870D7" w:rsidRPr="00B058C2" w:rsidTr="00B75DFA">
        <w:trPr>
          <w:trHeight w:val="272"/>
          <w:jc w:val="center"/>
        </w:trPr>
        <w:tc>
          <w:tcPr>
            <w:tcW w:w="7476"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rsidR="007870D7" w:rsidRPr="00B058C2" w:rsidRDefault="007870D7" w:rsidP="007870D7">
            <w:pPr>
              <w:spacing w:after="0"/>
              <w:ind w:firstLine="0"/>
              <w:jc w:val="center"/>
              <w:rPr>
                <w:b/>
                <w:bCs/>
                <w:sz w:val="20"/>
                <w:lang w:eastAsia="lv-LV"/>
              </w:rPr>
            </w:pPr>
            <w:r w:rsidRPr="00B058C2">
              <w:rPr>
                <w:b/>
                <w:color w:val="000000"/>
                <w:sz w:val="20"/>
                <w:lang w:eastAsia="lv-LV"/>
              </w:rPr>
              <w:t>Alus</w:t>
            </w:r>
            <w:r w:rsidRPr="00B058C2">
              <w:rPr>
                <w:color w:val="000000"/>
                <w:sz w:val="20"/>
                <w:lang w:eastAsia="lv-LV"/>
              </w:rPr>
              <w:t xml:space="preserve">, </w:t>
            </w:r>
            <w:proofErr w:type="spellStart"/>
            <w:r w:rsidRPr="00B058C2">
              <w:rPr>
                <w:i/>
                <w:color w:val="000000"/>
                <w:sz w:val="20"/>
                <w:lang w:eastAsia="lv-LV"/>
              </w:rPr>
              <w:t>euro</w:t>
            </w:r>
            <w:proofErr w:type="spellEnd"/>
            <w:r w:rsidRPr="00B058C2">
              <w:rPr>
                <w:color w:val="000000"/>
                <w:sz w:val="20"/>
                <w:lang w:eastAsia="lv-LV"/>
              </w:rPr>
              <w:t xml:space="preserve"> par katru spirta tilpumprocentu</w:t>
            </w:r>
          </w:p>
        </w:tc>
        <w:tc>
          <w:tcPr>
            <w:tcW w:w="1721"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rsidR="007870D7" w:rsidRPr="00B058C2" w:rsidRDefault="007870D7" w:rsidP="007870D7">
            <w:pPr>
              <w:spacing w:after="0"/>
              <w:ind w:firstLine="0"/>
              <w:jc w:val="center"/>
              <w:rPr>
                <w:b/>
                <w:color w:val="000000"/>
                <w:sz w:val="20"/>
                <w:lang w:eastAsia="lv-LV"/>
              </w:rPr>
            </w:pPr>
          </w:p>
        </w:tc>
      </w:tr>
      <w:tr w:rsidR="007870D7" w:rsidRPr="00B058C2" w:rsidTr="00B75DFA">
        <w:trPr>
          <w:trHeight w:val="272"/>
          <w:jc w:val="center"/>
        </w:trPr>
        <w:tc>
          <w:tcPr>
            <w:tcW w:w="3301" w:type="dxa"/>
            <w:tcBorders>
              <w:top w:val="nil"/>
              <w:left w:val="single" w:sz="8" w:space="0" w:color="auto"/>
              <w:right w:val="single" w:sz="8" w:space="0" w:color="auto"/>
            </w:tcBorders>
            <w:shd w:val="clear" w:color="auto" w:fill="auto"/>
            <w:noWrap/>
            <w:vAlign w:val="bottom"/>
            <w:hideMark/>
          </w:tcPr>
          <w:p w:rsidR="007870D7" w:rsidRPr="00B058C2" w:rsidRDefault="007870D7" w:rsidP="00AA0C50">
            <w:pPr>
              <w:spacing w:after="0"/>
              <w:ind w:firstLine="0"/>
              <w:jc w:val="center"/>
              <w:rPr>
                <w:b/>
                <w:color w:val="000000"/>
                <w:sz w:val="20"/>
                <w:lang w:eastAsia="lv-LV"/>
              </w:rPr>
            </w:pPr>
            <w:r w:rsidRPr="00B058C2">
              <w:rPr>
                <w:b/>
                <w:color w:val="000000"/>
                <w:sz w:val="20"/>
                <w:lang w:eastAsia="lv-LV"/>
              </w:rPr>
              <w:t>Latvija</w:t>
            </w:r>
            <w:r w:rsidR="00AA0C50" w:rsidRPr="00AA0C50">
              <w:rPr>
                <w:b/>
                <w:color w:val="000000"/>
                <w:sz w:val="20"/>
                <w:vertAlign w:val="superscript"/>
                <w:lang w:eastAsia="lv-LV"/>
              </w:rPr>
              <w:t>8</w:t>
            </w:r>
          </w:p>
        </w:tc>
        <w:tc>
          <w:tcPr>
            <w:tcW w:w="2303" w:type="dxa"/>
            <w:tcBorders>
              <w:top w:val="nil"/>
              <w:left w:val="nil"/>
              <w:right w:val="single" w:sz="8" w:space="0" w:color="auto"/>
            </w:tcBorders>
            <w:shd w:val="clear" w:color="auto" w:fill="auto"/>
            <w:noWrap/>
            <w:vAlign w:val="center"/>
            <w:hideMark/>
          </w:tcPr>
          <w:p w:rsidR="007870D7" w:rsidRPr="00B22DC7" w:rsidRDefault="007870D7" w:rsidP="007870D7">
            <w:pPr>
              <w:spacing w:after="0"/>
              <w:ind w:firstLine="0"/>
              <w:jc w:val="center"/>
              <w:rPr>
                <w:b/>
                <w:sz w:val="20"/>
                <w:lang w:eastAsia="lv-LV"/>
              </w:rPr>
            </w:pPr>
            <w:r w:rsidRPr="00B22DC7">
              <w:rPr>
                <w:b/>
                <w:sz w:val="20"/>
                <w:lang w:eastAsia="lv-LV"/>
              </w:rPr>
              <w:t>4,50</w:t>
            </w:r>
          </w:p>
        </w:tc>
        <w:tc>
          <w:tcPr>
            <w:tcW w:w="1870" w:type="dxa"/>
            <w:tcBorders>
              <w:top w:val="nil"/>
              <w:left w:val="nil"/>
              <w:right w:val="single" w:sz="4" w:space="0" w:color="auto"/>
            </w:tcBorders>
            <w:shd w:val="clear" w:color="auto" w:fill="auto"/>
            <w:noWrap/>
            <w:vAlign w:val="center"/>
            <w:hideMark/>
          </w:tcPr>
          <w:p w:rsidR="007870D7" w:rsidRPr="00B22DC7" w:rsidRDefault="007870D7" w:rsidP="007870D7">
            <w:pPr>
              <w:spacing w:after="0"/>
              <w:ind w:firstLine="0"/>
              <w:jc w:val="center"/>
              <w:rPr>
                <w:b/>
                <w:bCs/>
                <w:iCs/>
                <w:sz w:val="20"/>
                <w:lang w:eastAsia="lv-LV"/>
              </w:rPr>
            </w:pPr>
            <w:r w:rsidRPr="00B22DC7">
              <w:rPr>
                <w:b/>
                <w:bCs/>
                <w:iCs/>
                <w:sz w:val="20"/>
                <w:lang w:eastAsia="lv-LV"/>
              </w:rPr>
              <w:t>6,80</w:t>
            </w:r>
          </w:p>
        </w:tc>
        <w:tc>
          <w:tcPr>
            <w:tcW w:w="1721" w:type="dxa"/>
            <w:tcBorders>
              <w:top w:val="nil"/>
              <w:left w:val="nil"/>
              <w:right w:val="single" w:sz="4" w:space="0" w:color="auto"/>
            </w:tcBorders>
          </w:tcPr>
          <w:p w:rsidR="007870D7" w:rsidRPr="00B22DC7" w:rsidRDefault="007870D7" w:rsidP="007870D7">
            <w:pPr>
              <w:spacing w:after="0"/>
              <w:ind w:firstLine="0"/>
              <w:jc w:val="center"/>
              <w:rPr>
                <w:b/>
                <w:bCs/>
                <w:iCs/>
                <w:sz w:val="20"/>
                <w:lang w:eastAsia="lv-LV"/>
              </w:rPr>
            </w:pPr>
            <w:r w:rsidRPr="00B22DC7">
              <w:rPr>
                <w:b/>
                <w:bCs/>
                <w:iCs/>
                <w:sz w:val="20"/>
                <w:lang w:eastAsia="lv-LV"/>
              </w:rPr>
              <w:t>7,40</w:t>
            </w:r>
          </w:p>
        </w:tc>
      </w:tr>
      <w:tr w:rsidR="007870D7" w:rsidRPr="00B058C2" w:rsidTr="00B75DFA">
        <w:trPr>
          <w:trHeight w:val="272"/>
          <w:jc w:val="center"/>
        </w:trPr>
        <w:tc>
          <w:tcPr>
            <w:tcW w:w="3301" w:type="dxa"/>
            <w:tcBorders>
              <w:top w:val="nil"/>
              <w:left w:val="single" w:sz="8" w:space="0" w:color="auto"/>
              <w:right w:val="single" w:sz="8" w:space="0" w:color="auto"/>
            </w:tcBorders>
            <w:shd w:val="clear" w:color="auto" w:fill="auto"/>
            <w:noWrap/>
            <w:vAlign w:val="bottom"/>
            <w:hideMark/>
          </w:tcPr>
          <w:p w:rsidR="007870D7" w:rsidRPr="00B058C2" w:rsidRDefault="007870D7" w:rsidP="00AA0C50">
            <w:pPr>
              <w:spacing w:after="0"/>
              <w:ind w:firstLine="0"/>
              <w:jc w:val="center"/>
              <w:rPr>
                <w:color w:val="000000"/>
                <w:sz w:val="20"/>
                <w:lang w:eastAsia="lv-LV"/>
              </w:rPr>
            </w:pPr>
            <w:r w:rsidRPr="00B058C2">
              <w:rPr>
                <w:color w:val="000000"/>
                <w:sz w:val="20"/>
                <w:lang w:eastAsia="lv-LV"/>
              </w:rPr>
              <w:t>Lietuva</w:t>
            </w:r>
            <w:r w:rsidR="00AA0C50" w:rsidRPr="00AA0C50">
              <w:rPr>
                <w:color w:val="000000"/>
                <w:sz w:val="20"/>
                <w:vertAlign w:val="superscript"/>
                <w:lang w:eastAsia="lv-LV"/>
              </w:rPr>
              <w:t>9</w:t>
            </w:r>
          </w:p>
        </w:tc>
        <w:tc>
          <w:tcPr>
            <w:tcW w:w="2303" w:type="dxa"/>
            <w:tcBorders>
              <w:top w:val="nil"/>
              <w:left w:val="nil"/>
              <w:right w:val="single" w:sz="8"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7,11</w:t>
            </w:r>
          </w:p>
        </w:tc>
        <w:tc>
          <w:tcPr>
            <w:tcW w:w="1870" w:type="dxa"/>
            <w:tcBorders>
              <w:top w:val="nil"/>
              <w:left w:val="nil"/>
              <w:right w:val="single" w:sz="4"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7,11</w:t>
            </w:r>
          </w:p>
        </w:tc>
        <w:tc>
          <w:tcPr>
            <w:tcW w:w="1721" w:type="dxa"/>
            <w:tcBorders>
              <w:top w:val="nil"/>
              <w:left w:val="nil"/>
              <w:right w:val="single" w:sz="4" w:space="0" w:color="auto"/>
            </w:tcBorders>
            <w:vAlign w:val="center"/>
          </w:tcPr>
          <w:p w:rsidR="007870D7" w:rsidRPr="00B22DC7" w:rsidRDefault="007870D7" w:rsidP="007870D7">
            <w:pPr>
              <w:spacing w:after="0"/>
              <w:ind w:firstLine="0"/>
              <w:jc w:val="center"/>
              <w:rPr>
                <w:color w:val="000000"/>
                <w:sz w:val="20"/>
                <w:lang w:eastAsia="lv-LV"/>
              </w:rPr>
            </w:pPr>
            <w:r w:rsidRPr="00B22DC7">
              <w:rPr>
                <w:color w:val="000000"/>
                <w:sz w:val="20"/>
                <w:lang w:eastAsia="lv-LV"/>
              </w:rPr>
              <w:t>7,11</w:t>
            </w:r>
          </w:p>
        </w:tc>
      </w:tr>
      <w:tr w:rsidR="007870D7" w:rsidRPr="00B058C2" w:rsidTr="00B75DFA">
        <w:trPr>
          <w:trHeight w:val="272"/>
          <w:jc w:val="center"/>
        </w:trPr>
        <w:tc>
          <w:tcPr>
            <w:tcW w:w="3301" w:type="dxa"/>
            <w:tcBorders>
              <w:left w:val="single" w:sz="8" w:space="0" w:color="auto"/>
              <w:bottom w:val="single" w:sz="8" w:space="0" w:color="auto"/>
              <w:right w:val="single" w:sz="8" w:space="0" w:color="auto"/>
            </w:tcBorders>
            <w:shd w:val="clear" w:color="auto" w:fill="auto"/>
            <w:noWrap/>
            <w:vAlign w:val="bottom"/>
            <w:hideMark/>
          </w:tcPr>
          <w:p w:rsidR="007870D7" w:rsidRPr="00B058C2" w:rsidRDefault="007870D7" w:rsidP="00AA0C50">
            <w:pPr>
              <w:spacing w:after="0"/>
              <w:ind w:firstLine="0"/>
              <w:jc w:val="center"/>
              <w:rPr>
                <w:color w:val="000000"/>
                <w:sz w:val="20"/>
                <w:lang w:eastAsia="lv-LV"/>
              </w:rPr>
            </w:pPr>
            <w:r w:rsidRPr="00B058C2">
              <w:rPr>
                <w:color w:val="000000"/>
                <w:sz w:val="20"/>
                <w:lang w:eastAsia="lv-LV"/>
              </w:rPr>
              <w:t>Igaunija</w:t>
            </w:r>
            <w:r w:rsidR="00AA0C50" w:rsidRPr="00AA0C50">
              <w:rPr>
                <w:color w:val="000000"/>
                <w:sz w:val="20"/>
                <w:vertAlign w:val="superscript"/>
                <w:lang w:eastAsia="lv-LV"/>
              </w:rPr>
              <w:t>10</w:t>
            </w:r>
          </w:p>
        </w:tc>
        <w:tc>
          <w:tcPr>
            <w:tcW w:w="2303" w:type="dxa"/>
            <w:tcBorders>
              <w:left w:val="nil"/>
              <w:bottom w:val="single" w:sz="8" w:space="0" w:color="auto"/>
              <w:right w:val="single" w:sz="8" w:space="0" w:color="auto"/>
            </w:tcBorders>
            <w:shd w:val="clear" w:color="auto" w:fill="auto"/>
            <w:noWrap/>
            <w:vAlign w:val="center"/>
            <w:hideMark/>
          </w:tcPr>
          <w:p w:rsidR="007870D7" w:rsidRPr="00B22DC7" w:rsidRDefault="007870D7" w:rsidP="007870D7">
            <w:pPr>
              <w:spacing w:after="0"/>
              <w:ind w:firstLine="0"/>
              <w:jc w:val="center"/>
              <w:rPr>
                <w:color w:val="000000"/>
                <w:sz w:val="20"/>
                <w:lang w:eastAsia="lv-LV"/>
              </w:rPr>
            </w:pPr>
            <w:r w:rsidRPr="00B22DC7">
              <w:rPr>
                <w:color w:val="000000"/>
                <w:sz w:val="20"/>
                <w:lang w:eastAsia="lv-LV"/>
              </w:rPr>
              <w:t>9,13/15,52</w:t>
            </w:r>
          </w:p>
        </w:tc>
        <w:tc>
          <w:tcPr>
            <w:tcW w:w="1870" w:type="dxa"/>
            <w:tcBorders>
              <w:left w:val="nil"/>
              <w:bottom w:val="single" w:sz="8" w:space="0" w:color="auto"/>
              <w:right w:val="single" w:sz="4" w:space="0" w:color="auto"/>
            </w:tcBorders>
            <w:shd w:val="clear" w:color="auto" w:fill="auto"/>
            <w:noWrap/>
            <w:vAlign w:val="center"/>
            <w:hideMark/>
          </w:tcPr>
          <w:p w:rsidR="007870D7" w:rsidRPr="00B22DC7" w:rsidRDefault="00B058C2" w:rsidP="007870D7">
            <w:pPr>
              <w:spacing w:after="0"/>
              <w:ind w:firstLine="0"/>
              <w:jc w:val="center"/>
              <w:rPr>
                <w:color w:val="000000"/>
                <w:sz w:val="20"/>
                <w:lang w:eastAsia="lv-LV"/>
              </w:rPr>
            </w:pPr>
            <w:r w:rsidRPr="00B22DC7">
              <w:rPr>
                <w:color w:val="000000"/>
                <w:sz w:val="20"/>
                <w:lang w:eastAsia="lv-LV"/>
              </w:rPr>
              <w:t>16,92</w:t>
            </w:r>
          </w:p>
        </w:tc>
        <w:tc>
          <w:tcPr>
            <w:tcW w:w="1721" w:type="dxa"/>
            <w:tcBorders>
              <w:left w:val="nil"/>
              <w:bottom w:val="single" w:sz="8" w:space="0" w:color="auto"/>
              <w:right w:val="single" w:sz="4" w:space="0" w:color="auto"/>
            </w:tcBorders>
            <w:vAlign w:val="center"/>
          </w:tcPr>
          <w:p w:rsidR="007870D7" w:rsidRPr="00B22DC7" w:rsidRDefault="00B058C2" w:rsidP="007870D7">
            <w:pPr>
              <w:spacing w:after="0"/>
              <w:ind w:firstLine="0"/>
              <w:jc w:val="center"/>
              <w:rPr>
                <w:color w:val="000000"/>
                <w:sz w:val="20"/>
                <w:lang w:eastAsia="lv-LV"/>
              </w:rPr>
            </w:pPr>
            <w:r w:rsidRPr="00B22DC7">
              <w:rPr>
                <w:color w:val="000000"/>
                <w:sz w:val="20"/>
                <w:lang w:eastAsia="lv-LV"/>
              </w:rPr>
              <w:t>16,92</w:t>
            </w:r>
          </w:p>
        </w:tc>
      </w:tr>
    </w:tbl>
    <w:p w:rsidR="007870D7" w:rsidRPr="00E87FE2" w:rsidRDefault="00AA0C50" w:rsidP="00B75DFA">
      <w:pPr>
        <w:spacing w:after="0"/>
        <w:ind w:firstLine="0"/>
        <w:rPr>
          <w:sz w:val="20"/>
          <w:szCs w:val="24"/>
        </w:rPr>
      </w:pPr>
      <w:r w:rsidRPr="00AA0C50">
        <w:rPr>
          <w:b/>
          <w:color w:val="000000"/>
          <w:sz w:val="20"/>
          <w:vertAlign w:val="superscript"/>
          <w:lang w:eastAsia="lv-LV"/>
        </w:rPr>
        <w:t>8</w:t>
      </w:r>
      <w:r w:rsidR="007870D7" w:rsidRPr="00B058C2">
        <w:rPr>
          <w:sz w:val="20"/>
          <w:szCs w:val="24"/>
        </w:rPr>
        <w:t>Ar katra gada 1.martu (2018.–2020.gadā saskaņā ar 2017.gada 27.jūlijā pieņemtajiem grozījumiem likumā „Par akcīzes nodokli”)</w:t>
      </w:r>
    </w:p>
    <w:p w:rsidR="007870D7" w:rsidRPr="00E87FE2" w:rsidRDefault="00AA0C50" w:rsidP="00B75DFA">
      <w:pPr>
        <w:spacing w:after="0"/>
        <w:ind w:firstLine="0"/>
        <w:rPr>
          <w:sz w:val="20"/>
          <w:szCs w:val="24"/>
        </w:rPr>
      </w:pPr>
      <w:r w:rsidRPr="00AA0C50">
        <w:rPr>
          <w:color w:val="000000"/>
          <w:sz w:val="20"/>
          <w:vertAlign w:val="superscript"/>
          <w:lang w:eastAsia="lv-LV"/>
        </w:rPr>
        <w:t>9</w:t>
      </w:r>
      <w:r w:rsidR="007870D7" w:rsidRPr="00E87FE2">
        <w:rPr>
          <w:sz w:val="20"/>
          <w:szCs w:val="24"/>
        </w:rPr>
        <w:t>Ar 2017.gada 1.martu</w:t>
      </w:r>
    </w:p>
    <w:p w:rsidR="007870D7" w:rsidRPr="00E87FE2" w:rsidRDefault="00AA0C50" w:rsidP="00B75DFA">
      <w:pPr>
        <w:spacing w:after="0"/>
        <w:ind w:firstLine="0"/>
        <w:rPr>
          <w:sz w:val="20"/>
          <w:szCs w:val="24"/>
        </w:rPr>
      </w:pPr>
      <w:r w:rsidRPr="00AA0C50">
        <w:rPr>
          <w:color w:val="000000"/>
          <w:sz w:val="20"/>
          <w:vertAlign w:val="superscript"/>
          <w:lang w:eastAsia="lv-LV"/>
        </w:rPr>
        <w:t>10</w:t>
      </w:r>
      <w:r w:rsidR="007870D7" w:rsidRPr="00E87FE2">
        <w:rPr>
          <w:sz w:val="20"/>
          <w:szCs w:val="24"/>
        </w:rPr>
        <w:t xml:space="preserve">Igaunijā 2017.gadā likmes tika paaugstinātas ar 1.februāri un 1.jūliju. 2018.gadā likmes tika paaugstinātas ar 1.februāri. </w:t>
      </w:r>
    </w:p>
    <w:p w:rsidR="007870D7" w:rsidRPr="00B22DC7" w:rsidRDefault="007870D7" w:rsidP="007870D7">
      <w:pPr>
        <w:spacing w:before="120" w:after="200"/>
        <w:ind w:firstLine="0"/>
        <w:rPr>
          <w:u w:val="single"/>
        </w:rPr>
      </w:pPr>
    </w:p>
    <w:p w:rsidR="007870D7" w:rsidRPr="000D7A00" w:rsidRDefault="007870D7" w:rsidP="007870D7">
      <w:pPr>
        <w:spacing w:before="120" w:after="200"/>
        <w:ind w:firstLine="0"/>
        <w:rPr>
          <w:u w:val="single"/>
        </w:rPr>
      </w:pPr>
      <w:r w:rsidRPr="000D7A00">
        <w:rPr>
          <w:u w:val="single"/>
        </w:rPr>
        <w:t>Akcīzes nodoklis tabakas izstrādājumiem</w:t>
      </w:r>
    </w:p>
    <w:p w:rsidR="007870D7" w:rsidRPr="000D7A00" w:rsidRDefault="007870D7" w:rsidP="007870D7">
      <w:r w:rsidRPr="000D7A00">
        <w:t>Akcīzes nodokļa tabakas izstrādājumiem ieņēmumi 2018.gadā bija 208,8 milj. </w:t>
      </w:r>
      <w:proofErr w:type="spellStart"/>
      <w:r w:rsidRPr="000D7A00">
        <w:rPr>
          <w:i/>
        </w:rPr>
        <w:t>euro</w:t>
      </w:r>
      <w:proofErr w:type="spellEnd"/>
      <w:r w:rsidRPr="000D7A00">
        <w:t>, salīdzinot ar 2017.gadu, akcīzes nodokļa ieņēmumi no tabakas izstrādājumiem ir palielinājušies par 17,0 milj. </w:t>
      </w:r>
      <w:proofErr w:type="spellStart"/>
      <w:r w:rsidRPr="000D7A00">
        <w:rPr>
          <w:i/>
        </w:rPr>
        <w:t>euro</w:t>
      </w:r>
      <w:proofErr w:type="spellEnd"/>
      <w:r w:rsidRPr="000D7A00">
        <w:t xml:space="preserve"> jeb 8,9%, kas galvenokārt saistīts ar </w:t>
      </w:r>
      <w:r>
        <w:t xml:space="preserve">legālajam </w:t>
      </w:r>
      <w:r w:rsidRPr="000D7A00">
        <w:t xml:space="preserve">patēriņam nodoto </w:t>
      </w:r>
      <w:r>
        <w:t xml:space="preserve">cigarešu </w:t>
      </w:r>
      <w:r w:rsidRPr="000D7A00">
        <w:t>apjoma pieaugumu</w:t>
      </w:r>
      <w:r>
        <w:t xml:space="preserve"> un akcīzes nodokļa likmju paaugstināšanu</w:t>
      </w:r>
      <w:r w:rsidRPr="000D7A00">
        <w:t xml:space="preserve">. </w:t>
      </w:r>
    </w:p>
    <w:p w:rsidR="007870D7" w:rsidRPr="000D7A00" w:rsidRDefault="007870D7" w:rsidP="007870D7">
      <w:pPr>
        <w:rPr>
          <w:iCs/>
        </w:rPr>
      </w:pPr>
      <w:r w:rsidRPr="000D7A00">
        <w:rPr>
          <w:iCs/>
        </w:rPr>
        <w:t xml:space="preserve">Saskaņā ar Valsts ieņēmumu dienesta informāciju kopējais patēriņam Latvijā nodoto cigarešu apjoms 2018.gada 11 mēnešos un 2017.gada decembrī salīdzinājumā ar 2017. un 2015.gada atbilstošo periodu ir palielinājies par 0,4%, smēķējamās tabakas patēriņš pieaudzis par </w:t>
      </w:r>
      <w:r>
        <w:rPr>
          <w:iCs/>
        </w:rPr>
        <w:t>24,5</w:t>
      </w:r>
      <w:r w:rsidRPr="000D7A00">
        <w:rPr>
          <w:iCs/>
        </w:rPr>
        <w:t xml:space="preserve">%, bet cigāru un </w:t>
      </w:r>
      <w:proofErr w:type="spellStart"/>
      <w:r w:rsidRPr="000D7A00">
        <w:rPr>
          <w:iCs/>
        </w:rPr>
        <w:t>cigar</w:t>
      </w:r>
      <w:r w:rsidR="0075515C">
        <w:rPr>
          <w:iCs/>
        </w:rPr>
        <w:t>illu</w:t>
      </w:r>
      <w:proofErr w:type="spellEnd"/>
      <w:r w:rsidR="0075515C">
        <w:rPr>
          <w:iCs/>
        </w:rPr>
        <w:t xml:space="preserve"> patēriņš samazinājies par </w:t>
      </w:r>
      <w:r w:rsidRPr="000D7A00">
        <w:rPr>
          <w:iCs/>
        </w:rPr>
        <w:t xml:space="preserve">25,2 procentiem. </w:t>
      </w:r>
    </w:p>
    <w:p w:rsidR="007870D7" w:rsidRPr="000D7A00" w:rsidRDefault="007870D7" w:rsidP="007870D7">
      <w:r w:rsidRPr="000D7A00">
        <w:rPr>
          <w:iCs/>
        </w:rPr>
        <w:t xml:space="preserve">Akcīzes nodokļa ieņēmumus ietekmē ne vien nodokļa objektu patēriņa dinamika, bet arī iepriekšējos gados pieņemtās izmaiņas normatīvajos aktos. </w:t>
      </w:r>
      <w:r w:rsidRPr="000D7A00">
        <w:t>Saskaņā ar 2016.gada 23.novembrī Saeimā pieņemtajiem grozījumiem likumā „Par akcīzes nodokli”:</w:t>
      </w:r>
    </w:p>
    <w:p w:rsidR="007870D7" w:rsidRPr="000D7A00" w:rsidRDefault="007870D7" w:rsidP="004A7868">
      <w:pPr>
        <w:pStyle w:val="ListParagraph"/>
        <w:numPr>
          <w:ilvl w:val="0"/>
          <w:numId w:val="18"/>
        </w:numPr>
        <w:tabs>
          <w:tab w:val="left" w:pos="1134"/>
        </w:tabs>
        <w:ind w:left="1440"/>
      </w:pPr>
      <w:r w:rsidRPr="000D7A00">
        <w:t xml:space="preserve">ar 2018.gada 1.janvāri tika paaugstināts akcīzes nodoklis cigāriem un </w:t>
      </w:r>
      <w:proofErr w:type="spellStart"/>
      <w:r w:rsidRPr="000D7A00">
        <w:t>cigarillām</w:t>
      </w:r>
      <w:proofErr w:type="spellEnd"/>
      <w:r w:rsidRPr="000D7A00">
        <w:t xml:space="preserve"> no 58,0 </w:t>
      </w:r>
      <w:proofErr w:type="spellStart"/>
      <w:r w:rsidRPr="000D7A00">
        <w:rPr>
          <w:i/>
        </w:rPr>
        <w:t>euro</w:t>
      </w:r>
      <w:proofErr w:type="spellEnd"/>
      <w:r w:rsidRPr="000D7A00">
        <w:t xml:space="preserve"> līdz 73,0 </w:t>
      </w:r>
      <w:proofErr w:type="spellStart"/>
      <w:r w:rsidRPr="000D7A00">
        <w:rPr>
          <w:i/>
        </w:rPr>
        <w:t>euro</w:t>
      </w:r>
      <w:proofErr w:type="spellEnd"/>
      <w:r w:rsidRPr="000D7A00">
        <w:t xml:space="preserve"> par 1 000 gab.;</w:t>
      </w:r>
    </w:p>
    <w:p w:rsidR="007870D7" w:rsidRPr="000D7A00" w:rsidRDefault="007870D7" w:rsidP="004A7868">
      <w:pPr>
        <w:pStyle w:val="ListParagraph"/>
        <w:numPr>
          <w:ilvl w:val="0"/>
          <w:numId w:val="18"/>
        </w:numPr>
        <w:spacing w:after="0"/>
        <w:ind w:left="1440"/>
      </w:pPr>
      <w:r w:rsidRPr="000D7A00">
        <w:t>ar 2018.gada 1.janvāri tika paaugstināts akcīzes nodoklis smēķējamai tabakai – smalki sagrieztai tabakai cigarešu uztīšanai, citai smēķējamai tabakai, tabakas lapām – no 62,0 </w:t>
      </w:r>
      <w:proofErr w:type="spellStart"/>
      <w:r w:rsidRPr="000D7A00">
        <w:rPr>
          <w:i/>
        </w:rPr>
        <w:t>euro</w:t>
      </w:r>
      <w:proofErr w:type="spellEnd"/>
      <w:r w:rsidRPr="000D7A00">
        <w:t xml:space="preserve"> līdz 66,0 </w:t>
      </w:r>
      <w:proofErr w:type="spellStart"/>
      <w:r w:rsidRPr="000D7A00">
        <w:rPr>
          <w:i/>
        </w:rPr>
        <w:t>euro</w:t>
      </w:r>
      <w:proofErr w:type="spellEnd"/>
      <w:r w:rsidRPr="000D7A00">
        <w:t xml:space="preserve"> par 1 000 gramiem.</w:t>
      </w:r>
    </w:p>
    <w:p w:rsidR="007870D7" w:rsidRPr="00B22DC7" w:rsidRDefault="007870D7" w:rsidP="007870D7">
      <w:pPr>
        <w:spacing w:after="0"/>
      </w:pPr>
    </w:p>
    <w:p w:rsidR="007870D7" w:rsidRPr="0086392E" w:rsidRDefault="007870D7" w:rsidP="007870D7">
      <w:pPr>
        <w:spacing w:line="276" w:lineRule="auto"/>
      </w:pPr>
      <w:r w:rsidRPr="0086392E">
        <w:t>Savukārt saskaņā ar 2017.gada 27.jūlijā pieņemtajiem grozījumiem likumā „Par akcīzes nodokli” ar 2018.gada 1.jūliju cigaretēm akcīzes nodoklis tika paaugstināts straujāk nekā iepriekš plānots</w:t>
      </w:r>
      <w:r>
        <w:t xml:space="preserve"> </w:t>
      </w:r>
      <w:r w:rsidRPr="0086392E">
        <w:t>–</w:t>
      </w:r>
      <w:r>
        <w:t xml:space="preserve"> </w:t>
      </w:r>
      <w:r w:rsidRPr="0086392E">
        <w:t>likme cigaretēm tik</w:t>
      </w:r>
      <w:r w:rsidR="00326BFF">
        <w:t>a</w:t>
      </w:r>
      <w:r w:rsidRPr="0086392E">
        <w:t xml:space="preserve"> paaugstināta no 67,0 </w:t>
      </w:r>
      <w:proofErr w:type="spellStart"/>
      <w:r w:rsidRPr="0086392E">
        <w:rPr>
          <w:i/>
        </w:rPr>
        <w:t>euro</w:t>
      </w:r>
      <w:proofErr w:type="spellEnd"/>
      <w:r w:rsidRPr="0086392E">
        <w:t xml:space="preserve"> līdz 74,6 </w:t>
      </w:r>
      <w:proofErr w:type="spellStart"/>
      <w:r w:rsidRPr="0086392E">
        <w:rPr>
          <w:i/>
        </w:rPr>
        <w:t>euro</w:t>
      </w:r>
      <w:proofErr w:type="spellEnd"/>
      <w:r w:rsidRPr="0086392E">
        <w:t xml:space="preserve"> par 1 000 cigaretēm, bet minimālais akcīzes nodokļa līmenis tika paaugstināts no 99,0 </w:t>
      </w:r>
      <w:proofErr w:type="spellStart"/>
      <w:r w:rsidRPr="0086392E">
        <w:rPr>
          <w:i/>
        </w:rPr>
        <w:t>euro</w:t>
      </w:r>
      <w:proofErr w:type="spellEnd"/>
      <w:r w:rsidRPr="0086392E">
        <w:t xml:space="preserve"> līdz 109,2 </w:t>
      </w:r>
      <w:proofErr w:type="spellStart"/>
      <w:r w:rsidRPr="0086392E">
        <w:rPr>
          <w:i/>
        </w:rPr>
        <w:t>euro</w:t>
      </w:r>
      <w:proofErr w:type="spellEnd"/>
      <w:r w:rsidRPr="0086392E">
        <w:t xml:space="preserve"> par 1 000 cigaretēm. </w:t>
      </w:r>
    </w:p>
    <w:p w:rsidR="007870D7" w:rsidRPr="006E19DA" w:rsidRDefault="007870D7" w:rsidP="007870D7">
      <w:pPr>
        <w:tabs>
          <w:tab w:val="left" w:pos="1134"/>
        </w:tabs>
        <w:ind w:firstLine="851"/>
      </w:pPr>
      <w:r w:rsidRPr="0086392E">
        <w:t>Saskaņā ar likumu „Par valsts budžetu 2019.gadam” akcīzes nodokļa tabakas izstrādājumiem ieņēmumi tiek plānoti 219,4 milj. </w:t>
      </w:r>
      <w:proofErr w:type="spellStart"/>
      <w:r w:rsidRPr="0086392E">
        <w:rPr>
          <w:i/>
        </w:rPr>
        <w:t>euro</w:t>
      </w:r>
      <w:proofErr w:type="spellEnd"/>
      <w:r w:rsidRPr="0086392E">
        <w:t xml:space="preserve"> apmērā, kas, salīdzinot ar 2018.gada ieņēmumiem, ir par 10,6 milj. </w:t>
      </w:r>
      <w:proofErr w:type="spellStart"/>
      <w:r w:rsidRPr="0086392E">
        <w:rPr>
          <w:i/>
        </w:rPr>
        <w:t>euro</w:t>
      </w:r>
      <w:proofErr w:type="spellEnd"/>
      <w:r w:rsidRPr="0086392E">
        <w:t xml:space="preserve"> jeb 5,1% vairāk. Sagatavojot akcīzes nodokļa ieņēmumu no tabakas izstrādājumiem plānu 2019.gadam, ņemtas vērā 2018.gada izpildes tendences, likumā „Par akcīzes nodokli” noteiktās akcīzes nodokļa likmju izmaiņas un prognozētais tabakas </w:t>
      </w:r>
      <w:r w:rsidRPr="006E19DA">
        <w:t xml:space="preserve">izstrādājumu patēriņš. </w:t>
      </w:r>
    </w:p>
    <w:p w:rsidR="007870D7" w:rsidRPr="006E19DA" w:rsidRDefault="007870D7" w:rsidP="007870D7">
      <w:pPr>
        <w:tabs>
          <w:tab w:val="left" w:pos="1134"/>
        </w:tabs>
        <w:ind w:firstLine="851"/>
      </w:pPr>
      <w:r w:rsidRPr="006E19DA">
        <w:t>Saskaņā ar 2016.gada 23.novembrī Saeimā pieņemtajiem grozījumiem likumā „Par akcīzes nodokli” ar 2019.gada 1.janvāri :</w:t>
      </w:r>
    </w:p>
    <w:p w:rsidR="007870D7" w:rsidRPr="006E19DA" w:rsidRDefault="007870D7" w:rsidP="004A7868">
      <w:pPr>
        <w:pStyle w:val="ListParagraph"/>
        <w:numPr>
          <w:ilvl w:val="0"/>
          <w:numId w:val="18"/>
        </w:numPr>
        <w:tabs>
          <w:tab w:val="left" w:pos="1134"/>
        </w:tabs>
        <w:ind w:left="1440"/>
      </w:pPr>
      <w:r w:rsidRPr="006E19DA">
        <w:t xml:space="preserve">akcīzes nodoklis cigāriem un </w:t>
      </w:r>
      <w:proofErr w:type="spellStart"/>
      <w:r w:rsidRPr="006E19DA">
        <w:t>cigarillām</w:t>
      </w:r>
      <w:proofErr w:type="spellEnd"/>
      <w:r w:rsidRPr="006E19DA">
        <w:t xml:space="preserve"> tika paaugstināts no 73,0 </w:t>
      </w:r>
      <w:proofErr w:type="spellStart"/>
      <w:r w:rsidRPr="006E19DA">
        <w:rPr>
          <w:i/>
        </w:rPr>
        <w:t>euro</w:t>
      </w:r>
      <w:proofErr w:type="spellEnd"/>
      <w:r w:rsidRPr="006E19DA">
        <w:t xml:space="preserve"> līdz 88,0 </w:t>
      </w:r>
      <w:proofErr w:type="spellStart"/>
      <w:r w:rsidRPr="006E19DA">
        <w:rPr>
          <w:i/>
        </w:rPr>
        <w:t>euro</w:t>
      </w:r>
      <w:proofErr w:type="spellEnd"/>
      <w:r w:rsidRPr="006E19DA">
        <w:t xml:space="preserve"> par 1 000 </w:t>
      </w:r>
      <w:proofErr w:type="spellStart"/>
      <w:r w:rsidRPr="006E19DA">
        <w:t>gab</w:t>
      </w:r>
      <w:proofErr w:type="spellEnd"/>
      <w:r w:rsidRPr="006E19DA">
        <w:t>;</w:t>
      </w:r>
    </w:p>
    <w:p w:rsidR="007870D7" w:rsidRPr="00204832" w:rsidRDefault="007870D7" w:rsidP="004A7868">
      <w:pPr>
        <w:pStyle w:val="ListParagraph"/>
        <w:numPr>
          <w:ilvl w:val="0"/>
          <w:numId w:val="18"/>
        </w:numPr>
        <w:spacing w:after="0"/>
        <w:ind w:left="1440"/>
      </w:pPr>
      <w:r w:rsidRPr="006E19DA">
        <w:lastRenderedPageBreak/>
        <w:t xml:space="preserve">akcīzes nodoklis smēķējamai tabakai – smalki sagrieztai tabakai cigarešu uztīšanai, citai </w:t>
      </w:r>
      <w:r w:rsidRPr="00204832">
        <w:t>smēķējamai tabakai, tabakas lapām un karsējamai tabakai – tika paaugstināts no 66,0 </w:t>
      </w:r>
      <w:proofErr w:type="spellStart"/>
      <w:r w:rsidRPr="00204832">
        <w:rPr>
          <w:i/>
        </w:rPr>
        <w:t>euro</w:t>
      </w:r>
      <w:proofErr w:type="spellEnd"/>
      <w:r w:rsidRPr="00204832">
        <w:t xml:space="preserve"> līdz 70,0 </w:t>
      </w:r>
      <w:proofErr w:type="spellStart"/>
      <w:r w:rsidRPr="00204832">
        <w:rPr>
          <w:i/>
        </w:rPr>
        <w:t>euro</w:t>
      </w:r>
      <w:proofErr w:type="spellEnd"/>
      <w:r w:rsidRPr="00204832">
        <w:t xml:space="preserve"> par 1 000 gramiem. Fiskālā ietekme un likmju paaugstināšanas cigāriem, </w:t>
      </w:r>
      <w:proofErr w:type="spellStart"/>
      <w:r w:rsidRPr="00204832">
        <w:t>cigarillām</w:t>
      </w:r>
      <w:proofErr w:type="spellEnd"/>
      <w:r w:rsidRPr="00204832">
        <w:t xml:space="preserve"> un smēķējamai tabakai 2019.gadā +1,2 milj. </w:t>
      </w:r>
      <w:proofErr w:type="spellStart"/>
      <w:r w:rsidRPr="00204832">
        <w:rPr>
          <w:bCs/>
          <w:i/>
          <w:szCs w:val="24"/>
        </w:rPr>
        <w:t>euro</w:t>
      </w:r>
      <w:proofErr w:type="spellEnd"/>
      <w:r w:rsidRPr="00204832">
        <w:t>.</w:t>
      </w:r>
    </w:p>
    <w:p w:rsidR="007870D7" w:rsidRPr="00204832" w:rsidRDefault="007870D7" w:rsidP="007870D7">
      <w:pPr>
        <w:spacing w:line="276" w:lineRule="auto"/>
      </w:pPr>
      <w:r w:rsidRPr="00204832">
        <w:t>Savukārt saskaņā ar 2017.gada 27.jūlijā pieņemtajiem grozījumiem likumā „Par akcīzes nodokli” ar 2019.gada 1.jūliju akcīzes nodokļa likme cigaretēm tiks paaugstināta no 74,6 </w:t>
      </w:r>
      <w:proofErr w:type="spellStart"/>
      <w:r w:rsidRPr="00204832">
        <w:rPr>
          <w:i/>
        </w:rPr>
        <w:t>euro</w:t>
      </w:r>
      <w:proofErr w:type="spellEnd"/>
      <w:r w:rsidRPr="00204832">
        <w:t xml:space="preserve"> līdz 78,7 </w:t>
      </w:r>
      <w:proofErr w:type="spellStart"/>
      <w:r w:rsidRPr="00204832">
        <w:rPr>
          <w:i/>
        </w:rPr>
        <w:t>euro</w:t>
      </w:r>
      <w:proofErr w:type="spellEnd"/>
      <w:r w:rsidRPr="00204832">
        <w:t xml:space="preserve"> par 1 000 cigaretēm, bet minimālais akcīzes nodokļa līmenis tiks paaugstināts no 109,2</w:t>
      </w:r>
      <w:r w:rsidRPr="00204832">
        <w:rPr>
          <w:i/>
        </w:rPr>
        <w:t xml:space="preserve"> </w:t>
      </w:r>
      <w:proofErr w:type="spellStart"/>
      <w:r w:rsidRPr="00204832">
        <w:rPr>
          <w:i/>
        </w:rPr>
        <w:t>euro</w:t>
      </w:r>
      <w:proofErr w:type="spellEnd"/>
      <w:r w:rsidRPr="00204832">
        <w:t xml:space="preserve"> līdz 114,7 </w:t>
      </w:r>
      <w:proofErr w:type="spellStart"/>
      <w:r w:rsidRPr="00204832">
        <w:rPr>
          <w:i/>
        </w:rPr>
        <w:t>euro</w:t>
      </w:r>
      <w:proofErr w:type="spellEnd"/>
      <w:r w:rsidRPr="00204832">
        <w:t xml:space="preserve"> par 1 000 cigaretēm. Fiskālā ietekme 2019.gadā +12,2 milj. </w:t>
      </w:r>
      <w:proofErr w:type="spellStart"/>
      <w:r w:rsidRPr="00204832">
        <w:rPr>
          <w:i/>
        </w:rPr>
        <w:t>euro</w:t>
      </w:r>
      <w:proofErr w:type="spellEnd"/>
      <w:r w:rsidRPr="00204832">
        <w:t xml:space="preserve">. </w:t>
      </w:r>
    </w:p>
    <w:p w:rsidR="007870D7" w:rsidRPr="00204832" w:rsidRDefault="007870D7" w:rsidP="007870D7">
      <w:pPr>
        <w:spacing w:line="276" w:lineRule="auto"/>
        <w:jc w:val="center"/>
        <w:rPr>
          <w:i/>
          <w:szCs w:val="24"/>
        </w:rPr>
      </w:pPr>
      <w:r w:rsidRPr="00204832">
        <w:rPr>
          <w:b/>
          <w:i/>
        </w:rPr>
        <w:t>3.11.tabula</w:t>
      </w:r>
      <w:r w:rsidRPr="00204832">
        <w:t xml:space="preserve">. </w:t>
      </w:r>
      <w:r w:rsidRPr="00204832">
        <w:rPr>
          <w:b/>
          <w:i/>
        </w:rPr>
        <w:t>Akcīzes nodokļa likmes cigaretēm</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1843"/>
        <w:gridCol w:w="1710"/>
      </w:tblGrid>
      <w:tr w:rsidR="007870D7" w:rsidRPr="00204832" w:rsidTr="00AA0C50">
        <w:trPr>
          <w:trHeight w:val="152"/>
          <w:tblHeader/>
          <w:jc w:val="center"/>
        </w:trPr>
        <w:tc>
          <w:tcPr>
            <w:tcW w:w="3012" w:type="pct"/>
            <w:shd w:val="clear" w:color="auto" w:fill="D9D9D9" w:themeFill="background1" w:themeFillShade="D9"/>
            <w:noWrap/>
            <w:vAlign w:val="center"/>
            <w:hideMark/>
          </w:tcPr>
          <w:p w:rsidR="007870D7" w:rsidRPr="00204832" w:rsidRDefault="007870D7" w:rsidP="007870D7">
            <w:pPr>
              <w:spacing w:after="0"/>
              <w:ind w:firstLine="0"/>
              <w:jc w:val="center"/>
              <w:rPr>
                <w:b/>
                <w:color w:val="000000"/>
                <w:sz w:val="20"/>
                <w:szCs w:val="24"/>
                <w:lang w:eastAsia="lv-LV"/>
              </w:rPr>
            </w:pPr>
          </w:p>
        </w:tc>
        <w:tc>
          <w:tcPr>
            <w:tcW w:w="1031" w:type="pct"/>
            <w:shd w:val="clear" w:color="auto" w:fill="D9D9D9" w:themeFill="background1" w:themeFillShade="D9"/>
            <w:noWrap/>
            <w:vAlign w:val="center"/>
            <w:hideMark/>
          </w:tcPr>
          <w:p w:rsidR="007870D7" w:rsidRPr="00204832" w:rsidRDefault="007870D7" w:rsidP="007870D7">
            <w:pPr>
              <w:spacing w:after="0"/>
              <w:ind w:firstLine="0"/>
              <w:jc w:val="center"/>
              <w:rPr>
                <w:b/>
                <w:color w:val="000000"/>
                <w:sz w:val="20"/>
                <w:szCs w:val="24"/>
                <w:lang w:eastAsia="lv-LV"/>
              </w:rPr>
            </w:pPr>
            <w:r w:rsidRPr="00204832">
              <w:rPr>
                <w:b/>
                <w:color w:val="000000"/>
                <w:sz w:val="20"/>
                <w:szCs w:val="24"/>
                <w:lang w:eastAsia="lv-LV"/>
              </w:rPr>
              <w:t>01.07.2018.</w:t>
            </w:r>
          </w:p>
        </w:tc>
        <w:tc>
          <w:tcPr>
            <w:tcW w:w="957" w:type="pct"/>
            <w:shd w:val="clear" w:color="auto" w:fill="D9D9D9" w:themeFill="background1" w:themeFillShade="D9"/>
            <w:vAlign w:val="center"/>
          </w:tcPr>
          <w:p w:rsidR="007870D7" w:rsidRPr="00204832" w:rsidRDefault="007870D7" w:rsidP="007870D7">
            <w:pPr>
              <w:spacing w:after="0"/>
              <w:ind w:firstLine="0"/>
              <w:jc w:val="center"/>
              <w:rPr>
                <w:b/>
                <w:color w:val="000000"/>
                <w:sz w:val="20"/>
                <w:szCs w:val="24"/>
                <w:lang w:eastAsia="lv-LV"/>
              </w:rPr>
            </w:pPr>
            <w:r w:rsidRPr="00204832">
              <w:rPr>
                <w:b/>
                <w:color w:val="000000"/>
                <w:sz w:val="20"/>
                <w:szCs w:val="24"/>
                <w:lang w:eastAsia="lv-LV"/>
              </w:rPr>
              <w:t>01.07.2019.</w:t>
            </w:r>
          </w:p>
        </w:tc>
      </w:tr>
      <w:tr w:rsidR="007870D7" w:rsidRPr="00204832" w:rsidTr="00AA0C50">
        <w:trPr>
          <w:trHeight w:val="459"/>
          <w:jc w:val="center"/>
        </w:trPr>
        <w:tc>
          <w:tcPr>
            <w:tcW w:w="3012" w:type="pct"/>
            <w:shd w:val="clear" w:color="auto" w:fill="auto"/>
            <w:vAlign w:val="center"/>
            <w:hideMark/>
          </w:tcPr>
          <w:p w:rsidR="007870D7" w:rsidRPr="00204832" w:rsidRDefault="007870D7" w:rsidP="007870D7">
            <w:pPr>
              <w:spacing w:after="0"/>
              <w:ind w:firstLine="0"/>
              <w:jc w:val="left"/>
              <w:rPr>
                <w:color w:val="000000"/>
                <w:sz w:val="20"/>
                <w:szCs w:val="24"/>
                <w:lang w:eastAsia="lv-LV"/>
              </w:rPr>
            </w:pPr>
            <w:r w:rsidRPr="00204832">
              <w:rPr>
                <w:color w:val="000000"/>
                <w:sz w:val="20"/>
                <w:szCs w:val="24"/>
                <w:lang w:eastAsia="lv-LV"/>
              </w:rPr>
              <w:t xml:space="preserve">Cigaretes, </w:t>
            </w:r>
            <w:proofErr w:type="spellStart"/>
            <w:r w:rsidRPr="00204832">
              <w:rPr>
                <w:i/>
                <w:color w:val="000000"/>
                <w:sz w:val="20"/>
                <w:szCs w:val="24"/>
                <w:lang w:eastAsia="lv-LV"/>
              </w:rPr>
              <w:t>euro</w:t>
            </w:r>
            <w:proofErr w:type="spellEnd"/>
            <w:r w:rsidRPr="00204832">
              <w:rPr>
                <w:color w:val="000000"/>
                <w:sz w:val="20"/>
                <w:szCs w:val="24"/>
                <w:lang w:eastAsia="lv-LV"/>
              </w:rPr>
              <w:t xml:space="preserve"> par 1 000 gab.</w:t>
            </w:r>
          </w:p>
        </w:tc>
        <w:tc>
          <w:tcPr>
            <w:tcW w:w="1031" w:type="pct"/>
            <w:shd w:val="clear" w:color="auto" w:fill="auto"/>
            <w:noWrap/>
            <w:vAlign w:val="center"/>
            <w:hideMark/>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74,6</w:t>
            </w:r>
          </w:p>
        </w:tc>
        <w:tc>
          <w:tcPr>
            <w:tcW w:w="957" w:type="pct"/>
            <w:vAlign w:val="center"/>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78,7</w:t>
            </w:r>
          </w:p>
        </w:tc>
      </w:tr>
      <w:tr w:rsidR="007870D7" w:rsidRPr="00204832" w:rsidTr="00AA0C50">
        <w:trPr>
          <w:trHeight w:val="305"/>
          <w:jc w:val="center"/>
        </w:trPr>
        <w:tc>
          <w:tcPr>
            <w:tcW w:w="3012" w:type="pct"/>
            <w:shd w:val="clear" w:color="auto" w:fill="auto"/>
            <w:vAlign w:val="center"/>
            <w:hideMark/>
          </w:tcPr>
          <w:p w:rsidR="007870D7" w:rsidRPr="00204832" w:rsidRDefault="007870D7" w:rsidP="007870D7">
            <w:pPr>
              <w:spacing w:after="0"/>
              <w:ind w:firstLine="0"/>
              <w:jc w:val="left"/>
              <w:rPr>
                <w:color w:val="000000"/>
                <w:sz w:val="20"/>
                <w:szCs w:val="24"/>
                <w:lang w:eastAsia="lv-LV"/>
              </w:rPr>
            </w:pPr>
            <w:r w:rsidRPr="00204832">
              <w:rPr>
                <w:color w:val="000000"/>
                <w:sz w:val="20"/>
                <w:szCs w:val="24"/>
                <w:lang w:eastAsia="lv-LV"/>
              </w:rPr>
              <w:t xml:space="preserve">Minimālais līmenis, </w:t>
            </w:r>
            <w:proofErr w:type="spellStart"/>
            <w:r w:rsidRPr="00204832">
              <w:rPr>
                <w:i/>
                <w:color w:val="000000"/>
                <w:sz w:val="20"/>
                <w:szCs w:val="24"/>
                <w:lang w:eastAsia="lv-LV"/>
              </w:rPr>
              <w:t>euro</w:t>
            </w:r>
            <w:proofErr w:type="spellEnd"/>
            <w:r w:rsidRPr="00204832">
              <w:rPr>
                <w:color w:val="000000"/>
                <w:sz w:val="20"/>
                <w:szCs w:val="24"/>
                <w:lang w:eastAsia="lv-LV"/>
              </w:rPr>
              <w:t xml:space="preserve"> par 1 000 gab.</w:t>
            </w:r>
          </w:p>
        </w:tc>
        <w:tc>
          <w:tcPr>
            <w:tcW w:w="1031" w:type="pct"/>
            <w:shd w:val="clear" w:color="auto" w:fill="auto"/>
            <w:noWrap/>
            <w:vAlign w:val="center"/>
            <w:hideMark/>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109,2</w:t>
            </w:r>
          </w:p>
        </w:tc>
        <w:tc>
          <w:tcPr>
            <w:tcW w:w="957" w:type="pct"/>
            <w:vAlign w:val="center"/>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114,7</w:t>
            </w:r>
          </w:p>
        </w:tc>
      </w:tr>
      <w:tr w:rsidR="007870D7" w:rsidRPr="00204832" w:rsidTr="00AA0C50">
        <w:trPr>
          <w:trHeight w:val="305"/>
          <w:jc w:val="center"/>
        </w:trPr>
        <w:tc>
          <w:tcPr>
            <w:tcW w:w="3012" w:type="pct"/>
            <w:shd w:val="clear" w:color="auto" w:fill="auto"/>
            <w:vAlign w:val="center"/>
          </w:tcPr>
          <w:p w:rsidR="007870D7" w:rsidRPr="00204832" w:rsidRDefault="007870D7" w:rsidP="007870D7">
            <w:pPr>
              <w:spacing w:after="0"/>
              <w:ind w:firstLine="0"/>
              <w:jc w:val="left"/>
              <w:rPr>
                <w:color w:val="000000"/>
                <w:sz w:val="20"/>
                <w:szCs w:val="24"/>
                <w:lang w:eastAsia="lv-LV"/>
              </w:rPr>
            </w:pPr>
            <w:r w:rsidRPr="00204832">
              <w:rPr>
                <w:color w:val="000000"/>
                <w:sz w:val="20"/>
                <w:szCs w:val="24"/>
                <w:lang w:eastAsia="lv-LV"/>
              </w:rPr>
              <w:t>Procentuālā likme no mazumtirdzniecības cenas</w:t>
            </w:r>
          </w:p>
        </w:tc>
        <w:tc>
          <w:tcPr>
            <w:tcW w:w="1031" w:type="pct"/>
            <w:shd w:val="clear" w:color="auto" w:fill="auto"/>
            <w:noWrap/>
            <w:vAlign w:val="center"/>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20%</w:t>
            </w:r>
          </w:p>
        </w:tc>
        <w:tc>
          <w:tcPr>
            <w:tcW w:w="957" w:type="pct"/>
            <w:vAlign w:val="center"/>
          </w:tcPr>
          <w:p w:rsidR="007870D7" w:rsidRPr="00204832" w:rsidRDefault="007870D7" w:rsidP="007870D7">
            <w:pPr>
              <w:spacing w:after="0"/>
              <w:ind w:firstLine="0"/>
              <w:jc w:val="center"/>
              <w:rPr>
                <w:color w:val="000000"/>
                <w:sz w:val="20"/>
                <w:szCs w:val="24"/>
                <w:lang w:eastAsia="lv-LV"/>
              </w:rPr>
            </w:pPr>
            <w:r w:rsidRPr="00204832">
              <w:rPr>
                <w:color w:val="000000"/>
                <w:sz w:val="20"/>
                <w:szCs w:val="24"/>
                <w:lang w:eastAsia="lv-LV"/>
              </w:rPr>
              <w:t>20%</w:t>
            </w:r>
          </w:p>
        </w:tc>
      </w:tr>
    </w:tbl>
    <w:p w:rsidR="007870D7" w:rsidRPr="00B22DC7" w:rsidRDefault="007870D7" w:rsidP="007870D7">
      <w:pPr>
        <w:spacing w:after="240"/>
        <w:ind w:firstLine="0"/>
        <w:rPr>
          <w:u w:val="single"/>
        </w:rPr>
      </w:pPr>
    </w:p>
    <w:p w:rsidR="007870D7" w:rsidRPr="00824E0A" w:rsidRDefault="007870D7" w:rsidP="007870D7">
      <w:pPr>
        <w:spacing w:after="240"/>
        <w:ind w:firstLine="0"/>
        <w:rPr>
          <w:u w:val="single"/>
        </w:rPr>
      </w:pPr>
      <w:r w:rsidRPr="00824E0A">
        <w:rPr>
          <w:u w:val="single"/>
        </w:rPr>
        <w:t>Akcīzes nodoklis pārējām akcīzes precēm</w:t>
      </w:r>
    </w:p>
    <w:p w:rsidR="007870D7" w:rsidRPr="00824E0A" w:rsidRDefault="007870D7" w:rsidP="007870D7">
      <w:pPr>
        <w:pStyle w:val="NoSpacing"/>
        <w:spacing w:after="120"/>
      </w:pPr>
      <w:r w:rsidRPr="00824E0A">
        <w:t>2018.gadā akcīzes nodokļa ieņēmumi par pārējām akcīzes precēm (kafiju, bezalkoholiskajiem dzērieniem un elektroniskajās cigaretēs izmantojamo šķidrumu) bija 16,8 milj. </w:t>
      </w:r>
      <w:proofErr w:type="spellStart"/>
      <w:r w:rsidRPr="00824E0A">
        <w:rPr>
          <w:i/>
        </w:rPr>
        <w:t>euro</w:t>
      </w:r>
      <w:proofErr w:type="spellEnd"/>
      <w:r w:rsidRPr="00824E0A">
        <w:rPr>
          <w:i/>
        </w:rPr>
        <w:t xml:space="preserve">, </w:t>
      </w:r>
      <w:r w:rsidRPr="00824E0A">
        <w:t>salīdzinājumā ar 2017.gadu akcīzes nodokļa ieņēmumi no tām ir palielinājušies par 1,5 milj. </w:t>
      </w:r>
      <w:proofErr w:type="spellStart"/>
      <w:r w:rsidRPr="00824E0A">
        <w:rPr>
          <w:i/>
        </w:rPr>
        <w:t>euro</w:t>
      </w:r>
      <w:proofErr w:type="spellEnd"/>
      <w:r w:rsidRPr="00824E0A">
        <w:t xml:space="preserve"> jeb 10,0 procentiem. </w:t>
      </w:r>
      <w:r>
        <w:t xml:space="preserve">Ieņēmumu pieaugums ir tieši saistīts ar neparasti karstajiem laikapstākļiem 2018.gada vasarā, kā rezultātā būtiski pieauga bezalkoholisko dzērienu patēriņš. </w:t>
      </w:r>
    </w:p>
    <w:p w:rsidR="007870D7" w:rsidRPr="00824E0A" w:rsidRDefault="007870D7" w:rsidP="007870D7">
      <w:pPr>
        <w:pStyle w:val="NoSpacing"/>
        <w:spacing w:after="120"/>
      </w:pPr>
      <w:r w:rsidRPr="00824E0A">
        <w:t>Saskaņā ar Valsts ieņēmumu dienesta sniegto informāciju bezalkoholisko dzērienu patēriņš 2018.gada 11 mēnešos un 2017.gada decembrī salīdzinājumā ar 2017. un 2016.gada atbilstošo periodu ir palielinājies par 16,</w:t>
      </w:r>
      <w:r>
        <w:t>4</w:t>
      </w:r>
      <w:r w:rsidRPr="00824E0A">
        <w:t xml:space="preserve">%, bet kafijas patēriņš tai pašā periodā palielinājies par 3,2 procentiem. </w:t>
      </w:r>
    </w:p>
    <w:p w:rsidR="007870D7" w:rsidRPr="00824E0A" w:rsidRDefault="007870D7" w:rsidP="00D81781">
      <w:r w:rsidRPr="00824E0A">
        <w:t>Saskaņā ar likumu „Par valsts budžetu 2019.gadam” akcīzes nodokļa no pārējām akcīzes precēm ieņēmumi tiek plānoti 17,0 milj</w:t>
      </w:r>
      <w:r w:rsidRPr="00824E0A">
        <w:rPr>
          <w:i/>
        </w:rPr>
        <w:t>. </w:t>
      </w:r>
      <w:proofErr w:type="spellStart"/>
      <w:r w:rsidRPr="00824E0A">
        <w:rPr>
          <w:i/>
        </w:rPr>
        <w:t>euro</w:t>
      </w:r>
      <w:proofErr w:type="spellEnd"/>
      <w:r w:rsidRPr="00824E0A">
        <w:t xml:space="preserve"> apmērā, kas ir par 0,2 milj. </w:t>
      </w:r>
      <w:proofErr w:type="spellStart"/>
      <w:r w:rsidRPr="00824E0A">
        <w:rPr>
          <w:i/>
        </w:rPr>
        <w:t>euro</w:t>
      </w:r>
      <w:proofErr w:type="spellEnd"/>
      <w:r w:rsidRPr="00824E0A">
        <w:t xml:space="preserve"> jeb 1,1% vairāk nekā iekasēts 2018.gadā. </w:t>
      </w:r>
    </w:p>
    <w:p w:rsidR="007870D7" w:rsidRPr="00B22DC7" w:rsidRDefault="007870D7" w:rsidP="007870D7">
      <w:pPr>
        <w:rPr>
          <w:sz w:val="10"/>
          <w:u w:val="single"/>
        </w:rPr>
      </w:pPr>
    </w:p>
    <w:p w:rsidR="007870D7" w:rsidRPr="00FD5DCB" w:rsidRDefault="007870D7" w:rsidP="007870D7">
      <w:pPr>
        <w:spacing w:after="240"/>
        <w:ind w:firstLine="0"/>
        <w:rPr>
          <w:u w:val="single"/>
        </w:rPr>
      </w:pPr>
      <w:r w:rsidRPr="00FD5DCB">
        <w:rPr>
          <w:u w:val="single"/>
        </w:rPr>
        <w:t>Akcīzes nodoklis dabasgāzei</w:t>
      </w:r>
    </w:p>
    <w:p w:rsidR="007870D7" w:rsidRPr="00FD5DCB" w:rsidRDefault="007870D7" w:rsidP="007870D7">
      <w:pPr>
        <w:rPr>
          <w:szCs w:val="24"/>
        </w:rPr>
      </w:pPr>
      <w:r w:rsidRPr="00FD5DCB">
        <w:t>2018.gadā akcīzes nodokļa ieņēmumi par dabasgāzi bija 22,0 milj. </w:t>
      </w:r>
      <w:proofErr w:type="spellStart"/>
      <w:r w:rsidRPr="00FD5DCB">
        <w:rPr>
          <w:i/>
        </w:rPr>
        <w:t>euro</w:t>
      </w:r>
      <w:proofErr w:type="spellEnd"/>
      <w:r w:rsidRPr="00FD5DCB">
        <w:t xml:space="preserve">. Salīdzinot ar 2017.gadu, akcīzes </w:t>
      </w:r>
      <w:r w:rsidRPr="00FD5DCB">
        <w:rPr>
          <w:szCs w:val="24"/>
        </w:rPr>
        <w:t>nodoklis par dabasgāzi iekasēts par 2,4 milj. </w:t>
      </w:r>
      <w:proofErr w:type="spellStart"/>
      <w:r w:rsidRPr="00FD5DCB">
        <w:rPr>
          <w:i/>
          <w:szCs w:val="24"/>
        </w:rPr>
        <w:t>euro</w:t>
      </w:r>
      <w:proofErr w:type="spellEnd"/>
      <w:r w:rsidRPr="00FD5DCB">
        <w:rPr>
          <w:szCs w:val="24"/>
        </w:rPr>
        <w:t xml:space="preserve"> jeb 12,2% vairāk. Akcīzes nodokļa ieņēmumu pieaugums saistīts ar dabasgāzes patēriņa pieaugumu – saskaņā ar informāciju iesniegtajās dabasgāzes akcīzes nodokļa deklarācijās, dabasgāzes daudzums, kas izmantots par kurināmo, 2017.gada decembrī un 2018.gada 11 mēnešos, salīdzinot ar attiecīgo periodu pērn, palielinājies par </w:t>
      </w:r>
      <w:r>
        <w:rPr>
          <w:szCs w:val="24"/>
        </w:rPr>
        <w:t>11,9</w:t>
      </w:r>
      <w:r w:rsidRPr="00FD5DCB">
        <w:rPr>
          <w:szCs w:val="24"/>
        </w:rPr>
        <w:t xml:space="preserve"> procentiem. Dabasgāzes, ko izmanto par kurināmo, patēriņa dinamika ir tieši saistīta ar laikapstākļiem. </w:t>
      </w:r>
    </w:p>
    <w:p w:rsidR="007870D7" w:rsidRPr="00FD5DCB" w:rsidRDefault="007870D7" w:rsidP="007870D7">
      <w:r w:rsidRPr="00FD5DCB">
        <w:rPr>
          <w:szCs w:val="24"/>
        </w:rPr>
        <w:t>2019.gada akcīzes nodokļa ieņēmumi no dabasgāzes tie</w:t>
      </w:r>
      <w:r w:rsidRPr="00FD5DCB">
        <w:t>k plānoti 22,1 milj. </w:t>
      </w:r>
      <w:proofErr w:type="spellStart"/>
      <w:r w:rsidRPr="00FD5DCB">
        <w:rPr>
          <w:i/>
        </w:rPr>
        <w:t>euro</w:t>
      </w:r>
      <w:proofErr w:type="spellEnd"/>
      <w:r w:rsidRPr="00FD5DCB">
        <w:t xml:space="preserve"> apmērā, kas ir par 0,1 milj. </w:t>
      </w:r>
      <w:proofErr w:type="spellStart"/>
      <w:r w:rsidRPr="00FD5DCB">
        <w:rPr>
          <w:i/>
        </w:rPr>
        <w:t>euro</w:t>
      </w:r>
      <w:proofErr w:type="spellEnd"/>
      <w:r w:rsidRPr="00FD5DCB">
        <w:t xml:space="preserve"> jeb par 0,5% vairāk nekā iekasēts 2018.gadā. 2019.gada plāns veidots, pamatojoties uz prognozēto dabasgāzes kopējo patēriņa apjomu. </w:t>
      </w:r>
    </w:p>
    <w:p w:rsidR="007870D7" w:rsidRPr="00FD5DCB" w:rsidRDefault="007870D7" w:rsidP="007870D7">
      <w:pPr>
        <w:pStyle w:val="T"/>
        <w:spacing w:before="360"/>
      </w:pPr>
      <w:r w:rsidRPr="00FD5DCB">
        <w:lastRenderedPageBreak/>
        <w:t>3.12.tabula. Akcīzes nodokļa ieņēmumi pa veidiem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354"/>
        <w:gridCol w:w="1064"/>
        <w:gridCol w:w="1066"/>
        <w:gridCol w:w="1241"/>
        <w:gridCol w:w="1336"/>
      </w:tblGrid>
      <w:tr w:rsidR="007870D7" w:rsidRPr="002074E7" w:rsidTr="007870D7">
        <w:trPr>
          <w:tblHeader/>
          <w:jc w:val="center"/>
        </w:trPr>
        <w:tc>
          <w:tcPr>
            <w:tcW w:w="2403" w:type="pct"/>
            <w:vMerge w:val="restart"/>
            <w:shd w:val="clear" w:color="auto" w:fill="D9D9D9" w:themeFill="background1" w:themeFillShade="D9"/>
          </w:tcPr>
          <w:p w:rsidR="007870D7" w:rsidRPr="00FD5DCB" w:rsidRDefault="007870D7" w:rsidP="007870D7">
            <w:pPr>
              <w:pStyle w:val="tabtekst"/>
              <w:jc w:val="center"/>
              <w:rPr>
                <w:color w:val="auto"/>
              </w:rPr>
            </w:pPr>
          </w:p>
        </w:tc>
        <w:tc>
          <w:tcPr>
            <w:tcW w:w="587" w:type="pct"/>
            <w:shd w:val="clear" w:color="auto" w:fill="D9D9D9" w:themeFill="background1" w:themeFillShade="D9"/>
          </w:tcPr>
          <w:p w:rsidR="007870D7" w:rsidRPr="005E108B" w:rsidRDefault="007870D7" w:rsidP="007870D7">
            <w:pPr>
              <w:pStyle w:val="tabtekst"/>
              <w:jc w:val="center"/>
              <w:rPr>
                <w:b/>
                <w:color w:val="auto"/>
              </w:rPr>
            </w:pPr>
            <w:r w:rsidRPr="005E108B">
              <w:rPr>
                <w:b/>
                <w:color w:val="auto"/>
              </w:rPr>
              <w:t>2016</w:t>
            </w:r>
          </w:p>
        </w:tc>
        <w:tc>
          <w:tcPr>
            <w:tcW w:w="588" w:type="pct"/>
            <w:shd w:val="clear" w:color="auto" w:fill="D9D9D9" w:themeFill="background1" w:themeFillShade="D9"/>
          </w:tcPr>
          <w:p w:rsidR="007870D7" w:rsidRPr="005E108B" w:rsidRDefault="007870D7" w:rsidP="007870D7">
            <w:pPr>
              <w:pStyle w:val="tabtekst"/>
              <w:jc w:val="center"/>
              <w:rPr>
                <w:b/>
                <w:color w:val="auto"/>
              </w:rPr>
            </w:pPr>
            <w:r w:rsidRPr="005E108B">
              <w:rPr>
                <w:b/>
                <w:color w:val="auto"/>
              </w:rPr>
              <w:t>2017</w:t>
            </w:r>
          </w:p>
        </w:tc>
        <w:tc>
          <w:tcPr>
            <w:tcW w:w="685" w:type="pct"/>
            <w:shd w:val="clear" w:color="auto" w:fill="D9D9D9" w:themeFill="background1" w:themeFillShade="D9"/>
          </w:tcPr>
          <w:p w:rsidR="007870D7" w:rsidRPr="005E108B" w:rsidRDefault="007870D7" w:rsidP="007870D7">
            <w:pPr>
              <w:pStyle w:val="tabtekst"/>
              <w:jc w:val="center"/>
              <w:rPr>
                <w:b/>
                <w:color w:val="auto"/>
              </w:rPr>
            </w:pPr>
            <w:r w:rsidRPr="005E108B">
              <w:rPr>
                <w:b/>
                <w:color w:val="auto"/>
              </w:rPr>
              <w:t>2018</w:t>
            </w:r>
          </w:p>
        </w:tc>
        <w:tc>
          <w:tcPr>
            <w:tcW w:w="737" w:type="pct"/>
            <w:shd w:val="clear" w:color="auto" w:fill="D9D9D9" w:themeFill="background1" w:themeFillShade="D9"/>
          </w:tcPr>
          <w:p w:rsidR="007870D7" w:rsidRPr="005E108B" w:rsidRDefault="007870D7" w:rsidP="007870D7">
            <w:pPr>
              <w:pStyle w:val="tabtekst"/>
              <w:jc w:val="center"/>
              <w:rPr>
                <w:b/>
                <w:color w:val="auto"/>
              </w:rPr>
            </w:pPr>
            <w:r w:rsidRPr="005E108B">
              <w:rPr>
                <w:b/>
                <w:color w:val="auto"/>
              </w:rPr>
              <w:t>2019</w:t>
            </w:r>
          </w:p>
        </w:tc>
      </w:tr>
      <w:tr w:rsidR="007870D7" w:rsidRPr="002074E7" w:rsidTr="007870D7">
        <w:trPr>
          <w:tblHeader/>
          <w:jc w:val="center"/>
        </w:trPr>
        <w:tc>
          <w:tcPr>
            <w:tcW w:w="2403" w:type="pct"/>
            <w:vMerge/>
            <w:shd w:val="clear" w:color="auto" w:fill="D9D9D9" w:themeFill="background1" w:themeFillShade="D9"/>
          </w:tcPr>
          <w:p w:rsidR="007870D7" w:rsidRPr="00FD5DCB" w:rsidRDefault="007870D7" w:rsidP="007870D7">
            <w:pPr>
              <w:pStyle w:val="tabtekst"/>
              <w:jc w:val="center"/>
              <w:rPr>
                <w:color w:val="auto"/>
              </w:rPr>
            </w:pPr>
          </w:p>
        </w:tc>
        <w:tc>
          <w:tcPr>
            <w:tcW w:w="1860" w:type="pct"/>
            <w:gridSpan w:val="3"/>
            <w:shd w:val="clear" w:color="auto" w:fill="D9D9D9" w:themeFill="background1" w:themeFillShade="D9"/>
          </w:tcPr>
          <w:p w:rsidR="007870D7" w:rsidRPr="005E108B" w:rsidRDefault="007870D7" w:rsidP="007870D7">
            <w:pPr>
              <w:pStyle w:val="tabtekst"/>
              <w:jc w:val="center"/>
              <w:rPr>
                <w:color w:val="auto"/>
              </w:rPr>
            </w:pPr>
            <w:r w:rsidRPr="005E108B">
              <w:rPr>
                <w:color w:val="auto"/>
              </w:rPr>
              <w:t>fakts</w:t>
            </w:r>
          </w:p>
        </w:tc>
        <w:tc>
          <w:tcPr>
            <w:tcW w:w="737" w:type="pct"/>
            <w:shd w:val="clear" w:color="auto" w:fill="D9D9D9" w:themeFill="background1" w:themeFillShade="D9"/>
          </w:tcPr>
          <w:p w:rsidR="007870D7" w:rsidRPr="002074E7" w:rsidRDefault="007870D7" w:rsidP="007870D7">
            <w:pPr>
              <w:pStyle w:val="tabtekst"/>
              <w:ind w:left="-277" w:firstLine="277"/>
              <w:jc w:val="center"/>
              <w:rPr>
                <w:color w:val="auto"/>
                <w:highlight w:val="yellow"/>
              </w:rPr>
            </w:pPr>
            <w:r w:rsidRPr="005E108B">
              <w:rPr>
                <w:color w:val="auto"/>
              </w:rPr>
              <w:t>plāns</w:t>
            </w:r>
          </w:p>
        </w:tc>
      </w:tr>
      <w:tr w:rsidR="007870D7" w:rsidRPr="005E108B" w:rsidTr="007870D7">
        <w:trPr>
          <w:jc w:val="center"/>
        </w:trPr>
        <w:tc>
          <w:tcPr>
            <w:tcW w:w="2403" w:type="pct"/>
          </w:tcPr>
          <w:p w:rsidR="007870D7" w:rsidRPr="00FD5DCB" w:rsidRDefault="007870D7" w:rsidP="007870D7">
            <w:pPr>
              <w:pStyle w:val="tabtekst"/>
              <w:rPr>
                <w:b/>
                <w:color w:val="auto"/>
                <w:lang w:eastAsia="lv-LV"/>
              </w:rPr>
            </w:pPr>
            <w:r w:rsidRPr="00FD5DCB">
              <w:rPr>
                <w:b/>
                <w:color w:val="auto"/>
                <w:lang w:eastAsia="lv-LV"/>
              </w:rPr>
              <w:t>Akcīzes nodoklis</w:t>
            </w:r>
            <w:r w:rsidRPr="00FD5DCB">
              <w:rPr>
                <w:color w:val="auto"/>
                <w:lang w:eastAsia="lv-LV"/>
              </w:rPr>
              <w:t>, milj. </w:t>
            </w:r>
            <w:proofErr w:type="spellStart"/>
            <w:r w:rsidRPr="00FD5DCB">
              <w:rPr>
                <w:i/>
                <w:color w:val="auto"/>
                <w:lang w:eastAsia="lv-LV"/>
              </w:rPr>
              <w:t>euro</w:t>
            </w:r>
            <w:proofErr w:type="spellEnd"/>
          </w:p>
        </w:tc>
        <w:tc>
          <w:tcPr>
            <w:tcW w:w="587" w:type="pct"/>
          </w:tcPr>
          <w:p w:rsidR="007870D7" w:rsidRPr="005E108B" w:rsidRDefault="007870D7" w:rsidP="007870D7">
            <w:pPr>
              <w:pStyle w:val="tabtekst"/>
              <w:tabs>
                <w:tab w:val="decimal" w:pos="480"/>
              </w:tabs>
              <w:rPr>
                <w:b/>
                <w:color w:val="auto"/>
              </w:rPr>
            </w:pPr>
            <w:r w:rsidRPr="005E108B">
              <w:rPr>
                <w:b/>
                <w:color w:val="auto"/>
              </w:rPr>
              <w:t>861,0</w:t>
            </w:r>
          </w:p>
        </w:tc>
        <w:tc>
          <w:tcPr>
            <w:tcW w:w="588" w:type="pct"/>
          </w:tcPr>
          <w:p w:rsidR="007870D7" w:rsidRPr="005E108B" w:rsidRDefault="007870D7" w:rsidP="007870D7">
            <w:pPr>
              <w:pStyle w:val="tabtekst"/>
              <w:tabs>
                <w:tab w:val="decimal" w:pos="480"/>
              </w:tabs>
              <w:rPr>
                <w:b/>
                <w:color w:val="auto"/>
              </w:rPr>
            </w:pPr>
            <w:r w:rsidRPr="005E108B">
              <w:rPr>
                <w:b/>
                <w:color w:val="auto"/>
              </w:rPr>
              <w:t>907,0</w:t>
            </w:r>
          </w:p>
        </w:tc>
        <w:tc>
          <w:tcPr>
            <w:tcW w:w="685" w:type="pct"/>
          </w:tcPr>
          <w:p w:rsidR="007870D7" w:rsidRPr="005E108B" w:rsidRDefault="007870D7" w:rsidP="007870D7">
            <w:pPr>
              <w:pStyle w:val="tabtekst"/>
              <w:tabs>
                <w:tab w:val="decimal" w:pos="480"/>
              </w:tabs>
              <w:rPr>
                <w:b/>
                <w:color w:val="auto"/>
              </w:rPr>
            </w:pPr>
            <w:r w:rsidRPr="005E108B">
              <w:rPr>
                <w:b/>
                <w:color w:val="auto"/>
              </w:rPr>
              <w:t>1 029,2</w:t>
            </w:r>
          </w:p>
        </w:tc>
        <w:tc>
          <w:tcPr>
            <w:tcW w:w="737" w:type="pct"/>
          </w:tcPr>
          <w:p w:rsidR="007870D7" w:rsidRPr="005E108B" w:rsidRDefault="007870D7" w:rsidP="007870D7">
            <w:pPr>
              <w:pStyle w:val="tabtekst"/>
              <w:tabs>
                <w:tab w:val="decimal" w:pos="480"/>
              </w:tabs>
              <w:rPr>
                <w:b/>
                <w:color w:val="auto"/>
              </w:rPr>
            </w:pPr>
            <w:r w:rsidRPr="005E108B">
              <w:rPr>
                <w:b/>
                <w:color w:val="auto"/>
              </w:rPr>
              <w:t>1 118,9</w:t>
            </w:r>
          </w:p>
        </w:tc>
      </w:tr>
      <w:tr w:rsidR="007870D7" w:rsidRPr="005E108B" w:rsidTr="007870D7">
        <w:trPr>
          <w:jc w:val="center"/>
        </w:trPr>
        <w:tc>
          <w:tcPr>
            <w:tcW w:w="2403" w:type="pct"/>
          </w:tcPr>
          <w:p w:rsidR="007870D7" w:rsidRPr="00FD5DCB" w:rsidRDefault="007870D7" w:rsidP="007870D7">
            <w:pPr>
              <w:pStyle w:val="tabtekst"/>
              <w:rPr>
                <w:i/>
                <w:color w:val="auto"/>
                <w:lang w:eastAsia="lv-LV"/>
              </w:rPr>
            </w:pPr>
            <w:r w:rsidRPr="00FD5DCB">
              <w:rPr>
                <w:i/>
                <w:color w:val="auto"/>
                <w:lang w:eastAsia="lv-LV"/>
              </w:rPr>
              <w:t xml:space="preserve">  pieauguma tempi faktiskās cenās, %</w:t>
            </w:r>
          </w:p>
        </w:tc>
        <w:tc>
          <w:tcPr>
            <w:tcW w:w="587" w:type="pct"/>
          </w:tcPr>
          <w:p w:rsidR="007870D7" w:rsidRPr="005E108B" w:rsidRDefault="007870D7" w:rsidP="007870D7">
            <w:pPr>
              <w:pStyle w:val="tabtekst"/>
              <w:tabs>
                <w:tab w:val="decimal" w:pos="480"/>
              </w:tabs>
              <w:rPr>
                <w:i/>
                <w:color w:val="auto"/>
              </w:rPr>
            </w:pPr>
            <w:r w:rsidRPr="005E108B">
              <w:rPr>
                <w:i/>
                <w:color w:val="auto"/>
              </w:rPr>
              <w:t>8,1</w:t>
            </w:r>
          </w:p>
        </w:tc>
        <w:tc>
          <w:tcPr>
            <w:tcW w:w="588" w:type="pct"/>
          </w:tcPr>
          <w:p w:rsidR="007870D7" w:rsidRPr="005E108B" w:rsidRDefault="007870D7" w:rsidP="007870D7">
            <w:pPr>
              <w:pStyle w:val="tabtekst"/>
              <w:tabs>
                <w:tab w:val="decimal" w:pos="480"/>
              </w:tabs>
              <w:rPr>
                <w:i/>
                <w:color w:val="auto"/>
              </w:rPr>
            </w:pPr>
            <w:r w:rsidRPr="005E108B">
              <w:rPr>
                <w:i/>
                <w:color w:val="auto"/>
              </w:rPr>
              <w:t>5,3</w:t>
            </w:r>
          </w:p>
        </w:tc>
        <w:tc>
          <w:tcPr>
            <w:tcW w:w="685" w:type="pct"/>
          </w:tcPr>
          <w:p w:rsidR="007870D7" w:rsidRPr="005E108B" w:rsidRDefault="007870D7" w:rsidP="007870D7">
            <w:pPr>
              <w:pStyle w:val="tabtekst"/>
              <w:tabs>
                <w:tab w:val="decimal" w:pos="480"/>
              </w:tabs>
              <w:rPr>
                <w:i/>
                <w:color w:val="auto"/>
              </w:rPr>
            </w:pPr>
            <w:r w:rsidRPr="005E108B">
              <w:rPr>
                <w:i/>
                <w:color w:val="auto"/>
              </w:rPr>
              <w:t>13,5</w:t>
            </w:r>
          </w:p>
        </w:tc>
        <w:tc>
          <w:tcPr>
            <w:tcW w:w="737" w:type="pct"/>
          </w:tcPr>
          <w:p w:rsidR="007870D7" w:rsidRPr="005E108B" w:rsidRDefault="007870D7" w:rsidP="007870D7">
            <w:pPr>
              <w:pStyle w:val="tabtekst"/>
              <w:tabs>
                <w:tab w:val="decimal" w:pos="480"/>
              </w:tabs>
              <w:rPr>
                <w:i/>
                <w:color w:val="auto"/>
              </w:rPr>
            </w:pPr>
            <w:r w:rsidRPr="005E108B">
              <w:rPr>
                <w:i/>
                <w:color w:val="auto"/>
              </w:rPr>
              <w:t>8,7</w:t>
            </w:r>
          </w:p>
        </w:tc>
      </w:tr>
      <w:tr w:rsidR="007870D7" w:rsidRPr="005E108B" w:rsidTr="007870D7">
        <w:trPr>
          <w:jc w:val="center"/>
        </w:trPr>
        <w:tc>
          <w:tcPr>
            <w:tcW w:w="2403" w:type="pct"/>
          </w:tcPr>
          <w:p w:rsidR="007870D7" w:rsidRPr="00FD5DCB" w:rsidRDefault="007870D7" w:rsidP="007870D7">
            <w:pPr>
              <w:pStyle w:val="tabtekst"/>
              <w:rPr>
                <w:i/>
                <w:color w:val="auto"/>
                <w:lang w:eastAsia="lv-LV"/>
              </w:rPr>
            </w:pPr>
            <w:r w:rsidRPr="00FD5DCB">
              <w:rPr>
                <w:i/>
                <w:color w:val="auto"/>
                <w:lang w:eastAsia="lv-LV"/>
              </w:rPr>
              <w:t xml:space="preserve"> % no IKP</w:t>
            </w:r>
          </w:p>
        </w:tc>
        <w:tc>
          <w:tcPr>
            <w:tcW w:w="587" w:type="pct"/>
          </w:tcPr>
          <w:p w:rsidR="007870D7" w:rsidRPr="005E108B" w:rsidRDefault="007870D7" w:rsidP="007870D7">
            <w:pPr>
              <w:pStyle w:val="tabtekst"/>
              <w:tabs>
                <w:tab w:val="decimal" w:pos="480"/>
              </w:tabs>
              <w:rPr>
                <w:i/>
                <w:color w:val="auto"/>
              </w:rPr>
            </w:pPr>
            <w:r w:rsidRPr="005E108B">
              <w:rPr>
                <w:i/>
                <w:color w:val="auto"/>
              </w:rPr>
              <w:t>3,4</w:t>
            </w:r>
          </w:p>
        </w:tc>
        <w:tc>
          <w:tcPr>
            <w:tcW w:w="588" w:type="pct"/>
          </w:tcPr>
          <w:p w:rsidR="007870D7" w:rsidRPr="005E108B" w:rsidRDefault="007870D7" w:rsidP="007870D7">
            <w:pPr>
              <w:pStyle w:val="tabtekst"/>
              <w:tabs>
                <w:tab w:val="decimal" w:pos="480"/>
              </w:tabs>
              <w:rPr>
                <w:i/>
                <w:color w:val="auto"/>
              </w:rPr>
            </w:pPr>
            <w:r w:rsidRPr="005E108B">
              <w:rPr>
                <w:i/>
                <w:color w:val="auto"/>
              </w:rPr>
              <w:t>3,4</w:t>
            </w:r>
          </w:p>
        </w:tc>
        <w:tc>
          <w:tcPr>
            <w:tcW w:w="685" w:type="pct"/>
          </w:tcPr>
          <w:p w:rsidR="007870D7" w:rsidRPr="005E108B" w:rsidRDefault="007870D7" w:rsidP="007870D7">
            <w:pPr>
              <w:pStyle w:val="tabtekst"/>
              <w:tabs>
                <w:tab w:val="decimal" w:pos="480"/>
              </w:tabs>
              <w:rPr>
                <w:i/>
                <w:color w:val="auto"/>
              </w:rPr>
            </w:pPr>
            <w:r w:rsidRPr="005E108B">
              <w:rPr>
                <w:i/>
                <w:color w:val="auto"/>
              </w:rPr>
              <w:t>3,5</w:t>
            </w:r>
          </w:p>
        </w:tc>
        <w:tc>
          <w:tcPr>
            <w:tcW w:w="737" w:type="pct"/>
          </w:tcPr>
          <w:p w:rsidR="007870D7" w:rsidRPr="005E108B" w:rsidRDefault="007870D7" w:rsidP="007870D7">
            <w:pPr>
              <w:pStyle w:val="tabtekst"/>
              <w:tabs>
                <w:tab w:val="decimal" w:pos="480"/>
              </w:tabs>
              <w:rPr>
                <w:i/>
                <w:color w:val="auto"/>
              </w:rPr>
            </w:pPr>
            <w:r w:rsidRPr="005E108B">
              <w:rPr>
                <w:i/>
                <w:color w:val="auto"/>
              </w:rPr>
              <w:t>3,6</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Alkoholiskie dzērieni</w:t>
            </w:r>
          </w:p>
        </w:tc>
        <w:tc>
          <w:tcPr>
            <w:tcW w:w="587" w:type="pct"/>
          </w:tcPr>
          <w:p w:rsidR="007870D7" w:rsidRPr="005E108B" w:rsidRDefault="007870D7" w:rsidP="007870D7">
            <w:pPr>
              <w:pStyle w:val="tabtekst"/>
              <w:tabs>
                <w:tab w:val="decimal" w:pos="480"/>
              </w:tabs>
              <w:rPr>
                <w:color w:val="auto"/>
              </w:rPr>
            </w:pPr>
            <w:r w:rsidRPr="005E108B">
              <w:rPr>
                <w:color w:val="auto"/>
              </w:rPr>
              <w:t>137,5</w:t>
            </w:r>
          </w:p>
        </w:tc>
        <w:tc>
          <w:tcPr>
            <w:tcW w:w="588" w:type="pct"/>
          </w:tcPr>
          <w:p w:rsidR="007870D7" w:rsidRPr="005E108B" w:rsidRDefault="007870D7" w:rsidP="007870D7">
            <w:pPr>
              <w:pStyle w:val="tabtekst"/>
              <w:tabs>
                <w:tab w:val="decimal" w:pos="480"/>
              </w:tabs>
              <w:rPr>
                <w:color w:val="auto"/>
              </w:rPr>
            </w:pPr>
            <w:r w:rsidRPr="005E108B">
              <w:rPr>
                <w:color w:val="auto"/>
              </w:rPr>
              <w:t>161,2</w:t>
            </w:r>
          </w:p>
        </w:tc>
        <w:tc>
          <w:tcPr>
            <w:tcW w:w="685" w:type="pct"/>
          </w:tcPr>
          <w:p w:rsidR="007870D7" w:rsidRPr="005E108B" w:rsidRDefault="007870D7" w:rsidP="007870D7">
            <w:pPr>
              <w:pStyle w:val="tabtekst"/>
              <w:tabs>
                <w:tab w:val="decimal" w:pos="480"/>
              </w:tabs>
              <w:rPr>
                <w:color w:val="auto"/>
              </w:rPr>
            </w:pPr>
            <w:r w:rsidRPr="005E108B">
              <w:rPr>
                <w:color w:val="auto"/>
              </w:rPr>
              <w:t>188,9</w:t>
            </w:r>
          </w:p>
        </w:tc>
        <w:tc>
          <w:tcPr>
            <w:tcW w:w="737" w:type="pct"/>
          </w:tcPr>
          <w:p w:rsidR="007870D7" w:rsidRPr="005E108B" w:rsidRDefault="007870D7" w:rsidP="007870D7">
            <w:pPr>
              <w:pStyle w:val="tabtekst"/>
              <w:tabs>
                <w:tab w:val="decimal" w:pos="480"/>
              </w:tabs>
              <w:rPr>
                <w:color w:val="auto"/>
              </w:rPr>
            </w:pPr>
            <w:r w:rsidRPr="005E108B">
              <w:rPr>
                <w:color w:val="auto"/>
              </w:rPr>
              <w:t>223,4</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Alus</w:t>
            </w:r>
          </w:p>
        </w:tc>
        <w:tc>
          <w:tcPr>
            <w:tcW w:w="587" w:type="pct"/>
          </w:tcPr>
          <w:p w:rsidR="007870D7" w:rsidRPr="005E108B" w:rsidRDefault="007870D7" w:rsidP="007870D7">
            <w:pPr>
              <w:pStyle w:val="tabtekst"/>
              <w:tabs>
                <w:tab w:val="decimal" w:pos="480"/>
              </w:tabs>
              <w:rPr>
                <w:color w:val="auto"/>
              </w:rPr>
            </w:pPr>
            <w:r w:rsidRPr="005E108B">
              <w:rPr>
                <w:color w:val="auto"/>
              </w:rPr>
              <w:t>32,1</w:t>
            </w:r>
          </w:p>
        </w:tc>
        <w:tc>
          <w:tcPr>
            <w:tcW w:w="588" w:type="pct"/>
          </w:tcPr>
          <w:p w:rsidR="007870D7" w:rsidRPr="005E108B" w:rsidRDefault="007870D7" w:rsidP="007870D7">
            <w:pPr>
              <w:pStyle w:val="tabtekst"/>
              <w:tabs>
                <w:tab w:val="decimal" w:pos="480"/>
              </w:tabs>
              <w:rPr>
                <w:color w:val="auto"/>
              </w:rPr>
            </w:pPr>
            <w:r w:rsidRPr="005E108B">
              <w:rPr>
                <w:color w:val="auto"/>
              </w:rPr>
              <w:t>36,8</w:t>
            </w:r>
          </w:p>
        </w:tc>
        <w:tc>
          <w:tcPr>
            <w:tcW w:w="685" w:type="pct"/>
          </w:tcPr>
          <w:p w:rsidR="007870D7" w:rsidRPr="005E108B" w:rsidRDefault="007870D7" w:rsidP="007870D7">
            <w:pPr>
              <w:pStyle w:val="tabtekst"/>
              <w:tabs>
                <w:tab w:val="decimal" w:pos="480"/>
              </w:tabs>
              <w:rPr>
                <w:color w:val="auto"/>
              </w:rPr>
            </w:pPr>
            <w:r w:rsidRPr="005E108B">
              <w:rPr>
                <w:color w:val="auto"/>
              </w:rPr>
              <w:t>53,1</w:t>
            </w:r>
          </w:p>
        </w:tc>
        <w:tc>
          <w:tcPr>
            <w:tcW w:w="737" w:type="pct"/>
            <w:shd w:val="clear" w:color="auto" w:fill="auto"/>
          </w:tcPr>
          <w:p w:rsidR="007870D7" w:rsidRPr="005E108B" w:rsidRDefault="007870D7" w:rsidP="007870D7">
            <w:pPr>
              <w:pStyle w:val="tabtekst"/>
              <w:tabs>
                <w:tab w:val="decimal" w:pos="480"/>
              </w:tabs>
              <w:rPr>
                <w:color w:val="auto"/>
              </w:rPr>
            </w:pPr>
            <w:r w:rsidRPr="005E108B">
              <w:rPr>
                <w:color w:val="auto"/>
              </w:rPr>
              <w:t>60,8</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Naftas produkti</w:t>
            </w:r>
          </w:p>
        </w:tc>
        <w:tc>
          <w:tcPr>
            <w:tcW w:w="587" w:type="pct"/>
          </w:tcPr>
          <w:p w:rsidR="007870D7" w:rsidRPr="005E108B" w:rsidRDefault="007870D7" w:rsidP="007870D7">
            <w:pPr>
              <w:pStyle w:val="tabtekst"/>
              <w:tabs>
                <w:tab w:val="decimal" w:pos="480"/>
              </w:tabs>
              <w:rPr>
                <w:color w:val="auto"/>
              </w:rPr>
            </w:pPr>
            <w:r w:rsidRPr="005E108B">
              <w:rPr>
                <w:color w:val="auto"/>
              </w:rPr>
              <w:t>465,7</w:t>
            </w:r>
          </w:p>
        </w:tc>
        <w:tc>
          <w:tcPr>
            <w:tcW w:w="588" w:type="pct"/>
          </w:tcPr>
          <w:p w:rsidR="007870D7" w:rsidRPr="005E108B" w:rsidRDefault="007870D7" w:rsidP="007870D7">
            <w:pPr>
              <w:pStyle w:val="tabtekst"/>
              <w:tabs>
                <w:tab w:val="decimal" w:pos="480"/>
              </w:tabs>
              <w:rPr>
                <w:color w:val="auto"/>
              </w:rPr>
            </w:pPr>
            <w:r w:rsidRPr="005E108B">
              <w:rPr>
                <w:color w:val="auto"/>
              </w:rPr>
              <w:t>482,2</w:t>
            </w:r>
          </w:p>
        </w:tc>
        <w:tc>
          <w:tcPr>
            <w:tcW w:w="685" w:type="pct"/>
          </w:tcPr>
          <w:p w:rsidR="007870D7" w:rsidRPr="005E108B" w:rsidRDefault="007870D7" w:rsidP="007870D7">
            <w:pPr>
              <w:pStyle w:val="tabtekst"/>
              <w:tabs>
                <w:tab w:val="decimal" w:pos="480"/>
              </w:tabs>
              <w:rPr>
                <w:color w:val="auto"/>
              </w:rPr>
            </w:pPr>
            <w:r w:rsidRPr="005E108B">
              <w:rPr>
                <w:color w:val="auto"/>
              </w:rPr>
              <w:t>539,6</w:t>
            </w:r>
          </w:p>
        </w:tc>
        <w:tc>
          <w:tcPr>
            <w:tcW w:w="737" w:type="pct"/>
            <w:shd w:val="clear" w:color="auto" w:fill="auto"/>
          </w:tcPr>
          <w:p w:rsidR="007870D7" w:rsidRPr="005E108B" w:rsidRDefault="007870D7" w:rsidP="007870D7">
            <w:pPr>
              <w:pStyle w:val="tabtekst"/>
              <w:tabs>
                <w:tab w:val="decimal" w:pos="480"/>
              </w:tabs>
              <w:rPr>
                <w:color w:val="auto"/>
              </w:rPr>
            </w:pPr>
            <w:r w:rsidRPr="005E108B">
              <w:rPr>
                <w:color w:val="auto"/>
              </w:rPr>
              <w:t>576,3</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Tabakas izstrādājumi</w:t>
            </w:r>
          </w:p>
        </w:tc>
        <w:tc>
          <w:tcPr>
            <w:tcW w:w="587" w:type="pct"/>
          </w:tcPr>
          <w:p w:rsidR="007870D7" w:rsidRPr="005E108B" w:rsidRDefault="007870D7" w:rsidP="007870D7">
            <w:pPr>
              <w:pStyle w:val="tabtekst"/>
              <w:tabs>
                <w:tab w:val="decimal" w:pos="480"/>
              </w:tabs>
              <w:rPr>
                <w:color w:val="auto"/>
              </w:rPr>
            </w:pPr>
            <w:r w:rsidRPr="005E108B">
              <w:rPr>
                <w:color w:val="auto"/>
              </w:rPr>
              <w:t>189,5</w:t>
            </w:r>
          </w:p>
        </w:tc>
        <w:tc>
          <w:tcPr>
            <w:tcW w:w="588" w:type="pct"/>
          </w:tcPr>
          <w:p w:rsidR="007870D7" w:rsidRPr="005E108B" w:rsidRDefault="007870D7" w:rsidP="007870D7">
            <w:pPr>
              <w:pStyle w:val="tabtekst"/>
              <w:tabs>
                <w:tab w:val="decimal" w:pos="480"/>
              </w:tabs>
              <w:rPr>
                <w:color w:val="auto"/>
              </w:rPr>
            </w:pPr>
            <w:r w:rsidRPr="005E108B">
              <w:rPr>
                <w:color w:val="auto"/>
              </w:rPr>
              <w:t>191,8</w:t>
            </w:r>
          </w:p>
        </w:tc>
        <w:tc>
          <w:tcPr>
            <w:tcW w:w="685" w:type="pct"/>
          </w:tcPr>
          <w:p w:rsidR="007870D7" w:rsidRPr="005E108B" w:rsidRDefault="007870D7" w:rsidP="007870D7">
            <w:pPr>
              <w:pStyle w:val="tabtekst"/>
              <w:tabs>
                <w:tab w:val="decimal" w:pos="480"/>
              </w:tabs>
              <w:rPr>
                <w:color w:val="auto"/>
              </w:rPr>
            </w:pPr>
            <w:r w:rsidRPr="005E108B">
              <w:rPr>
                <w:color w:val="auto"/>
              </w:rPr>
              <w:t>208,8</w:t>
            </w:r>
          </w:p>
        </w:tc>
        <w:tc>
          <w:tcPr>
            <w:tcW w:w="737" w:type="pct"/>
          </w:tcPr>
          <w:p w:rsidR="007870D7" w:rsidRPr="005E108B" w:rsidRDefault="007870D7" w:rsidP="007870D7">
            <w:pPr>
              <w:pStyle w:val="tabtekst"/>
              <w:tabs>
                <w:tab w:val="decimal" w:pos="480"/>
              </w:tabs>
              <w:rPr>
                <w:color w:val="auto"/>
              </w:rPr>
            </w:pPr>
            <w:r w:rsidRPr="005E108B">
              <w:rPr>
                <w:color w:val="auto"/>
              </w:rPr>
              <w:t>219,4</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Dabasgāze</w:t>
            </w:r>
          </w:p>
        </w:tc>
        <w:tc>
          <w:tcPr>
            <w:tcW w:w="587" w:type="pct"/>
          </w:tcPr>
          <w:p w:rsidR="007870D7" w:rsidRPr="005E108B" w:rsidDel="00D623A8" w:rsidRDefault="007870D7" w:rsidP="007870D7">
            <w:pPr>
              <w:pStyle w:val="tabtekst"/>
              <w:tabs>
                <w:tab w:val="decimal" w:pos="480"/>
              </w:tabs>
              <w:rPr>
                <w:color w:val="auto"/>
              </w:rPr>
            </w:pPr>
            <w:r w:rsidRPr="005E108B">
              <w:rPr>
                <w:color w:val="auto"/>
              </w:rPr>
              <w:t>21,4</w:t>
            </w:r>
          </w:p>
        </w:tc>
        <w:tc>
          <w:tcPr>
            <w:tcW w:w="588" w:type="pct"/>
          </w:tcPr>
          <w:p w:rsidR="007870D7" w:rsidRPr="005E108B" w:rsidDel="00D623A8" w:rsidRDefault="007870D7" w:rsidP="007870D7">
            <w:pPr>
              <w:pStyle w:val="tabtekst"/>
              <w:tabs>
                <w:tab w:val="decimal" w:pos="480"/>
              </w:tabs>
              <w:rPr>
                <w:color w:val="auto"/>
              </w:rPr>
            </w:pPr>
            <w:r w:rsidRPr="005E108B">
              <w:rPr>
                <w:color w:val="auto"/>
              </w:rPr>
              <w:t>19,6</w:t>
            </w:r>
          </w:p>
        </w:tc>
        <w:tc>
          <w:tcPr>
            <w:tcW w:w="685" w:type="pct"/>
          </w:tcPr>
          <w:p w:rsidR="007870D7" w:rsidRPr="005E108B" w:rsidDel="00D623A8" w:rsidRDefault="007870D7" w:rsidP="007870D7">
            <w:pPr>
              <w:pStyle w:val="tabtekst"/>
              <w:tabs>
                <w:tab w:val="decimal" w:pos="480"/>
              </w:tabs>
              <w:rPr>
                <w:color w:val="auto"/>
              </w:rPr>
            </w:pPr>
            <w:r w:rsidRPr="005E108B">
              <w:rPr>
                <w:color w:val="auto"/>
              </w:rPr>
              <w:t>22,0</w:t>
            </w:r>
          </w:p>
        </w:tc>
        <w:tc>
          <w:tcPr>
            <w:tcW w:w="737" w:type="pct"/>
          </w:tcPr>
          <w:p w:rsidR="007870D7" w:rsidRPr="005E108B" w:rsidDel="00D623A8" w:rsidRDefault="007870D7" w:rsidP="007870D7">
            <w:pPr>
              <w:pStyle w:val="tabtekst"/>
              <w:tabs>
                <w:tab w:val="decimal" w:pos="480"/>
              </w:tabs>
              <w:rPr>
                <w:color w:val="auto"/>
              </w:rPr>
            </w:pPr>
            <w:r w:rsidRPr="005E108B">
              <w:rPr>
                <w:color w:val="auto"/>
              </w:rPr>
              <w:t>22,1</w:t>
            </w:r>
          </w:p>
        </w:tc>
      </w:tr>
      <w:tr w:rsidR="007870D7" w:rsidRPr="005E108B" w:rsidTr="007870D7">
        <w:trPr>
          <w:jc w:val="center"/>
        </w:trPr>
        <w:tc>
          <w:tcPr>
            <w:tcW w:w="2403" w:type="pct"/>
          </w:tcPr>
          <w:p w:rsidR="007870D7" w:rsidRPr="00FD5DCB" w:rsidRDefault="007870D7" w:rsidP="007870D7">
            <w:pPr>
              <w:pStyle w:val="tabtekst"/>
              <w:rPr>
                <w:color w:val="auto"/>
                <w:lang w:eastAsia="lv-LV"/>
              </w:rPr>
            </w:pPr>
            <w:r w:rsidRPr="00FD5DCB">
              <w:rPr>
                <w:color w:val="auto"/>
                <w:lang w:eastAsia="lv-LV"/>
              </w:rPr>
              <w:t>Pārējās akcīzes preces</w:t>
            </w:r>
          </w:p>
        </w:tc>
        <w:tc>
          <w:tcPr>
            <w:tcW w:w="587" w:type="pct"/>
          </w:tcPr>
          <w:p w:rsidR="007870D7" w:rsidRPr="005E108B" w:rsidRDefault="007870D7" w:rsidP="007870D7">
            <w:pPr>
              <w:pStyle w:val="tabtekst"/>
              <w:tabs>
                <w:tab w:val="decimal" w:pos="480"/>
              </w:tabs>
              <w:rPr>
                <w:color w:val="auto"/>
              </w:rPr>
            </w:pPr>
            <w:r w:rsidRPr="005E108B">
              <w:rPr>
                <w:color w:val="auto"/>
              </w:rPr>
              <w:t>14,8</w:t>
            </w:r>
          </w:p>
        </w:tc>
        <w:tc>
          <w:tcPr>
            <w:tcW w:w="588" w:type="pct"/>
          </w:tcPr>
          <w:p w:rsidR="007870D7" w:rsidRPr="005E108B" w:rsidRDefault="007870D7" w:rsidP="007870D7">
            <w:pPr>
              <w:pStyle w:val="tabtekst"/>
              <w:tabs>
                <w:tab w:val="decimal" w:pos="480"/>
              </w:tabs>
              <w:rPr>
                <w:color w:val="auto"/>
              </w:rPr>
            </w:pPr>
            <w:r w:rsidRPr="005E108B">
              <w:rPr>
                <w:color w:val="auto"/>
              </w:rPr>
              <w:t>15,3</w:t>
            </w:r>
          </w:p>
        </w:tc>
        <w:tc>
          <w:tcPr>
            <w:tcW w:w="685" w:type="pct"/>
          </w:tcPr>
          <w:p w:rsidR="007870D7" w:rsidRPr="005E108B" w:rsidRDefault="007870D7" w:rsidP="007870D7">
            <w:pPr>
              <w:pStyle w:val="tabtekst"/>
              <w:tabs>
                <w:tab w:val="decimal" w:pos="480"/>
              </w:tabs>
              <w:rPr>
                <w:color w:val="auto"/>
              </w:rPr>
            </w:pPr>
            <w:r w:rsidRPr="005E108B">
              <w:rPr>
                <w:color w:val="auto"/>
              </w:rPr>
              <w:t>16,8</w:t>
            </w:r>
          </w:p>
        </w:tc>
        <w:tc>
          <w:tcPr>
            <w:tcW w:w="737" w:type="pct"/>
          </w:tcPr>
          <w:p w:rsidR="007870D7" w:rsidRPr="005E108B" w:rsidRDefault="007870D7" w:rsidP="007870D7">
            <w:pPr>
              <w:pStyle w:val="tabtekst"/>
              <w:tabs>
                <w:tab w:val="decimal" w:pos="480"/>
              </w:tabs>
              <w:rPr>
                <w:color w:val="auto"/>
              </w:rPr>
            </w:pPr>
            <w:r w:rsidRPr="005E108B">
              <w:rPr>
                <w:color w:val="auto"/>
              </w:rPr>
              <w:t>17,0</w:t>
            </w:r>
          </w:p>
        </w:tc>
      </w:tr>
    </w:tbl>
    <w:bookmarkEnd w:id="15"/>
    <w:bookmarkEnd w:id="16"/>
    <w:bookmarkEnd w:id="17"/>
    <w:bookmarkEnd w:id="18"/>
    <w:p w:rsidR="007870D7" w:rsidRPr="00BF477B" w:rsidRDefault="007870D7" w:rsidP="007870D7">
      <w:pPr>
        <w:pStyle w:val="H4"/>
        <w:spacing w:before="480" w:after="360"/>
      </w:pPr>
      <w:r w:rsidRPr="00BF477B">
        <w:t>Muitas nodoklis</w:t>
      </w:r>
    </w:p>
    <w:p w:rsidR="007870D7" w:rsidRPr="00B22DC7" w:rsidRDefault="007870D7" w:rsidP="007870D7">
      <w:pPr>
        <w:spacing w:before="120"/>
        <w:rPr>
          <w:bCs/>
          <w:szCs w:val="28"/>
        </w:rPr>
      </w:pPr>
      <w:r w:rsidRPr="006413F8">
        <w:rPr>
          <w:szCs w:val="24"/>
        </w:rPr>
        <w:t>Muitas nodokļa ieņēmumi 2018.gadā bija 52,8 milj. </w:t>
      </w:r>
      <w:proofErr w:type="spellStart"/>
      <w:r w:rsidRPr="006413F8">
        <w:rPr>
          <w:i/>
          <w:szCs w:val="24"/>
        </w:rPr>
        <w:t>euro</w:t>
      </w:r>
      <w:proofErr w:type="spellEnd"/>
      <w:r w:rsidRPr="006413F8">
        <w:rPr>
          <w:szCs w:val="24"/>
        </w:rPr>
        <w:t>, kas ir par 7,5 milj.</w:t>
      </w:r>
      <w:r w:rsidRPr="006413F8">
        <w:rPr>
          <w:sz w:val="22"/>
          <w:szCs w:val="24"/>
        </w:rPr>
        <w:t> </w:t>
      </w:r>
      <w:proofErr w:type="spellStart"/>
      <w:r w:rsidRPr="006413F8">
        <w:rPr>
          <w:i/>
          <w:szCs w:val="24"/>
        </w:rPr>
        <w:t>euro</w:t>
      </w:r>
      <w:proofErr w:type="spellEnd"/>
      <w:r w:rsidRPr="006413F8">
        <w:rPr>
          <w:szCs w:val="24"/>
        </w:rPr>
        <w:t xml:space="preserve"> jeb 16,5% vairāk nekā 2017.gadā</w:t>
      </w:r>
      <w:r w:rsidRPr="006413F8">
        <w:rPr>
          <w:i/>
          <w:szCs w:val="24"/>
        </w:rPr>
        <w:t xml:space="preserve">. </w:t>
      </w:r>
      <w:r w:rsidRPr="006413F8">
        <w:rPr>
          <w:bCs/>
          <w:szCs w:val="28"/>
        </w:rPr>
        <w:t xml:space="preserve">Analizējot muitas nodokļa ieņēmumu komponentes, secināms, ka ieņēmumi </w:t>
      </w:r>
      <w:r w:rsidRPr="00BE1662">
        <w:rPr>
          <w:bCs/>
          <w:szCs w:val="28"/>
        </w:rPr>
        <w:t>no ievedmuitas nodokļa, salīdzinot ar 2017.gadu, pieauguši par 3,2 milj. </w:t>
      </w:r>
      <w:proofErr w:type="spellStart"/>
      <w:r w:rsidRPr="00BE1662">
        <w:rPr>
          <w:bCs/>
          <w:i/>
          <w:szCs w:val="28"/>
        </w:rPr>
        <w:t>euro</w:t>
      </w:r>
      <w:proofErr w:type="spellEnd"/>
      <w:r w:rsidRPr="00BE1662">
        <w:rPr>
          <w:bCs/>
          <w:szCs w:val="28"/>
        </w:rPr>
        <w:t xml:space="preserve"> jeb 7,6%, savukārt antidempinga maksājumi palielinājušies par 4,5 milj. </w:t>
      </w:r>
      <w:proofErr w:type="spellStart"/>
      <w:r w:rsidRPr="00BE1662">
        <w:rPr>
          <w:bCs/>
          <w:i/>
          <w:szCs w:val="28"/>
        </w:rPr>
        <w:t>euro</w:t>
      </w:r>
      <w:proofErr w:type="spellEnd"/>
      <w:r w:rsidRPr="00BE1662">
        <w:rPr>
          <w:bCs/>
          <w:szCs w:val="28"/>
        </w:rPr>
        <w:t> jeb gandrīz trīs reizes. Antidempinga maksājum</w:t>
      </w:r>
      <w:r>
        <w:rPr>
          <w:bCs/>
          <w:szCs w:val="28"/>
        </w:rPr>
        <w:t>u</w:t>
      </w:r>
      <w:r w:rsidRPr="00BE1662">
        <w:rPr>
          <w:bCs/>
          <w:szCs w:val="28"/>
        </w:rPr>
        <w:t xml:space="preserve"> pieaugums tieši saistīts vairākām Eiropas Komisijas regulām par antidempinga maksājumu noteikšanu, it īpaši ar 2018. gada 17. jūlija Komisijas Īstenošanas regulu (ES) 2018/1013, ar ko noteikti pagaidu aizsargpasākumi attiecībā uz konkrētu tērauda ražojumu importu.</w:t>
      </w:r>
      <w:r>
        <w:t xml:space="preserve"> </w:t>
      </w:r>
    </w:p>
    <w:p w:rsidR="007870D7" w:rsidRPr="00204832" w:rsidRDefault="007870D7" w:rsidP="007870D7">
      <w:pPr>
        <w:tabs>
          <w:tab w:val="left" w:pos="8080"/>
        </w:tabs>
        <w:spacing w:before="120" w:after="240"/>
        <w:rPr>
          <w:szCs w:val="26"/>
        </w:rPr>
      </w:pPr>
      <w:r w:rsidRPr="006413F8">
        <w:t>Saskaņā ar Centrālās statistikas pārvaldes datiem 2018.gada 11 mēnešos, salīdzinot ar 2017.gada 11 mēnešiem, imports no valstīm, kas nav Eiropas Savienības dalībvalstis, palielinājies par 29,9 procentiem. Savukārt sa</w:t>
      </w:r>
      <w:r w:rsidRPr="006413F8">
        <w:rPr>
          <w:szCs w:val="26"/>
        </w:rPr>
        <w:t>skaņā ar Valsts ieņēmumu dienesta sniegto informāciju, 2018.gad</w:t>
      </w:r>
      <w:r>
        <w:rPr>
          <w:szCs w:val="26"/>
        </w:rPr>
        <w:t>ā</w:t>
      </w:r>
      <w:r w:rsidRPr="00BE1662">
        <w:rPr>
          <w:szCs w:val="26"/>
        </w:rPr>
        <w:t xml:space="preserve">, salīdzinot ar </w:t>
      </w:r>
      <w:r>
        <w:rPr>
          <w:szCs w:val="26"/>
        </w:rPr>
        <w:t>2017.gadu</w:t>
      </w:r>
      <w:r w:rsidRPr="00BE1662">
        <w:rPr>
          <w:szCs w:val="26"/>
        </w:rPr>
        <w:t xml:space="preserve">, brīvā apgrozībā laisto preču apjoms pieaudzis par </w:t>
      </w:r>
      <w:r>
        <w:rPr>
          <w:szCs w:val="26"/>
        </w:rPr>
        <w:t>34.8</w:t>
      </w:r>
      <w:r w:rsidRPr="00BE1662">
        <w:rPr>
          <w:szCs w:val="26"/>
        </w:rPr>
        <w:t>% jeb 1,</w:t>
      </w:r>
      <w:r>
        <w:rPr>
          <w:szCs w:val="26"/>
        </w:rPr>
        <w:t>8</w:t>
      </w:r>
      <w:r w:rsidRPr="00BE1662">
        <w:rPr>
          <w:szCs w:val="26"/>
        </w:rPr>
        <w:t xml:space="preserve"> milj. tonnām, bet statistiskā vērtība palielinājusies par </w:t>
      </w:r>
      <w:r>
        <w:rPr>
          <w:szCs w:val="26"/>
        </w:rPr>
        <w:t>30,8</w:t>
      </w:r>
      <w:r w:rsidRPr="00BE1662">
        <w:rPr>
          <w:szCs w:val="26"/>
        </w:rPr>
        <w:t>% jeb 9</w:t>
      </w:r>
      <w:r>
        <w:rPr>
          <w:szCs w:val="26"/>
        </w:rPr>
        <w:t>82</w:t>
      </w:r>
      <w:r w:rsidRPr="00BE1662">
        <w:rPr>
          <w:szCs w:val="26"/>
        </w:rPr>
        <w:t>,</w:t>
      </w:r>
      <w:r>
        <w:rPr>
          <w:szCs w:val="26"/>
        </w:rPr>
        <w:t>2 milj. </w:t>
      </w:r>
      <w:proofErr w:type="spellStart"/>
      <w:r w:rsidRPr="00BE1662">
        <w:rPr>
          <w:i/>
          <w:szCs w:val="26"/>
        </w:rPr>
        <w:t>euro</w:t>
      </w:r>
      <w:proofErr w:type="spellEnd"/>
      <w:r w:rsidRPr="00BE1662">
        <w:rPr>
          <w:szCs w:val="26"/>
        </w:rPr>
        <w:t>.</w:t>
      </w:r>
    </w:p>
    <w:p w:rsidR="009E421B" w:rsidRDefault="009E421B" w:rsidP="007870D7">
      <w:pPr>
        <w:tabs>
          <w:tab w:val="left" w:pos="8080"/>
        </w:tabs>
        <w:spacing w:before="120" w:after="240"/>
        <w:ind w:hanging="142"/>
        <w:jc w:val="center"/>
        <w:rPr>
          <w:noProof/>
          <w:szCs w:val="26"/>
          <w:lang w:eastAsia="lv-LV"/>
        </w:rPr>
      </w:pPr>
    </w:p>
    <w:p w:rsidR="007870D7" w:rsidRPr="00BF477B" w:rsidRDefault="009E421B" w:rsidP="007870D7">
      <w:pPr>
        <w:tabs>
          <w:tab w:val="left" w:pos="8080"/>
        </w:tabs>
        <w:spacing w:before="120" w:after="240"/>
        <w:ind w:hanging="142"/>
        <w:jc w:val="center"/>
        <w:rPr>
          <w:szCs w:val="26"/>
        </w:rPr>
      </w:pPr>
      <w:r>
        <w:rPr>
          <w:noProof/>
          <w:szCs w:val="26"/>
          <w:lang w:eastAsia="lv-LV"/>
        </w:rPr>
        <w:drawing>
          <wp:inline distT="0" distB="0" distL="0" distR="0" wp14:anchorId="3CFA38E2">
            <wp:extent cx="5454035" cy="2478314"/>
            <wp:effectExtent l="19050" t="19050" r="1333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974" t="32621" r="1906" b="2568"/>
                    <a:stretch/>
                  </pic:blipFill>
                  <pic:spPr bwMode="auto">
                    <a:xfrm>
                      <a:off x="0" y="0"/>
                      <a:ext cx="5480240" cy="249022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7870D7" w:rsidRPr="00BF477B" w:rsidRDefault="007870D7" w:rsidP="007870D7">
      <w:pPr>
        <w:pStyle w:val="Z"/>
      </w:pPr>
      <w:r w:rsidRPr="00BF477B">
        <w:t xml:space="preserve">3.13. att. Muitas nodokļa ieņēmumi, milj. </w:t>
      </w:r>
      <w:proofErr w:type="spellStart"/>
      <w:r w:rsidRPr="00BF477B">
        <w:t>euro</w:t>
      </w:r>
      <w:proofErr w:type="spellEnd"/>
    </w:p>
    <w:p w:rsidR="007870D7" w:rsidRPr="00897FB2" w:rsidRDefault="007870D7" w:rsidP="007870D7">
      <w:r w:rsidRPr="00897FB2">
        <w:lastRenderedPageBreak/>
        <w:t xml:space="preserve">Saskaņā ar </w:t>
      </w:r>
      <w:r w:rsidRPr="00E15AC6">
        <w:t xml:space="preserve">likumu </w:t>
      </w:r>
      <w:r w:rsidRPr="00897FB2">
        <w:t>„Par valsts budžetu 2019.gadam” muitas nodokļa ieņēmumi tiek plānoti 56,2 milj. </w:t>
      </w:r>
      <w:proofErr w:type="spellStart"/>
      <w:r w:rsidRPr="00897FB2">
        <w:rPr>
          <w:i/>
        </w:rPr>
        <w:t>euro</w:t>
      </w:r>
      <w:proofErr w:type="spellEnd"/>
      <w:r w:rsidRPr="00897FB2">
        <w:t xml:space="preserve"> apmērā, kas salīdzinājumā ar 2018.gada ieņēmumiem ir par 3,4 milj. </w:t>
      </w:r>
      <w:proofErr w:type="spellStart"/>
      <w:r w:rsidRPr="00897FB2">
        <w:rPr>
          <w:i/>
        </w:rPr>
        <w:t>euro</w:t>
      </w:r>
      <w:proofErr w:type="spellEnd"/>
      <w:r w:rsidRPr="00897FB2">
        <w:t xml:space="preserve"> jeb 6,5% vairāk.</w:t>
      </w:r>
    </w:p>
    <w:p w:rsidR="007870D7" w:rsidRPr="00897FB2" w:rsidRDefault="007870D7" w:rsidP="007870D7">
      <w:pPr>
        <w:rPr>
          <w:strike/>
        </w:rPr>
      </w:pPr>
      <w:r w:rsidRPr="00897FB2">
        <w:t>Muitas nodokļa ieņēmumu plāns 2019.gadam ir sagatavots, galvenokārt pamatojoties uz prognozēto preču importa apjoma pieaugumu 2019.gadā no valstīm, kas nav Eiropas Savienības dalībvalstis, Eiropas Savienības vidējās svērtās muitas nodokļa likmes prognozēm, kā arī 2018.gada izpildes tendencēm.</w:t>
      </w:r>
    </w:p>
    <w:p w:rsidR="007870D7" w:rsidRPr="00897FB2" w:rsidRDefault="007870D7" w:rsidP="007870D7">
      <w:pPr>
        <w:pStyle w:val="T"/>
        <w:spacing w:before="360"/>
      </w:pPr>
      <w:r w:rsidRPr="00897FB2">
        <w:t>3.13. tabula. Muitas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876"/>
        <w:gridCol w:w="982"/>
        <w:gridCol w:w="1028"/>
        <w:gridCol w:w="1162"/>
        <w:gridCol w:w="1013"/>
      </w:tblGrid>
      <w:tr w:rsidR="007870D7" w:rsidRPr="00897FB2" w:rsidTr="007870D7">
        <w:trPr>
          <w:jc w:val="center"/>
        </w:trPr>
        <w:tc>
          <w:tcPr>
            <w:tcW w:w="2691" w:type="pct"/>
            <w:vMerge w:val="restart"/>
            <w:shd w:val="clear" w:color="auto" w:fill="D9D9D9" w:themeFill="background1" w:themeFillShade="D9"/>
          </w:tcPr>
          <w:p w:rsidR="007870D7" w:rsidRPr="00897FB2" w:rsidRDefault="007870D7" w:rsidP="007870D7">
            <w:pPr>
              <w:pStyle w:val="tabtekst"/>
              <w:jc w:val="center"/>
              <w:rPr>
                <w:b/>
                <w:color w:val="auto"/>
              </w:rPr>
            </w:pPr>
          </w:p>
        </w:tc>
        <w:tc>
          <w:tcPr>
            <w:tcW w:w="542" w:type="pct"/>
            <w:shd w:val="clear" w:color="auto" w:fill="D9D9D9" w:themeFill="background1" w:themeFillShade="D9"/>
          </w:tcPr>
          <w:p w:rsidR="007870D7" w:rsidRPr="00897FB2" w:rsidRDefault="007870D7" w:rsidP="007870D7">
            <w:pPr>
              <w:pStyle w:val="tabtekst"/>
              <w:jc w:val="center"/>
              <w:rPr>
                <w:b/>
                <w:color w:val="auto"/>
              </w:rPr>
            </w:pPr>
            <w:r w:rsidRPr="00897FB2">
              <w:rPr>
                <w:b/>
                <w:color w:val="auto"/>
              </w:rPr>
              <w:t>2016</w:t>
            </w:r>
          </w:p>
        </w:tc>
        <w:tc>
          <w:tcPr>
            <w:tcW w:w="567" w:type="pct"/>
            <w:shd w:val="clear" w:color="auto" w:fill="D9D9D9" w:themeFill="background1" w:themeFillShade="D9"/>
          </w:tcPr>
          <w:p w:rsidR="007870D7" w:rsidRPr="00897FB2" w:rsidRDefault="007870D7" w:rsidP="007870D7">
            <w:pPr>
              <w:pStyle w:val="tabtekst"/>
              <w:jc w:val="center"/>
              <w:rPr>
                <w:b/>
                <w:color w:val="auto"/>
              </w:rPr>
            </w:pPr>
            <w:r w:rsidRPr="00897FB2">
              <w:rPr>
                <w:b/>
                <w:color w:val="auto"/>
              </w:rPr>
              <w:t>2017</w:t>
            </w:r>
          </w:p>
        </w:tc>
        <w:tc>
          <w:tcPr>
            <w:tcW w:w="641" w:type="pct"/>
            <w:shd w:val="clear" w:color="auto" w:fill="D9D9D9" w:themeFill="background1" w:themeFillShade="D9"/>
          </w:tcPr>
          <w:p w:rsidR="007870D7" w:rsidRPr="00897FB2" w:rsidRDefault="007870D7" w:rsidP="007870D7">
            <w:pPr>
              <w:pStyle w:val="tabtekst"/>
              <w:jc w:val="center"/>
              <w:rPr>
                <w:b/>
                <w:color w:val="auto"/>
              </w:rPr>
            </w:pPr>
            <w:r w:rsidRPr="00897FB2">
              <w:rPr>
                <w:b/>
                <w:color w:val="auto"/>
              </w:rPr>
              <w:t>2018</w:t>
            </w:r>
          </w:p>
        </w:tc>
        <w:tc>
          <w:tcPr>
            <w:tcW w:w="559" w:type="pct"/>
            <w:shd w:val="clear" w:color="auto" w:fill="D9D9D9" w:themeFill="background1" w:themeFillShade="D9"/>
          </w:tcPr>
          <w:p w:rsidR="007870D7" w:rsidRPr="00897FB2" w:rsidRDefault="007870D7" w:rsidP="007870D7">
            <w:pPr>
              <w:pStyle w:val="tabtekst"/>
              <w:jc w:val="center"/>
              <w:rPr>
                <w:b/>
                <w:color w:val="auto"/>
              </w:rPr>
            </w:pPr>
            <w:r w:rsidRPr="00897FB2">
              <w:rPr>
                <w:b/>
                <w:color w:val="auto"/>
              </w:rPr>
              <w:t>2019</w:t>
            </w:r>
          </w:p>
        </w:tc>
      </w:tr>
      <w:tr w:rsidR="007870D7" w:rsidRPr="00897FB2" w:rsidTr="007870D7">
        <w:trPr>
          <w:jc w:val="center"/>
        </w:trPr>
        <w:tc>
          <w:tcPr>
            <w:tcW w:w="2691" w:type="pct"/>
            <w:vMerge/>
            <w:shd w:val="clear" w:color="auto" w:fill="D9D9D9" w:themeFill="background1" w:themeFillShade="D9"/>
          </w:tcPr>
          <w:p w:rsidR="007870D7" w:rsidRPr="00897FB2" w:rsidRDefault="007870D7" w:rsidP="007870D7">
            <w:pPr>
              <w:pStyle w:val="tabtekst"/>
              <w:jc w:val="center"/>
              <w:rPr>
                <w:b/>
                <w:color w:val="auto"/>
              </w:rPr>
            </w:pPr>
          </w:p>
        </w:tc>
        <w:tc>
          <w:tcPr>
            <w:tcW w:w="1750" w:type="pct"/>
            <w:gridSpan w:val="3"/>
            <w:shd w:val="clear" w:color="auto" w:fill="D9D9D9" w:themeFill="background1" w:themeFillShade="D9"/>
          </w:tcPr>
          <w:p w:rsidR="007870D7" w:rsidRPr="00897FB2" w:rsidRDefault="007870D7" w:rsidP="007870D7">
            <w:pPr>
              <w:pStyle w:val="tabtekst"/>
              <w:jc w:val="center"/>
              <w:rPr>
                <w:color w:val="auto"/>
              </w:rPr>
            </w:pPr>
            <w:r w:rsidRPr="00897FB2">
              <w:rPr>
                <w:color w:val="auto"/>
              </w:rPr>
              <w:t>fakts</w:t>
            </w:r>
          </w:p>
        </w:tc>
        <w:tc>
          <w:tcPr>
            <w:tcW w:w="559" w:type="pct"/>
            <w:shd w:val="clear" w:color="auto" w:fill="D9D9D9" w:themeFill="background1" w:themeFillShade="D9"/>
          </w:tcPr>
          <w:p w:rsidR="007870D7" w:rsidRPr="00897FB2" w:rsidRDefault="007870D7" w:rsidP="007870D7">
            <w:pPr>
              <w:pStyle w:val="tabtekst"/>
              <w:jc w:val="center"/>
              <w:rPr>
                <w:color w:val="auto"/>
              </w:rPr>
            </w:pPr>
            <w:r w:rsidRPr="00897FB2">
              <w:rPr>
                <w:color w:val="auto"/>
              </w:rPr>
              <w:t>plāns</w:t>
            </w:r>
          </w:p>
        </w:tc>
      </w:tr>
      <w:tr w:rsidR="007870D7" w:rsidRPr="00897FB2" w:rsidTr="007870D7">
        <w:trPr>
          <w:jc w:val="center"/>
        </w:trPr>
        <w:tc>
          <w:tcPr>
            <w:tcW w:w="2691" w:type="pct"/>
          </w:tcPr>
          <w:p w:rsidR="007870D7" w:rsidRPr="00897FB2" w:rsidRDefault="007870D7" w:rsidP="007870D7">
            <w:pPr>
              <w:pStyle w:val="tabtekst"/>
              <w:rPr>
                <w:b/>
                <w:color w:val="auto"/>
                <w:lang w:eastAsia="lv-LV"/>
              </w:rPr>
            </w:pPr>
            <w:r w:rsidRPr="00897FB2">
              <w:rPr>
                <w:b/>
                <w:color w:val="auto"/>
                <w:lang w:eastAsia="lv-LV"/>
              </w:rPr>
              <w:t>Muitas nodoklis,</w:t>
            </w:r>
            <w:r w:rsidRPr="00897FB2">
              <w:rPr>
                <w:color w:val="auto"/>
                <w:lang w:eastAsia="lv-LV"/>
              </w:rPr>
              <w:t xml:space="preserve"> milj. </w:t>
            </w:r>
            <w:proofErr w:type="spellStart"/>
            <w:r w:rsidRPr="00897FB2">
              <w:rPr>
                <w:i/>
                <w:color w:val="auto"/>
                <w:lang w:eastAsia="lv-LV"/>
              </w:rPr>
              <w:t>euro</w:t>
            </w:r>
            <w:proofErr w:type="spellEnd"/>
          </w:p>
        </w:tc>
        <w:tc>
          <w:tcPr>
            <w:tcW w:w="542" w:type="pct"/>
          </w:tcPr>
          <w:p w:rsidR="007870D7" w:rsidRPr="00897FB2" w:rsidRDefault="007870D7" w:rsidP="007870D7">
            <w:pPr>
              <w:pStyle w:val="tabtekst"/>
              <w:jc w:val="center"/>
              <w:rPr>
                <w:b/>
                <w:color w:val="auto"/>
              </w:rPr>
            </w:pPr>
            <w:r w:rsidRPr="00897FB2">
              <w:rPr>
                <w:b/>
                <w:color w:val="auto"/>
              </w:rPr>
              <w:t>42,6</w:t>
            </w:r>
          </w:p>
        </w:tc>
        <w:tc>
          <w:tcPr>
            <w:tcW w:w="567" w:type="pct"/>
          </w:tcPr>
          <w:p w:rsidR="007870D7" w:rsidRPr="00897FB2" w:rsidRDefault="007870D7" w:rsidP="007870D7">
            <w:pPr>
              <w:pStyle w:val="tabtekst"/>
              <w:jc w:val="center"/>
              <w:rPr>
                <w:b/>
                <w:color w:val="auto"/>
              </w:rPr>
            </w:pPr>
            <w:r>
              <w:rPr>
                <w:b/>
                <w:color w:val="auto"/>
              </w:rPr>
              <w:t>45,3</w:t>
            </w:r>
          </w:p>
        </w:tc>
        <w:tc>
          <w:tcPr>
            <w:tcW w:w="641" w:type="pct"/>
          </w:tcPr>
          <w:p w:rsidR="007870D7" w:rsidRPr="00897FB2" w:rsidRDefault="007870D7" w:rsidP="007870D7">
            <w:pPr>
              <w:pStyle w:val="tabtekst"/>
              <w:jc w:val="center"/>
              <w:rPr>
                <w:b/>
                <w:color w:val="auto"/>
              </w:rPr>
            </w:pPr>
            <w:r>
              <w:rPr>
                <w:b/>
                <w:color w:val="auto"/>
              </w:rPr>
              <w:t>52,8</w:t>
            </w:r>
          </w:p>
        </w:tc>
        <w:tc>
          <w:tcPr>
            <w:tcW w:w="559" w:type="pct"/>
          </w:tcPr>
          <w:p w:rsidR="007870D7" w:rsidRPr="00897FB2" w:rsidRDefault="007870D7" w:rsidP="007870D7">
            <w:pPr>
              <w:pStyle w:val="tabtekst"/>
              <w:jc w:val="center"/>
              <w:rPr>
                <w:b/>
                <w:color w:val="auto"/>
              </w:rPr>
            </w:pPr>
            <w:r>
              <w:rPr>
                <w:b/>
                <w:color w:val="auto"/>
              </w:rPr>
              <w:t>56,2</w:t>
            </w:r>
          </w:p>
        </w:tc>
      </w:tr>
      <w:tr w:rsidR="007870D7" w:rsidRPr="00897FB2" w:rsidTr="007870D7">
        <w:trPr>
          <w:jc w:val="center"/>
        </w:trPr>
        <w:tc>
          <w:tcPr>
            <w:tcW w:w="2691" w:type="pct"/>
          </w:tcPr>
          <w:p w:rsidR="007870D7" w:rsidRPr="00897FB2" w:rsidRDefault="007870D7" w:rsidP="007870D7">
            <w:pPr>
              <w:pStyle w:val="tabtekst"/>
              <w:rPr>
                <w:i/>
                <w:color w:val="auto"/>
                <w:lang w:eastAsia="lv-LV"/>
              </w:rPr>
            </w:pPr>
            <w:r w:rsidRPr="00897FB2">
              <w:rPr>
                <w:i/>
                <w:color w:val="auto"/>
                <w:lang w:eastAsia="lv-LV"/>
              </w:rPr>
              <w:t xml:space="preserve"> pieauguma tempi faktiskās cenās, %</w:t>
            </w:r>
          </w:p>
        </w:tc>
        <w:tc>
          <w:tcPr>
            <w:tcW w:w="542" w:type="pct"/>
          </w:tcPr>
          <w:p w:rsidR="007870D7" w:rsidRPr="00897FB2" w:rsidRDefault="007870D7" w:rsidP="007870D7">
            <w:pPr>
              <w:pStyle w:val="tabtekst"/>
              <w:jc w:val="center"/>
              <w:rPr>
                <w:i/>
                <w:color w:val="auto"/>
              </w:rPr>
            </w:pPr>
            <w:r w:rsidRPr="00897FB2">
              <w:rPr>
                <w:i/>
                <w:color w:val="auto"/>
              </w:rPr>
              <w:t>6,5</w:t>
            </w:r>
          </w:p>
        </w:tc>
        <w:tc>
          <w:tcPr>
            <w:tcW w:w="567" w:type="pct"/>
          </w:tcPr>
          <w:p w:rsidR="007870D7" w:rsidRPr="00897FB2" w:rsidRDefault="007870D7" w:rsidP="007870D7">
            <w:pPr>
              <w:pStyle w:val="tabtekst"/>
              <w:jc w:val="center"/>
              <w:rPr>
                <w:i/>
                <w:color w:val="auto"/>
              </w:rPr>
            </w:pPr>
            <w:r>
              <w:rPr>
                <w:i/>
                <w:color w:val="auto"/>
              </w:rPr>
              <w:t>6,4</w:t>
            </w:r>
          </w:p>
        </w:tc>
        <w:tc>
          <w:tcPr>
            <w:tcW w:w="641" w:type="pct"/>
          </w:tcPr>
          <w:p w:rsidR="007870D7" w:rsidRPr="00897FB2" w:rsidRDefault="007870D7" w:rsidP="007870D7">
            <w:pPr>
              <w:pStyle w:val="tabtekst"/>
              <w:jc w:val="center"/>
              <w:rPr>
                <w:i/>
                <w:color w:val="auto"/>
              </w:rPr>
            </w:pPr>
            <w:r>
              <w:rPr>
                <w:i/>
                <w:color w:val="auto"/>
              </w:rPr>
              <w:t>16,5</w:t>
            </w:r>
          </w:p>
        </w:tc>
        <w:tc>
          <w:tcPr>
            <w:tcW w:w="559" w:type="pct"/>
          </w:tcPr>
          <w:p w:rsidR="007870D7" w:rsidRPr="00897FB2" w:rsidRDefault="007870D7" w:rsidP="007870D7">
            <w:pPr>
              <w:pStyle w:val="tabtekst"/>
              <w:jc w:val="center"/>
              <w:rPr>
                <w:i/>
                <w:color w:val="auto"/>
              </w:rPr>
            </w:pPr>
            <w:r>
              <w:rPr>
                <w:i/>
                <w:color w:val="auto"/>
              </w:rPr>
              <w:t>6,5</w:t>
            </w:r>
          </w:p>
        </w:tc>
      </w:tr>
      <w:tr w:rsidR="007870D7" w:rsidRPr="00897FB2" w:rsidTr="007870D7">
        <w:trPr>
          <w:jc w:val="center"/>
        </w:trPr>
        <w:tc>
          <w:tcPr>
            <w:tcW w:w="2691" w:type="pct"/>
          </w:tcPr>
          <w:p w:rsidR="007870D7" w:rsidRPr="00897FB2" w:rsidRDefault="007870D7" w:rsidP="007870D7">
            <w:pPr>
              <w:pStyle w:val="tabtekst"/>
              <w:rPr>
                <w:i/>
                <w:color w:val="auto"/>
                <w:lang w:eastAsia="lv-LV"/>
              </w:rPr>
            </w:pPr>
            <w:r w:rsidRPr="00897FB2">
              <w:rPr>
                <w:i/>
                <w:color w:val="auto"/>
                <w:lang w:eastAsia="lv-LV"/>
              </w:rPr>
              <w:t xml:space="preserve"> % no IKP</w:t>
            </w:r>
          </w:p>
        </w:tc>
        <w:tc>
          <w:tcPr>
            <w:tcW w:w="542" w:type="pct"/>
          </w:tcPr>
          <w:p w:rsidR="007870D7" w:rsidRPr="00897FB2" w:rsidRDefault="007870D7" w:rsidP="007870D7">
            <w:pPr>
              <w:pStyle w:val="tabtekst"/>
              <w:jc w:val="center"/>
              <w:rPr>
                <w:i/>
                <w:color w:val="auto"/>
              </w:rPr>
            </w:pPr>
            <w:r w:rsidRPr="00897FB2">
              <w:rPr>
                <w:i/>
                <w:color w:val="auto"/>
              </w:rPr>
              <w:t>0,2</w:t>
            </w:r>
          </w:p>
        </w:tc>
        <w:tc>
          <w:tcPr>
            <w:tcW w:w="567" w:type="pct"/>
          </w:tcPr>
          <w:p w:rsidR="007870D7" w:rsidRPr="00897FB2" w:rsidRDefault="007870D7" w:rsidP="007870D7">
            <w:pPr>
              <w:pStyle w:val="tabtekst"/>
              <w:jc w:val="center"/>
              <w:rPr>
                <w:i/>
                <w:color w:val="auto"/>
              </w:rPr>
            </w:pPr>
            <w:r w:rsidRPr="00897FB2">
              <w:rPr>
                <w:i/>
                <w:color w:val="auto"/>
              </w:rPr>
              <w:t>0,2</w:t>
            </w:r>
          </w:p>
        </w:tc>
        <w:tc>
          <w:tcPr>
            <w:tcW w:w="641" w:type="pct"/>
          </w:tcPr>
          <w:p w:rsidR="007870D7" w:rsidRPr="00897FB2" w:rsidRDefault="007870D7" w:rsidP="007870D7">
            <w:pPr>
              <w:pStyle w:val="tabtekst"/>
              <w:jc w:val="center"/>
              <w:rPr>
                <w:i/>
                <w:color w:val="auto"/>
              </w:rPr>
            </w:pPr>
            <w:r w:rsidRPr="00897FB2">
              <w:rPr>
                <w:i/>
                <w:color w:val="auto"/>
              </w:rPr>
              <w:t>0,2</w:t>
            </w:r>
          </w:p>
        </w:tc>
        <w:tc>
          <w:tcPr>
            <w:tcW w:w="559" w:type="pct"/>
          </w:tcPr>
          <w:p w:rsidR="007870D7" w:rsidRPr="00897FB2" w:rsidRDefault="007870D7" w:rsidP="007870D7">
            <w:pPr>
              <w:pStyle w:val="tabtekst"/>
              <w:jc w:val="center"/>
              <w:rPr>
                <w:i/>
                <w:color w:val="auto"/>
              </w:rPr>
            </w:pPr>
            <w:r w:rsidRPr="00897FB2">
              <w:rPr>
                <w:i/>
                <w:color w:val="auto"/>
              </w:rPr>
              <w:t>0,2</w:t>
            </w:r>
          </w:p>
        </w:tc>
      </w:tr>
    </w:tbl>
    <w:p w:rsidR="00D81781" w:rsidRPr="00D81781" w:rsidRDefault="007870D7" w:rsidP="00D81781">
      <w:pPr>
        <w:spacing w:before="60"/>
        <w:ind w:firstLine="0"/>
        <w:rPr>
          <w:i/>
          <w:sz w:val="18"/>
          <w:szCs w:val="18"/>
        </w:rPr>
      </w:pPr>
      <w:r w:rsidRPr="00897FB2">
        <w:rPr>
          <w:i/>
          <w:sz w:val="18"/>
          <w:szCs w:val="18"/>
        </w:rPr>
        <w:t xml:space="preserve"> </w:t>
      </w:r>
    </w:p>
    <w:p w:rsidR="007870D7" w:rsidRPr="00C9322A" w:rsidRDefault="007870D7" w:rsidP="007870D7">
      <w:pPr>
        <w:spacing w:before="120"/>
        <w:ind w:firstLine="0"/>
        <w:jc w:val="center"/>
        <w:rPr>
          <w:b/>
          <w:sz w:val="28"/>
          <w:szCs w:val="28"/>
        </w:rPr>
      </w:pPr>
      <w:r w:rsidRPr="00C9322A">
        <w:rPr>
          <w:b/>
          <w:sz w:val="28"/>
          <w:szCs w:val="28"/>
        </w:rPr>
        <w:t>Transportlīdzekļa ekspluatācijas nodoklis</w:t>
      </w:r>
    </w:p>
    <w:p w:rsidR="007870D7" w:rsidRPr="00C9322A" w:rsidRDefault="007870D7" w:rsidP="007870D7">
      <w:pPr>
        <w:spacing w:after="0"/>
        <w:ind w:firstLine="0"/>
        <w:jc w:val="center"/>
        <w:rPr>
          <w:b/>
          <w:szCs w:val="24"/>
        </w:rPr>
      </w:pPr>
    </w:p>
    <w:p w:rsidR="007870D7" w:rsidRDefault="007870D7" w:rsidP="007870D7">
      <w:pPr>
        <w:rPr>
          <w:szCs w:val="24"/>
        </w:rPr>
      </w:pPr>
      <w:r w:rsidRPr="00C9322A">
        <w:rPr>
          <w:szCs w:val="24"/>
        </w:rPr>
        <w:t>Transportlīdzekļa ekspluatācijas nodokļa ieņēmumi 2018.gadā bija 94,3 milj. </w:t>
      </w:r>
      <w:proofErr w:type="spellStart"/>
      <w:r w:rsidRPr="00C9322A">
        <w:rPr>
          <w:i/>
          <w:szCs w:val="24"/>
        </w:rPr>
        <w:t>euro</w:t>
      </w:r>
      <w:proofErr w:type="spellEnd"/>
      <w:r w:rsidRPr="00C9322A">
        <w:rPr>
          <w:szCs w:val="24"/>
        </w:rPr>
        <w:t>, kas salīdzinājumā ar 2017.gadu ir par 3,3 milj. </w:t>
      </w:r>
      <w:proofErr w:type="spellStart"/>
      <w:r w:rsidRPr="00C9322A">
        <w:rPr>
          <w:i/>
          <w:szCs w:val="24"/>
        </w:rPr>
        <w:t>euro</w:t>
      </w:r>
      <w:proofErr w:type="spellEnd"/>
      <w:r w:rsidRPr="00C9322A">
        <w:rPr>
          <w:szCs w:val="24"/>
        </w:rPr>
        <w:t xml:space="preserve"> jeb 3,6% vairāk. </w:t>
      </w:r>
      <w:r w:rsidRPr="0061678D">
        <w:rPr>
          <w:szCs w:val="24"/>
        </w:rPr>
        <w:t xml:space="preserve">Ieņēmumu pieaugumu nodrošināja juridisko personu </w:t>
      </w:r>
      <w:r>
        <w:rPr>
          <w:szCs w:val="24"/>
        </w:rPr>
        <w:t xml:space="preserve">samaksātā </w:t>
      </w:r>
      <w:r w:rsidRPr="0061678D">
        <w:rPr>
          <w:szCs w:val="24"/>
        </w:rPr>
        <w:t xml:space="preserve">nodokļa ieņēmumu kāpums par 5,1% un fizisko personu </w:t>
      </w:r>
      <w:r>
        <w:rPr>
          <w:szCs w:val="24"/>
        </w:rPr>
        <w:t xml:space="preserve">samaksātā </w:t>
      </w:r>
      <w:r w:rsidRPr="0061678D">
        <w:rPr>
          <w:szCs w:val="24"/>
        </w:rPr>
        <w:t>nodokļa ieņēmumu kāpums par 2,9 procentiem.</w:t>
      </w:r>
    </w:p>
    <w:p w:rsidR="007870D7" w:rsidRPr="006101B1" w:rsidRDefault="007870D7" w:rsidP="007870D7">
      <w:pPr>
        <w:rPr>
          <w:szCs w:val="24"/>
        </w:rPr>
      </w:pPr>
      <w:r w:rsidRPr="006101B1">
        <w:t xml:space="preserve">Neskatoties uz nodokļa ieņēmumu pieaugumu pret 2017.gadu, tomēr jāatzīmē, ka tas bija krietni zemāks kā prognozēts un ieņēmumi no plāna atpalika par 9,2 milj. </w:t>
      </w:r>
      <w:proofErr w:type="spellStart"/>
      <w:r w:rsidRPr="006101B1">
        <w:rPr>
          <w:i/>
        </w:rPr>
        <w:t>euro</w:t>
      </w:r>
      <w:proofErr w:type="spellEnd"/>
      <w:r w:rsidRPr="006101B1">
        <w:t>. Tas saistāms ar pārvērtētajām fiskālajām ietekmēm no nodokļa aprēķina kārtības izmaiņām, likmju celšanas un tā piemērošanas ārvalstīs reģistrētiem transportlīdzekļiem, kas ieviests iepriekšējos gados.</w:t>
      </w:r>
    </w:p>
    <w:p w:rsidR="007870D7" w:rsidRPr="0061678D" w:rsidRDefault="007870D7" w:rsidP="007870D7">
      <w:r w:rsidRPr="0061678D">
        <w:t>Saskaņā ar likum</w:t>
      </w:r>
      <w:r w:rsidR="005567D2">
        <w:t>u</w:t>
      </w:r>
      <w:r w:rsidRPr="0061678D">
        <w:t xml:space="preserve"> „Par valsts budžetu 2019.gadam” transportlīdzekļa ekspluatācijas nodokļa ieņēmumi 2019.gadā tiek plānoti 103,3 milj. </w:t>
      </w:r>
      <w:proofErr w:type="spellStart"/>
      <w:r w:rsidRPr="0061678D">
        <w:rPr>
          <w:i/>
        </w:rPr>
        <w:t>euro</w:t>
      </w:r>
      <w:proofErr w:type="spellEnd"/>
      <w:r w:rsidRPr="0061678D">
        <w:t>, kas salīdzinājumā ar 2018.gada izpildi ir par 9,0 milj. </w:t>
      </w:r>
      <w:proofErr w:type="spellStart"/>
      <w:r w:rsidRPr="0061678D">
        <w:rPr>
          <w:i/>
        </w:rPr>
        <w:t>euro</w:t>
      </w:r>
      <w:proofErr w:type="spellEnd"/>
      <w:r w:rsidRPr="0061678D">
        <w:t xml:space="preserve"> jeb 9,5%</w:t>
      </w:r>
      <w:r w:rsidRPr="0061678D" w:rsidDel="0045001E">
        <w:t xml:space="preserve"> </w:t>
      </w:r>
      <w:r w:rsidRPr="0061678D">
        <w:t>vairāk.</w:t>
      </w:r>
    </w:p>
    <w:p w:rsidR="007870D7" w:rsidRPr="0061678D" w:rsidRDefault="007870D7" w:rsidP="007870D7">
      <w:pPr>
        <w:rPr>
          <w:rFonts w:eastAsia="Calibri"/>
          <w:szCs w:val="24"/>
        </w:rPr>
      </w:pPr>
      <w:r w:rsidRPr="0061678D">
        <w:t xml:space="preserve">Sagatavojot transportlīdzekļa ekspluatācijas nodokļa ieņēmumu plānu 2019.gadam, tika </w:t>
      </w:r>
      <w:r w:rsidRPr="0061678D">
        <w:rPr>
          <w:rFonts w:eastAsia="Calibri"/>
          <w:szCs w:val="24"/>
        </w:rPr>
        <w:t xml:space="preserve">ņemtas vērā 2018.gada transportlīdzekļa ekspluatācijas nodokļa ieņēmumu izpildes tendences un reģistrēto transportlīdzekļu </w:t>
      </w:r>
      <w:r>
        <w:rPr>
          <w:rFonts w:eastAsia="Calibri"/>
          <w:szCs w:val="24"/>
        </w:rPr>
        <w:t xml:space="preserve">struktūra un </w:t>
      </w:r>
      <w:r w:rsidRPr="0061678D">
        <w:rPr>
          <w:rFonts w:eastAsia="Calibri"/>
          <w:szCs w:val="24"/>
        </w:rPr>
        <w:t>skaita pieaugums, par kuriem maksājams nodoklis,</w:t>
      </w:r>
      <w:r w:rsidRPr="0061678D">
        <w:t xml:space="preserve"> kā arī </w:t>
      </w:r>
      <w:r w:rsidRPr="0061678D">
        <w:rPr>
          <w:szCs w:val="24"/>
        </w:rPr>
        <w:t>iepriekšējos gados pieņemtās likumdošanas izmaiņas</w:t>
      </w:r>
      <w:r w:rsidRPr="0061678D">
        <w:t>.</w:t>
      </w:r>
    </w:p>
    <w:p w:rsidR="007870D7" w:rsidRPr="00B22DC7" w:rsidRDefault="007870D7" w:rsidP="007870D7">
      <w:pPr>
        <w:rPr>
          <w:rFonts w:eastAsia="Calibri"/>
          <w:szCs w:val="24"/>
        </w:rPr>
      </w:pPr>
      <w:r w:rsidRPr="00B22DC7">
        <w:rPr>
          <w:rFonts w:eastAsia="Calibri"/>
          <w:szCs w:val="24"/>
        </w:rPr>
        <w:t xml:space="preserve"> </w:t>
      </w:r>
    </w:p>
    <w:p w:rsidR="007870D7" w:rsidRPr="00ED4434" w:rsidRDefault="007870D7" w:rsidP="007870D7">
      <w:pPr>
        <w:jc w:val="center"/>
        <w:rPr>
          <w:b/>
        </w:rPr>
      </w:pPr>
      <w:r w:rsidRPr="00ED4434">
        <w:rPr>
          <w:b/>
          <w:i/>
        </w:rPr>
        <w:t>3.14. tabula.</w:t>
      </w:r>
      <w:r w:rsidRPr="00ED4434">
        <w:rPr>
          <w:b/>
        </w:rPr>
        <w:t xml:space="preserve"> Transportlīdzekļa ekspluatācijas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988"/>
        <w:gridCol w:w="890"/>
        <w:gridCol w:w="928"/>
        <w:gridCol w:w="930"/>
        <w:gridCol w:w="1325"/>
      </w:tblGrid>
      <w:tr w:rsidR="007870D7" w:rsidRPr="00ED4434" w:rsidTr="007870D7">
        <w:trPr>
          <w:jc w:val="center"/>
        </w:trPr>
        <w:tc>
          <w:tcPr>
            <w:tcW w:w="2753" w:type="pct"/>
            <w:vMerge w:val="restart"/>
            <w:shd w:val="clear" w:color="auto" w:fill="D9D9D9" w:themeFill="background1" w:themeFillShade="D9"/>
          </w:tcPr>
          <w:p w:rsidR="007870D7" w:rsidRPr="00ED4434" w:rsidRDefault="007870D7" w:rsidP="007870D7">
            <w:pPr>
              <w:pStyle w:val="tabtekst"/>
              <w:jc w:val="center"/>
              <w:rPr>
                <w:b/>
                <w:color w:val="auto"/>
              </w:rPr>
            </w:pPr>
          </w:p>
        </w:tc>
        <w:tc>
          <w:tcPr>
            <w:tcW w:w="491" w:type="pct"/>
            <w:shd w:val="clear" w:color="auto" w:fill="D9D9D9" w:themeFill="background1" w:themeFillShade="D9"/>
            <w:vAlign w:val="center"/>
          </w:tcPr>
          <w:p w:rsidR="007870D7" w:rsidRPr="00ED4434" w:rsidRDefault="007870D7" w:rsidP="007870D7">
            <w:pPr>
              <w:pStyle w:val="tabtekst"/>
              <w:jc w:val="center"/>
              <w:rPr>
                <w:b/>
                <w:color w:val="auto"/>
              </w:rPr>
            </w:pPr>
            <w:r w:rsidRPr="00ED4434">
              <w:rPr>
                <w:b/>
                <w:color w:val="auto"/>
              </w:rPr>
              <w:t>2016</w:t>
            </w:r>
          </w:p>
        </w:tc>
        <w:tc>
          <w:tcPr>
            <w:tcW w:w="512" w:type="pct"/>
            <w:shd w:val="clear" w:color="auto" w:fill="D9D9D9" w:themeFill="background1" w:themeFillShade="D9"/>
            <w:vAlign w:val="center"/>
          </w:tcPr>
          <w:p w:rsidR="007870D7" w:rsidRPr="00ED4434" w:rsidRDefault="007870D7" w:rsidP="007870D7">
            <w:pPr>
              <w:pStyle w:val="tabtekst"/>
              <w:jc w:val="center"/>
              <w:rPr>
                <w:b/>
                <w:color w:val="auto"/>
              </w:rPr>
            </w:pPr>
            <w:r w:rsidRPr="00ED4434">
              <w:rPr>
                <w:b/>
                <w:color w:val="auto"/>
              </w:rPr>
              <w:t>2017</w:t>
            </w:r>
          </w:p>
        </w:tc>
        <w:tc>
          <w:tcPr>
            <w:tcW w:w="513" w:type="pct"/>
            <w:shd w:val="clear" w:color="auto" w:fill="D9D9D9" w:themeFill="background1" w:themeFillShade="D9"/>
            <w:vAlign w:val="center"/>
          </w:tcPr>
          <w:p w:rsidR="007870D7" w:rsidRPr="00ED4434" w:rsidRDefault="007870D7" w:rsidP="007870D7">
            <w:pPr>
              <w:pStyle w:val="tabtekst"/>
              <w:jc w:val="center"/>
              <w:rPr>
                <w:b/>
                <w:color w:val="auto"/>
              </w:rPr>
            </w:pPr>
            <w:r w:rsidRPr="00ED4434">
              <w:rPr>
                <w:b/>
                <w:color w:val="auto"/>
              </w:rPr>
              <w:t>2018</w:t>
            </w:r>
          </w:p>
        </w:tc>
        <w:tc>
          <w:tcPr>
            <w:tcW w:w="731" w:type="pct"/>
            <w:shd w:val="clear" w:color="auto" w:fill="D9D9D9" w:themeFill="background1" w:themeFillShade="D9"/>
            <w:vAlign w:val="center"/>
          </w:tcPr>
          <w:p w:rsidR="007870D7" w:rsidRPr="00ED4434" w:rsidRDefault="007870D7" w:rsidP="007870D7">
            <w:pPr>
              <w:pStyle w:val="tabtekst"/>
              <w:jc w:val="center"/>
              <w:rPr>
                <w:b/>
                <w:color w:val="auto"/>
              </w:rPr>
            </w:pPr>
            <w:r w:rsidRPr="00ED4434">
              <w:rPr>
                <w:b/>
                <w:color w:val="auto"/>
              </w:rPr>
              <w:t>2019</w:t>
            </w:r>
          </w:p>
        </w:tc>
      </w:tr>
      <w:tr w:rsidR="007870D7" w:rsidRPr="00ED4434" w:rsidTr="007870D7">
        <w:trPr>
          <w:jc w:val="center"/>
        </w:trPr>
        <w:tc>
          <w:tcPr>
            <w:tcW w:w="2753" w:type="pct"/>
            <w:vMerge/>
            <w:shd w:val="clear" w:color="auto" w:fill="D9D9D9" w:themeFill="background1" w:themeFillShade="D9"/>
          </w:tcPr>
          <w:p w:rsidR="007870D7" w:rsidRPr="00ED4434" w:rsidRDefault="007870D7" w:rsidP="007870D7">
            <w:pPr>
              <w:pStyle w:val="tabtekst"/>
              <w:jc w:val="center"/>
              <w:rPr>
                <w:b/>
                <w:color w:val="auto"/>
              </w:rPr>
            </w:pPr>
          </w:p>
        </w:tc>
        <w:tc>
          <w:tcPr>
            <w:tcW w:w="1516" w:type="pct"/>
            <w:gridSpan w:val="3"/>
            <w:shd w:val="clear" w:color="auto" w:fill="D9D9D9" w:themeFill="background1" w:themeFillShade="D9"/>
            <w:vAlign w:val="center"/>
          </w:tcPr>
          <w:p w:rsidR="007870D7" w:rsidRPr="00ED4434" w:rsidRDefault="007870D7" w:rsidP="007870D7">
            <w:pPr>
              <w:pStyle w:val="tabtekst"/>
              <w:jc w:val="center"/>
              <w:rPr>
                <w:color w:val="auto"/>
              </w:rPr>
            </w:pPr>
            <w:r w:rsidRPr="00ED4434">
              <w:rPr>
                <w:color w:val="auto"/>
              </w:rPr>
              <w:t>fakts</w:t>
            </w:r>
          </w:p>
        </w:tc>
        <w:tc>
          <w:tcPr>
            <w:tcW w:w="731" w:type="pct"/>
            <w:shd w:val="clear" w:color="auto" w:fill="D9D9D9" w:themeFill="background1" w:themeFillShade="D9"/>
            <w:vAlign w:val="center"/>
          </w:tcPr>
          <w:p w:rsidR="007870D7" w:rsidRPr="00ED4434" w:rsidRDefault="007870D7" w:rsidP="007870D7">
            <w:pPr>
              <w:pStyle w:val="tabtekst"/>
              <w:jc w:val="center"/>
              <w:rPr>
                <w:color w:val="auto"/>
              </w:rPr>
            </w:pPr>
            <w:r w:rsidRPr="00ED4434">
              <w:rPr>
                <w:color w:val="auto"/>
              </w:rPr>
              <w:t>plāns</w:t>
            </w:r>
          </w:p>
        </w:tc>
      </w:tr>
      <w:tr w:rsidR="007870D7" w:rsidRPr="00ED4434" w:rsidTr="007870D7">
        <w:trPr>
          <w:jc w:val="center"/>
        </w:trPr>
        <w:tc>
          <w:tcPr>
            <w:tcW w:w="2753" w:type="pct"/>
          </w:tcPr>
          <w:p w:rsidR="007870D7" w:rsidRPr="00ED4434" w:rsidRDefault="007870D7" w:rsidP="007870D7">
            <w:pPr>
              <w:pStyle w:val="tabtekst"/>
              <w:rPr>
                <w:b/>
                <w:i/>
                <w:color w:val="auto"/>
                <w:lang w:eastAsia="lv-LV"/>
              </w:rPr>
            </w:pPr>
            <w:r w:rsidRPr="00ED4434">
              <w:rPr>
                <w:b/>
                <w:color w:val="auto"/>
                <w:lang w:eastAsia="lv-LV"/>
              </w:rPr>
              <w:t>Transportlīdzekļa ekspluatācijas nodoklis,</w:t>
            </w:r>
            <w:r w:rsidRPr="00ED4434">
              <w:rPr>
                <w:color w:val="auto"/>
                <w:lang w:eastAsia="lv-LV"/>
              </w:rPr>
              <w:t xml:space="preserve"> milj. </w:t>
            </w:r>
            <w:proofErr w:type="spellStart"/>
            <w:r w:rsidRPr="00ED4434">
              <w:rPr>
                <w:i/>
                <w:color w:val="auto"/>
                <w:lang w:eastAsia="lv-LV"/>
              </w:rPr>
              <w:t>euro</w:t>
            </w:r>
            <w:proofErr w:type="spellEnd"/>
          </w:p>
        </w:tc>
        <w:tc>
          <w:tcPr>
            <w:tcW w:w="491" w:type="pct"/>
            <w:vAlign w:val="center"/>
          </w:tcPr>
          <w:p w:rsidR="007870D7" w:rsidRPr="00ED4434" w:rsidRDefault="007870D7" w:rsidP="007870D7">
            <w:pPr>
              <w:pStyle w:val="tabtekst"/>
              <w:jc w:val="center"/>
              <w:rPr>
                <w:b/>
                <w:color w:val="auto"/>
              </w:rPr>
            </w:pPr>
            <w:r w:rsidRPr="00ED4434">
              <w:rPr>
                <w:b/>
                <w:color w:val="auto"/>
              </w:rPr>
              <w:t>83,7</w:t>
            </w:r>
          </w:p>
        </w:tc>
        <w:tc>
          <w:tcPr>
            <w:tcW w:w="512" w:type="pct"/>
            <w:vAlign w:val="center"/>
          </w:tcPr>
          <w:p w:rsidR="007870D7" w:rsidRPr="00ED4434" w:rsidRDefault="007870D7" w:rsidP="007870D7">
            <w:pPr>
              <w:pStyle w:val="tabtekst"/>
              <w:jc w:val="center"/>
              <w:rPr>
                <w:b/>
                <w:color w:val="auto"/>
              </w:rPr>
            </w:pPr>
            <w:r w:rsidRPr="00ED4434">
              <w:rPr>
                <w:b/>
                <w:color w:val="auto"/>
              </w:rPr>
              <w:t>91,0</w:t>
            </w:r>
          </w:p>
        </w:tc>
        <w:tc>
          <w:tcPr>
            <w:tcW w:w="513" w:type="pct"/>
            <w:vAlign w:val="center"/>
          </w:tcPr>
          <w:p w:rsidR="007870D7" w:rsidRPr="00ED4434" w:rsidRDefault="007870D7" w:rsidP="007870D7">
            <w:pPr>
              <w:pStyle w:val="tabtekst"/>
              <w:jc w:val="center"/>
              <w:rPr>
                <w:b/>
                <w:color w:val="auto"/>
              </w:rPr>
            </w:pPr>
            <w:r w:rsidRPr="00ED4434">
              <w:rPr>
                <w:b/>
                <w:color w:val="auto"/>
              </w:rPr>
              <w:t>94,3</w:t>
            </w:r>
          </w:p>
        </w:tc>
        <w:tc>
          <w:tcPr>
            <w:tcW w:w="731" w:type="pct"/>
            <w:vAlign w:val="center"/>
          </w:tcPr>
          <w:p w:rsidR="007870D7" w:rsidRPr="00ED4434" w:rsidRDefault="007870D7" w:rsidP="007870D7">
            <w:pPr>
              <w:pStyle w:val="tabtekst"/>
              <w:jc w:val="center"/>
              <w:rPr>
                <w:b/>
                <w:color w:val="auto"/>
              </w:rPr>
            </w:pPr>
            <w:r w:rsidRPr="00ED4434">
              <w:rPr>
                <w:b/>
                <w:color w:val="auto"/>
              </w:rPr>
              <w:t>103,3</w:t>
            </w:r>
          </w:p>
        </w:tc>
      </w:tr>
      <w:tr w:rsidR="007870D7" w:rsidRPr="00ED4434" w:rsidTr="007870D7">
        <w:trPr>
          <w:trHeight w:val="189"/>
          <w:jc w:val="center"/>
        </w:trPr>
        <w:tc>
          <w:tcPr>
            <w:tcW w:w="2753" w:type="pct"/>
          </w:tcPr>
          <w:p w:rsidR="007870D7" w:rsidRPr="00ED4434" w:rsidRDefault="007870D7" w:rsidP="007870D7">
            <w:pPr>
              <w:pStyle w:val="tabtekst"/>
              <w:rPr>
                <w:i/>
                <w:color w:val="auto"/>
                <w:lang w:eastAsia="lv-LV"/>
              </w:rPr>
            </w:pPr>
            <w:r w:rsidRPr="00ED4434">
              <w:rPr>
                <w:i/>
                <w:color w:val="auto"/>
                <w:lang w:eastAsia="lv-LV"/>
              </w:rPr>
              <w:t xml:space="preserve"> pieauguma tempi faktiskās cenās, %</w:t>
            </w:r>
          </w:p>
        </w:tc>
        <w:tc>
          <w:tcPr>
            <w:tcW w:w="491" w:type="pct"/>
          </w:tcPr>
          <w:p w:rsidR="007870D7" w:rsidRPr="00ED4434" w:rsidRDefault="007870D7" w:rsidP="007870D7">
            <w:pPr>
              <w:pStyle w:val="tabtekst"/>
              <w:jc w:val="center"/>
              <w:rPr>
                <w:i/>
                <w:color w:val="auto"/>
              </w:rPr>
            </w:pPr>
            <w:r w:rsidRPr="00ED4434">
              <w:rPr>
                <w:i/>
                <w:color w:val="auto"/>
              </w:rPr>
              <w:t>5,5</w:t>
            </w:r>
          </w:p>
        </w:tc>
        <w:tc>
          <w:tcPr>
            <w:tcW w:w="512" w:type="pct"/>
          </w:tcPr>
          <w:p w:rsidR="007870D7" w:rsidRPr="00ED4434" w:rsidRDefault="007870D7" w:rsidP="007870D7">
            <w:pPr>
              <w:pStyle w:val="tabtekst"/>
              <w:jc w:val="center"/>
              <w:rPr>
                <w:i/>
                <w:color w:val="auto"/>
              </w:rPr>
            </w:pPr>
            <w:r w:rsidRPr="00ED4434">
              <w:rPr>
                <w:i/>
                <w:color w:val="auto"/>
              </w:rPr>
              <w:t>8,7</w:t>
            </w:r>
          </w:p>
        </w:tc>
        <w:tc>
          <w:tcPr>
            <w:tcW w:w="513" w:type="pct"/>
          </w:tcPr>
          <w:p w:rsidR="007870D7" w:rsidRPr="00ED4434" w:rsidRDefault="007870D7" w:rsidP="007870D7">
            <w:pPr>
              <w:pStyle w:val="tabtekst"/>
              <w:jc w:val="center"/>
              <w:rPr>
                <w:i/>
                <w:color w:val="auto"/>
              </w:rPr>
            </w:pPr>
            <w:r w:rsidRPr="00ED4434">
              <w:rPr>
                <w:i/>
                <w:color w:val="auto"/>
              </w:rPr>
              <w:t>3,6</w:t>
            </w:r>
          </w:p>
        </w:tc>
        <w:tc>
          <w:tcPr>
            <w:tcW w:w="731" w:type="pct"/>
          </w:tcPr>
          <w:p w:rsidR="007870D7" w:rsidRPr="00ED4434" w:rsidRDefault="007870D7" w:rsidP="007870D7">
            <w:pPr>
              <w:pStyle w:val="tabtekst"/>
              <w:jc w:val="center"/>
              <w:rPr>
                <w:i/>
                <w:color w:val="auto"/>
              </w:rPr>
            </w:pPr>
            <w:r w:rsidRPr="00ED4434">
              <w:rPr>
                <w:i/>
                <w:color w:val="auto"/>
              </w:rPr>
              <w:t>9,5</w:t>
            </w:r>
          </w:p>
        </w:tc>
      </w:tr>
      <w:tr w:rsidR="007870D7" w:rsidRPr="002074E7" w:rsidTr="007870D7">
        <w:trPr>
          <w:jc w:val="center"/>
        </w:trPr>
        <w:tc>
          <w:tcPr>
            <w:tcW w:w="2753" w:type="pct"/>
          </w:tcPr>
          <w:p w:rsidR="007870D7" w:rsidRPr="00ED4434" w:rsidRDefault="007870D7" w:rsidP="007870D7">
            <w:pPr>
              <w:pStyle w:val="tabtekst"/>
              <w:rPr>
                <w:i/>
                <w:color w:val="auto"/>
                <w:lang w:eastAsia="lv-LV"/>
              </w:rPr>
            </w:pPr>
            <w:r w:rsidRPr="00ED4434">
              <w:rPr>
                <w:i/>
                <w:color w:val="auto"/>
                <w:lang w:eastAsia="lv-LV"/>
              </w:rPr>
              <w:t xml:space="preserve"> % no IKP</w:t>
            </w:r>
          </w:p>
        </w:tc>
        <w:tc>
          <w:tcPr>
            <w:tcW w:w="491" w:type="pct"/>
          </w:tcPr>
          <w:p w:rsidR="007870D7" w:rsidRPr="00ED4434" w:rsidRDefault="007870D7" w:rsidP="007870D7">
            <w:pPr>
              <w:pStyle w:val="tabtekst"/>
              <w:jc w:val="center"/>
              <w:rPr>
                <w:i/>
                <w:color w:val="auto"/>
              </w:rPr>
            </w:pPr>
            <w:r w:rsidRPr="00ED4434">
              <w:rPr>
                <w:i/>
                <w:color w:val="auto"/>
              </w:rPr>
              <w:t>0,3</w:t>
            </w:r>
          </w:p>
        </w:tc>
        <w:tc>
          <w:tcPr>
            <w:tcW w:w="512" w:type="pct"/>
          </w:tcPr>
          <w:p w:rsidR="007870D7" w:rsidRPr="00ED4434" w:rsidRDefault="007870D7" w:rsidP="007870D7">
            <w:pPr>
              <w:pStyle w:val="tabtekst"/>
              <w:jc w:val="center"/>
              <w:rPr>
                <w:i/>
                <w:color w:val="auto"/>
              </w:rPr>
            </w:pPr>
            <w:r w:rsidRPr="00ED4434">
              <w:rPr>
                <w:i/>
                <w:color w:val="auto"/>
              </w:rPr>
              <w:t>0,3</w:t>
            </w:r>
          </w:p>
        </w:tc>
        <w:tc>
          <w:tcPr>
            <w:tcW w:w="513" w:type="pct"/>
          </w:tcPr>
          <w:p w:rsidR="007870D7" w:rsidRPr="00ED4434" w:rsidRDefault="007870D7" w:rsidP="007870D7">
            <w:pPr>
              <w:pStyle w:val="tabtekst"/>
              <w:jc w:val="center"/>
              <w:rPr>
                <w:i/>
                <w:color w:val="auto"/>
              </w:rPr>
            </w:pPr>
            <w:r w:rsidRPr="00ED4434">
              <w:rPr>
                <w:i/>
                <w:color w:val="auto"/>
              </w:rPr>
              <w:t>0,3</w:t>
            </w:r>
          </w:p>
        </w:tc>
        <w:tc>
          <w:tcPr>
            <w:tcW w:w="731" w:type="pct"/>
          </w:tcPr>
          <w:p w:rsidR="007870D7" w:rsidRPr="00ED4434" w:rsidRDefault="007870D7" w:rsidP="007870D7">
            <w:pPr>
              <w:pStyle w:val="tabtekst"/>
              <w:jc w:val="center"/>
              <w:rPr>
                <w:i/>
                <w:color w:val="auto"/>
              </w:rPr>
            </w:pPr>
            <w:r w:rsidRPr="00ED4434">
              <w:rPr>
                <w:i/>
                <w:color w:val="auto"/>
              </w:rPr>
              <w:t>0,3</w:t>
            </w:r>
          </w:p>
        </w:tc>
      </w:tr>
    </w:tbl>
    <w:p w:rsidR="007870D7" w:rsidRPr="00B22DC7" w:rsidRDefault="007870D7" w:rsidP="007870D7">
      <w:pPr>
        <w:autoSpaceDE w:val="0"/>
        <w:autoSpaceDN w:val="0"/>
        <w:adjustRightInd w:val="0"/>
        <w:spacing w:after="0"/>
        <w:ind w:firstLine="0"/>
        <w:jc w:val="center"/>
        <w:rPr>
          <w:b/>
          <w:sz w:val="28"/>
          <w:szCs w:val="28"/>
        </w:rPr>
      </w:pPr>
    </w:p>
    <w:p w:rsidR="007870D7" w:rsidRPr="00F10080" w:rsidRDefault="007870D7" w:rsidP="007870D7">
      <w:pPr>
        <w:autoSpaceDE w:val="0"/>
        <w:autoSpaceDN w:val="0"/>
        <w:adjustRightInd w:val="0"/>
        <w:ind w:firstLine="0"/>
        <w:jc w:val="center"/>
        <w:rPr>
          <w:b/>
          <w:sz w:val="28"/>
          <w:szCs w:val="28"/>
        </w:rPr>
      </w:pPr>
      <w:r w:rsidRPr="00F10080">
        <w:rPr>
          <w:b/>
          <w:sz w:val="28"/>
          <w:szCs w:val="28"/>
        </w:rPr>
        <w:t>Uzņēmumu vieglo transportlīdzekļu nodoklis</w:t>
      </w:r>
    </w:p>
    <w:p w:rsidR="007870D7" w:rsidRPr="00F10080" w:rsidRDefault="007870D7" w:rsidP="007870D7">
      <w:pPr>
        <w:autoSpaceDE w:val="0"/>
        <w:autoSpaceDN w:val="0"/>
        <w:adjustRightInd w:val="0"/>
        <w:spacing w:after="0"/>
        <w:ind w:firstLine="0"/>
        <w:jc w:val="center"/>
        <w:rPr>
          <w:b/>
          <w:szCs w:val="24"/>
        </w:rPr>
      </w:pPr>
    </w:p>
    <w:p w:rsidR="007870D7" w:rsidRPr="00F10080" w:rsidRDefault="007870D7" w:rsidP="007870D7">
      <w:pPr>
        <w:rPr>
          <w:szCs w:val="24"/>
        </w:rPr>
      </w:pPr>
      <w:r w:rsidRPr="00F10080">
        <w:t>Uzņēmumu vieglo transportlīdzekļu nodokļa ieņēmumi 2018.gadā bija 21,5 milj. </w:t>
      </w:r>
      <w:proofErr w:type="spellStart"/>
      <w:r w:rsidRPr="00F10080">
        <w:rPr>
          <w:i/>
        </w:rPr>
        <w:t>euro</w:t>
      </w:r>
      <w:proofErr w:type="spellEnd"/>
      <w:r w:rsidRPr="00F10080">
        <w:t>, kas salīdzinājumā ar 2017.gadu ir par 0,3 milj. </w:t>
      </w:r>
      <w:proofErr w:type="spellStart"/>
      <w:r w:rsidRPr="00F10080">
        <w:rPr>
          <w:i/>
        </w:rPr>
        <w:t>euro</w:t>
      </w:r>
      <w:proofErr w:type="spellEnd"/>
      <w:r w:rsidRPr="00F10080">
        <w:t xml:space="preserve"> jeb 1,5% mazāk. </w:t>
      </w:r>
    </w:p>
    <w:p w:rsidR="007870D7" w:rsidRPr="00F10080" w:rsidRDefault="007870D7" w:rsidP="007870D7">
      <w:r w:rsidRPr="00F10080">
        <w:lastRenderedPageBreak/>
        <w:t>Saskaņā ar likum</w:t>
      </w:r>
      <w:r w:rsidR="005567D2">
        <w:t>u</w:t>
      </w:r>
      <w:r w:rsidRPr="00F10080">
        <w:t xml:space="preserve"> „Par valsts budžetu 2019.gadam” uzņēmumu vieglo transportlīdzekļu nodokļa ieņēmumi 2019.gadā tiek plānoti 22,7 milj. </w:t>
      </w:r>
      <w:proofErr w:type="spellStart"/>
      <w:r w:rsidRPr="00F10080">
        <w:rPr>
          <w:i/>
        </w:rPr>
        <w:t>euro</w:t>
      </w:r>
      <w:proofErr w:type="spellEnd"/>
      <w:r w:rsidRPr="00F10080">
        <w:t xml:space="preserve"> apmērā, kas ir par 1,2 milj. </w:t>
      </w:r>
      <w:proofErr w:type="spellStart"/>
      <w:r w:rsidRPr="00F10080">
        <w:rPr>
          <w:i/>
        </w:rPr>
        <w:t>euro</w:t>
      </w:r>
      <w:proofErr w:type="spellEnd"/>
      <w:r w:rsidRPr="00F10080">
        <w:t xml:space="preserve"> jeb 5,6%</w:t>
      </w:r>
      <w:r w:rsidRPr="00F10080" w:rsidDel="0045001E">
        <w:t xml:space="preserve"> </w:t>
      </w:r>
      <w:r w:rsidRPr="00F10080">
        <w:t>vairāk nekā iekasēts 2018.gadā.</w:t>
      </w:r>
    </w:p>
    <w:p w:rsidR="007870D7" w:rsidRPr="00F10080" w:rsidRDefault="007870D7" w:rsidP="007870D7">
      <w:pPr>
        <w:spacing w:before="120"/>
      </w:pPr>
      <w:r w:rsidRPr="00F10080">
        <w:t xml:space="preserve">Nosakot uzņēmumu vieglo transportlīdzekļu nodokļa ieņēmumu plānu 2019.gadam, tika ņemts vērā komersantu rīcībā esošo vieglo transportlīdzekļu skaits un </w:t>
      </w:r>
      <w:r w:rsidRPr="00F10080">
        <w:rPr>
          <w:rFonts w:eastAsia="Calibri"/>
          <w:szCs w:val="24"/>
        </w:rPr>
        <w:t>2018.gada uzņēmumu vieglo transportlīdzekļu nodokļa ieņēmumu izpildes tendence</w:t>
      </w:r>
      <w:r w:rsidRPr="00F10080">
        <w:t xml:space="preserve">s, kā arī </w:t>
      </w:r>
      <w:r w:rsidRPr="00F10080">
        <w:rPr>
          <w:szCs w:val="24"/>
        </w:rPr>
        <w:t>iepriekšējos gados pieņemtās likumdošanas izmaiņas</w:t>
      </w:r>
      <w:r w:rsidRPr="00F10080">
        <w:t>.</w:t>
      </w:r>
    </w:p>
    <w:p w:rsidR="007870D7" w:rsidRPr="00F10080" w:rsidRDefault="007870D7" w:rsidP="007870D7">
      <w:pPr>
        <w:spacing w:before="360"/>
        <w:jc w:val="center"/>
        <w:rPr>
          <w:b/>
          <w:i/>
        </w:rPr>
      </w:pPr>
      <w:r w:rsidRPr="00F10080">
        <w:rPr>
          <w:b/>
          <w:i/>
        </w:rPr>
        <w:t>3.15. tabula. Uzņēmumu vieglo transportlīdzekļu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28"/>
        <w:gridCol w:w="748"/>
        <w:gridCol w:w="930"/>
        <w:gridCol w:w="930"/>
        <w:gridCol w:w="1325"/>
      </w:tblGrid>
      <w:tr w:rsidR="007870D7" w:rsidRPr="00F10080" w:rsidTr="007870D7">
        <w:trPr>
          <w:jc w:val="center"/>
        </w:trPr>
        <w:tc>
          <w:tcPr>
            <w:tcW w:w="2830" w:type="pct"/>
            <w:vMerge w:val="restart"/>
            <w:shd w:val="clear" w:color="auto" w:fill="D9D9D9" w:themeFill="background1" w:themeFillShade="D9"/>
          </w:tcPr>
          <w:p w:rsidR="007870D7" w:rsidRPr="00F10080" w:rsidRDefault="007870D7" w:rsidP="007870D7">
            <w:pPr>
              <w:pStyle w:val="tabtekst"/>
              <w:jc w:val="center"/>
              <w:rPr>
                <w:b/>
                <w:color w:val="auto"/>
              </w:rPr>
            </w:pPr>
          </w:p>
        </w:tc>
        <w:tc>
          <w:tcPr>
            <w:tcW w:w="413" w:type="pct"/>
            <w:shd w:val="clear" w:color="auto" w:fill="D9D9D9" w:themeFill="background1" w:themeFillShade="D9"/>
            <w:vAlign w:val="center"/>
          </w:tcPr>
          <w:p w:rsidR="007870D7" w:rsidRPr="00F10080" w:rsidRDefault="007870D7" w:rsidP="007870D7">
            <w:pPr>
              <w:pStyle w:val="tabtekst"/>
              <w:jc w:val="center"/>
              <w:rPr>
                <w:b/>
                <w:color w:val="auto"/>
              </w:rPr>
            </w:pPr>
            <w:r w:rsidRPr="00F10080">
              <w:rPr>
                <w:b/>
                <w:color w:val="auto"/>
              </w:rPr>
              <w:t>2016</w:t>
            </w:r>
          </w:p>
        </w:tc>
        <w:tc>
          <w:tcPr>
            <w:tcW w:w="513" w:type="pct"/>
            <w:shd w:val="clear" w:color="auto" w:fill="D9D9D9" w:themeFill="background1" w:themeFillShade="D9"/>
            <w:vAlign w:val="center"/>
          </w:tcPr>
          <w:p w:rsidR="007870D7" w:rsidRPr="00F10080" w:rsidRDefault="007870D7" w:rsidP="007870D7">
            <w:pPr>
              <w:pStyle w:val="tabtekst"/>
              <w:jc w:val="center"/>
              <w:rPr>
                <w:b/>
                <w:color w:val="auto"/>
              </w:rPr>
            </w:pPr>
            <w:r w:rsidRPr="00F10080">
              <w:rPr>
                <w:b/>
                <w:color w:val="auto"/>
              </w:rPr>
              <w:t>2017</w:t>
            </w:r>
          </w:p>
        </w:tc>
        <w:tc>
          <w:tcPr>
            <w:tcW w:w="513" w:type="pct"/>
            <w:shd w:val="clear" w:color="auto" w:fill="D9D9D9" w:themeFill="background1" w:themeFillShade="D9"/>
            <w:vAlign w:val="center"/>
          </w:tcPr>
          <w:p w:rsidR="007870D7" w:rsidRPr="00F10080" w:rsidRDefault="007870D7" w:rsidP="007870D7">
            <w:pPr>
              <w:pStyle w:val="tabtekst"/>
              <w:jc w:val="center"/>
              <w:rPr>
                <w:b/>
                <w:color w:val="auto"/>
              </w:rPr>
            </w:pPr>
            <w:r w:rsidRPr="00F10080">
              <w:rPr>
                <w:b/>
                <w:color w:val="auto"/>
              </w:rPr>
              <w:t>2018</w:t>
            </w:r>
          </w:p>
        </w:tc>
        <w:tc>
          <w:tcPr>
            <w:tcW w:w="731" w:type="pct"/>
            <w:shd w:val="clear" w:color="auto" w:fill="D9D9D9" w:themeFill="background1" w:themeFillShade="D9"/>
            <w:vAlign w:val="center"/>
          </w:tcPr>
          <w:p w:rsidR="007870D7" w:rsidRPr="00F10080" w:rsidRDefault="007870D7" w:rsidP="007870D7">
            <w:pPr>
              <w:pStyle w:val="tabtekst"/>
              <w:jc w:val="center"/>
              <w:rPr>
                <w:b/>
                <w:color w:val="auto"/>
              </w:rPr>
            </w:pPr>
            <w:r w:rsidRPr="00F10080">
              <w:rPr>
                <w:b/>
                <w:color w:val="auto"/>
              </w:rPr>
              <w:t>2019</w:t>
            </w:r>
          </w:p>
        </w:tc>
      </w:tr>
      <w:tr w:rsidR="007870D7" w:rsidRPr="00F10080" w:rsidTr="007870D7">
        <w:trPr>
          <w:jc w:val="center"/>
        </w:trPr>
        <w:tc>
          <w:tcPr>
            <w:tcW w:w="2830" w:type="pct"/>
            <w:vMerge/>
            <w:shd w:val="clear" w:color="auto" w:fill="D9D9D9" w:themeFill="background1" w:themeFillShade="D9"/>
          </w:tcPr>
          <w:p w:rsidR="007870D7" w:rsidRPr="00F10080" w:rsidRDefault="007870D7" w:rsidP="007870D7">
            <w:pPr>
              <w:pStyle w:val="tabtekst"/>
              <w:jc w:val="center"/>
              <w:rPr>
                <w:b/>
                <w:color w:val="auto"/>
              </w:rPr>
            </w:pPr>
          </w:p>
        </w:tc>
        <w:tc>
          <w:tcPr>
            <w:tcW w:w="1439" w:type="pct"/>
            <w:gridSpan w:val="3"/>
            <w:shd w:val="clear" w:color="auto" w:fill="D9D9D9" w:themeFill="background1" w:themeFillShade="D9"/>
            <w:vAlign w:val="center"/>
          </w:tcPr>
          <w:p w:rsidR="007870D7" w:rsidRPr="00F10080" w:rsidRDefault="007870D7" w:rsidP="007870D7">
            <w:pPr>
              <w:pStyle w:val="tabtekst"/>
              <w:jc w:val="center"/>
              <w:rPr>
                <w:color w:val="auto"/>
              </w:rPr>
            </w:pPr>
            <w:r w:rsidRPr="00F10080">
              <w:rPr>
                <w:color w:val="auto"/>
              </w:rPr>
              <w:t>fakts</w:t>
            </w:r>
          </w:p>
        </w:tc>
        <w:tc>
          <w:tcPr>
            <w:tcW w:w="731" w:type="pct"/>
            <w:shd w:val="clear" w:color="auto" w:fill="D9D9D9" w:themeFill="background1" w:themeFillShade="D9"/>
            <w:vAlign w:val="center"/>
          </w:tcPr>
          <w:p w:rsidR="007870D7" w:rsidRPr="00F10080" w:rsidRDefault="007870D7" w:rsidP="007870D7">
            <w:pPr>
              <w:pStyle w:val="tabtekst"/>
              <w:jc w:val="center"/>
              <w:rPr>
                <w:color w:val="auto"/>
              </w:rPr>
            </w:pPr>
            <w:r w:rsidRPr="00F10080">
              <w:rPr>
                <w:color w:val="auto"/>
              </w:rPr>
              <w:t>plāns</w:t>
            </w:r>
          </w:p>
        </w:tc>
      </w:tr>
      <w:tr w:rsidR="007870D7" w:rsidRPr="00F10080" w:rsidTr="007870D7">
        <w:trPr>
          <w:jc w:val="center"/>
        </w:trPr>
        <w:tc>
          <w:tcPr>
            <w:tcW w:w="2830" w:type="pct"/>
          </w:tcPr>
          <w:p w:rsidR="007870D7" w:rsidRPr="00F10080" w:rsidRDefault="007870D7" w:rsidP="007870D7">
            <w:pPr>
              <w:pStyle w:val="tabtekst"/>
              <w:rPr>
                <w:b/>
                <w:i/>
                <w:color w:val="auto"/>
                <w:lang w:eastAsia="lv-LV"/>
              </w:rPr>
            </w:pPr>
            <w:r w:rsidRPr="00F10080">
              <w:rPr>
                <w:b/>
                <w:color w:val="auto"/>
                <w:lang w:eastAsia="lv-LV"/>
              </w:rPr>
              <w:t>Uzņēmumu vieglo transportlīdzekļu nodoklis,</w:t>
            </w:r>
            <w:r w:rsidRPr="00F10080">
              <w:rPr>
                <w:color w:val="auto"/>
                <w:lang w:eastAsia="lv-LV"/>
              </w:rPr>
              <w:t xml:space="preserve"> milj. </w:t>
            </w:r>
            <w:proofErr w:type="spellStart"/>
            <w:r w:rsidRPr="00F10080">
              <w:rPr>
                <w:i/>
                <w:color w:val="auto"/>
                <w:lang w:eastAsia="lv-LV"/>
              </w:rPr>
              <w:t>euro</w:t>
            </w:r>
            <w:proofErr w:type="spellEnd"/>
          </w:p>
        </w:tc>
        <w:tc>
          <w:tcPr>
            <w:tcW w:w="413" w:type="pct"/>
          </w:tcPr>
          <w:p w:rsidR="007870D7" w:rsidRPr="00F10080" w:rsidRDefault="007870D7" w:rsidP="007870D7">
            <w:pPr>
              <w:pStyle w:val="tabtekst"/>
              <w:jc w:val="center"/>
              <w:rPr>
                <w:b/>
                <w:color w:val="auto"/>
              </w:rPr>
            </w:pPr>
            <w:r w:rsidRPr="00F10080">
              <w:rPr>
                <w:b/>
                <w:color w:val="auto"/>
              </w:rPr>
              <w:t>21,6</w:t>
            </w:r>
          </w:p>
        </w:tc>
        <w:tc>
          <w:tcPr>
            <w:tcW w:w="513" w:type="pct"/>
          </w:tcPr>
          <w:p w:rsidR="007870D7" w:rsidRPr="00F10080" w:rsidRDefault="007870D7" w:rsidP="007870D7">
            <w:pPr>
              <w:pStyle w:val="tabtekst"/>
              <w:jc w:val="center"/>
              <w:rPr>
                <w:b/>
                <w:color w:val="auto"/>
              </w:rPr>
            </w:pPr>
            <w:r w:rsidRPr="00F10080">
              <w:rPr>
                <w:b/>
                <w:color w:val="auto"/>
              </w:rPr>
              <w:t>21,8</w:t>
            </w:r>
          </w:p>
        </w:tc>
        <w:tc>
          <w:tcPr>
            <w:tcW w:w="513" w:type="pct"/>
          </w:tcPr>
          <w:p w:rsidR="007870D7" w:rsidRPr="00F10080" w:rsidRDefault="007870D7" w:rsidP="007870D7">
            <w:pPr>
              <w:pStyle w:val="tabtekst"/>
              <w:jc w:val="center"/>
              <w:rPr>
                <w:b/>
                <w:color w:val="auto"/>
              </w:rPr>
            </w:pPr>
            <w:r w:rsidRPr="00F10080">
              <w:rPr>
                <w:b/>
                <w:color w:val="auto"/>
              </w:rPr>
              <w:t>21,5</w:t>
            </w:r>
          </w:p>
        </w:tc>
        <w:tc>
          <w:tcPr>
            <w:tcW w:w="731" w:type="pct"/>
          </w:tcPr>
          <w:p w:rsidR="007870D7" w:rsidRPr="00F10080" w:rsidRDefault="007870D7" w:rsidP="007870D7">
            <w:pPr>
              <w:pStyle w:val="tabtekst"/>
              <w:jc w:val="center"/>
              <w:rPr>
                <w:b/>
                <w:color w:val="auto"/>
              </w:rPr>
            </w:pPr>
            <w:r w:rsidRPr="00F10080">
              <w:rPr>
                <w:b/>
                <w:color w:val="auto"/>
              </w:rPr>
              <w:t>22,7</w:t>
            </w:r>
          </w:p>
        </w:tc>
      </w:tr>
      <w:tr w:rsidR="007870D7" w:rsidRPr="00F10080" w:rsidTr="007870D7">
        <w:trPr>
          <w:trHeight w:val="355"/>
          <w:jc w:val="center"/>
        </w:trPr>
        <w:tc>
          <w:tcPr>
            <w:tcW w:w="2830" w:type="pct"/>
          </w:tcPr>
          <w:p w:rsidR="007870D7" w:rsidRPr="00F10080" w:rsidRDefault="007870D7" w:rsidP="007870D7">
            <w:pPr>
              <w:pStyle w:val="tabtekst"/>
              <w:rPr>
                <w:i/>
                <w:color w:val="auto"/>
                <w:lang w:eastAsia="lv-LV"/>
              </w:rPr>
            </w:pPr>
            <w:r w:rsidRPr="00F10080">
              <w:rPr>
                <w:i/>
                <w:color w:val="auto"/>
                <w:lang w:eastAsia="lv-LV"/>
              </w:rPr>
              <w:t xml:space="preserve"> pieauguma tempi faktiskās cenās, %</w:t>
            </w:r>
          </w:p>
        </w:tc>
        <w:tc>
          <w:tcPr>
            <w:tcW w:w="413" w:type="pct"/>
          </w:tcPr>
          <w:p w:rsidR="007870D7" w:rsidRPr="00F10080" w:rsidRDefault="007870D7" w:rsidP="007870D7">
            <w:pPr>
              <w:pStyle w:val="tabtekst"/>
              <w:jc w:val="center"/>
              <w:rPr>
                <w:i/>
                <w:color w:val="auto"/>
              </w:rPr>
            </w:pPr>
            <w:r w:rsidRPr="00F10080">
              <w:rPr>
                <w:i/>
                <w:color w:val="auto"/>
              </w:rPr>
              <w:t>6,4</w:t>
            </w:r>
          </w:p>
        </w:tc>
        <w:tc>
          <w:tcPr>
            <w:tcW w:w="513" w:type="pct"/>
          </w:tcPr>
          <w:p w:rsidR="007870D7" w:rsidRPr="00F10080" w:rsidRDefault="007870D7" w:rsidP="007870D7">
            <w:pPr>
              <w:pStyle w:val="tabtekst"/>
              <w:jc w:val="center"/>
              <w:rPr>
                <w:i/>
                <w:color w:val="auto"/>
              </w:rPr>
            </w:pPr>
            <w:r w:rsidRPr="00F10080">
              <w:rPr>
                <w:i/>
                <w:color w:val="auto"/>
              </w:rPr>
              <w:t>0,8</w:t>
            </w:r>
          </w:p>
        </w:tc>
        <w:tc>
          <w:tcPr>
            <w:tcW w:w="513" w:type="pct"/>
          </w:tcPr>
          <w:p w:rsidR="007870D7" w:rsidRPr="00F10080" w:rsidRDefault="007870D7" w:rsidP="007870D7">
            <w:pPr>
              <w:pStyle w:val="tabtekst"/>
              <w:jc w:val="center"/>
              <w:rPr>
                <w:i/>
                <w:color w:val="auto"/>
              </w:rPr>
            </w:pPr>
            <w:r w:rsidRPr="00F10080">
              <w:rPr>
                <w:i/>
                <w:color w:val="auto"/>
              </w:rPr>
              <w:t>-1,5</w:t>
            </w:r>
          </w:p>
        </w:tc>
        <w:tc>
          <w:tcPr>
            <w:tcW w:w="731" w:type="pct"/>
          </w:tcPr>
          <w:p w:rsidR="007870D7" w:rsidRPr="00F10080" w:rsidRDefault="007870D7" w:rsidP="007870D7">
            <w:pPr>
              <w:pStyle w:val="tabtekst"/>
              <w:jc w:val="center"/>
              <w:rPr>
                <w:i/>
                <w:color w:val="auto"/>
              </w:rPr>
            </w:pPr>
            <w:r w:rsidRPr="00F10080">
              <w:rPr>
                <w:i/>
                <w:color w:val="auto"/>
              </w:rPr>
              <w:t>5,6</w:t>
            </w:r>
          </w:p>
        </w:tc>
      </w:tr>
      <w:tr w:rsidR="007870D7" w:rsidRPr="002074E7" w:rsidTr="007870D7">
        <w:trPr>
          <w:jc w:val="center"/>
        </w:trPr>
        <w:tc>
          <w:tcPr>
            <w:tcW w:w="2830" w:type="pct"/>
          </w:tcPr>
          <w:p w:rsidR="007870D7" w:rsidRPr="00F10080" w:rsidRDefault="007870D7" w:rsidP="007870D7">
            <w:pPr>
              <w:pStyle w:val="tabtekst"/>
              <w:rPr>
                <w:i/>
                <w:color w:val="auto"/>
                <w:lang w:eastAsia="lv-LV"/>
              </w:rPr>
            </w:pPr>
            <w:r w:rsidRPr="00F10080">
              <w:rPr>
                <w:i/>
                <w:color w:val="auto"/>
                <w:lang w:eastAsia="lv-LV"/>
              </w:rPr>
              <w:t xml:space="preserve"> % no IKP</w:t>
            </w:r>
          </w:p>
        </w:tc>
        <w:tc>
          <w:tcPr>
            <w:tcW w:w="413" w:type="pct"/>
          </w:tcPr>
          <w:p w:rsidR="007870D7" w:rsidRPr="00F10080" w:rsidRDefault="007870D7" w:rsidP="007870D7">
            <w:pPr>
              <w:pStyle w:val="tabtekst"/>
              <w:jc w:val="center"/>
              <w:rPr>
                <w:i/>
                <w:color w:val="auto"/>
              </w:rPr>
            </w:pPr>
            <w:r w:rsidRPr="00F10080">
              <w:rPr>
                <w:i/>
                <w:color w:val="auto"/>
              </w:rPr>
              <w:t>0,1</w:t>
            </w:r>
          </w:p>
        </w:tc>
        <w:tc>
          <w:tcPr>
            <w:tcW w:w="513" w:type="pct"/>
          </w:tcPr>
          <w:p w:rsidR="007870D7" w:rsidRPr="00F10080" w:rsidRDefault="007870D7" w:rsidP="007870D7">
            <w:pPr>
              <w:pStyle w:val="tabtekst"/>
              <w:jc w:val="center"/>
              <w:rPr>
                <w:i/>
                <w:color w:val="auto"/>
              </w:rPr>
            </w:pPr>
            <w:r w:rsidRPr="00F10080">
              <w:rPr>
                <w:i/>
                <w:color w:val="auto"/>
              </w:rPr>
              <w:t>0,1</w:t>
            </w:r>
          </w:p>
        </w:tc>
        <w:tc>
          <w:tcPr>
            <w:tcW w:w="513" w:type="pct"/>
          </w:tcPr>
          <w:p w:rsidR="007870D7" w:rsidRPr="00F10080" w:rsidRDefault="007870D7" w:rsidP="007870D7">
            <w:pPr>
              <w:pStyle w:val="tabtekst"/>
              <w:jc w:val="center"/>
              <w:rPr>
                <w:i/>
                <w:color w:val="auto"/>
              </w:rPr>
            </w:pPr>
            <w:r w:rsidRPr="00F10080">
              <w:rPr>
                <w:i/>
                <w:color w:val="auto"/>
              </w:rPr>
              <w:t>0,1</w:t>
            </w:r>
          </w:p>
        </w:tc>
        <w:tc>
          <w:tcPr>
            <w:tcW w:w="731" w:type="pct"/>
          </w:tcPr>
          <w:p w:rsidR="007870D7" w:rsidRPr="00F10080" w:rsidRDefault="007870D7" w:rsidP="007870D7">
            <w:pPr>
              <w:pStyle w:val="tabtekst"/>
              <w:jc w:val="center"/>
              <w:rPr>
                <w:i/>
                <w:color w:val="auto"/>
              </w:rPr>
            </w:pPr>
            <w:r w:rsidRPr="00F10080">
              <w:rPr>
                <w:i/>
                <w:color w:val="auto"/>
              </w:rPr>
              <w:t>0,1</w:t>
            </w:r>
          </w:p>
        </w:tc>
      </w:tr>
    </w:tbl>
    <w:p w:rsidR="004A7868" w:rsidRDefault="004A7868" w:rsidP="004A7868">
      <w:pPr>
        <w:pStyle w:val="cipari"/>
        <w:ind w:left="0" w:firstLine="0"/>
      </w:pPr>
    </w:p>
    <w:p w:rsidR="0080704D" w:rsidRDefault="003613E3" w:rsidP="0080704D">
      <w:pPr>
        <w:pStyle w:val="H3"/>
      </w:pPr>
      <w:r w:rsidRPr="00221972">
        <w:t>3.</w:t>
      </w:r>
      <w:r w:rsidR="00BE4104">
        <w:t>2</w:t>
      </w:r>
      <w:r w:rsidRPr="00221972">
        <w:t>.3. Pārējie nodokļi</w:t>
      </w:r>
    </w:p>
    <w:p w:rsidR="004A7868" w:rsidRDefault="004A7868" w:rsidP="00D81781">
      <w:pPr>
        <w:pStyle w:val="H4"/>
        <w:spacing w:before="360" w:after="240"/>
      </w:pPr>
      <w:r w:rsidRPr="00394BE5">
        <w:t>Dabas resursu nodoklis</w:t>
      </w:r>
    </w:p>
    <w:p w:rsidR="004A7868" w:rsidRPr="00E74AD7" w:rsidRDefault="004A7868" w:rsidP="004A7868">
      <w:r w:rsidRPr="00E74AD7">
        <w:t>Dabas resursu nodokļa maksājumi ir tieši saistīti ar Latvijas uzņēmumu ekonomiskajām aktivitātēm un to izraisītajām vides noslodzē</w:t>
      </w:r>
      <w:r w:rsidRPr="00E74AD7">
        <w:rPr>
          <w:szCs w:val="24"/>
        </w:rPr>
        <w:t xml:space="preserve">m, kā arī veiktajiem vides aizsardzības pasākumiem. </w:t>
      </w:r>
      <w:r w:rsidRPr="00E74AD7">
        <w:t>Līdz ar to nodokļa ieņēmumi gan palielinās, palielinoties kopējai ekonomiskai aktivitātei, gan arī samazinās, uzņēmumiem un pašvaldībām veicot vides aizsardzības pasākumus. Dabas resursu nodokļa ieņēmumi tiek ieskaitīti valsts pamatbudžetā un pašvaldību speciālajā budžetā.</w:t>
      </w:r>
    </w:p>
    <w:p w:rsidR="004A7868" w:rsidRPr="00B22DC7" w:rsidRDefault="004A7868" w:rsidP="004A7868">
      <w:r w:rsidRPr="00BE37BB">
        <w:t>Dabas resursu nodokļa ieņēmumi valsts pamatbudžetā un pašvaldību speciālajā budžetā 2018.gadā bija 30,1 milj. </w:t>
      </w:r>
      <w:proofErr w:type="spellStart"/>
      <w:r w:rsidRPr="00BE37BB">
        <w:rPr>
          <w:i/>
        </w:rPr>
        <w:t>euro</w:t>
      </w:r>
      <w:proofErr w:type="spellEnd"/>
      <w:r w:rsidRPr="00BE37BB">
        <w:t>, kas ir par 4,5 milj. </w:t>
      </w:r>
      <w:proofErr w:type="spellStart"/>
      <w:r w:rsidRPr="00BE37BB">
        <w:rPr>
          <w:i/>
        </w:rPr>
        <w:t>euro</w:t>
      </w:r>
      <w:proofErr w:type="spellEnd"/>
      <w:r w:rsidRPr="00BE37BB">
        <w:t xml:space="preserve"> jeb 17,6% vairāk nekā 2017.gadā. Nodokļa ieņēmumu pieaugumu tieši ietekmēja 2016.gada 23.novembrī un 15.decembrī pieņemtie grozījumi Dabas resursu nodokļa likumā, ar ko tika paaugstinātas likmes virknei nodokļa objektu, kā arī paplašināts dabas resursu nodokļa objektu loks. </w:t>
      </w:r>
      <w:r w:rsidRPr="001D044C">
        <w:t>Būtiskākais</w:t>
      </w:r>
      <w:r w:rsidRPr="001D044C">
        <w:rPr>
          <w:i/>
        </w:rPr>
        <w:t xml:space="preserve"> </w:t>
      </w:r>
      <w:r w:rsidRPr="001D044C">
        <w:t xml:space="preserve">ieņēmumu pieaugums 2018.gadā bija par dabas resursu ieguvi un vides piesārņošanu un par akmeņoglēm, koksu un </w:t>
      </w:r>
      <w:proofErr w:type="spellStart"/>
      <w:r w:rsidRPr="001D044C">
        <w:t>lignītu</w:t>
      </w:r>
      <w:proofErr w:type="spellEnd"/>
      <w:r w:rsidRPr="001D044C">
        <w:t xml:space="preserve">, uguņošanas ierīcēm un par ūdens resursu lietošanu elektroenerģijas ražošanai. </w:t>
      </w:r>
    </w:p>
    <w:p w:rsidR="004A7868" w:rsidRDefault="004A7868" w:rsidP="004A7868">
      <w:r w:rsidRPr="00BE37BB">
        <w:t xml:space="preserve"> Dabas resursu nodokļa ieņēmumi valsts pamatbudžetā 2018.gadā bija 18,8 milj. </w:t>
      </w:r>
      <w:proofErr w:type="spellStart"/>
      <w:r w:rsidRPr="00BE37BB">
        <w:rPr>
          <w:i/>
        </w:rPr>
        <w:t>euro</w:t>
      </w:r>
      <w:proofErr w:type="spellEnd"/>
      <w:r w:rsidRPr="00BE37BB">
        <w:t>, kas, salīdzinot ar 2017.gadu, ir par 2,1 milj. </w:t>
      </w:r>
      <w:proofErr w:type="spellStart"/>
      <w:r w:rsidRPr="00BE37BB">
        <w:rPr>
          <w:i/>
        </w:rPr>
        <w:t>euro</w:t>
      </w:r>
      <w:proofErr w:type="spellEnd"/>
      <w:r w:rsidRPr="00BE37BB">
        <w:t xml:space="preserve"> jeb 12,7% vairāk. Dabas resursu nodokļa ieņēmumi pašvaldību speciālajā budžetā 2018.gadā bija 11,4 milj. </w:t>
      </w:r>
      <w:proofErr w:type="spellStart"/>
      <w:r w:rsidRPr="00BE37BB">
        <w:rPr>
          <w:i/>
        </w:rPr>
        <w:t>euro</w:t>
      </w:r>
      <w:proofErr w:type="spellEnd"/>
      <w:r w:rsidRPr="00BE37BB">
        <w:t>, salīdzinot ar 2017.gadu, tie ir palielinājušies par 2,4 milj. </w:t>
      </w:r>
      <w:proofErr w:type="spellStart"/>
      <w:r w:rsidRPr="00BE37BB">
        <w:rPr>
          <w:i/>
        </w:rPr>
        <w:t>euro</w:t>
      </w:r>
      <w:proofErr w:type="spellEnd"/>
      <w:r w:rsidRPr="00BE37BB">
        <w:t xml:space="preserve"> jeb 26,7 </w:t>
      </w:r>
      <w:r w:rsidRPr="006101B1">
        <w:t xml:space="preserve">procentiem. Tomēr, salīdzinot ar 2018.gadā plānoto, iekasēts par 7,7 milj. </w:t>
      </w:r>
      <w:proofErr w:type="spellStart"/>
      <w:r w:rsidRPr="006101B1">
        <w:rPr>
          <w:bCs/>
          <w:i/>
          <w:szCs w:val="24"/>
        </w:rPr>
        <w:t>euro</w:t>
      </w:r>
      <w:proofErr w:type="spellEnd"/>
      <w:r w:rsidRPr="006101B1">
        <w:t xml:space="preserve"> jeb 20,3% mazāk. Plāna neizpilde saistīta gan ar uzņēmumu piesārņojošo darbību un radītā piesārņojuma apjoma samazināšanu un resursu efektīvāku un pārdomātāku izmantošanu, gan ar 2016.gada nogalē veikto grozījumu Dabas resursu nodokļa likumā fiskālās ietekmes neizpildi.</w:t>
      </w:r>
    </w:p>
    <w:p w:rsidR="00B22DC7" w:rsidRDefault="00B22DC7" w:rsidP="004A7868"/>
    <w:p w:rsidR="00B22DC7" w:rsidRDefault="00B22DC7" w:rsidP="00C466F6">
      <w:pPr>
        <w:jc w:val="left"/>
      </w:pPr>
      <w:r>
        <w:rPr>
          <w:noProof/>
          <w:lang w:eastAsia="lv-LV"/>
        </w:rPr>
        <w:lastRenderedPageBreak/>
        <w:drawing>
          <wp:inline distT="0" distB="0" distL="0" distR="0" wp14:anchorId="72B9E29C">
            <wp:extent cx="5295900" cy="2429148"/>
            <wp:effectExtent l="19050" t="19050" r="19050" b="285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12" t="33797" r="4477" b="1912"/>
                    <a:stretch/>
                  </pic:blipFill>
                  <pic:spPr bwMode="auto">
                    <a:xfrm>
                      <a:off x="0" y="0"/>
                      <a:ext cx="5344113" cy="245126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4A7868" w:rsidRPr="00BE37BB" w:rsidRDefault="004A7868" w:rsidP="004A7868">
      <w:pPr>
        <w:pStyle w:val="Z"/>
        <w:spacing w:after="0"/>
      </w:pPr>
      <w:r w:rsidRPr="00BE37BB">
        <w:t xml:space="preserve">3.14. att. Dabas resursu nodokļa ieņēmumi, milj. </w:t>
      </w:r>
      <w:proofErr w:type="spellStart"/>
      <w:r w:rsidRPr="00BE37BB">
        <w:t>euro</w:t>
      </w:r>
      <w:proofErr w:type="spellEnd"/>
    </w:p>
    <w:p w:rsidR="004A7868" w:rsidRPr="00B22DC7" w:rsidRDefault="004A7868" w:rsidP="004A7868">
      <w:pPr>
        <w:spacing w:before="240"/>
      </w:pPr>
      <w:r w:rsidRPr="001C2E77">
        <w:t>2019.gadā kopējie dabas resursu nodokļa ieņēmumi tiek plānoti 37,1 milj. </w:t>
      </w:r>
      <w:proofErr w:type="spellStart"/>
      <w:r w:rsidRPr="001C2E77">
        <w:rPr>
          <w:i/>
        </w:rPr>
        <w:t>euro</w:t>
      </w:r>
      <w:proofErr w:type="spellEnd"/>
      <w:r w:rsidRPr="001C2E77">
        <w:t>, kas salīdzinājumā ar 2018.gada ieņēmumiem ir par 7,0 milj. </w:t>
      </w:r>
      <w:proofErr w:type="spellStart"/>
      <w:r w:rsidRPr="001C2E77">
        <w:rPr>
          <w:i/>
        </w:rPr>
        <w:t>euro</w:t>
      </w:r>
      <w:proofErr w:type="spellEnd"/>
      <w:r w:rsidRPr="001C2E77">
        <w:t xml:space="preserve"> jeb 23,1%</w:t>
      </w:r>
      <w:r w:rsidRPr="00BD4923">
        <w:t xml:space="preserve"> vairāk. Dabas resursu nodokļa ieņēmumu plāns 2019.gadam ir sagatavots, ņemot vērā iepriekšējo gadu izpildes </w:t>
      </w:r>
      <w:r w:rsidRPr="00AA43CC">
        <w:t xml:space="preserve">tendences, nozares ekonomisko attīstību, 2016.gadā </w:t>
      </w:r>
      <w:r w:rsidRPr="00AA43CC">
        <w:rPr>
          <w:szCs w:val="24"/>
        </w:rPr>
        <w:t xml:space="preserve">pieņemtos grozījumus normatīvajos aktos, kā </w:t>
      </w:r>
      <w:r w:rsidRPr="00AA43CC">
        <w:t>arī 2019.gada 8.februārī Ministru kabinetā atbalstītos nodokļu ieņēmumus palielinošos pasākumus.</w:t>
      </w:r>
      <w:r>
        <w:t xml:space="preserve"> </w:t>
      </w:r>
    </w:p>
    <w:p w:rsidR="004A7868" w:rsidRPr="00BD4923" w:rsidRDefault="004A7868" w:rsidP="004A7868">
      <w:pPr>
        <w:widowControl w:val="0"/>
        <w:spacing w:after="0"/>
        <w:rPr>
          <w:szCs w:val="24"/>
        </w:rPr>
      </w:pPr>
      <w:r w:rsidRPr="00BD4923">
        <w:rPr>
          <w:szCs w:val="24"/>
        </w:rPr>
        <w:t xml:space="preserve">Saskaņā ar 2016.gada 23.novembrī pieņemtajiem grozījumiem Dabas resursu nodokļa likumā ar 2019.gada 1.janvāri dabas resursu nodoklis tika paaugstināts akmeņoglēm, koksam un </w:t>
      </w:r>
      <w:proofErr w:type="spellStart"/>
      <w:r w:rsidRPr="00BD4923">
        <w:rPr>
          <w:szCs w:val="24"/>
        </w:rPr>
        <w:t>lignītam</w:t>
      </w:r>
      <w:proofErr w:type="spellEnd"/>
      <w:r w:rsidRPr="00BD4923">
        <w:rPr>
          <w:szCs w:val="24"/>
        </w:rPr>
        <w:t xml:space="preserve"> no 0,36 </w:t>
      </w:r>
      <w:proofErr w:type="spellStart"/>
      <w:r w:rsidRPr="00BD4923">
        <w:rPr>
          <w:i/>
          <w:szCs w:val="24"/>
        </w:rPr>
        <w:t>euro</w:t>
      </w:r>
      <w:proofErr w:type="spellEnd"/>
      <w:r w:rsidRPr="00BD4923">
        <w:rPr>
          <w:szCs w:val="24"/>
        </w:rPr>
        <w:t xml:space="preserve"> līdz 0,38 </w:t>
      </w:r>
      <w:proofErr w:type="spellStart"/>
      <w:r w:rsidRPr="00BD4923">
        <w:rPr>
          <w:i/>
          <w:szCs w:val="24"/>
        </w:rPr>
        <w:t>euro</w:t>
      </w:r>
      <w:proofErr w:type="spellEnd"/>
      <w:r w:rsidRPr="00BD4923">
        <w:rPr>
          <w:szCs w:val="24"/>
        </w:rPr>
        <w:t xml:space="preserve"> par GJ/tonnā ar pavaddokumentos norādītu siltumspēju. Par akmeņoglēm, koksu un </w:t>
      </w:r>
      <w:proofErr w:type="spellStart"/>
      <w:r w:rsidRPr="00BD4923">
        <w:rPr>
          <w:szCs w:val="24"/>
        </w:rPr>
        <w:t>lignītu</w:t>
      </w:r>
      <w:proofErr w:type="spellEnd"/>
      <w:r w:rsidRPr="00BD4923">
        <w:rPr>
          <w:szCs w:val="24"/>
        </w:rPr>
        <w:t>, kuru pavaddokumentos nav norādīta siltumspēja, likme tika paaugstināta no 10,25 </w:t>
      </w:r>
      <w:proofErr w:type="spellStart"/>
      <w:r w:rsidRPr="00BD4923">
        <w:rPr>
          <w:i/>
          <w:szCs w:val="24"/>
        </w:rPr>
        <w:t>euro</w:t>
      </w:r>
      <w:proofErr w:type="spellEnd"/>
      <w:r w:rsidRPr="00BD4923">
        <w:rPr>
          <w:szCs w:val="24"/>
        </w:rPr>
        <w:t xml:space="preserve"> līdz 10,65 </w:t>
      </w:r>
      <w:proofErr w:type="spellStart"/>
      <w:r w:rsidRPr="00BD4923">
        <w:rPr>
          <w:i/>
          <w:szCs w:val="24"/>
        </w:rPr>
        <w:t>euro</w:t>
      </w:r>
      <w:proofErr w:type="spellEnd"/>
      <w:r w:rsidRPr="00BD4923">
        <w:rPr>
          <w:szCs w:val="24"/>
        </w:rPr>
        <w:t xml:space="preserve"> par tonnu. </w:t>
      </w:r>
    </w:p>
    <w:p w:rsidR="004A7868" w:rsidRPr="004D700E" w:rsidRDefault="004A7868" w:rsidP="004A7868">
      <w:pPr>
        <w:widowControl w:val="0"/>
        <w:spacing w:after="0"/>
        <w:rPr>
          <w:sz w:val="32"/>
        </w:rPr>
      </w:pPr>
      <w:r w:rsidRPr="00BD4923">
        <w:rPr>
          <w:szCs w:val="24"/>
        </w:rPr>
        <w:t>Saskaņā ar 2016.gada 15.decembrī pieņemtajiem grozījumi</w:t>
      </w:r>
      <w:r>
        <w:rPr>
          <w:szCs w:val="24"/>
        </w:rPr>
        <w:t>em Dabas resursu nodokļa likumā a</w:t>
      </w:r>
      <w:r w:rsidRPr="00BD4923">
        <w:rPr>
          <w:szCs w:val="24"/>
        </w:rPr>
        <w:t xml:space="preserve">r 2019.gada 1.janvāri dabas resursu nodokļa likme par </w:t>
      </w:r>
      <w:r w:rsidRPr="00BD4923">
        <w:rPr>
          <w:color w:val="000000"/>
          <w:szCs w:val="24"/>
          <w:shd w:val="clear" w:color="auto" w:fill="FFFFFF"/>
        </w:rPr>
        <w:t>sadzīves atkritumu un ražošanas atkritumu, kas nav uzskatāmi par bīstamiem atkritumiem, apglabāšanu</w:t>
      </w:r>
      <w:r w:rsidRPr="00BD4923">
        <w:rPr>
          <w:szCs w:val="24"/>
        </w:rPr>
        <w:t xml:space="preserve"> tika paaugstināta no 35,0 līdz 43,0 </w:t>
      </w:r>
      <w:proofErr w:type="spellStart"/>
      <w:r w:rsidRPr="00BD4923">
        <w:rPr>
          <w:i/>
          <w:szCs w:val="24"/>
        </w:rPr>
        <w:t>euro</w:t>
      </w:r>
      <w:proofErr w:type="spellEnd"/>
      <w:r w:rsidRPr="00BD4923">
        <w:rPr>
          <w:szCs w:val="24"/>
        </w:rPr>
        <w:t xml:space="preserve"> par tonnu, bet par bīstamo un ražošanas atkritumu apglabāšanu dabas resursu nodoklis tika paaugstināts no 50,0 līdz 55,0 </w:t>
      </w:r>
      <w:proofErr w:type="spellStart"/>
      <w:r w:rsidRPr="00BD4923">
        <w:rPr>
          <w:i/>
          <w:szCs w:val="24"/>
        </w:rPr>
        <w:t>euro</w:t>
      </w:r>
      <w:proofErr w:type="spellEnd"/>
      <w:r w:rsidRPr="00BD4923">
        <w:rPr>
          <w:szCs w:val="24"/>
        </w:rPr>
        <w:t xml:space="preserve"> par tonnu. Nodokļa likmes tiks paaugstinātas arī 2020.gadā, likmei par </w:t>
      </w:r>
      <w:r w:rsidRPr="00BD4923">
        <w:rPr>
          <w:color w:val="000000"/>
          <w:szCs w:val="24"/>
          <w:shd w:val="clear" w:color="auto" w:fill="FFFFFF"/>
        </w:rPr>
        <w:t>sadzīves atkritumu un ražošanas atkritumu, kas nav uzskatāmi par bīstamiem atkritumiem, apglābšanu</w:t>
      </w:r>
      <w:r w:rsidRPr="00BD4923">
        <w:rPr>
          <w:szCs w:val="24"/>
        </w:rPr>
        <w:t xml:space="preserve"> sasniedzot 50,0 </w:t>
      </w:r>
      <w:proofErr w:type="spellStart"/>
      <w:r w:rsidRPr="00BD4923">
        <w:rPr>
          <w:i/>
          <w:szCs w:val="24"/>
        </w:rPr>
        <w:t>euro</w:t>
      </w:r>
      <w:proofErr w:type="spellEnd"/>
      <w:r w:rsidRPr="00BD4923">
        <w:rPr>
          <w:szCs w:val="24"/>
        </w:rPr>
        <w:t xml:space="preserve"> par tonnu, bet par bīstamo un ražošanas atkritumu apglabāšanu – 60,0 </w:t>
      </w:r>
      <w:proofErr w:type="spellStart"/>
      <w:r w:rsidRPr="00BD4923">
        <w:rPr>
          <w:i/>
          <w:szCs w:val="24"/>
        </w:rPr>
        <w:t>euro</w:t>
      </w:r>
      <w:proofErr w:type="spellEnd"/>
      <w:r w:rsidRPr="00BD4923">
        <w:rPr>
          <w:szCs w:val="24"/>
        </w:rPr>
        <w:t xml:space="preserve"> par tonnu</w:t>
      </w:r>
      <w:r>
        <w:rPr>
          <w:szCs w:val="24"/>
        </w:rPr>
        <w:t>.</w:t>
      </w:r>
      <w:r w:rsidRPr="00BD4923">
        <w:rPr>
          <w:szCs w:val="24"/>
        </w:rPr>
        <w:t xml:space="preserve"> </w:t>
      </w:r>
    </w:p>
    <w:p w:rsidR="004A7868" w:rsidRPr="006274FB" w:rsidRDefault="004A7868" w:rsidP="004A7868">
      <w:pPr>
        <w:spacing w:after="0"/>
        <w:ind w:right="57"/>
      </w:pPr>
      <w:r w:rsidRPr="006274FB">
        <w:t>Saskaņā ar Ministru kabineta 2019.gada 8.februāra sēdē izskatīto informatīvo ziņojumu “Par fiskālo telpu palielinošiem pasākumiem un izdevumiem prioritārajiem pasākumiem valsts budžetam 2019. gadam” (</w:t>
      </w:r>
      <w:proofErr w:type="spellStart"/>
      <w:r w:rsidRPr="006274FB">
        <w:t>protokollēmuma</w:t>
      </w:r>
      <w:proofErr w:type="spellEnd"/>
      <w:r w:rsidRPr="006274FB">
        <w:t xml:space="preserve"> Nr.6. 1.§ 8. punkts) noteikto, dabas resursu nodokļa ieņēmumu plānā iekļauta fiskālā ietekme 1 000 000 </w:t>
      </w:r>
      <w:proofErr w:type="spellStart"/>
      <w:r w:rsidRPr="006274FB">
        <w:rPr>
          <w:bCs/>
          <w:i/>
          <w:szCs w:val="24"/>
        </w:rPr>
        <w:t>euro</w:t>
      </w:r>
      <w:proofErr w:type="spellEnd"/>
      <w:r w:rsidRPr="006274FB">
        <w:t xml:space="preserve"> apmērā no Vides aizsardzības un reģionālās attīstības ministrijas izstrādātajiem grozījumiem Dabas resursu nodokļa likumā, kas paredz:</w:t>
      </w:r>
    </w:p>
    <w:p w:rsidR="004A7868" w:rsidRPr="006274FB" w:rsidRDefault="004A7868" w:rsidP="009E421B">
      <w:pPr>
        <w:pStyle w:val="ListParagraph"/>
        <w:numPr>
          <w:ilvl w:val="0"/>
          <w:numId w:val="24"/>
        </w:numPr>
        <w:spacing w:after="0"/>
        <w:ind w:right="57"/>
      </w:pPr>
      <w:r w:rsidRPr="006274FB">
        <w:t>noteikt iespēju norakstīt transportlīdzekli, ja nav iespējams saņemt nolietota transportlīdzekļa likvidācijas sertifikātu sakarā ar transportlīdzekļa neesamību;</w:t>
      </w:r>
    </w:p>
    <w:p w:rsidR="004A7868" w:rsidRDefault="004A7868" w:rsidP="004A7868">
      <w:pPr>
        <w:pStyle w:val="ListParagraph"/>
        <w:numPr>
          <w:ilvl w:val="0"/>
          <w:numId w:val="24"/>
        </w:numPr>
        <w:spacing w:after="0"/>
        <w:ind w:right="57"/>
      </w:pPr>
      <w:r w:rsidRPr="006274FB">
        <w:t>turpmāk nepiemērot atbrīvojumu no dabas resursu nodokļa samaksas vienreiz lietojamajiem galda traukiem un piederumiem, kas izgatavoti no plastmasas (polimēriem) un to k</w:t>
      </w:r>
      <w:r>
        <w:t xml:space="preserve">ompozītmateriāliem (laminātiem), </w:t>
      </w:r>
    </w:p>
    <w:p w:rsidR="004A7868" w:rsidRPr="00D40955" w:rsidRDefault="004A7868" w:rsidP="004A7868">
      <w:pPr>
        <w:spacing w:after="0"/>
        <w:ind w:right="57" w:firstLine="0"/>
        <w:rPr>
          <w:szCs w:val="24"/>
          <w:lang w:eastAsia="lv-LV"/>
        </w:rPr>
      </w:pPr>
      <w:r>
        <w:t xml:space="preserve">kā arī </w:t>
      </w:r>
      <w:r>
        <w:rPr>
          <w:szCs w:val="24"/>
          <w:lang w:eastAsia="lv-LV"/>
        </w:rPr>
        <w:t xml:space="preserve">papildus kontroles pasākumiem smilts-grants ieguves jomā, </w:t>
      </w:r>
      <w:r>
        <w:rPr>
          <w:iCs/>
          <w:color w:val="000000"/>
          <w:szCs w:val="24"/>
          <w:lang w:eastAsia="lv-LV"/>
        </w:rPr>
        <w:t>kas nav saistāmi ar grozījumiem Dabas resursu nodokļa likumā, bet palielinās dabas resursu nodokļa ieņēmumus.</w:t>
      </w:r>
    </w:p>
    <w:p w:rsidR="004A7868" w:rsidRPr="00BD4923" w:rsidRDefault="004A7868" w:rsidP="004A7868">
      <w:pPr>
        <w:pStyle w:val="T"/>
        <w:spacing w:before="360"/>
      </w:pPr>
      <w:r w:rsidRPr="00BD4923">
        <w:lastRenderedPageBreak/>
        <w:t>3.16. tabula. Dabas resursu nodokļa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273"/>
        <w:gridCol w:w="1109"/>
        <w:gridCol w:w="1134"/>
        <w:gridCol w:w="1276"/>
        <w:gridCol w:w="1269"/>
      </w:tblGrid>
      <w:tr w:rsidR="004A7868" w:rsidRPr="002074E7" w:rsidTr="005567D2">
        <w:trPr>
          <w:jc w:val="center"/>
        </w:trPr>
        <w:tc>
          <w:tcPr>
            <w:tcW w:w="2358" w:type="pct"/>
            <w:vMerge w:val="restart"/>
            <w:shd w:val="clear" w:color="auto" w:fill="D9D9D9" w:themeFill="background1" w:themeFillShade="D9"/>
          </w:tcPr>
          <w:p w:rsidR="004A7868" w:rsidRPr="00BD4923" w:rsidRDefault="004A7868" w:rsidP="005567D2">
            <w:pPr>
              <w:pStyle w:val="tabtekst"/>
              <w:jc w:val="center"/>
              <w:rPr>
                <w:b/>
                <w:color w:val="auto"/>
              </w:rPr>
            </w:pPr>
          </w:p>
        </w:tc>
        <w:tc>
          <w:tcPr>
            <w:tcW w:w="612" w:type="pct"/>
            <w:shd w:val="clear" w:color="auto" w:fill="D9D9D9" w:themeFill="background1" w:themeFillShade="D9"/>
          </w:tcPr>
          <w:p w:rsidR="004A7868" w:rsidRPr="00BD4923" w:rsidRDefault="004A7868" w:rsidP="005567D2">
            <w:pPr>
              <w:pStyle w:val="tabtekst"/>
              <w:jc w:val="center"/>
              <w:rPr>
                <w:b/>
                <w:color w:val="auto"/>
              </w:rPr>
            </w:pPr>
            <w:r w:rsidRPr="00BD4923">
              <w:rPr>
                <w:b/>
                <w:color w:val="auto"/>
              </w:rPr>
              <w:t>2016</w:t>
            </w:r>
          </w:p>
        </w:tc>
        <w:tc>
          <w:tcPr>
            <w:tcW w:w="626" w:type="pct"/>
            <w:shd w:val="clear" w:color="auto" w:fill="D9D9D9" w:themeFill="background1" w:themeFillShade="D9"/>
          </w:tcPr>
          <w:p w:rsidR="004A7868" w:rsidRPr="00BD4923" w:rsidRDefault="004A7868" w:rsidP="005567D2">
            <w:pPr>
              <w:pStyle w:val="tabtekst"/>
              <w:jc w:val="center"/>
              <w:rPr>
                <w:b/>
                <w:color w:val="auto"/>
              </w:rPr>
            </w:pPr>
            <w:r w:rsidRPr="00BD4923">
              <w:rPr>
                <w:b/>
                <w:color w:val="auto"/>
              </w:rPr>
              <w:t>2017</w:t>
            </w:r>
          </w:p>
        </w:tc>
        <w:tc>
          <w:tcPr>
            <w:tcW w:w="704" w:type="pct"/>
            <w:shd w:val="clear" w:color="auto" w:fill="D9D9D9" w:themeFill="background1" w:themeFillShade="D9"/>
          </w:tcPr>
          <w:p w:rsidR="004A7868" w:rsidRPr="00BD4923" w:rsidRDefault="004A7868" w:rsidP="005567D2">
            <w:pPr>
              <w:pStyle w:val="tabtekst"/>
              <w:jc w:val="center"/>
              <w:rPr>
                <w:b/>
                <w:color w:val="auto"/>
              </w:rPr>
            </w:pPr>
            <w:r w:rsidRPr="00BD4923">
              <w:rPr>
                <w:b/>
                <w:color w:val="auto"/>
              </w:rPr>
              <w:t>2018</w:t>
            </w:r>
          </w:p>
        </w:tc>
        <w:tc>
          <w:tcPr>
            <w:tcW w:w="700" w:type="pct"/>
            <w:shd w:val="clear" w:color="auto" w:fill="D9D9D9" w:themeFill="background1" w:themeFillShade="D9"/>
          </w:tcPr>
          <w:p w:rsidR="004A7868" w:rsidRPr="00366423" w:rsidRDefault="004A7868" w:rsidP="005567D2">
            <w:pPr>
              <w:pStyle w:val="tabtekst"/>
              <w:jc w:val="center"/>
              <w:rPr>
                <w:b/>
                <w:color w:val="auto"/>
              </w:rPr>
            </w:pPr>
            <w:r w:rsidRPr="00366423">
              <w:rPr>
                <w:b/>
                <w:color w:val="auto"/>
              </w:rPr>
              <w:t>2019</w:t>
            </w:r>
          </w:p>
        </w:tc>
      </w:tr>
      <w:tr w:rsidR="004A7868" w:rsidRPr="002074E7" w:rsidTr="005567D2">
        <w:trPr>
          <w:jc w:val="center"/>
        </w:trPr>
        <w:tc>
          <w:tcPr>
            <w:tcW w:w="2358" w:type="pct"/>
            <w:vMerge/>
            <w:shd w:val="clear" w:color="auto" w:fill="D9D9D9" w:themeFill="background1" w:themeFillShade="D9"/>
          </w:tcPr>
          <w:p w:rsidR="004A7868" w:rsidRPr="00BD4923" w:rsidRDefault="004A7868" w:rsidP="005567D2">
            <w:pPr>
              <w:pStyle w:val="tabtekst"/>
              <w:jc w:val="center"/>
              <w:rPr>
                <w:b/>
                <w:color w:val="auto"/>
              </w:rPr>
            </w:pPr>
          </w:p>
        </w:tc>
        <w:tc>
          <w:tcPr>
            <w:tcW w:w="1942" w:type="pct"/>
            <w:gridSpan w:val="3"/>
            <w:shd w:val="clear" w:color="auto" w:fill="D9D9D9" w:themeFill="background1" w:themeFillShade="D9"/>
          </w:tcPr>
          <w:p w:rsidR="004A7868" w:rsidRPr="00BD4923" w:rsidRDefault="004A7868" w:rsidP="005567D2">
            <w:pPr>
              <w:pStyle w:val="tabtekst"/>
              <w:jc w:val="center"/>
              <w:rPr>
                <w:color w:val="auto"/>
              </w:rPr>
            </w:pPr>
            <w:r w:rsidRPr="00BD4923">
              <w:rPr>
                <w:color w:val="auto"/>
              </w:rPr>
              <w:t>fakts</w:t>
            </w:r>
          </w:p>
        </w:tc>
        <w:tc>
          <w:tcPr>
            <w:tcW w:w="700" w:type="pct"/>
            <w:shd w:val="clear" w:color="auto" w:fill="D9D9D9" w:themeFill="background1" w:themeFillShade="D9"/>
          </w:tcPr>
          <w:p w:rsidR="004A7868" w:rsidRPr="00366423" w:rsidRDefault="004A7868" w:rsidP="005567D2">
            <w:pPr>
              <w:pStyle w:val="tabtekst"/>
              <w:jc w:val="center"/>
              <w:rPr>
                <w:color w:val="auto"/>
              </w:rPr>
            </w:pPr>
            <w:r w:rsidRPr="00366423">
              <w:rPr>
                <w:color w:val="auto"/>
              </w:rPr>
              <w:t>plāns</w:t>
            </w:r>
          </w:p>
        </w:tc>
      </w:tr>
      <w:tr w:rsidR="004A7868" w:rsidRPr="002074E7" w:rsidTr="005567D2">
        <w:trPr>
          <w:jc w:val="center"/>
        </w:trPr>
        <w:tc>
          <w:tcPr>
            <w:tcW w:w="2358" w:type="pct"/>
          </w:tcPr>
          <w:p w:rsidR="004A7868" w:rsidRPr="00BD4923" w:rsidRDefault="004A7868" w:rsidP="005567D2">
            <w:pPr>
              <w:pStyle w:val="tabtekst"/>
              <w:rPr>
                <w:b/>
                <w:color w:val="auto"/>
                <w:lang w:eastAsia="lv-LV"/>
              </w:rPr>
            </w:pPr>
            <w:r w:rsidRPr="00BD4923">
              <w:rPr>
                <w:b/>
                <w:color w:val="auto"/>
              </w:rPr>
              <w:t>Dabas resursu nodoklis</w:t>
            </w:r>
            <w:r w:rsidRPr="00BD4923">
              <w:rPr>
                <w:color w:val="auto"/>
              </w:rPr>
              <w:t xml:space="preserve">, milj. </w:t>
            </w:r>
            <w:proofErr w:type="spellStart"/>
            <w:r w:rsidRPr="00BD4923">
              <w:rPr>
                <w:i/>
                <w:color w:val="auto"/>
              </w:rPr>
              <w:t>euro</w:t>
            </w:r>
            <w:proofErr w:type="spellEnd"/>
          </w:p>
        </w:tc>
        <w:tc>
          <w:tcPr>
            <w:tcW w:w="612" w:type="pct"/>
            <w:shd w:val="clear" w:color="auto" w:fill="auto"/>
          </w:tcPr>
          <w:p w:rsidR="004A7868" w:rsidRPr="00BD4923" w:rsidRDefault="004A7868" w:rsidP="005567D2">
            <w:pPr>
              <w:pStyle w:val="tabtekst"/>
              <w:jc w:val="center"/>
              <w:rPr>
                <w:b/>
                <w:color w:val="auto"/>
              </w:rPr>
            </w:pPr>
            <w:r w:rsidRPr="00BD4923">
              <w:rPr>
                <w:b/>
                <w:color w:val="auto"/>
              </w:rPr>
              <w:t>17,9</w:t>
            </w:r>
          </w:p>
        </w:tc>
        <w:tc>
          <w:tcPr>
            <w:tcW w:w="626" w:type="pct"/>
            <w:shd w:val="clear" w:color="auto" w:fill="auto"/>
          </w:tcPr>
          <w:p w:rsidR="004A7868" w:rsidRPr="00BD4923" w:rsidRDefault="004A7868" w:rsidP="005567D2">
            <w:pPr>
              <w:pStyle w:val="tabtekst"/>
              <w:jc w:val="center"/>
              <w:rPr>
                <w:b/>
                <w:color w:val="auto"/>
              </w:rPr>
            </w:pPr>
            <w:r w:rsidRPr="00BD4923">
              <w:rPr>
                <w:b/>
                <w:color w:val="auto"/>
              </w:rPr>
              <w:t>25,6</w:t>
            </w:r>
          </w:p>
        </w:tc>
        <w:tc>
          <w:tcPr>
            <w:tcW w:w="704" w:type="pct"/>
            <w:shd w:val="clear" w:color="auto" w:fill="auto"/>
          </w:tcPr>
          <w:p w:rsidR="004A7868" w:rsidRPr="00BD4923" w:rsidRDefault="004A7868" w:rsidP="005567D2">
            <w:pPr>
              <w:pStyle w:val="tabtekst"/>
              <w:jc w:val="center"/>
              <w:rPr>
                <w:b/>
                <w:color w:val="auto"/>
              </w:rPr>
            </w:pPr>
            <w:r w:rsidRPr="00BD4923">
              <w:rPr>
                <w:b/>
                <w:color w:val="auto"/>
              </w:rPr>
              <w:t>30,1</w:t>
            </w:r>
          </w:p>
        </w:tc>
        <w:tc>
          <w:tcPr>
            <w:tcW w:w="700" w:type="pct"/>
            <w:shd w:val="clear" w:color="auto" w:fill="auto"/>
          </w:tcPr>
          <w:p w:rsidR="004A7868" w:rsidRPr="00366423" w:rsidRDefault="004A7868" w:rsidP="005567D2">
            <w:pPr>
              <w:pStyle w:val="tabtekst"/>
              <w:jc w:val="center"/>
              <w:rPr>
                <w:b/>
                <w:color w:val="auto"/>
              </w:rPr>
            </w:pPr>
            <w:r w:rsidRPr="00366423">
              <w:rPr>
                <w:b/>
                <w:color w:val="auto"/>
              </w:rPr>
              <w:t>37,1</w:t>
            </w:r>
          </w:p>
        </w:tc>
      </w:tr>
      <w:tr w:rsidR="004A7868" w:rsidRPr="002074E7" w:rsidTr="005567D2">
        <w:trPr>
          <w:jc w:val="center"/>
        </w:trPr>
        <w:tc>
          <w:tcPr>
            <w:tcW w:w="2358" w:type="pct"/>
            <w:vAlign w:val="center"/>
          </w:tcPr>
          <w:p w:rsidR="004A7868" w:rsidRPr="00BD4923" w:rsidRDefault="004A7868" w:rsidP="005567D2">
            <w:pPr>
              <w:pStyle w:val="tabtekst"/>
              <w:rPr>
                <w:color w:val="auto"/>
              </w:rPr>
            </w:pPr>
            <w:r w:rsidRPr="00BD4923">
              <w:rPr>
                <w:color w:val="auto"/>
              </w:rPr>
              <w:t xml:space="preserve"> t.sk. valsts budžetā</w:t>
            </w:r>
          </w:p>
        </w:tc>
        <w:tc>
          <w:tcPr>
            <w:tcW w:w="612" w:type="pct"/>
          </w:tcPr>
          <w:p w:rsidR="004A7868" w:rsidRPr="00BD4923" w:rsidRDefault="004A7868" w:rsidP="005567D2">
            <w:pPr>
              <w:pStyle w:val="tabtekst"/>
              <w:jc w:val="center"/>
              <w:rPr>
                <w:color w:val="auto"/>
              </w:rPr>
            </w:pPr>
            <w:r w:rsidRPr="00BD4923">
              <w:rPr>
                <w:color w:val="auto"/>
              </w:rPr>
              <w:t>9,8</w:t>
            </w:r>
          </w:p>
        </w:tc>
        <w:tc>
          <w:tcPr>
            <w:tcW w:w="626" w:type="pct"/>
          </w:tcPr>
          <w:p w:rsidR="004A7868" w:rsidRPr="00BD4923" w:rsidRDefault="004A7868" w:rsidP="005567D2">
            <w:pPr>
              <w:pStyle w:val="tabtekst"/>
              <w:jc w:val="center"/>
              <w:rPr>
                <w:color w:val="auto"/>
              </w:rPr>
            </w:pPr>
            <w:r w:rsidRPr="00BD4923">
              <w:rPr>
                <w:color w:val="auto"/>
              </w:rPr>
              <w:t>16,6</w:t>
            </w:r>
          </w:p>
        </w:tc>
        <w:tc>
          <w:tcPr>
            <w:tcW w:w="704" w:type="pct"/>
          </w:tcPr>
          <w:p w:rsidR="004A7868" w:rsidRPr="00BD4923" w:rsidRDefault="004A7868" w:rsidP="005567D2">
            <w:pPr>
              <w:pStyle w:val="tabtekst"/>
              <w:jc w:val="center"/>
              <w:rPr>
                <w:color w:val="auto"/>
              </w:rPr>
            </w:pPr>
            <w:r w:rsidRPr="00BD4923">
              <w:rPr>
                <w:color w:val="auto"/>
              </w:rPr>
              <w:t>18,8</w:t>
            </w:r>
          </w:p>
        </w:tc>
        <w:tc>
          <w:tcPr>
            <w:tcW w:w="700" w:type="pct"/>
          </w:tcPr>
          <w:p w:rsidR="004A7868" w:rsidRPr="00366423" w:rsidRDefault="004A7868" w:rsidP="005567D2">
            <w:pPr>
              <w:pStyle w:val="tabtekst"/>
              <w:jc w:val="center"/>
              <w:rPr>
                <w:color w:val="auto"/>
              </w:rPr>
            </w:pPr>
            <w:r w:rsidRPr="00366423">
              <w:rPr>
                <w:color w:val="auto"/>
              </w:rPr>
              <w:t>24,2</w:t>
            </w:r>
          </w:p>
        </w:tc>
      </w:tr>
      <w:tr w:rsidR="004A7868" w:rsidRPr="002074E7" w:rsidTr="005567D2">
        <w:trPr>
          <w:jc w:val="center"/>
        </w:trPr>
        <w:tc>
          <w:tcPr>
            <w:tcW w:w="2358" w:type="pct"/>
            <w:vAlign w:val="center"/>
          </w:tcPr>
          <w:p w:rsidR="004A7868" w:rsidRPr="00BD4923" w:rsidRDefault="004A7868" w:rsidP="005567D2">
            <w:pPr>
              <w:pStyle w:val="tabtekst"/>
              <w:rPr>
                <w:color w:val="auto"/>
              </w:rPr>
            </w:pPr>
            <w:r w:rsidRPr="00BD4923">
              <w:rPr>
                <w:color w:val="auto"/>
              </w:rPr>
              <w:t xml:space="preserve">   pašvaldību speciālajā budžetā</w:t>
            </w:r>
          </w:p>
        </w:tc>
        <w:tc>
          <w:tcPr>
            <w:tcW w:w="612" w:type="pct"/>
          </w:tcPr>
          <w:p w:rsidR="004A7868" w:rsidRPr="00BD4923" w:rsidRDefault="004A7868" w:rsidP="005567D2">
            <w:pPr>
              <w:pStyle w:val="tabtekst"/>
              <w:jc w:val="center"/>
              <w:rPr>
                <w:color w:val="auto"/>
              </w:rPr>
            </w:pPr>
            <w:r w:rsidRPr="00BD4923">
              <w:rPr>
                <w:color w:val="auto"/>
              </w:rPr>
              <w:t>8,0</w:t>
            </w:r>
          </w:p>
        </w:tc>
        <w:tc>
          <w:tcPr>
            <w:tcW w:w="626" w:type="pct"/>
          </w:tcPr>
          <w:p w:rsidR="004A7868" w:rsidRPr="00BD4923" w:rsidRDefault="004A7868" w:rsidP="005567D2">
            <w:pPr>
              <w:pStyle w:val="tabtekst"/>
              <w:jc w:val="center"/>
              <w:rPr>
                <w:color w:val="auto"/>
              </w:rPr>
            </w:pPr>
            <w:r w:rsidRPr="00BD4923">
              <w:rPr>
                <w:color w:val="auto"/>
              </w:rPr>
              <w:t>9,0</w:t>
            </w:r>
          </w:p>
        </w:tc>
        <w:tc>
          <w:tcPr>
            <w:tcW w:w="704" w:type="pct"/>
          </w:tcPr>
          <w:p w:rsidR="004A7868" w:rsidRPr="00BD4923" w:rsidRDefault="004A7868" w:rsidP="005567D2">
            <w:pPr>
              <w:pStyle w:val="tabtekst"/>
              <w:jc w:val="center"/>
              <w:rPr>
                <w:color w:val="auto"/>
              </w:rPr>
            </w:pPr>
            <w:r w:rsidRPr="00BD4923">
              <w:rPr>
                <w:color w:val="auto"/>
              </w:rPr>
              <w:t>11,4</w:t>
            </w:r>
          </w:p>
        </w:tc>
        <w:tc>
          <w:tcPr>
            <w:tcW w:w="700" w:type="pct"/>
          </w:tcPr>
          <w:p w:rsidR="004A7868" w:rsidRPr="00366423" w:rsidRDefault="004A7868" w:rsidP="005567D2">
            <w:pPr>
              <w:pStyle w:val="tabtekst"/>
              <w:jc w:val="center"/>
              <w:rPr>
                <w:color w:val="auto"/>
              </w:rPr>
            </w:pPr>
            <w:r w:rsidRPr="00366423">
              <w:rPr>
                <w:color w:val="auto"/>
              </w:rPr>
              <w:t>12,9</w:t>
            </w:r>
          </w:p>
        </w:tc>
      </w:tr>
      <w:tr w:rsidR="004A7868" w:rsidRPr="002074E7" w:rsidTr="005567D2">
        <w:trPr>
          <w:jc w:val="center"/>
        </w:trPr>
        <w:tc>
          <w:tcPr>
            <w:tcW w:w="2358" w:type="pct"/>
          </w:tcPr>
          <w:p w:rsidR="004A7868" w:rsidRPr="00114751" w:rsidRDefault="004A7868" w:rsidP="005567D2">
            <w:pPr>
              <w:pStyle w:val="tabtekst"/>
              <w:rPr>
                <w:i/>
                <w:color w:val="auto"/>
                <w:lang w:eastAsia="lv-LV"/>
              </w:rPr>
            </w:pPr>
            <w:r w:rsidRPr="00114751">
              <w:rPr>
                <w:i/>
                <w:color w:val="auto"/>
                <w:lang w:eastAsia="lv-LV"/>
              </w:rPr>
              <w:t>pieauguma tempi faktiskās cenās, %</w:t>
            </w:r>
          </w:p>
        </w:tc>
        <w:tc>
          <w:tcPr>
            <w:tcW w:w="612" w:type="pct"/>
          </w:tcPr>
          <w:p w:rsidR="004A7868" w:rsidRPr="00114751" w:rsidRDefault="004A7868" w:rsidP="005567D2">
            <w:pPr>
              <w:pStyle w:val="tabtekst"/>
              <w:jc w:val="center"/>
              <w:rPr>
                <w:i/>
              </w:rPr>
            </w:pPr>
            <w:r w:rsidRPr="00114751">
              <w:rPr>
                <w:i/>
              </w:rPr>
              <w:t>-17,7</w:t>
            </w:r>
          </w:p>
        </w:tc>
        <w:tc>
          <w:tcPr>
            <w:tcW w:w="626" w:type="pct"/>
          </w:tcPr>
          <w:p w:rsidR="004A7868" w:rsidRPr="00114751" w:rsidRDefault="004A7868" w:rsidP="005567D2">
            <w:pPr>
              <w:pStyle w:val="tabtekst"/>
              <w:jc w:val="center"/>
              <w:rPr>
                <w:i/>
              </w:rPr>
            </w:pPr>
            <w:r w:rsidRPr="00114751">
              <w:rPr>
                <w:i/>
                <w:color w:val="auto"/>
              </w:rPr>
              <w:t>43,5</w:t>
            </w:r>
          </w:p>
        </w:tc>
        <w:tc>
          <w:tcPr>
            <w:tcW w:w="704" w:type="pct"/>
          </w:tcPr>
          <w:p w:rsidR="004A7868" w:rsidRPr="00114751" w:rsidRDefault="004A7868" w:rsidP="005567D2">
            <w:pPr>
              <w:pStyle w:val="tabtekst"/>
              <w:jc w:val="center"/>
              <w:rPr>
                <w:i/>
                <w:color w:val="auto"/>
              </w:rPr>
            </w:pPr>
            <w:r w:rsidRPr="00114751">
              <w:rPr>
                <w:i/>
                <w:color w:val="auto"/>
              </w:rPr>
              <w:t>17,6</w:t>
            </w:r>
          </w:p>
        </w:tc>
        <w:tc>
          <w:tcPr>
            <w:tcW w:w="700" w:type="pct"/>
          </w:tcPr>
          <w:p w:rsidR="004A7868" w:rsidRPr="00366423" w:rsidRDefault="004A7868" w:rsidP="005567D2">
            <w:pPr>
              <w:pStyle w:val="tabtekst"/>
              <w:jc w:val="center"/>
              <w:rPr>
                <w:i/>
                <w:color w:val="auto"/>
              </w:rPr>
            </w:pPr>
            <w:r w:rsidRPr="00366423">
              <w:rPr>
                <w:i/>
                <w:color w:val="auto"/>
              </w:rPr>
              <w:t>23,1</w:t>
            </w:r>
          </w:p>
        </w:tc>
      </w:tr>
      <w:tr w:rsidR="004A7868" w:rsidRPr="002074E7" w:rsidTr="005567D2">
        <w:trPr>
          <w:jc w:val="center"/>
        </w:trPr>
        <w:tc>
          <w:tcPr>
            <w:tcW w:w="2358" w:type="pct"/>
          </w:tcPr>
          <w:p w:rsidR="004A7868" w:rsidRPr="00114751" w:rsidRDefault="004A7868" w:rsidP="005567D2">
            <w:pPr>
              <w:pStyle w:val="tabtekst"/>
              <w:rPr>
                <w:i/>
                <w:color w:val="auto"/>
                <w:lang w:eastAsia="lv-LV"/>
              </w:rPr>
            </w:pPr>
            <w:r w:rsidRPr="00114751">
              <w:rPr>
                <w:i/>
                <w:color w:val="auto"/>
                <w:lang w:eastAsia="lv-LV"/>
              </w:rPr>
              <w:t>% no IKP</w:t>
            </w:r>
          </w:p>
        </w:tc>
        <w:tc>
          <w:tcPr>
            <w:tcW w:w="612" w:type="pct"/>
          </w:tcPr>
          <w:p w:rsidR="004A7868" w:rsidRPr="00114751" w:rsidRDefault="004A7868" w:rsidP="005567D2">
            <w:pPr>
              <w:pStyle w:val="tabtekst"/>
              <w:jc w:val="center"/>
              <w:rPr>
                <w:i/>
                <w:color w:val="auto"/>
              </w:rPr>
            </w:pPr>
            <w:r w:rsidRPr="00114751">
              <w:rPr>
                <w:i/>
                <w:color w:val="auto"/>
              </w:rPr>
              <w:t>0,1</w:t>
            </w:r>
          </w:p>
        </w:tc>
        <w:tc>
          <w:tcPr>
            <w:tcW w:w="626" w:type="pct"/>
          </w:tcPr>
          <w:p w:rsidR="004A7868" w:rsidRPr="00114751" w:rsidRDefault="004A7868" w:rsidP="005567D2">
            <w:pPr>
              <w:pStyle w:val="tabtekst"/>
              <w:jc w:val="center"/>
              <w:rPr>
                <w:i/>
                <w:color w:val="auto"/>
              </w:rPr>
            </w:pPr>
            <w:r w:rsidRPr="00114751">
              <w:rPr>
                <w:i/>
                <w:color w:val="auto"/>
              </w:rPr>
              <w:t>0,1</w:t>
            </w:r>
          </w:p>
        </w:tc>
        <w:tc>
          <w:tcPr>
            <w:tcW w:w="704" w:type="pct"/>
          </w:tcPr>
          <w:p w:rsidR="004A7868" w:rsidRPr="00114751" w:rsidRDefault="004A7868" w:rsidP="005567D2">
            <w:pPr>
              <w:pStyle w:val="tabtekst"/>
              <w:jc w:val="center"/>
              <w:rPr>
                <w:i/>
                <w:color w:val="auto"/>
              </w:rPr>
            </w:pPr>
            <w:r w:rsidRPr="00114751">
              <w:rPr>
                <w:i/>
                <w:color w:val="auto"/>
              </w:rPr>
              <w:t>0,1</w:t>
            </w:r>
          </w:p>
        </w:tc>
        <w:tc>
          <w:tcPr>
            <w:tcW w:w="700" w:type="pct"/>
          </w:tcPr>
          <w:p w:rsidR="004A7868" w:rsidRPr="00366423" w:rsidRDefault="004A7868" w:rsidP="005567D2">
            <w:pPr>
              <w:pStyle w:val="tabtekst"/>
              <w:jc w:val="center"/>
              <w:rPr>
                <w:i/>
                <w:color w:val="auto"/>
              </w:rPr>
            </w:pPr>
            <w:r w:rsidRPr="00366423">
              <w:rPr>
                <w:i/>
                <w:color w:val="auto"/>
              </w:rPr>
              <w:t>0,1</w:t>
            </w:r>
          </w:p>
        </w:tc>
      </w:tr>
    </w:tbl>
    <w:p w:rsidR="004A7868" w:rsidRPr="00866191" w:rsidRDefault="004A7868" w:rsidP="00D81781">
      <w:pPr>
        <w:pStyle w:val="H4"/>
        <w:spacing w:before="360" w:after="240"/>
      </w:pPr>
      <w:r w:rsidRPr="00866191">
        <w:t>Izložu un azartspēļu nodoklis</w:t>
      </w:r>
    </w:p>
    <w:p w:rsidR="004A7868" w:rsidRPr="00866191" w:rsidRDefault="004A7868" w:rsidP="004A7868">
      <w:r w:rsidRPr="00866191">
        <w:t xml:space="preserve">Izložu un azartspēļu nodokli maksā uzņēmumi, kas likumā „Par izložu un azartspēļu nodevu un nodokli” noteiktajā kārtībā saņēmuši speciālu atļauju izložu un azartspēļu organizēšanai un uzturēšanai. Ienākumi no azartspēļu nodokļa (izņemot </w:t>
      </w:r>
      <w:r w:rsidRPr="00866191">
        <w:rPr>
          <w:rFonts w:eastAsia="Calibri"/>
          <w:szCs w:val="28"/>
          <w:lang w:eastAsia="lv-LV"/>
        </w:rPr>
        <w:t>ieņēmumus no izložu un azartspēļu nodokļa par azartspēlēm, ko organizē izmantojot telekomunikācijas, un sākot ar 2018.gada 1.janvāri 100% apmērā ieskaita valsts budžetā)</w:t>
      </w:r>
      <w:r w:rsidRPr="00866191">
        <w:t xml:space="preserve"> 75% apmērā tiek ieskaitīti valsts pamatbudžetā, bet 25% apmērā ieskaitāmi tās pašvaldības budžetā, kuras teritorijā tiek organizēta azartspēle. Ienākumi no valsts mēroga izložu nodokļa tiek ieskaitīti valsts pamatbudžetā, bet no vietējā mēroga izložu nodokļa – tās pašvaldības budžetā, kuras teritorijā tiek organizēta izloze.</w:t>
      </w:r>
    </w:p>
    <w:p w:rsidR="004A7868" w:rsidRDefault="004A7868" w:rsidP="004A7868">
      <w:pPr>
        <w:spacing w:after="0"/>
      </w:pPr>
      <w:r w:rsidRPr="00866191">
        <w:t>2018.gadā izložu un azartspēļu nodokļa ieņēmumi bija 44,4 milj. </w:t>
      </w:r>
      <w:proofErr w:type="spellStart"/>
      <w:r w:rsidRPr="00866191">
        <w:rPr>
          <w:i/>
        </w:rPr>
        <w:t>euro</w:t>
      </w:r>
      <w:proofErr w:type="spellEnd"/>
      <w:r w:rsidRPr="00866191">
        <w:t>, kas, salīdzinot ar 2017.gadu, ir palielinājušies par 8,0 milj. </w:t>
      </w:r>
      <w:proofErr w:type="spellStart"/>
      <w:r w:rsidRPr="00866191">
        <w:rPr>
          <w:i/>
        </w:rPr>
        <w:t>euro</w:t>
      </w:r>
      <w:proofErr w:type="spellEnd"/>
      <w:r w:rsidRPr="00866191">
        <w:t xml:space="preserve"> jeb 22,2 procentiem. Salīdzinot ar 2017.gadu, 2018.gadā valsts pamatbudžetā iekasēts par 6,9 milj. </w:t>
      </w:r>
      <w:proofErr w:type="spellStart"/>
      <w:r w:rsidRPr="00866191">
        <w:rPr>
          <w:i/>
        </w:rPr>
        <w:t>euro</w:t>
      </w:r>
      <w:proofErr w:type="spellEnd"/>
      <w:r w:rsidRPr="00866191">
        <w:t xml:space="preserve"> jeb 24,5% vairāk un pašvaldību budžetā ieņēmumi ir palielinājušies par 1,2 milj. </w:t>
      </w:r>
      <w:proofErr w:type="spellStart"/>
      <w:r w:rsidRPr="00866191">
        <w:rPr>
          <w:i/>
        </w:rPr>
        <w:t>euro</w:t>
      </w:r>
      <w:proofErr w:type="spellEnd"/>
      <w:r w:rsidRPr="00866191">
        <w:t xml:space="preserve"> jeb 14,0 procentiem.</w:t>
      </w:r>
    </w:p>
    <w:p w:rsidR="004A7868" w:rsidRPr="00FC2505" w:rsidRDefault="004A7868" w:rsidP="004A7868">
      <w:pPr>
        <w:rPr>
          <w:rFonts w:eastAsia="Calibri"/>
          <w:szCs w:val="28"/>
          <w:lang w:eastAsia="lv-LV"/>
        </w:rPr>
      </w:pPr>
      <w:r w:rsidRPr="00FC2505">
        <w:rPr>
          <w:rFonts w:eastAsia="Calibri"/>
          <w:szCs w:val="28"/>
          <w:lang w:eastAsia="lv-LV"/>
        </w:rPr>
        <w:t>2018.gada ieņēmumus un to straujo pieaugumu pret iepriekšējo gadu ietekmēja šādas likumdošanas izmaiņas:</w:t>
      </w:r>
    </w:p>
    <w:p w:rsidR="004A7868" w:rsidRPr="00FC2505" w:rsidRDefault="004A7868" w:rsidP="004A7868">
      <w:pPr>
        <w:ind w:firstLine="0"/>
        <w:rPr>
          <w:rFonts w:eastAsia="Calibri"/>
          <w:szCs w:val="28"/>
          <w:lang w:eastAsia="lv-LV"/>
        </w:rPr>
      </w:pPr>
      <w:r w:rsidRPr="00FC2505">
        <w:rPr>
          <w:rFonts w:eastAsia="Calibri"/>
          <w:szCs w:val="28"/>
          <w:lang w:eastAsia="lv-LV"/>
        </w:rPr>
        <w:t xml:space="preserve">- saskaņā ar 2017.gada 27.jūlijā Saeimā pieņemtajiem grozījumiem likumā </w:t>
      </w:r>
      <w:r w:rsidRPr="00FC2505">
        <w:t>„</w:t>
      </w:r>
      <w:r w:rsidRPr="00FC2505">
        <w:rPr>
          <w:rFonts w:eastAsia="Calibri"/>
          <w:szCs w:val="28"/>
          <w:lang w:eastAsia="lv-LV"/>
        </w:rPr>
        <w:t>Par izložu un azartspēļu nodevu un nodokli” ar 2018.gada 1.janvāri tika paaugstinātas azartspēļu nodokļa likmes: azartspēļu automātiem no 3 204 </w:t>
      </w:r>
      <w:proofErr w:type="spellStart"/>
      <w:r w:rsidRPr="00FC2505">
        <w:rPr>
          <w:rFonts w:eastAsia="Calibri"/>
          <w:i/>
          <w:szCs w:val="28"/>
          <w:lang w:eastAsia="lv-LV"/>
        </w:rPr>
        <w:t>euro</w:t>
      </w:r>
      <w:proofErr w:type="spellEnd"/>
      <w:r w:rsidRPr="00FC2505">
        <w:rPr>
          <w:rFonts w:eastAsia="Calibri"/>
          <w:szCs w:val="28"/>
          <w:lang w:eastAsia="lv-LV"/>
        </w:rPr>
        <w:t xml:space="preserve"> līdz 4 164 </w:t>
      </w:r>
      <w:proofErr w:type="spellStart"/>
      <w:r w:rsidRPr="00FC2505">
        <w:rPr>
          <w:rFonts w:eastAsia="Calibri"/>
          <w:i/>
          <w:szCs w:val="28"/>
          <w:lang w:eastAsia="lv-LV"/>
        </w:rPr>
        <w:t>euro</w:t>
      </w:r>
      <w:proofErr w:type="spellEnd"/>
      <w:r w:rsidRPr="00FC2505">
        <w:rPr>
          <w:rFonts w:eastAsia="Calibri"/>
          <w:szCs w:val="28"/>
          <w:lang w:eastAsia="lv-LV"/>
        </w:rPr>
        <w:t xml:space="preserve"> par katru spēles vietu un ruletes, kāršu vai kauliņu spēles galdiem no 18 000 </w:t>
      </w:r>
      <w:proofErr w:type="spellStart"/>
      <w:r w:rsidRPr="00FC2505">
        <w:rPr>
          <w:rFonts w:eastAsia="Calibri"/>
          <w:i/>
          <w:szCs w:val="28"/>
          <w:lang w:eastAsia="lv-LV"/>
        </w:rPr>
        <w:t>euro</w:t>
      </w:r>
      <w:proofErr w:type="spellEnd"/>
      <w:r w:rsidRPr="00FC2505">
        <w:rPr>
          <w:rFonts w:eastAsia="Calibri"/>
          <w:szCs w:val="28"/>
          <w:lang w:eastAsia="lv-LV"/>
        </w:rPr>
        <w:t xml:space="preserve"> līdz 23 400 </w:t>
      </w:r>
      <w:proofErr w:type="spellStart"/>
      <w:r w:rsidRPr="00FC2505">
        <w:rPr>
          <w:rFonts w:eastAsia="Calibri"/>
          <w:i/>
          <w:szCs w:val="28"/>
          <w:lang w:eastAsia="lv-LV"/>
        </w:rPr>
        <w:t>euro</w:t>
      </w:r>
      <w:proofErr w:type="spellEnd"/>
      <w:r w:rsidRPr="00FC2505">
        <w:rPr>
          <w:rFonts w:eastAsia="Calibri"/>
          <w:szCs w:val="28"/>
          <w:lang w:eastAsia="lv-LV"/>
        </w:rPr>
        <w:t xml:space="preserve"> par katru spēles galdu. Fiskālā ietekme 2018.gadā +8,3 milj. </w:t>
      </w:r>
      <w:proofErr w:type="spellStart"/>
      <w:r w:rsidRPr="00FC2505">
        <w:rPr>
          <w:rFonts w:eastAsia="Calibri"/>
          <w:i/>
          <w:szCs w:val="28"/>
          <w:lang w:eastAsia="lv-LV"/>
        </w:rPr>
        <w:t>euro</w:t>
      </w:r>
      <w:proofErr w:type="spellEnd"/>
      <w:r w:rsidRPr="00FC2505">
        <w:rPr>
          <w:rFonts w:eastAsia="Calibri"/>
          <w:szCs w:val="28"/>
          <w:lang w:eastAsia="lv-LV"/>
        </w:rPr>
        <w:t xml:space="preserve">, t.sk. valsts budžetā +6,2 milj. </w:t>
      </w:r>
      <w:proofErr w:type="spellStart"/>
      <w:r w:rsidRPr="00FC2505">
        <w:rPr>
          <w:rFonts w:eastAsia="Calibri"/>
          <w:i/>
          <w:szCs w:val="28"/>
          <w:lang w:eastAsia="lv-LV"/>
        </w:rPr>
        <w:t>euro</w:t>
      </w:r>
      <w:proofErr w:type="spellEnd"/>
      <w:r w:rsidRPr="00FC2505">
        <w:rPr>
          <w:rFonts w:eastAsia="Calibri"/>
          <w:szCs w:val="28"/>
          <w:lang w:eastAsia="lv-LV"/>
        </w:rPr>
        <w:t>, pašvaldību budžetā +2,1 milj. </w:t>
      </w:r>
      <w:proofErr w:type="spellStart"/>
      <w:r w:rsidRPr="00FC2505">
        <w:rPr>
          <w:rFonts w:eastAsia="Calibri"/>
          <w:i/>
          <w:szCs w:val="28"/>
          <w:lang w:eastAsia="lv-LV"/>
        </w:rPr>
        <w:t>euro</w:t>
      </w:r>
      <w:proofErr w:type="spellEnd"/>
      <w:r w:rsidRPr="00FC2505">
        <w:rPr>
          <w:rFonts w:eastAsia="Calibri"/>
          <w:szCs w:val="28"/>
          <w:lang w:eastAsia="lv-LV"/>
        </w:rPr>
        <w:t xml:space="preserve">. </w:t>
      </w:r>
    </w:p>
    <w:p w:rsidR="004A7868" w:rsidRDefault="004A7868" w:rsidP="00D81781">
      <w:pPr>
        <w:ind w:firstLine="0"/>
        <w:rPr>
          <w:rFonts w:eastAsia="Calibri"/>
          <w:szCs w:val="28"/>
          <w:lang w:eastAsia="lv-LV"/>
        </w:rPr>
      </w:pPr>
      <w:r w:rsidRPr="00FC2505">
        <w:rPr>
          <w:rFonts w:eastAsia="Calibri"/>
          <w:szCs w:val="28"/>
          <w:lang w:eastAsia="lv-LV"/>
        </w:rPr>
        <w:t xml:space="preserve">- saskaņā ar 2017.gada 22.novembrī Saeimā pieņemtajiem grozījumiem likumā </w:t>
      </w:r>
      <w:r w:rsidRPr="00FC2505">
        <w:t>„</w:t>
      </w:r>
      <w:r w:rsidRPr="00FC2505">
        <w:rPr>
          <w:rFonts w:eastAsia="Calibri"/>
          <w:szCs w:val="28"/>
          <w:lang w:eastAsia="lv-LV"/>
        </w:rPr>
        <w:t xml:space="preserve">Par izložu un azartspēļu nodevu un nodokli” mainīts nodokļa ieņēmumu sadalījums starp valsts un pašvaldību budžetiem, paredzot ieņēmumus no izložu un azartspēļu nodokļa par azartspēlēm, ko organizē izmantojot telekomunikācijas, neatkarīgi no spēles veida 100% apmērā ieskaitīt valsts pamatbudžetā. Fiskālā ietekme 2018.gadā valsts budžetā +0,6 milj. </w:t>
      </w:r>
      <w:proofErr w:type="spellStart"/>
      <w:r w:rsidRPr="00FC2505">
        <w:rPr>
          <w:rFonts w:eastAsia="Calibri"/>
          <w:i/>
          <w:szCs w:val="28"/>
          <w:lang w:eastAsia="lv-LV"/>
        </w:rPr>
        <w:t>euro</w:t>
      </w:r>
      <w:proofErr w:type="spellEnd"/>
      <w:r w:rsidRPr="00FC2505">
        <w:rPr>
          <w:rFonts w:eastAsia="Calibri"/>
          <w:szCs w:val="28"/>
          <w:lang w:eastAsia="lv-LV"/>
        </w:rPr>
        <w:t xml:space="preserve">, pašvaldību budžetā - 0,6 milj. </w:t>
      </w:r>
      <w:proofErr w:type="spellStart"/>
      <w:r w:rsidRPr="00FC2505">
        <w:rPr>
          <w:rFonts w:eastAsia="Calibri"/>
          <w:i/>
          <w:szCs w:val="28"/>
          <w:lang w:eastAsia="lv-LV"/>
        </w:rPr>
        <w:t>euro</w:t>
      </w:r>
      <w:proofErr w:type="spellEnd"/>
      <w:r w:rsidRPr="00FC2505">
        <w:rPr>
          <w:rFonts w:eastAsia="Calibri"/>
          <w:szCs w:val="28"/>
          <w:lang w:eastAsia="lv-LV"/>
        </w:rPr>
        <w:t>.</w:t>
      </w:r>
    </w:p>
    <w:p w:rsidR="00334E86" w:rsidRDefault="00334E86" w:rsidP="00C466F6">
      <w:pPr>
        <w:ind w:firstLine="0"/>
        <w:rPr>
          <w:b/>
          <w:i/>
        </w:rPr>
      </w:pPr>
    </w:p>
    <w:p w:rsidR="006A4EE6" w:rsidRDefault="006A4EE6" w:rsidP="00C466F6">
      <w:pPr>
        <w:ind w:firstLine="0"/>
        <w:rPr>
          <w:b/>
          <w:i/>
        </w:rPr>
      </w:pPr>
      <w:r>
        <w:rPr>
          <w:noProof/>
          <w:lang w:eastAsia="lv-LV"/>
        </w:rPr>
        <w:lastRenderedPageBreak/>
        <w:drawing>
          <wp:inline distT="0" distB="0" distL="0" distR="0" wp14:anchorId="60655A6E" wp14:editId="0A81E4C4">
            <wp:extent cx="5591175" cy="2108672"/>
            <wp:effectExtent l="19050" t="19050" r="9525" b="254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0836" t="50802" r="21287" b="14270"/>
                    <a:stretch/>
                  </pic:blipFill>
                  <pic:spPr bwMode="auto">
                    <a:xfrm>
                      <a:off x="0" y="0"/>
                      <a:ext cx="5624122" cy="212109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4A7868" w:rsidRPr="00701BA7" w:rsidRDefault="004A7868" w:rsidP="004A7868">
      <w:pPr>
        <w:spacing w:after="360"/>
        <w:jc w:val="center"/>
      </w:pPr>
      <w:r w:rsidRPr="00701BA7">
        <w:rPr>
          <w:b/>
          <w:i/>
        </w:rPr>
        <w:t xml:space="preserve">3.15.att. Izložu un azartspēļu nodokļa ieņēmumi, milj. </w:t>
      </w:r>
      <w:proofErr w:type="spellStart"/>
      <w:r w:rsidRPr="00701BA7">
        <w:rPr>
          <w:b/>
          <w:i/>
        </w:rPr>
        <w:t>euro</w:t>
      </w:r>
      <w:proofErr w:type="spellEnd"/>
    </w:p>
    <w:p w:rsidR="004A7868" w:rsidRPr="00886F9A" w:rsidRDefault="004A7868" w:rsidP="004A7868">
      <w:r w:rsidRPr="00886F9A">
        <w:t>2019.gadā kopējie izložu un azartspēļu nodokļa ieņēmumi tiek plānoti 49,4 milj. </w:t>
      </w:r>
      <w:proofErr w:type="spellStart"/>
      <w:r w:rsidRPr="00886F9A">
        <w:rPr>
          <w:i/>
        </w:rPr>
        <w:t>euro</w:t>
      </w:r>
      <w:proofErr w:type="spellEnd"/>
      <w:r w:rsidRPr="00886F9A">
        <w:t xml:space="preserve"> apmērā, kas salīdzinājumā ar 2018.gada ieņēmumiem ir par 5,0 milj. </w:t>
      </w:r>
      <w:proofErr w:type="spellStart"/>
      <w:r w:rsidRPr="00886F9A">
        <w:rPr>
          <w:i/>
        </w:rPr>
        <w:t>euro</w:t>
      </w:r>
      <w:proofErr w:type="spellEnd"/>
      <w:r w:rsidRPr="00886F9A">
        <w:t xml:space="preserve"> jeb 11,3% vairāk.</w:t>
      </w:r>
    </w:p>
    <w:p w:rsidR="004A7868" w:rsidRPr="00886F9A" w:rsidRDefault="004A7868" w:rsidP="004A7868">
      <w:pPr>
        <w:rPr>
          <w:szCs w:val="24"/>
        </w:rPr>
      </w:pPr>
      <w:r w:rsidRPr="00886F9A">
        <w:t xml:space="preserve">Sagatavojot izložu un azartspēļu nodokļa ieņēmumu plānu 2019.gadam, tika </w:t>
      </w:r>
      <w:r w:rsidRPr="00886F9A">
        <w:rPr>
          <w:szCs w:val="24"/>
        </w:rPr>
        <w:t xml:space="preserve">ņemta vērā 2018.gada </w:t>
      </w:r>
      <w:r w:rsidRPr="00886F9A">
        <w:t xml:space="preserve">izložu un azartspēļu </w:t>
      </w:r>
      <w:r w:rsidRPr="00886F9A">
        <w:rPr>
          <w:szCs w:val="24"/>
        </w:rPr>
        <w:t xml:space="preserve">nodokļa ieņēmumu izpilde un </w:t>
      </w:r>
      <w:r w:rsidRPr="00886F9A">
        <w:t xml:space="preserve">prognozējamās tautsaimniecības attīstības </w:t>
      </w:r>
      <w:r w:rsidRPr="00886F9A">
        <w:rPr>
          <w:szCs w:val="24"/>
        </w:rPr>
        <w:t xml:space="preserve">tendences, kā arī ēnu ekonomikas apkarošanas </w:t>
      </w:r>
      <w:r>
        <w:rPr>
          <w:szCs w:val="24"/>
        </w:rPr>
        <w:t>pasākumi</w:t>
      </w:r>
      <w:r w:rsidRPr="00886F9A">
        <w:rPr>
          <w:szCs w:val="24"/>
        </w:rPr>
        <w:t xml:space="preserve"> nelicencētā azartspēļu un izložu tirgus samazināšanai</w:t>
      </w:r>
      <w:r>
        <w:rPr>
          <w:szCs w:val="24"/>
        </w:rPr>
        <w:t>. Viens no tiem ir a</w:t>
      </w:r>
      <w:r w:rsidRPr="00886F9A">
        <w:rPr>
          <w:szCs w:val="24"/>
        </w:rPr>
        <w:t>tbildības noteikšana personai par dalību Latvijā nelicencētajās interaktīvajās azartspēlēs un izlozēs</w:t>
      </w:r>
      <w:r>
        <w:rPr>
          <w:szCs w:val="24"/>
        </w:rPr>
        <w:t>, kura fiskālā ietekme 2019. gadā ir 2 milj. </w:t>
      </w:r>
      <w:proofErr w:type="spellStart"/>
      <w:r w:rsidRPr="00886F9A">
        <w:rPr>
          <w:i/>
          <w:szCs w:val="24"/>
        </w:rPr>
        <w:t>euro</w:t>
      </w:r>
      <w:proofErr w:type="spellEnd"/>
      <w:r>
        <w:rPr>
          <w:szCs w:val="24"/>
        </w:rPr>
        <w:t>.</w:t>
      </w:r>
    </w:p>
    <w:p w:rsidR="004A7868" w:rsidRPr="00886F9A" w:rsidRDefault="004A7868" w:rsidP="004A7868">
      <w:pPr>
        <w:pStyle w:val="T"/>
        <w:spacing w:before="360"/>
      </w:pPr>
      <w:r w:rsidRPr="00886F9A">
        <w:t>3.17.tabula. Izložu un azartspēļu nodokļa ieņēmumi</w:t>
      </w:r>
    </w:p>
    <w:tbl>
      <w:tblPr>
        <w:tblW w:w="5000" w:type="pct"/>
        <w:jc w:val="center"/>
        <w:tblBorders>
          <w:top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787"/>
        <w:gridCol w:w="1015"/>
        <w:gridCol w:w="1004"/>
        <w:gridCol w:w="930"/>
        <w:gridCol w:w="1325"/>
      </w:tblGrid>
      <w:tr w:rsidR="004A7868" w:rsidRPr="00886F9A" w:rsidTr="005567D2">
        <w:trPr>
          <w:jc w:val="center"/>
        </w:trPr>
        <w:tc>
          <w:tcPr>
            <w:tcW w:w="2642" w:type="pct"/>
            <w:vMerge w:val="restart"/>
            <w:tcBorders>
              <w:left w:val="single" w:sz="4" w:space="0" w:color="auto"/>
            </w:tcBorders>
            <w:shd w:val="clear" w:color="auto" w:fill="D9D9D9" w:themeFill="background1" w:themeFillShade="D9"/>
          </w:tcPr>
          <w:p w:rsidR="004A7868" w:rsidRPr="00886F9A" w:rsidRDefault="004A7868" w:rsidP="005567D2">
            <w:pPr>
              <w:pStyle w:val="tabtekst"/>
              <w:jc w:val="center"/>
              <w:rPr>
                <w:b/>
                <w:color w:val="auto"/>
              </w:rPr>
            </w:pPr>
          </w:p>
        </w:tc>
        <w:tc>
          <w:tcPr>
            <w:tcW w:w="560" w:type="pct"/>
            <w:shd w:val="clear" w:color="auto" w:fill="D9D9D9" w:themeFill="background1" w:themeFillShade="D9"/>
          </w:tcPr>
          <w:p w:rsidR="004A7868" w:rsidRPr="00886F9A" w:rsidRDefault="004A7868" w:rsidP="005567D2">
            <w:pPr>
              <w:pStyle w:val="tabtekst"/>
              <w:jc w:val="center"/>
              <w:rPr>
                <w:b/>
                <w:color w:val="auto"/>
              </w:rPr>
            </w:pPr>
            <w:r w:rsidRPr="00886F9A">
              <w:rPr>
                <w:b/>
                <w:color w:val="auto"/>
              </w:rPr>
              <w:t>2016</w:t>
            </w:r>
          </w:p>
        </w:tc>
        <w:tc>
          <w:tcPr>
            <w:tcW w:w="554" w:type="pct"/>
            <w:shd w:val="clear" w:color="auto" w:fill="D9D9D9" w:themeFill="background1" w:themeFillShade="D9"/>
          </w:tcPr>
          <w:p w:rsidR="004A7868" w:rsidRPr="00886F9A" w:rsidRDefault="004A7868" w:rsidP="005567D2">
            <w:pPr>
              <w:pStyle w:val="tabtekst"/>
              <w:jc w:val="center"/>
              <w:rPr>
                <w:b/>
                <w:color w:val="auto"/>
              </w:rPr>
            </w:pPr>
            <w:r w:rsidRPr="00886F9A">
              <w:rPr>
                <w:b/>
                <w:color w:val="auto"/>
              </w:rPr>
              <w:t>2017</w:t>
            </w:r>
          </w:p>
        </w:tc>
        <w:tc>
          <w:tcPr>
            <w:tcW w:w="513" w:type="pct"/>
            <w:shd w:val="clear" w:color="auto" w:fill="D9D9D9" w:themeFill="background1" w:themeFillShade="D9"/>
          </w:tcPr>
          <w:p w:rsidR="004A7868" w:rsidRPr="00886F9A" w:rsidRDefault="004A7868" w:rsidP="005567D2">
            <w:pPr>
              <w:pStyle w:val="tabtekst"/>
              <w:jc w:val="center"/>
              <w:rPr>
                <w:b/>
                <w:color w:val="auto"/>
              </w:rPr>
            </w:pPr>
            <w:r w:rsidRPr="00886F9A">
              <w:rPr>
                <w:b/>
                <w:color w:val="auto"/>
              </w:rPr>
              <w:t>2018</w:t>
            </w:r>
          </w:p>
        </w:tc>
        <w:tc>
          <w:tcPr>
            <w:tcW w:w="731" w:type="pct"/>
            <w:shd w:val="clear" w:color="auto" w:fill="D9D9D9" w:themeFill="background1" w:themeFillShade="D9"/>
          </w:tcPr>
          <w:p w:rsidR="004A7868" w:rsidRPr="00886F9A" w:rsidRDefault="004A7868" w:rsidP="005567D2">
            <w:pPr>
              <w:pStyle w:val="tabtekst"/>
              <w:jc w:val="center"/>
              <w:rPr>
                <w:b/>
                <w:color w:val="auto"/>
              </w:rPr>
            </w:pPr>
            <w:r w:rsidRPr="00886F9A">
              <w:rPr>
                <w:b/>
                <w:color w:val="auto"/>
              </w:rPr>
              <w:t>2019</w:t>
            </w:r>
          </w:p>
        </w:tc>
      </w:tr>
      <w:tr w:rsidR="004A7868" w:rsidRPr="00886F9A" w:rsidTr="005567D2">
        <w:trPr>
          <w:jc w:val="center"/>
        </w:trPr>
        <w:tc>
          <w:tcPr>
            <w:tcW w:w="2642" w:type="pct"/>
            <w:vMerge/>
            <w:tcBorders>
              <w:left w:val="single" w:sz="4" w:space="0" w:color="auto"/>
            </w:tcBorders>
            <w:shd w:val="clear" w:color="auto" w:fill="D9D9D9" w:themeFill="background1" w:themeFillShade="D9"/>
          </w:tcPr>
          <w:p w:rsidR="004A7868" w:rsidRPr="00886F9A" w:rsidRDefault="004A7868" w:rsidP="005567D2">
            <w:pPr>
              <w:pStyle w:val="tabtekst"/>
              <w:jc w:val="center"/>
              <w:rPr>
                <w:b/>
                <w:color w:val="auto"/>
              </w:rPr>
            </w:pPr>
          </w:p>
        </w:tc>
        <w:tc>
          <w:tcPr>
            <w:tcW w:w="1627" w:type="pct"/>
            <w:gridSpan w:val="3"/>
            <w:shd w:val="clear" w:color="auto" w:fill="D9D9D9" w:themeFill="background1" w:themeFillShade="D9"/>
          </w:tcPr>
          <w:p w:rsidR="004A7868" w:rsidRPr="00886F9A" w:rsidRDefault="004A7868" w:rsidP="005567D2">
            <w:pPr>
              <w:pStyle w:val="tabtekst"/>
              <w:jc w:val="center"/>
              <w:rPr>
                <w:color w:val="auto"/>
              </w:rPr>
            </w:pPr>
            <w:r w:rsidRPr="00886F9A">
              <w:rPr>
                <w:color w:val="auto"/>
              </w:rPr>
              <w:t>fakts</w:t>
            </w:r>
          </w:p>
        </w:tc>
        <w:tc>
          <w:tcPr>
            <w:tcW w:w="731" w:type="pct"/>
            <w:shd w:val="clear" w:color="auto" w:fill="D9D9D9" w:themeFill="background1" w:themeFillShade="D9"/>
          </w:tcPr>
          <w:p w:rsidR="004A7868" w:rsidRPr="00886F9A" w:rsidRDefault="004A7868" w:rsidP="005567D2">
            <w:pPr>
              <w:pStyle w:val="tabtekst"/>
              <w:jc w:val="center"/>
              <w:rPr>
                <w:color w:val="auto"/>
              </w:rPr>
            </w:pPr>
            <w:r w:rsidRPr="00886F9A">
              <w:rPr>
                <w:color w:val="auto"/>
              </w:rPr>
              <w:t>plāns</w:t>
            </w:r>
          </w:p>
        </w:tc>
      </w:tr>
      <w:tr w:rsidR="004A7868" w:rsidRPr="00886F9A" w:rsidTr="005567D2">
        <w:trPr>
          <w:jc w:val="center"/>
        </w:trPr>
        <w:tc>
          <w:tcPr>
            <w:tcW w:w="2642" w:type="pct"/>
            <w:tcBorders>
              <w:left w:val="single" w:sz="4" w:space="0" w:color="auto"/>
            </w:tcBorders>
          </w:tcPr>
          <w:p w:rsidR="004A7868" w:rsidRPr="00886F9A" w:rsidRDefault="004A7868" w:rsidP="005567D2">
            <w:pPr>
              <w:pStyle w:val="tabtekst"/>
              <w:rPr>
                <w:b/>
                <w:color w:val="auto"/>
                <w:lang w:eastAsia="lv-LV"/>
              </w:rPr>
            </w:pPr>
            <w:r w:rsidRPr="00886F9A">
              <w:rPr>
                <w:b/>
                <w:color w:val="auto"/>
              </w:rPr>
              <w:t>Izložu un azartspēļu nodoklis</w:t>
            </w:r>
            <w:r w:rsidRPr="00886F9A">
              <w:rPr>
                <w:color w:val="auto"/>
              </w:rPr>
              <w:t xml:space="preserve">, milj. </w:t>
            </w:r>
            <w:proofErr w:type="spellStart"/>
            <w:r w:rsidRPr="00886F9A">
              <w:rPr>
                <w:i/>
                <w:color w:val="auto"/>
              </w:rPr>
              <w:t>euro</w:t>
            </w:r>
            <w:proofErr w:type="spellEnd"/>
          </w:p>
        </w:tc>
        <w:tc>
          <w:tcPr>
            <w:tcW w:w="560" w:type="pct"/>
          </w:tcPr>
          <w:p w:rsidR="004A7868" w:rsidRPr="00886F9A" w:rsidRDefault="004A7868" w:rsidP="005567D2">
            <w:pPr>
              <w:pStyle w:val="tabtekst"/>
              <w:jc w:val="center"/>
              <w:rPr>
                <w:b/>
                <w:color w:val="auto"/>
              </w:rPr>
            </w:pPr>
            <w:r w:rsidRPr="00886F9A">
              <w:rPr>
                <w:b/>
                <w:color w:val="auto"/>
              </w:rPr>
              <w:t>34,4</w:t>
            </w:r>
          </w:p>
        </w:tc>
        <w:tc>
          <w:tcPr>
            <w:tcW w:w="554" w:type="pct"/>
          </w:tcPr>
          <w:p w:rsidR="004A7868" w:rsidRPr="00886F9A" w:rsidRDefault="004A7868" w:rsidP="005567D2">
            <w:pPr>
              <w:pStyle w:val="tabtekst"/>
              <w:jc w:val="center"/>
              <w:rPr>
                <w:b/>
                <w:color w:val="auto"/>
              </w:rPr>
            </w:pPr>
            <w:r w:rsidRPr="00886F9A">
              <w:rPr>
                <w:b/>
                <w:color w:val="auto"/>
              </w:rPr>
              <w:t>36,3</w:t>
            </w:r>
          </w:p>
        </w:tc>
        <w:tc>
          <w:tcPr>
            <w:tcW w:w="513" w:type="pct"/>
          </w:tcPr>
          <w:p w:rsidR="004A7868" w:rsidRPr="00886F9A" w:rsidRDefault="004A7868" w:rsidP="005567D2">
            <w:pPr>
              <w:pStyle w:val="tabtekst"/>
              <w:jc w:val="center"/>
              <w:rPr>
                <w:b/>
                <w:color w:val="auto"/>
              </w:rPr>
            </w:pPr>
            <w:r w:rsidRPr="00886F9A">
              <w:rPr>
                <w:b/>
                <w:color w:val="auto"/>
              </w:rPr>
              <w:t>44,4</w:t>
            </w:r>
          </w:p>
        </w:tc>
        <w:tc>
          <w:tcPr>
            <w:tcW w:w="731" w:type="pct"/>
          </w:tcPr>
          <w:p w:rsidR="004A7868" w:rsidRPr="00886F9A" w:rsidRDefault="004A7868" w:rsidP="005567D2">
            <w:pPr>
              <w:pStyle w:val="tabtekst"/>
              <w:jc w:val="center"/>
              <w:rPr>
                <w:b/>
                <w:color w:val="auto"/>
              </w:rPr>
            </w:pPr>
            <w:r w:rsidRPr="00886F9A">
              <w:rPr>
                <w:b/>
                <w:color w:val="auto"/>
              </w:rPr>
              <w:t>49,4</w:t>
            </w:r>
          </w:p>
        </w:tc>
      </w:tr>
      <w:tr w:rsidR="004A7868" w:rsidRPr="00886F9A" w:rsidTr="005567D2">
        <w:trPr>
          <w:jc w:val="center"/>
        </w:trPr>
        <w:tc>
          <w:tcPr>
            <w:tcW w:w="2642" w:type="pct"/>
            <w:tcBorders>
              <w:left w:val="single" w:sz="4" w:space="0" w:color="auto"/>
            </w:tcBorders>
            <w:vAlign w:val="center"/>
          </w:tcPr>
          <w:p w:rsidR="004A7868" w:rsidRPr="00886F9A" w:rsidRDefault="004A7868" w:rsidP="005567D2">
            <w:pPr>
              <w:pStyle w:val="tabtekst"/>
              <w:rPr>
                <w:color w:val="auto"/>
              </w:rPr>
            </w:pPr>
            <w:r w:rsidRPr="00886F9A">
              <w:rPr>
                <w:color w:val="auto"/>
              </w:rPr>
              <w:t xml:space="preserve"> t.sk. valsts budžetā</w:t>
            </w:r>
          </w:p>
        </w:tc>
        <w:tc>
          <w:tcPr>
            <w:tcW w:w="560" w:type="pct"/>
          </w:tcPr>
          <w:p w:rsidR="004A7868" w:rsidRPr="00886F9A" w:rsidRDefault="004A7868" w:rsidP="005567D2">
            <w:pPr>
              <w:pStyle w:val="tabtekst"/>
              <w:jc w:val="center"/>
              <w:rPr>
                <w:color w:val="auto"/>
              </w:rPr>
            </w:pPr>
            <w:r w:rsidRPr="00886F9A">
              <w:rPr>
                <w:color w:val="auto"/>
              </w:rPr>
              <w:t>26,5</w:t>
            </w:r>
          </w:p>
        </w:tc>
        <w:tc>
          <w:tcPr>
            <w:tcW w:w="554" w:type="pct"/>
          </w:tcPr>
          <w:p w:rsidR="004A7868" w:rsidRPr="00886F9A" w:rsidRDefault="004A7868" w:rsidP="005567D2">
            <w:pPr>
              <w:pStyle w:val="tabtekst"/>
              <w:jc w:val="center"/>
              <w:rPr>
                <w:color w:val="auto"/>
              </w:rPr>
            </w:pPr>
            <w:r w:rsidRPr="00886F9A">
              <w:rPr>
                <w:color w:val="auto"/>
              </w:rPr>
              <w:t>28,1</w:t>
            </w:r>
          </w:p>
        </w:tc>
        <w:tc>
          <w:tcPr>
            <w:tcW w:w="513" w:type="pct"/>
          </w:tcPr>
          <w:p w:rsidR="004A7868" w:rsidRPr="00886F9A" w:rsidRDefault="004A7868" w:rsidP="005567D2">
            <w:pPr>
              <w:pStyle w:val="tabtekst"/>
              <w:jc w:val="center"/>
              <w:rPr>
                <w:color w:val="auto"/>
              </w:rPr>
            </w:pPr>
            <w:r w:rsidRPr="00886F9A">
              <w:rPr>
                <w:color w:val="auto"/>
              </w:rPr>
              <w:t>35,0</w:t>
            </w:r>
          </w:p>
        </w:tc>
        <w:tc>
          <w:tcPr>
            <w:tcW w:w="731" w:type="pct"/>
          </w:tcPr>
          <w:p w:rsidR="004A7868" w:rsidRPr="00886F9A" w:rsidRDefault="004A7868" w:rsidP="005567D2">
            <w:pPr>
              <w:pStyle w:val="tabtekst"/>
              <w:jc w:val="center"/>
              <w:rPr>
                <w:color w:val="auto"/>
              </w:rPr>
            </w:pPr>
            <w:r w:rsidRPr="00886F9A">
              <w:rPr>
                <w:color w:val="auto"/>
              </w:rPr>
              <w:t>39,6</w:t>
            </w:r>
          </w:p>
        </w:tc>
      </w:tr>
      <w:tr w:rsidR="004A7868" w:rsidRPr="00886F9A" w:rsidTr="005567D2">
        <w:trPr>
          <w:jc w:val="center"/>
        </w:trPr>
        <w:tc>
          <w:tcPr>
            <w:tcW w:w="2642" w:type="pct"/>
            <w:tcBorders>
              <w:left w:val="single" w:sz="4" w:space="0" w:color="auto"/>
            </w:tcBorders>
            <w:vAlign w:val="center"/>
          </w:tcPr>
          <w:p w:rsidR="004A7868" w:rsidRPr="00886F9A" w:rsidRDefault="004A7868" w:rsidP="005567D2">
            <w:pPr>
              <w:pStyle w:val="tabtekst"/>
              <w:rPr>
                <w:color w:val="auto"/>
              </w:rPr>
            </w:pPr>
            <w:r w:rsidRPr="00886F9A">
              <w:rPr>
                <w:color w:val="auto"/>
              </w:rPr>
              <w:t xml:space="preserve">   pašvaldību pamatbudžetā</w:t>
            </w:r>
          </w:p>
        </w:tc>
        <w:tc>
          <w:tcPr>
            <w:tcW w:w="560" w:type="pct"/>
          </w:tcPr>
          <w:p w:rsidR="004A7868" w:rsidRPr="00886F9A" w:rsidRDefault="004A7868" w:rsidP="005567D2">
            <w:pPr>
              <w:pStyle w:val="tabtekst"/>
              <w:jc w:val="center"/>
              <w:rPr>
                <w:color w:val="auto"/>
              </w:rPr>
            </w:pPr>
            <w:r w:rsidRPr="00886F9A">
              <w:rPr>
                <w:color w:val="auto"/>
              </w:rPr>
              <w:t>7,9</w:t>
            </w:r>
          </w:p>
        </w:tc>
        <w:tc>
          <w:tcPr>
            <w:tcW w:w="554" w:type="pct"/>
          </w:tcPr>
          <w:p w:rsidR="004A7868" w:rsidRPr="00886F9A" w:rsidRDefault="004A7868" w:rsidP="005567D2">
            <w:pPr>
              <w:pStyle w:val="tabtekst"/>
              <w:jc w:val="center"/>
              <w:rPr>
                <w:color w:val="auto"/>
              </w:rPr>
            </w:pPr>
            <w:r w:rsidRPr="00886F9A">
              <w:rPr>
                <w:color w:val="auto"/>
              </w:rPr>
              <w:t>8,3</w:t>
            </w:r>
          </w:p>
        </w:tc>
        <w:tc>
          <w:tcPr>
            <w:tcW w:w="513" w:type="pct"/>
          </w:tcPr>
          <w:p w:rsidR="004A7868" w:rsidRPr="00886F9A" w:rsidRDefault="004A7868" w:rsidP="005567D2">
            <w:pPr>
              <w:pStyle w:val="tabtekst"/>
              <w:jc w:val="center"/>
              <w:rPr>
                <w:color w:val="auto"/>
              </w:rPr>
            </w:pPr>
            <w:r w:rsidRPr="00886F9A">
              <w:rPr>
                <w:color w:val="auto"/>
              </w:rPr>
              <w:t>9,4</w:t>
            </w:r>
          </w:p>
        </w:tc>
        <w:tc>
          <w:tcPr>
            <w:tcW w:w="731" w:type="pct"/>
          </w:tcPr>
          <w:p w:rsidR="004A7868" w:rsidRPr="00886F9A" w:rsidRDefault="004A7868" w:rsidP="005567D2">
            <w:pPr>
              <w:pStyle w:val="tabtekst"/>
              <w:jc w:val="center"/>
              <w:rPr>
                <w:color w:val="auto"/>
              </w:rPr>
            </w:pPr>
            <w:r w:rsidRPr="00886F9A">
              <w:rPr>
                <w:color w:val="auto"/>
              </w:rPr>
              <w:t>9,8</w:t>
            </w:r>
          </w:p>
        </w:tc>
      </w:tr>
      <w:tr w:rsidR="004A7868" w:rsidRPr="00886F9A" w:rsidTr="005567D2">
        <w:trPr>
          <w:jc w:val="center"/>
        </w:trPr>
        <w:tc>
          <w:tcPr>
            <w:tcW w:w="2642" w:type="pct"/>
            <w:tcBorders>
              <w:left w:val="single" w:sz="4" w:space="0" w:color="auto"/>
            </w:tcBorders>
          </w:tcPr>
          <w:p w:rsidR="004A7868" w:rsidRPr="00886F9A" w:rsidRDefault="004A7868" w:rsidP="005567D2">
            <w:pPr>
              <w:pStyle w:val="tabtekst"/>
              <w:rPr>
                <w:i/>
                <w:color w:val="auto"/>
                <w:lang w:eastAsia="lv-LV"/>
              </w:rPr>
            </w:pPr>
            <w:r w:rsidRPr="00886F9A">
              <w:rPr>
                <w:i/>
                <w:color w:val="auto"/>
                <w:lang w:eastAsia="lv-LV"/>
              </w:rPr>
              <w:t>pieauguma tempi, faktiskās cenās, %</w:t>
            </w:r>
          </w:p>
        </w:tc>
        <w:tc>
          <w:tcPr>
            <w:tcW w:w="560" w:type="pct"/>
          </w:tcPr>
          <w:p w:rsidR="004A7868" w:rsidRPr="00886F9A" w:rsidRDefault="004A7868" w:rsidP="005567D2">
            <w:pPr>
              <w:pStyle w:val="tabtekst"/>
              <w:jc w:val="center"/>
              <w:rPr>
                <w:i/>
                <w:color w:val="auto"/>
              </w:rPr>
            </w:pPr>
            <w:r w:rsidRPr="00886F9A">
              <w:rPr>
                <w:i/>
                <w:color w:val="auto"/>
              </w:rPr>
              <w:t>8,5</w:t>
            </w:r>
          </w:p>
        </w:tc>
        <w:tc>
          <w:tcPr>
            <w:tcW w:w="554" w:type="pct"/>
          </w:tcPr>
          <w:p w:rsidR="004A7868" w:rsidRPr="00886F9A" w:rsidRDefault="004A7868" w:rsidP="005567D2">
            <w:pPr>
              <w:pStyle w:val="tabtekst"/>
              <w:jc w:val="center"/>
              <w:rPr>
                <w:i/>
                <w:color w:val="auto"/>
              </w:rPr>
            </w:pPr>
            <w:r w:rsidRPr="00886F9A">
              <w:rPr>
                <w:i/>
                <w:color w:val="auto"/>
              </w:rPr>
              <w:t>5,6</w:t>
            </w:r>
          </w:p>
        </w:tc>
        <w:tc>
          <w:tcPr>
            <w:tcW w:w="513" w:type="pct"/>
          </w:tcPr>
          <w:p w:rsidR="004A7868" w:rsidRPr="00886F9A" w:rsidRDefault="004A7868" w:rsidP="005567D2">
            <w:pPr>
              <w:pStyle w:val="tabtekst"/>
              <w:jc w:val="center"/>
              <w:rPr>
                <w:i/>
                <w:color w:val="auto"/>
              </w:rPr>
            </w:pPr>
            <w:r w:rsidRPr="00886F9A">
              <w:rPr>
                <w:i/>
                <w:color w:val="auto"/>
              </w:rPr>
              <w:t>22,2</w:t>
            </w:r>
          </w:p>
        </w:tc>
        <w:tc>
          <w:tcPr>
            <w:tcW w:w="731" w:type="pct"/>
          </w:tcPr>
          <w:p w:rsidR="004A7868" w:rsidRPr="00886F9A" w:rsidRDefault="004A7868" w:rsidP="005567D2">
            <w:pPr>
              <w:pStyle w:val="tabtekst"/>
              <w:jc w:val="center"/>
              <w:rPr>
                <w:i/>
                <w:color w:val="auto"/>
              </w:rPr>
            </w:pPr>
            <w:r w:rsidRPr="00886F9A">
              <w:rPr>
                <w:i/>
                <w:color w:val="auto"/>
              </w:rPr>
              <w:t>11,3</w:t>
            </w:r>
          </w:p>
        </w:tc>
      </w:tr>
      <w:tr w:rsidR="004A7868" w:rsidRPr="002074E7" w:rsidTr="005567D2">
        <w:trPr>
          <w:jc w:val="center"/>
        </w:trPr>
        <w:tc>
          <w:tcPr>
            <w:tcW w:w="2642" w:type="pct"/>
            <w:tcBorders>
              <w:left w:val="single" w:sz="4" w:space="0" w:color="auto"/>
            </w:tcBorders>
          </w:tcPr>
          <w:p w:rsidR="004A7868" w:rsidRPr="00886F9A" w:rsidRDefault="004A7868" w:rsidP="005567D2">
            <w:pPr>
              <w:pStyle w:val="tabtekst"/>
              <w:rPr>
                <w:i/>
                <w:color w:val="auto"/>
                <w:lang w:eastAsia="lv-LV"/>
              </w:rPr>
            </w:pPr>
            <w:r w:rsidRPr="00886F9A">
              <w:rPr>
                <w:i/>
                <w:color w:val="auto"/>
                <w:lang w:eastAsia="lv-LV"/>
              </w:rPr>
              <w:t>% no IKP</w:t>
            </w:r>
          </w:p>
        </w:tc>
        <w:tc>
          <w:tcPr>
            <w:tcW w:w="560" w:type="pct"/>
          </w:tcPr>
          <w:p w:rsidR="004A7868" w:rsidRPr="00886F9A" w:rsidRDefault="004A7868" w:rsidP="005567D2">
            <w:pPr>
              <w:pStyle w:val="tabtekst"/>
              <w:jc w:val="center"/>
              <w:rPr>
                <w:i/>
                <w:color w:val="auto"/>
              </w:rPr>
            </w:pPr>
            <w:r w:rsidRPr="00886F9A">
              <w:rPr>
                <w:i/>
                <w:color w:val="auto"/>
              </w:rPr>
              <w:t>0,1</w:t>
            </w:r>
          </w:p>
        </w:tc>
        <w:tc>
          <w:tcPr>
            <w:tcW w:w="554" w:type="pct"/>
          </w:tcPr>
          <w:p w:rsidR="004A7868" w:rsidRPr="00886F9A" w:rsidRDefault="004A7868" w:rsidP="005567D2">
            <w:pPr>
              <w:pStyle w:val="tabtekst"/>
              <w:jc w:val="center"/>
              <w:rPr>
                <w:i/>
                <w:color w:val="auto"/>
              </w:rPr>
            </w:pPr>
            <w:r w:rsidRPr="00886F9A">
              <w:rPr>
                <w:i/>
                <w:color w:val="auto"/>
              </w:rPr>
              <w:t>0,1</w:t>
            </w:r>
          </w:p>
        </w:tc>
        <w:tc>
          <w:tcPr>
            <w:tcW w:w="513" w:type="pct"/>
          </w:tcPr>
          <w:p w:rsidR="004A7868" w:rsidRPr="00886F9A" w:rsidRDefault="004A7868" w:rsidP="005567D2">
            <w:pPr>
              <w:pStyle w:val="tabtekst"/>
              <w:jc w:val="center"/>
              <w:rPr>
                <w:i/>
                <w:color w:val="auto"/>
              </w:rPr>
            </w:pPr>
            <w:r w:rsidRPr="00886F9A">
              <w:rPr>
                <w:i/>
                <w:color w:val="auto"/>
              </w:rPr>
              <w:t>0,2</w:t>
            </w:r>
          </w:p>
        </w:tc>
        <w:tc>
          <w:tcPr>
            <w:tcW w:w="731" w:type="pct"/>
          </w:tcPr>
          <w:p w:rsidR="004A7868" w:rsidRPr="00886F9A" w:rsidRDefault="004A7868" w:rsidP="005567D2">
            <w:pPr>
              <w:pStyle w:val="tabtekst"/>
              <w:jc w:val="center"/>
              <w:rPr>
                <w:i/>
                <w:color w:val="auto"/>
              </w:rPr>
            </w:pPr>
            <w:r w:rsidRPr="00886F9A">
              <w:rPr>
                <w:i/>
                <w:color w:val="auto"/>
              </w:rPr>
              <w:t>0,2</w:t>
            </w:r>
          </w:p>
        </w:tc>
      </w:tr>
    </w:tbl>
    <w:p w:rsidR="00B75DFA" w:rsidRDefault="00B75DFA" w:rsidP="00B75DFA">
      <w:pPr>
        <w:spacing w:before="360" w:after="240"/>
        <w:ind w:firstLine="0"/>
        <w:jc w:val="center"/>
        <w:rPr>
          <w:b/>
          <w:sz w:val="28"/>
          <w:szCs w:val="28"/>
        </w:rPr>
      </w:pPr>
    </w:p>
    <w:p w:rsidR="004A7868" w:rsidRPr="0028471F" w:rsidRDefault="004A7868" w:rsidP="00B75DFA">
      <w:pPr>
        <w:spacing w:before="360" w:after="240"/>
        <w:ind w:firstLine="0"/>
        <w:jc w:val="center"/>
        <w:rPr>
          <w:b/>
          <w:sz w:val="28"/>
          <w:szCs w:val="28"/>
        </w:rPr>
      </w:pPr>
      <w:r w:rsidRPr="0028471F">
        <w:rPr>
          <w:b/>
          <w:sz w:val="28"/>
          <w:szCs w:val="28"/>
        </w:rPr>
        <w:t>Elektroenerģijas nodoklis</w:t>
      </w:r>
    </w:p>
    <w:p w:rsidR="004A7868" w:rsidRPr="0028471F" w:rsidRDefault="004A7868" w:rsidP="004A7868">
      <w:r w:rsidRPr="0028471F">
        <w:t xml:space="preserve">Elektroenerģijas nodokli piemēro sākot ar 2007.gada 1.janvāri un to regulē Elektroenerģijas nodokļa likums, kas nosaka kārtību, kādā elektroenerģiju apliek ar elektroenerģijas nodokli. </w:t>
      </w:r>
    </w:p>
    <w:p w:rsidR="004A7868" w:rsidRPr="0028471F" w:rsidRDefault="004A7868" w:rsidP="004A7868">
      <w:pPr>
        <w:rPr>
          <w:i/>
        </w:rPr>
      </w:pPr>
      <w:r w:rsidRPr="0028471F">
        <w:t>Elektroenerģijas nodoklis ir daļa no izmaksām, kuras tiek iecenotas tirdzniecības pakalpojumu cenā, jo nodokļu maksātājs ir elektroenerģijas tirgotājs un elektroenerģijas ražotājs. Elektroenerģijas nodokļa likme ir 1,01 </w:t>
      </w:r>
      <w:proofErr w:type="spellStart"/>
      <w:r w:rsidRPr="0028471F">
        <w:rPr>
          <w:i/>
        </w:rPr>
        <w:t>euro</w:t>
      </w:r>
      <w:proofErr w:type="spellEnd"/>
      <w:r w:rsidRPr="0028471F">
        <w:t xml:space="preserve"> par megavatstundu, tas ir 0,10 </w:t>
      </w:r>
      <w:proofErr w:type="spellStart"/>
      <w:r w:rsidRPr="0028471F">
        <w:rPr>
          <w:i/>
        </w:rPr>
        <w:t>euro</w:t>
      </w:r>
      <w:proofErr w:type="spellEnd"/>
      <w:r w:rsidRPr="0028471F">
        <w:t xml:space="preserve"> par 100 kilovatiem</w:t>
      </w:r>
      <w:r w:rsidRPr="0028471F">
        <w:rPr>
          <w:i/>
        </w:rPr>
        <w:t>.</w:t>
      </w:r>
    </w:p>
    <w:p w:rsidR="004A7868" w:rsidRPr="0028471F" w:rsidRDefault="004A7868" w:rsidP="004A7868">
      <w:r w:rsidRPr="0028471F">
        <w:t xml:space="preserve">Elektroenerģijas nodokļa ieņēmumi 2018.gadā bija 5,0 milj. </w:t>
      </w:r>
      <w:proofErr w:type="spellStart"/>
      <w:r w:rsidRPr="0028471F">
        <w:rPr>
          <w:i/>
        </w:rPr>
        <w:t>euro</w:t>
      </w:r>
      <w:proofErr w:type="spellEnd"/>
      <w:r>
        <w:t>, kas salīdzinājumā ar 2017</w:t>
      </w:r>
      <w:r w:rsidRPr="0028471F">
        <w:t>.gadu ir par 0,4 milj. </w:t>
      </w:r>
      <w:proofErr w:type="spellStart"/>
      <w:r w:rsidRPr="0028471F">
        <w:rPr>
          <w:i/>
        </w:rPr>
        <w:t>euro</w:t>
      </w:r>
      <w:proofErr w:type="spellEnd"/>
      <w:r w:rsidRPr="0028471F">
        <w:t xml:space="preserve"> jeb 8,6% vairāk. </w:t>
      </w:r>
    </w:p>
    <w:p w:rsidR="004A7868" w:rsidRDefault="004A7868" w:rsidP="004A7868">
      <w:r w:rsidRPr="0028471F">
        <w:t>2019.gadā elektroenerģijas nodokļa ieņēmumi tiek plānoti 5,4 milj. </w:t>
      </w:r>
      <w:proofErr w:type="spellStart"/>
      <w:r w:rsidRPr="0028471F">
        <w:rPr>
          <w:i/>
        </w:rPr>
        <w:t>euro</w:t>
      </w:r>
      <w:proofErr w:type="spellEnd"/>
      <w:r w:rsidRPr="0028471F">
        <w:rPr>
          <w:i/>
        </w:rPr>
        <w:t xml:space="preserve"> </w:t>
      </w:r>
      <w:r w:rsidRPr="0028471F">
        <w:t xml:space="preserve">apmērā,  kas ir par 0,4 milj. </w:t>
      </w:r>
      <w:proofErr w:type="spellStart"/>
      <w:r w:rsidRPr="0028471F">
        <w:rPr>
          <w:i/>
        </w:rPr>
        <w:t>euro</w:t>
      </w:r>
      <w:proofErr w:type="spellEnd"/>
      <w:r w:rsidRPr="0028471F">
        <w:t xml:space="preserve"> jeb 7,9% vairāk nekā 2018. gadā. </w:t>
      </w:r>
    </w:p>
    <w:p w:rsidR="00CD6B35" w:rsidRDefault="004A7868" w:rsidP="004A7868">
      <w:pPr>
        <w:pStyle w:val="cipari"/>
        <w:spacing w:after="0"/>
        <w:jc w:val="center"/>
      </w:pPr>
      <w:r w:rsidRPr="0028471F">
        <w:rPr>
          <w:b/>
          <w:i/>
          <w:szCs w:val="24"/>
        </w:rPr>
        <w:lastRenderedPageBreak/>
        <w:t>3.18.</w:t>
      </w:r>
      <w:r w:rsidRPr="0028471F">
        <w:rPr>
          <w:b/>
          <w:szCs w:val="24"/>
        </w:rPr>
        <w:t xml:space="preserve"> </w:t>
      </w:r>
      <w:r w:rsidRPr="0028471F">
        <w:rPr>
          <w:b/>
          <w:i/>
          <w:szCs w:val="24"/>
        </w:rPr>
        <w:t>tabula.</w:t>
      </w:r>
      <w:r w:rsidRPr="0028471F">
        <w:rPr>
          <w:b/>
          <w:szCs w:val="24"/>
        </w:rPr>
        <w:t xml:space="preserve"> </w:t>
      </w:r>
      <w:r w:rsidRPr="000F4C77">
        <w:rPr>
          <w:b/>
          <w:i/>
          <w:szCs w:val="24"/>
        </w:rPr>
        <w:t>Elektroenerģijas nodokļa ieņēmumi</w:t>
      </w:r>
    </w:p>
    <w:tbl>
      <w:tblPr>
        <w:tblpPr w:leftFromText="180" w:rightFromText="180" w:vertAnchor="text" w:horzAnchor="margin" w:tblpY="67"/>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186"/>
        <w:gridCol w:w="1284"/>
        <w:gridCol w:w="1284"/>
        <w:gridCol w:w="1194"/>
        <w:gridCol w:w="1135"/>
      </w:tblGrid>
      <w:tr w:rsidR="004A7868" w:rsidRPr="0028471F" w:rsidTr="00B75DFA">
        <w:trPr>
          <w:trHeight w:val="260"/>
        </w:trPr>
        <w:tc>
          <w:tcPr>
            <w:tcW w:w="2304" w:type="pct"/>
            <w:vMerge w:val="restart"/>
            <w:shd w:val="clear" w:color="auto" w:fill="D9D9D9" w:themeFill="background1" w:themeFillShade="D9"/>
            <w:vAlign w:val="center"/>
          </w:tcPr>
          <w:p w:rsidR="004A7868" w:rsidRPr="0028471F" w:rsidRDefault="004A7868" w:rsidP="004A7868">
            <w:pPr>
              <w:pStyle w:val="tabtekst"/>
              <w:jc w:val="center"/>
              <w:rPr>
                <w:b/>
                <w:color w:val="auto"/>
              </w:rPr>
            </w:pPr>
          </w:p>
        </w:tc>
        <w:tc>
          <w:tcPr>
            <w:tcW w:w="707" w:type="pct"/>
            <w:shd w:val="clear" w:color="auto" w:fill="D9D9D9" w:themeFill="background1" w:themeFillShade="D9"/>
            <w:vAlign w:val="center"/>
          </w:tcPr>
          <w:p w:rsidR="004A7868" w:rsidRPr="0028471F" w:rsidRDefault="004A7868" w:rsidP="004A7868">
            <w:pPr>
              <w:pStyle w:val="tabtekst"/>
              <w:jc w:val="center"/>
              <w:rPr>
                <w:b/>
                <w:color w:val="auto"/>
              </w:rPr>
            </w:pPr>
            <w:r w:rsidRPr="0028471F">
              <w:rPr>
                <w:b/>
                <w:color w:val="auto"/>
              </w:rPr>
              <w:t>2016</w:t>
            </w:r>
          </w:p>
        </w:tc>
        <w:tc>
          <w:tcPr>
            <w:tcW w:w="707" w:type="pct"/>
            <w:shd w:val="clear" w:color="auto" w:fill="D9D9D9" w:themeFill="background1" w:themeFillShade="D9"/>
            <w:vAlign w:val="center"/>
          </w:tcPr>
          <w:p w:rsidR="004A7868" w:rsidRPr="0028471F" w:rsidRDefault="004A7868" w:rsidP="004A7868">
            <w:pPr>
              <w:pStyle w:val="tabtekst"/>
              <w:jc w:val="center"/>
              <w:rPr>
                <w:b/>
                <w:color w:val="auto"/>
              </w:rPr>
            </w:pPr>
            <w:r w:rsidRPr="0028471F">
              <w:rPr>
                <w:b/>
                <w:color w:val="auto"/>
              </w:rPr>
              <w:t>2017</w:t>
            </w:r>
          </w:p>
        </w:tc>
        <w:tc>
          <w:tcPr>
            <w:tcW w:w="657" w:type="pct"/>
            <w:shd w:val="clear" w:color="auto" w:fill="D9D9D9" w:themeFill="background1" w:themeFillShade="D9"/>
            <w:vAlign w:val="center"/>
          </w:tcPr>
          <w:p w:rsidR="004A7868" w:rsidRPr="0028471F" w:rsidRDefault="004A7868" w:rsidP="004A7868">
            <w:pPr>
              <w:pStyle w:val="tabtekst"/>
              <w:jc w:val="center"/>
              <w:rPr>
                <w:b/>
                <w:color w:val="auto"/>
              </w:rPr>
            </w:pPr>
            <w:r w:rsidRPr="0028471F">
              <w:rPr>
                <w:b/>
                <w:color w:val="auto"/>
              </w:rPr>
              <w:t>2018</w:t>
            </w:r>
          </w:p>
        </w:tc>
        <w:tc>
          <w:tcPr>
            <w:tcW w:w="625" w:type="pct"/>
            <w:shd w:val="clear" w:color="auto" w:fill="D9D9D9" w:themeFill="background1" w:themeFillShade="D9"/>
            <w:vAlign w:val="center"/>
          </w:tcPr>
          <w:p w:rsidR="004A7868" w:rsidRPr="0028471F" w:rsidRDefault="004A7868" w:rsidP="004A7868">
            <w:pPr>
              <w:pStyle w:val="tabtekst"/>
              <w:jc w:val="center"/>
              <w:rPr>
                <w:b/>
                <w:color w:val="auto"/>
              </w:rPr>
            </w:pPr>
            <w:r w:rsidRPr="0028471F">
              <w:rPr>
                <w:b/>
                <w:color w:val="auto"/>
              </w:rPr>
              <w:t>2019</w:t>
            </w:r>
          </w:p>
        </w:tc>
      </w:tr>
      <w:tr w:rsidR="004A7868" w:rsidRPr="0028471F" w:rsidTr="00B75DFA">
        <w:trPr>
          <w:trHeight w:val="260"/>
        </w:trPr>
        <w:tc>
          <w:tcPr>
            <w:tcW w:w="2304" w:type="pct"/>
            <w:vMerge/>
            <w:shd w:val="clear" w:color="auto" w:fill="D9D9D9" w:themeFill="background1" w:themeFillShade="D9"/>
            <w:vAlign w:val="center"/>
          </w:tcPr>
          <w:p w:rsidR="004A7868" w:rsidRPr="0028471F" w:rsidRDefault="004A7868" w:rsidP="004A7868">
            <w:pPr>
              <w:pStyle w:val="tabtekst"/>
              <w:jc w:val="center"/>
              <w:rPr>
                <w:b/>
                <w:color w:val="auto"/>
              </w:rPr>
            </w:pPr>
          </w:p>
        </w:tc>
        <w:tc>
          <w:tcPr>
            <w:tcW w:w="2071" w:type="pct"/>
            <w:gridSpan w:val="3"/>
            <w:shd w:val="clear" w:color="auto" w:fill="D9D9D9" w:themeFill="background1" w:themeFillShade="D9"/>
            <w:vAlign w:val="center"/>
          </w:tcPr>
          <w:p w:rsidR="004A7868" w:rsidRPr="0028471F" w:rsidRDefault="004A7868" w:rsidP="004A7868">
            <w:pPr>
              <w:pStyle w:val="tabtekst"/>
              <w:jc w:val="center"/>
              <w:rPr>
                <w:color w:val="auto"/>
              </w:rPr>
            </w:pPr>
            <w:r w:rsidRPr="0028471F">
              <w:rPr>
                <w:color w:val="auto"/>
              </w:rPr>
              <w:t>fakts</w:t>
            </w:r>
          </w:p>
        </w:tc>
        <w:tc>
          <w:tcPr>
            <w:tcW w:w="625" w:type="pct"/>
            <w:shd w:val="clear" w:color="auto" w:fill="D9D9D9" w:themeFill="background1" w:themeFillShade="D9"/>
            <w:vAlign w:val="center"/>
          </w:tcPr>
          <w:p w:rsidR="004A7868" w:rsidRPr="0028471F" w:rsidRDefault="004A7868" w:rsidP="004A7868">
            <w:pPr>
              <w:pStyle w:val="tabtekst"/>
              <w:jc w:val="center"/>
              <w:rPr>
                <w:color w:val="auto"/>
              </w:rPr>
            </w:pPr>
            <w:r w:rsidRPr="0028471F">
              <w:rPr>
                <w:color w:val="auto"/>
              </w:rPr>
              <w:t>plāns</w:t>
            </w:r>
          </w:p>
        </w:tc>
      </w:tr>
      <w:tr w:rsidR="004A7868" w:rsidRPr="0028471F" w:rsidTr="00B75DFA">
        <w:trPr>
          <w:trHeight w:val="260"/>
        </w:trPr>
        <w:tc>
          <w:tcPr>
            <w:tcW w:w="2304" w:type="pct"/>
            <w:shd w:val="clear" w:color="auto" w:fill="auto"/>
            <w:vAlign w:val="center"/>
          </w:tcPr>
          <w:p w:rsidR="004A7868" w:rsidRPr="0028471F" w:rsidRDefault="004A7868" w:rsidP="004A7868">
            <w:pPr>
              <w:pStyle w:val="tabtekst"/>
              <w:rPr>
                <w:b/>
                <w:i/>
                <w:color w:val="auto"/>
                <w:lang w:eastAsia="lv-LV"/>
              </w:rPr>
            </w:pPr>
            <w:r w:rsidRPr="0028471F">
              <w:rPr>
                <w:b/>
                <w:color w:val="auto"/>
                <w:lang w:eastAsia="lv-LV"/>
              </w:rPr>
              <w:t>Elektroenerģijas nodoklis,</w:t>
            </w:r>
            <w:r w:rsidRPr="0028471F">
              <w:rPr>
                <w:color w:val="auto"/>
                <w:lang w:eastAsia="lv-LV"/>
              </w:rPr>
              <w:t xml:space="preserve"> milj. </w:t>
            </w:r>
            <w:proofErr w:type="spellStart"/>
            <w:r w:rsidRPr="0028471F">
              <w:rPr>
                <w:i/>
                <w:color w:val="auto"/>
                <w:lang w:eastAsia="lv-LV"/>
              </w:rPr>
              <w:t>euro</w:t>
            </w:r>
            <w:proofErr w:type="spellEnd"/>
          </w:p>
        </w:tc>
        <w:tc>
          <w:tcPr>
            <w:tcW w:w="707" w:type="pct"/>
            <w:vAlign w:val="center"/>
          </w:tcPr>
          <w:p w:rsidR="004A7868" w:rsidRPr="0028471F" w:rsidRDefault="004A7868" w:rsidP="004A7868">
            <w:pPr>
              <w:pStyle w:val="tabtekst"/>
              <w:jc w:val="center"/>
              <w:rPr>
                <w:b/>
                <w:color w:val="auto"/>
              </w:rPr>
            </w:pPr>
            <w:r w:rsidRPr="0028471F">
              <w:rPr>
                <w:b/>
                <w:color w:val="auto"/>
              </w:rPr>
              <w:t>0,9</w:t>
            </w:r>
          </w:p>
        </w:tc>
        <w:tc>
          <w:tcPr>
            <w:tcW w:w="707" w:type="pct"/>
            <w:shd w:val="clear" w:color="auto" w:fill="auto"/>
            <w:vAlign w:val="center"/>
          </w:tcPr>
          <w:p w:rsidR="004A7868" w:rsidRPr="0028471F" w:rsidRDefault="004A7868" w:rsidP="004A7868">
            <w:pPr>
              <w:pStyle w:val="tabtekst"/>
              <w:jc w:val="center"/>
              <w:rPr>
                <w:b/>
                <w:color w:val="auto"/>
              </w:rPr>
            </w:pPr>
            <w:r w:rsidRPr="0028471F">
              <w:rPr>
                <w:b/>
                <w:color w:val="auto"/>
              </w:rPr>
              <w:t>4,6</w:t>
            </w:r>
          </w:p>
        </w:tc>
        <w:tc>
          <w:tcPr>
            <w:tcW w:w="657" w:type="pct"/>
            <w:shd w:val="clear" w:color="auto" w:fill="auto"/>
            <w:vAlign w:val="center"/>
          </w:tcPr>
          <w:p w:rsidR="004A7868" w:rsidRPr="0028471F" w:rsidRDefault="004A7868" w:rsidP="004A7868">
            <w:pPr>
              <w:pStyle w:val="tabtekst"/>
              <w:jc w:val="center"/>
              <w:rPr>
                <w:b/>
                <w:color w:val="auto"/>
              </w:rPr>
            </w:pPr>
            <w:r w:rsidRPr="0028471F">
              <w:rPr>
                <w:b/>
                <w:color w:val="auto"/>
              </w:rPr>
              <w:t>5,0</w:t>
            </w:r>
          </w:p>
        </w:tc>
        <w:tc>
          <w:tcPr>
            <w:tcW w:w="625" w:type="pct"/>
            <w:shd w:val="clear" w:color="auto" w:fill="auto"/>
            <w:vAlign w:val="center"/>
          </w:tcPr>
          <w:p w:rsidR="004A7868" w:rsidRPr="0028471F" w:rsidRDefault="004A7868" w:rsidP="004A7868">
            <w:pPr>
              <w:pStyle w:val="tabtekst"/>
              <w:jc w:val="center"/>
              <w:rPr>
                <w:b/>
              </w:rPr>
            </w:pPr>
            <w:r w:rsidRPr="0028471F">
              <w:rPr>
                <w:b/>
              </w:rPr>
              <w:t>5,4</w:t>
            </w:r>
          </w:p>
        </w:tc>
      </w:tr>
      <w:tr w:rsidR="004A7868" w:rsidRPr="0028471F" w:rsidTr="00B75DFA">
        <w:trPr>
          <w:trHeight w:val="260"/>
        </w:trPr>
        <w:tc>
          <w:tcPr>
            <w:tcW w:w="2304" w:type="pct"/>
            <w:shd w:val="clear" w:color="auto" w:fill="auto"/>
            <w:vAlign w:val="center"/>
          </w:tcPr>
          <w:p w:rsidR="004A7868" w:rsidRPr="0028471F" w:rsidRDefault="004A7868" w:rsidP="004A7868">
            <w:pPr>
              <w:pStyle w:val="tabtekst"/>
              <w:rPr>
                <w:i/>
                <w:color w:val="auto"/>
                <w:lang w:eastAsia="lv-LV"/>
              </w:rPr>
            </w:pPr>
            <w:r w:rsidRPr="0028471F">
              <w:rPr>
                <w:i/>
                <w:color w:val="auto"/>
                <w:lang w:eastAsia="lv-LV"/>
              </w:rPr>
              <w:t xml:space="preserve"> pieauguma tempi faktiskās cenās, %</w:t>
            </w:r>
          </w:p>
        </w:tc>
        <w:tc>
          <w:tcPr>
            <w:tcW w:w="707" w:type="pct"/>
            <w:shd w:val="clear" w:color="auto" w:fill="auto"/>
            <w:vAlign w:val="center"/>
          </w:tcPr>
          <w:p w:rsidR="004A7868" w:rsidRPr="0028471F" w:rsidRDefault="004A7868" w:rsidP="004A7868">
            <w:pPr>
              <w:pStyle w:val="tabtekst"/>
              <w:jc w:val="center"/>
              <w:rPr>
                <w:i/>
                <w:color w:val="auto"/>
              </w:rPr>
            </w:pPr>
            <w:r w:rsidRPr="0028471F">
              <w:rPr>
                <w:i/>
                <w:color w:val="auto"/>
              </w:rPr>
              <w:t>-43,7</w:t>
            </w:r>
          </w:p>
        </w:tc>
        <w:tc>
          <w:tcPr>
            <w:tcW w:w="707" w:type="pct"/>
            <w:shd w:val="clear" w:color="auto" w:fill="auto"/>
            <w:vAlign w:val="center"/>
          </w:tcPr>
          <w:p w:rsidR="004A7868" w:rsidRPr="0028471F" w:rsidRDefault="004A7868" w:rsidP="004A7868">
            <w:pPr>
              <w:pStyle w:val="tabtekst"/>
              <w:jc w:val="center"/>
              <w:rPr>
                <w:i/>
                <w:color w:val="auto"/>
              </w:rPr>
            </w:pPr>
            <w:r w:rsidRPr="0028471F">
              <w:rPr>
                <w:i/>
                <w:color w:val="auto"/>
              </w:rPr>
              <w:t>400,4</w:t>
            </w:r>
          </w:p>
        </w:tc>
        <w:tc>
          <w:tcPr>
            <w:tcW w:w="657" w:type="pct"/>
            <w:shd w:val="clear" w:color="auto" w:fill="auto"/>
            <w:vAlign w:val="center"/>
          </w:tcPr>
          <w:p w:rsidR="004A7868" w:rsidRPr="0028471F" w:rsidRDefault="004A7868" w:rsidP="004A7868">
            <w:pPr>
              <w:pStyle w:val="tabtekst"/>
              <w:jc w:val="center"/>
              <w:rPr>
                <w:i/>
                <w:color w:val="auto"/>
              </w:rPr>
            </w:pPr>
            <w:r w:rsidRPr="0028471F">
              <w:rPr>
                <w:i/>
                <w:color w:val="auto"/>
              </w:rPr>
              <w:t>8,6</w:t>
            </w:r>
          </w:p>
        </w:tc>
        <w:tc>
          <w:tcPr>
            <w:tcW w:w="625" w:type="pct"/>
            <w:shd w:val="clear" w:color="auto" w:fill="auto"/>
            <w:vAlign w:val="center"/>
          </w:tcPr>
          <w:p w:rsidR="004A7868" w:rsidRPr="0028471F" w:rsidRDefault="004A7868" w:rsidP="004A7868">
            <w:pPr>
              <w:pStyle w:val="tabtekst"/>
              <w:jc w:val="center"/>
              <w:rPr>
                <w:i/>
              </w:rPr>
            </w:pPr>
            <w:r w:rsidRPr="0028471F">
              <w:rPr>
                <w:i/>
              </w:rPr>
              <w:t>7,9</w:t>
            </w:r>
          </w:p>
        </w:tc>
      </w:tr>
      <w:tr w:rsidR="004A7868" w:rsidRPr="002074E7" w:rsidTr="00B75DFA">
        <w:trPr>
          <w:trHeight w:val="260"/>
        </w:trPr>
        <w:tc>
          <w:tcPr>
            <w:tcW w:w="2304" w:type="pct"/>
            <w:shd w:val="clear" w:color="auto" w:fill="auto"/>
            <w:vAlign w:val="center"/>
          </w:tcPr>
          <w:p w:rsidR="004A7868" w:rsidRPr="0028471F" w:rsidRDefault="004A7868" w:rsidP="004A7868">
            <w:pPr>
              <w:pStyle w:val="tabtekst"/>
              <w:rPr>
                <w:i/>
                <w:color w:val="auto"/>
                <w:lang w:eastAsia="lv-LV"/>
              </w:rPr>
            </w:pPr>
            <w:r w:rsidRPr="0028471F">
              <w:rPr>
                <w:i/>
                <w:color w:val="auto"/>
                <w:lang w:eastAsia="lv-LV"/>
              </w:rPr>
              <w:t xml:space="preserve"> % no IKP</w:t>
            </w:r>
          </w:p>
        </w:tc>
        <w:tc>
          <w:tcPr>
            <w:tcW w:w="707" w:type="pct"/>
            <w:shd w:val="clear" w:color="auto" w:fill="auto"/>
            <w:vAlign w:val="center"/>
          </w:tcPr>
          <w:p w:rsidR="004A7868" w:rsidRPr="0028471F" w:rsidRDefault="004A7868" w:rsidP="004A7868">
            <w:pPr>
              <w:pStyle w:val="tabtekst"/>
              <w:jc w:val="center"/>
              <w:rPr>
                <w:i/>
                <w:color w:val="auto"/>
              </w:rPr>
            </w:pPr>
            <w:r w:rsidRPr="0028471F">
              <w:rPr>
                <w:i/>
                <w:color w:val="auto"/>
              </w:rPr>
              <w:t>0,004</w:t>
            </w:r>
          </w:p>
        </w:tc>
        <w:tc>
          <w:tcPr>
            <w:tcW w:w="707" w:type="pct"/>
            <w:shd w:val="clear" w:color="auto" w:fill="auto"/>
            <w:vAlign w:val="center"/>
          </w:tcPr>
          <w:p w:rsidR="004A7868" w:rsidRPr="0028471F" w:rsidRDefault="004A7868" w:rsidP="004A7868">
            <w:pPr>
              <w:pStyle w:val="tabtekst"/>
              <w:jc w:val="center"/>
              <w:rPr>
                <w:i/>
                <w:color w:val="auto"/>
              </w:rPr>
            </w:pPr>
            <w:r w:rsidRPr="0028471F">
              <w:rPr>
                <w:i/>
                <w:color w:val="auto"/>
              </w:rPr>
              <w:t>0,02</w:t>
            </w:r>
          </w:p>
        </w:tc>
        <w:tc>
          <w:tcPr>
            <w:tcW w:w="657" w:type="pct"/>
            <w:shd w:val="clear" w:color="auto" w:fill="auto"/>
            <w:vAlign w:val="center"/>
          </w:tcPr>
          <w:p w:rsidR="004A7868" w:rsidRPr="0028471F" w:rsidRDefault="004A7868" w:rsidP="004A7868">
            <w:pPr>
              <w:pStyle w:val="tabtekst"/>
              <w:jc w:val="center"/>
              <w:rPr>
                <w:i/>
                <w:color w:val="auto"/>
              </w:rPr>
            </w:pPr>
            <w:r w:rsidRPr="0028471F">
              <w:rPr>
                <w:i/>
                <w:color w:val="auto"/>
              </w:rPr>
              <w:t>0,02</w:t>
            </w:r>
          </w:p>
        </w:tc>
        <w:tc>
          <w:tcPr>
            <w:tcW w:w="625" w:type="pct"/>
            <w:shd w:val="clear" w:color="auto" w:fill="auto"/>
            <w:vAlign w:val="center"/>
          </w:tcPr>
          <w:p w:rsidR="004A7868" w:rsidRPr="0028471F" w:rsidRDefault="004A7868" w:rsidP="004A7868">
            <w:pPr>
              <w:pStyle w:val="tabtekst"/>
              <w:jc w:val="center"/>
              <w:rPr>
                <w:i/>
              </w:rPr>
            </w:pPr>
            <w:r w:rsidRPr="0028471F">
              <w:rPr>
                <w:i/>
              </w:rPr>
              <w:t>0,02</w:t>
            </w:r>
          </w:p>
        </w:tc>
      </w:tr>
    </w:tbl>
    <w:p w:rsidR="000F4C77" w:rsidRDefault="000F4C77" w:rsidP="00D81781">
      <w:pPr>
        <w:pStyle w:val="cipari"/>
        <w:spacing w:after="0"/>
        <w:ind w:left="0" w:firstLine="0"/>
        <w:rPr>
          <w:sz w:val="16"/>
        </w:rPr>
      </w:pPr>
    </w:p>
    <w:p w:rsidR="000F4C77" w:rsidRPr="003522AC" w:rsidRDefault="000F4C77" w:rsidP="00FA3348">
      <w:pPr>
        <w:pStyle w:val="cipari"/>
        <w:spacing w:after="0"/>
        <w:rPr>
          <w:sz w:val="16"/>
        </w:rPr>
      </w:pPr>
    </w:p>
    <w:p w:rsidR="000F4C77" w:rsidRPr="000F4C77" w:rsidRDefault="003613E3" w:rsidP="000F4C77">
      <w:pPr>
        <w:pStyle w:val="H2"/>
      </w:pPr>
      <w:bookmarkStart w:id="19" w:name="_Toc150840183"/>
      <w:bookmarkStart w:id="20" w:name="_Toc150941373"/>
      <w:r w:rsidRPr="00221972">
        <w:t>3.</w:t>
      </w:r>
      <w:r w:rsidR="003A2D6C">
        <w:t>3</w:t>
      </w:r>
      <w:r w:rsidRPr="00221972">
        <w:t xml:space="preserve">. Valsts pamatbudžeta </w:t>
      </w:r>
      <w:proofErr w:type="spellStart"/>
      <w:r w:rsidRPr="00221972">
        <w:t>nenodokļu</w:t>
      </w:r>
      <w:proofErr w:type="spellEnd"/>
      <w:r w:rsidRPr="00221972">
        <w:t xml:space="preserve"> ieņēmumi</w:t>
      </w:r>
      <w:bookmarkEnd w:id="19"/>
      <w:bookmarkEnd w:id="20"/>
    </w:p>
    <w:p w:rsidR="000F4C77" w:rsidRPr="00B22DC7" w:rsidRDefault="000F4C77" w:rsidP="000F4C77">
      <w:pPr>
        <w:ind w:firstLine="0"/>
        <w:jc w:val="center"/>
      </w:pPr>
      <w:r>
        <w:rPr>
          <w:noProof/>
          <w:lang w:eastAsia="lv-LV"/>
        </w:rPr>
        <w:drawing>
          <wp:inline distT="0" distB="0" distL="0" distR="0" wp14:anchorId="6E2255CC" wp14:editId="3642666D">
            <wp:extent cx="5676181" cy="2682815"/>
            <wp:effectExtent l="0" t="0" r="1270" b="38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4C77" w:rsidRPr="006D41EC" w:rsidRDefault="000F4C77" w:rsidP="000F4C77">
      <w:pPr>
        <w:ind w:firstLine="0"/>
        <w:jc w:val="center"/>
      </w:pPr>
      <w:r w:rsidRPr="006D41EC">
        <w:rPr>
          <w:b/>
        </w:rPr>
        <w:t>3</w:t>
      </w:r>
      <w:r w:rsidRPr="006D41EC">
        <w:rPr>
          <w:b/>
          <w:i/>
        </w:rPr>
        <w:t xml:space="preserve">.16. att. Valsts pamatbudžeta </w:t>
      </w:r>
      <w:proofErr w:type="spellStart"/>
      <w:r w:rsidRPr="006D41EC">
        <w:rPr>
          <w:b/>
          <w:i/>
        </w:rPr>
        <w:t>nenodokļu</w:t>
      </w:r>
      <w:proofErr w:type="spellEnd"/>
      <w:r w:rsidRPr="006D41EC">
        <w:rPr>
          <w:b/>
          <w:i/>
        </w:rPr>
        <w:t xml:space="preserve"> ieņēmumu struktūra 2018.gadā</w:t>
      </w:r>
    </w:p>
    <w:p w:rsidR="000F4C77" w:rsidRPr="005324A7" w:rsidRDefault="000F4C77" w:rsidP="000F4C77">
      <w:r w:rsidRPr="005324A7">
        <w:rPr>
          <w:bCs/>
          <w:szCs w:val="24"/>
        </w:rPr>
        <w:t xml:space="preserve">Pamatbudžeta </w:t>
      </w:r>
      <w:proofErr w:type="spellStart"/>
      <w:r w:rsidRPr="005324A7">
        <w:rPr>
          <w:bCs/>
          <w:szCs w:val="24"/>
        </w:rPr>
        <w:t>nenodokļu</w:t>
      </w:r>
      <w:proofErr w:type="spellEnd"/>
      <w:r w:rsidRPr="005324A7">
        <w:rPr>
          <w:bCs/>
          <w:szCs w:val="24"/>
        </w:rPr>
        <w:t xml:space="preserve"> ieņēmumi 2018.gadā bija 611,2 milj. </w:t>
      </w:r>
      <w:proofErr w:type="spellStart"/>
      <w:r>
        <w:rPr>
          <w:bCs/>
          <w:i/>
          <w:szCs w:val="24"/>
        </w:rPr>
        <w:t>euro</w:t>
      </w:r>
      <w:proofErr w:type="spellEnd"/>
      <w:r>
        <w:rPr>
          <w:bCs/>
          <w:szCs w:val="24"/>
        </w:rPr>
        <w:t xml:space="preserve">. </w:t>
      </w:r>
      <w:r w:rsidRPr="005324A7">
        <w:rPr>
          <w:bCs/>
          <w:szCs w:val="24"/>
        </w:rPr>
        <w:t xml:space="preserve">Salīdzinot ar iepriekšējo gadu, </w:t>
      </w:r>
      <w:proofErr w:type="spellStart"/>
      <w:r w:rsidRPr="005324A7">
        <w:rPr>
          <w:bCs/>
          <w:szCs w:val="24"/>
        </w:rPr>
        <w:t>nenodokļu</w:t>
      </w:r>
      <w:proofErr w:type="spellEnd"/>
      <w:r w:rsidRPr="005324A7">
        <w:rPr>
          <w:bCs/>
          <w:szCs w:val="24"/>
        </w:rPr>
        <w:t xml:space="preserve"> ieņēmumi ir iekasēti par  192,4 milj. </w:t>
      </w:r>
      <w:proofErr w:type="spellStart"/>
      <w:r w:rsidRPr="005324A7">
        <w:rPr>
          <w:bCs/>
          <w:i/>
          <w:szCs w:val="24"/>
        </w:rPr>
        <w:t>euro</w:t>
      </w:r>
      <w:proofErr w:type="spellEnd"/>
      <w:r w:rsidRPr="005324A7">
        <w:rPr>
          <w:bCs/>
          <w:szCs w:val="24"/>
        </w:rPr>
        <w:t xml:space="preserve"> jeb 45,9% vairāk.</w:t>
      </w:r>
      <w:r w:rsidRPr="005324A7">
        <w:t xml:space="preserve"> </w:t>
      </w:r>
    </w:p>
    <w:p w:rsidR="000F4C77" w:rsidRPr="00A81565" w:rsidRDefault="000F4C77" w:rsidP="000F4C77">
      <w:r w:rsidRPr="00A81565">
        <w:t xml:space="preserve">Lielākie valsts pamatbudžeta </w:t>
      </w:r>
      <w:proofErr w:type="spellStart"/>
      <w:r w:rsidRPr="00A81565">
        <w:t>nenodokļu</w:t>
      </w:r>
      <w:proofErr w:type="spellEnd"/>
      <w:r w:rsidRPr="00A81565">
        <w:t xml:space="preserve"> ieņēmumi 2018.gadā:</w:t>
      </w:r>
    </w:p>
    <w:p w:rsidR="000F4C77" w:rsidRPr="00A81565" w:rsidRDefault="000F4C77" w:rsidP="000F4C77">
      <w:pPr>
        <w:pStyle w:val="ListParagraph"/>
        <w:numPr>
          <w:ilvl w:val="0"/>
          <w:numId w:val="1"/>
        </w:numPr>
      </w:pPr>
      <w:r w:rsidRPr="00A81565">
        <w:t>ieņēmumi no dividendēm (maksājumiem par valsts kapitāla izmantošanu) – 244,6 milj. </w:t>
      </w:r>
      <w:proofErr w:type="spellStart"/>
      <w:r w:rsidRPr="00A81565">
        <w:rPr>
          <w:i/>
        </w:rPr>
        <w:t>euro</w:t>
      </w:r>
      <w:proofErr w:type="spellEnd"/>
      <w:r w:rsidRPr="00A81565">
        <w:t xml:space="preserve">, kas ir par 89,5 milj. </w:t>
      </w:r>
      <w:proofErr w:type="spellStart"/>
      <w:r w:rsidRPr="00A81565">
        <w:rPr>
          <w:i/>
        </w:rPr>
        <w:t>euro</w:t>
      </w:r>
      <w:proofErr w:type="spellEnd"/>
      <w:r w:rsidRPr="00A81565">
        <w:t xml:space="preserve"> jeb 57,6% vairāk kā 2017.gadā. Lielākos maksājumus par valsts kapitāla izmantošanu veica AS „Latvenergo” 156,4 milj. </w:t>
      </w:r>
      <w:proofErr w:type="spellStart"/>
      <w:r w:rsidRPr="00A81565">
        <w:rPr>
          <w:i/>
        </w:rPr>
        <w:t>euro</w:t>
      </w:r>
      <w:proofErr w:type="spellEnd"/>
      <w:r w:rsidRPr="00A81565">
        <w:t>, AS „Latvijas valsts meži” 38,2 milj. </w:t>
      </w:r>
      <w:proofErr w:type="spellStart"/>
      <w:r w:rsidRPr="00A81565">
        <w:rPr>
          <w:i/>
        </w:rPr>
        <w:t>euro</w:t>
      </w:r>
      <w:proofErr w:type="spellEnd"/>
      <w:r w:rsidRPr="00A81565">
        <w:t>, SIA „Lattelecom” 20,0 milj. </w:t>
      </w:r>
      <w:proofErr w:type="spellStart"/>
      <w:r w:rsidRPr="00A81565">
        <w:rPr>
          <w:i/>
        </w:rPr>
        <w:t>euro</w:t>
      </w:r>
      <w:proofErr w:type="spellEnd"/>
      <w:r w:rsidRPr="00A81565">
        <w:t xml:space="preserve"> un Latvijas Banka 11,9 milj. </w:t>
      </w:r>
      <w:proofErr w:type="spellStart"/>
      <w:r w:rsidRPr="00A81565">
        <w:rPr>
          <w:i/>
        </w:rPr>
        <w:t>euro</w:t>
      </w:r>
      <w:proofErr w:type="spellEnd"/>
      <w:r w:rsidRPr="00A81565">
        <w:t>;</w:t>
      </w:r>
    </w:p>
    <w:p w:rsidR="000F4C77" w:rsidRPr="004F1C68" w:rsidRDefault="000F4C77" w:rsidP="000F4C77">
      <w:pPr>
        <w:numPr>
          <w:ilvl w:val="0"/>
          <w:numId w:val="1"/>
        </w:numPr>
      </w:pPr>
      <w:r w:rsidRPr="004F1C68">
        <w:t>ieņēmumi no valsts nodevām un maksājumiem par valsts sniegto nodrošinājumu un juridiskajiem un citiem pakalpojumiem – 79,0 milj. </w:t>
      </w:r>
      <w:proofErr w:type="spellStart"/>
      <w:r w:rsidRPr="004F1C68">
        <w:rPr>
          <w:i/>
        </w:rPr>
        <w:t>euro</w:t>
      </w:r>
      <w:proofErr w:type="spellEnd"/>
      <w:r w:rsidRPr="004F1C68">
        <w:t>. Būtiskākos ieņēmumus veidoja ieņēmumi no nodevas par īpašuma tiesību un ķīlas tiesību nostiprināšanu zemesgrāmatā un kancelejas nodeva par zemesgrāmatas veiktajām darbībām – 44,5 milj. </w:t>
      </w:r>
      <w:proofErr w:type="spellStart"/>
      <w:r w:rsidRPr="004F1C68">
        <w:rPr>
          <w:i/>
        </w:rPr>
        <w:t>euro</w:t>
      </w:r>
      <w:proofErr w:type="spellEnd"/>
      <w:r w:rsidRPr="004F1C68">
        <w:t xml:space="preserve"> un nodevas par Latvijas Republikas pasu un citu personu apliecinošu un tiesību apliecinošu dokumentu izsniegšanu – 13,1 milj. </w:t>
      </w:r>
      <w:proofErr w:type="spellStart"/>
      <w:r w:rsidRPr="004F1C68">
        <w:rPr>
          <w:i/>
        </w:rPr>
        <w:t>euro</w:t>
      </w:r>
      <w:proofErr w:type="spellEnd"/>
      <w:r w:rsidRPr="004F1C68">
        <w:rPr>
          <w:i/>
        </w:rPr>
        <w:t>.</w:t>
      </w:r>
    </w:p>
    <w:p w:rsidR="000F4C77" w:rsidRPr="00E82053" w:rsidRDefault="000F4C77" w:rsidP="000F4C77">
      <w:pPr>
        <w:numPr>
          <w:ilvl w:val="0"/>
          <w:numId w:val="1"/>
        </w:numPr>
        <w:spacing w:after="0"/>
      </w:pPr>
      <w:r w:rsidRPr="00E82053">
        <w:t>ieņēmumi no speciāliem mērķiem paredzētām valsts nodevām – 58,6 milj. </w:t>
      </w:r>
      <w:proofErr w:type="spellStart"/>
      <w:r w:rsidRPr="00E82053">
        <w:rPr>
          <w:i/>
        </w:rPr>
        <w:t>euro</w:t>
      </w:r>
      <w:proofErr w:type="spellEnd"/>
      <w:r w:rsidRPr="00E82053">
        <w:rPr>
          <w:i/>
        </w:rPr>
        <w:t>.</w:t>
      </w:r>
      <w:r w:rsidRPr="00E82053">
        <w:t xml:space="preserve"> Būtiskākos ieņēmumus šajā sadaļā veidoja ieņēmumi no autoceļu lietošanas nodevas – 26,9 milj. </w:t>
      </w:r>
      <w:proofErr w:type="spellStart"/>
      <w:r w:rsidRPr="00E82053">
        <w:rPr>
          <w:i/>
        </w:rPr>
        <w:t>euro</w:t>
      </w:r>
      <w:proofErr w:type="spellEnd"/>
      <w:r w:rsidRPr="00E82053">
        <w:rPr>
          <w:i/>
        </w:rPr>
        <w:t>.</w:t>
      </w:r>
    </w:p>
    <w:p w:rsidR="000F4C77" w:rsidRDefault="000F4C77" w:rsidP="000F4C77">
      <w:pPr>
        <w:numPr>
          <w:ilvl w:val="0"/>
          <w:numId w:val="1"/>
        </w:numPr>
        <w:spacing w:after="0"/>
      </w:pPr>
      <w:r w:rsidRPr="00E82053">
        <w:t>naudas sodi un sankcijas – 32,0 milj. </w:t>
      </w:r>
      <w:proofErr w:type="spellStart"/>
      <w:r w:rsidRPr="00E82053">
        <w:rPr>
          <w:i/>
        </w:rPr>
        <w:t>euro</w:t>
      </w:r>
      <w:proofErr w:type="spellEnd"/>
      <w:r w:rsidRPr="00E82053">
        <w:t>. Būtiskākos ieņēmumus veidoja ieņēmumi no naudas sodiem, ko uzliek par pārkāpumiem ceļu satiksmē – 19,8 milj. </w:t>
      </w:r>
      <w:proofErr w:type="spellStart"/>
      <w:r w:rsidRPr="00E82053">
        <w:rPr>
          <w:i/>
        </w:rPr>
        <w:t>euro</w:t>
      </w:r>
      <w:proofErr w:type="spellEnd"/>
      <w:r w:rsidRPr="00E82053">
        <w:t>.</w:t>
      </w:r>
    </w:p>
    <w:p w:rsidR="000F4C77" w:rsidRDefault="000F4C77" w:rsidP="000F4C77">
      <w:pPr>
        <w:spacing w:after="0"/>
      </w:pPr>
    </w:p>
    <w:p w:rsidR="000F4C77" w:rsidRPr="006101B1" w:rsidRDefault="000F4C77" w:rsidP="000F4C77">
      <w:pPr>
        <w:spacing w:after="0"/>
      </w:pPr>
      <w:r w:rsidRPr="006101B1">
        <w:t xml:space="preserve">Neskatoties uz kopējiem pozitīvajiem </w:t>
      </w:r>
      <w:proofErr w:type="spellStart"/>
      <w:r w:rsidRPr="006101B1">
        <w:t>nenodokļu</w:t>
      </w:r>
      <w:proofErr w:type="spellEnd"/>
      <w:r w:rsidRPr="006101B1">
        <w:t xml:space="preserve"> ieņēmumiem un to straujo pieaugumu pret iepriekšējo gadu, tomēr bija vairākas atsevišķas pozīcijas, kuras nesasniedza plānotos ieņēmumus:</w:t>
      </w:r>
    </w:p>
    <w:p w:rsidR="000F4C77" w:rsidRPr="006101B1" w:rsidRDefault="000F4C77" w:rsidP="000F4C77">
      <w:pPr>
        <w:pStyle w:val="ListParagraph"/>
        <w:numPr>
          <w:ilvl w:val="0"/>
          <w:numId w:val="30"/>
        </w:numPr>
        <w:spacing w:after="0"/>
      </w:pPr>
      <w:r w:rsidRPr="006101B1">
        <w:rPr>
          <w:rFonts w:eastAsia="Calibri"/>
          <w:szCs w:val="24"/>
        </w:rPr>
        <w:lastRenderedPageBreak/>
        <w:t xml:space="preserve">valsts nodevas par valsts sniegto nodrošinājumu un juridiskajiem un citiem pakalpojumiem neizpilde – 8,0 milj. </w:t>
      </w:r>
      <w:proofErr w:type="spellStart"/>
      <w:r w:rsidRPr="006101B1">
        <w:rPr>
          <w:rFonts w:eastAsia="Calibri"/>
          <w:i/>
          <w:szCs w:val="24"/>
        </w:rPr>
        <w:t>euro</w:t>
      </w:r>
      <w:proofErr w:type="spellEnd"/>
      <w:r w:rsidRPr="006101B1">
        <w:rPr>
          <w:rFonts w:eastAsia="Calibri"/>
          <w:szCs w:val="24"/>
        </w:rPr>
        <w:t>. Šī koda kritiskās pozīcijas:</w:t>
      </w:r>
    </w:p>
    <w:p w:rsidR="000F4C77" w:rsidRPr="006101B1" w:rsidRDefault="000F4C77" w:rsidP="000F4C77">
      <w:pPr>
        <w:pStyle w:val="ListParagraph"/>
        <w:numPr>
          <w:ilvl w:val="0"/>
          <w:numId w:val="29"/>
        </w:numPr>
        <w:spacing w:after="0"/>
        <w:contextualSpacing w:val="0"/>
        <w:rPr>
          <w:rFonts w:eastAsia="Calibri"/>
          <w:szCs w:val="24"/>
        </w:rPr>
      </w:pPr>
      <w:r w:rsidRPr="006101B1">
        <w:rPr>
          <w:rFonts w:eastAsia="Calibri"/>
          <w:szCs w:val="24"/>
        </w:rPr>
        <w:t xml:space="preserve">nodeva par darbību veikšanu tiesu iestādēs – no 17,3 milj. </w:t>
      </w:r>
      <w:proofErr w:type="spellStart"/>
      <w:r w:rsidRPr="006101B1">
        <w:rPr>
          <w:rFonts w:eastAsia="Calibri"/>
          <w:i/>
          <w:szCs w:val="24"/>
        </w:rPr>
        <w:t>euro</w:t>
      </w:r>
      <w:proofErr w:type="spellEnd"/>
      <w:r w:rsidRPr="006101B1">
        <w:rPr>
          <w:rFonts w:eastAsia="Calibri"/>
          <w:szCs w:val="24"/>
        </w:rPr>
        <w:t xml:space="preserve"> prognozes ieskaitīti 9,8 milj. </w:t>
      </w:r>
      <w:proofErr w:type="spellStart"/>
      <w:r w:rsidRPr="006101B1">
        <w:rPr>
          <w:rFonts w:eastAsia="Calibri"/>
          <w:i/>
          <w:szCs w:val="24"/>
        </w:rPr>
        <w:t>euro</w:t>
      </w:r>
      <w:proofErr w:type="spellEnd"/>
      <w:r w:rsidRPr="006101B1">
        <w:rPr>
          <w:rFonts w:eastAsia="Calibri"/>
          <w:szCs w:val="24"/>
        </w:rPr>
        <w:t xml:space="preserve"> jeb 56,8%;</w:t>
      </w:r>
    </w:p>
    <w:p w:rsidR="000F4C77" w:rsidRPr="006101B1" w:rsidRDefault="000F4C77" w:rsidP="000F4C77">
      <w:pPr>
        <w:pStyle w:val="ListParagraph"/>
        <w:numPr>
          <w:ilvl w:val="0"/>
          <w:numId w:val="29"/>
        </w:numPr>
        <w:spacing w:after="0"/>
        <w:contextualSpacing w:val="0"/>
        <w:rPr>
          <w:rFonts w:eastAsia="Calibri"/>
          <w:szCs w:val="24"/>
        </w:rPr>
      </w:pPr>
      <w:r w:rsidRPr="006101B1">
        <w:rPr>
          <w:rFonts w:eastAsia="Calibri"/>
          <w:szCs w:val="24"/>
        </w:rPr>
        <w:t xml:space="preserve">nodeva par personas apliecību izsniegšanu – no 5,1 milj. </w:t>
      </w:r>
      <w:proofErr w:type="spellStart"/>
      <w:r w:rsidRPr="006101B1">
        <w:rPr>
          <w:rFonts w:eastAsia="Calibri"/>
          <w:i/>
          <w:szCs w:val="24"/>
        </w:rPr>
        <w:t>euro</w:t>
      </w:r>
      <w:proofErr w:type="spellEnd"/>
      <w:r w:rsidRPr="006101B1">
        <w:rPr>
          <w:rFonts w:eastAsia="Calibri"/>
          <w:szCs w:val="24"/>
        </w:rPr>
        <w:t xml:space="preserve"> gada prognozes iekasēti 3,4 milj. </w:t>
      </w:r>
      <w:proofErr w:type="spellStart"/>
      <w:r w:rsidRPr="006101B1">
        <w:rPr>
          <w:rFonts w:eastAsia="Calibri"/>
          <w:i/>
          <w:szCs w:val="24"/>
        </w:rPr>
        <w:t>euro</w:t>
      </w:r>
      <w:proofErr w:type="spellEnd"/>
      <w:r w:rsidRPr="006101B1">
        <w:rPr>
          <w:rFonts w:eastAsia="Calibri"/>
          <w:szCs w:val="24"/>
        </w:rPr>
        <w:t xml:space="preserve"> jeb 65,9%;</w:t>
      </w:r>
    </w:p>
    <w:p w:rsidR="000F4C77" w:rsidRPr="006101B1" w:rsidRDefault="000F4C77" w:rsidP="000F4C77">
      <w:pPr>
        <w:pStyle w:val="ListParagraph"/>
        <w:numPr>
          <w:ilvl w:val="0"/>
          <w:numId w:val="28"/>
        </w:numPr>
        <w:spacing w:after="0"/>
        <w:contextualSpacing w:val="0"/>
        <w:rPr>
          <w:rFonts w:eastAsia="Calibri"/>
          <w:szCs w:val="24"/>
        </w:rPr>
      </w:pPr>
      <w:r w:rsidRPr="006101B1">
        <w:rPr>
          <w:rFonts w:eastAsia="Calibri"/>
          <w:szCs w:val="24"/>
        </w:rPr>
        <w:t xml:space="preserve">valsts nodevas par naftas produktu drošības rezervju uzturēšanu neizpilde – 6,7 milj. </w:t>
      </w:r>
      <w:proofErr w:type="spellStart"/>
      <w:r w:rsidRPr="006101B1">
        <w:rPr>
          <w:rFonts w:eastAsia="Calibri"/>
          <w:i/>
          <w:szCs w:val="24"/>
        </w:rPr>
        <w:t>euro</w:t>
      </w:r>
      <w:proofErr w:type="spellEnd"/>
      <w:r w:rsidRPr="006101B1">
        <w:rPr>
          <w:rFonts w:eastAsia="Calibri"/>
          <w:szCs w:val="24"/>
        </w:rPr>
        <w:t xml:space="preserve"> (Ekonomikas ministrijas sniegtā gada prognoze ir 22,2 milj. </w:t>
      </w:r>
      <w:proofErr w:type="spellStart"/>
      <w:r w:rsidRPr="006101B1">
        <w:rPr>
          <w:rFonts w:eastAsia="Calibri"/>
          <w:i/>
          <w:szCs w:val="24"/>
        </w:rPr>
        <w:t>euro</w:t>
      </w:r>
      <w:proofErr w:type="spellEnd"/>
      <w:r w:rsidRPr="006101B1">
        <w:rPr>
          <w:rFonts w:eastAsia="Calibri"/>
          <w:szCs w:val="24"/>
        </w:rPr>
        <w:t xml:space="preserve">, no kuriem 2018.gadā iekasēti 15,5 milj. </w:t>
      </w:r>
      <w:proofErr w:type="spellStart"/>
      <w:r w:rsidRPr="006101B1">
        <w:rPr>
          <w:rFonts w:eastAsia="Calibri"/>
          <w:i/>
          <w:szCs w:val="24"/>
        </w:rPr>
        <w:t>euro</w:t>
      </w:r>
      <w:proofErr w:type="spellEnd"/>
      <w:r w:rsidRPr="006101B1">
        <w:rPr>
          <w:rFonts w:eastAsia="Calibri"/>
          <w:szCs w:val="24"/>
        </w:rPr>
        <w:t>);</w:t>
      </w:r>
    </w:p>
    <w:p w:rsidR="000F4C77" w:rsidRPr="006101B1" w:rsidRDefault="000F4C77" w:rsidP="000F4C77">
      <w:pPr>
        <w:pStyle w:val="ListParagraph"/>
        <w:numPr>
          <w:ilvl w:val="0"/>
          <w:numId w:val="28"/>
        </w:numPr>
        <w:spacing w:after="0"/>
        <w:contextualSpacing w:val="0"/>
        <w:rPr>
          <w:rFonts w:eastAsia="Calibri"/>
          <w:szCs w:val="24"/>
        </w:rPr>
      </w:pPr>
      <w:r w:rsidRPr="006101B1">
        <w:rPr>
          <w:rFonts w:eastAsia="Calibri"/>
          <w:szCs w:val="24"/>
        </w:rPr>
        <w:t xml:space="preserve">valsts nodevas par autoceļu lietošanu neizpilde – 5,6 milj. </w:t>
      </w:r>
      <w:proofErr w:type="spellStart"/>
      <w:r w:rsidRPr="006101B1">
        <w:rPr>
          <w:rFonts w:eastAsia="Calibri"/>
          <w:i/>
          <w:szCs w:val="24"/>
        </w:rPr>
        <w:t>euro</w:t>
      </w:r>
      <w:proofErr w:type="spellEnd"/>
      <w:r w:rsidRPr="006101B1">
        <w:rPr>
          <w:rFonts w:eastAsia="Calibri"/>
          <w:szCs w:val="24"/>
        </w:rPr>
        <w:t xml:space="preserve"> (Satiksmes ministrijas sniegtā gada prognoze ir 32,6 milj. </w:t>
      </w:r>
      <w:proofErr w:type="spellStart"/>
      <w:r w:rsidRPr="006101B1">
        <w:rPr>
          <w:rFonts w:eastAsia="Calibri"/>
          <w:i/>
          <w:szCs w:val="24"/>
        </w:rPr>
        <w:t>euro</w:t>
      </w:r>
      <w:proofErr w:type="spellEnd"/>
      <w:r w:rsidRPr="006101B1">
        <w:rPr>
          <w:rFonts w:eastAsia="Calibri"/>
          <w:szCs w:val="24"/>
        </w:rPr>
        <w:t xml:space="preserve">, no kuriem 2018.gadā iekasēti 26,9 milj. </w:t>
      </w:r>
      <w:proofErr w:type="spellStart"/>
      <w:r w:rsidRPr="006101B1">
        <w:rPr>
          <w:rFonts w:eastAsia="Calibri"/>
          <w:i/>
          <w:szCs w:val="24"/>
        </w:rPr>
        <w:t>euro</w:t>
      </w:r>
      <w:proofErr w:type="spellEnd"/>
      <w:r w:rsidRPr="006101B1">
        <w:rPr>
          <w:rFonts w:eastAsia="Calibri"/>
          <w:szCs w:val="24"/>
        </w:rPr>
        <w:t>).</w:t>
      </w:r>
    </w:p>
    <w:p w:rsidR="000F4C77" w:rsidRPr="006101B1" w:rsidRDefault="000F4C77" w:rsidP="000F4C77">
      <w:pPr>
        <w:pStyle w:val="ListParagraph"/>
        <w:numPr>
          <w:ilvl w:val="0"/>
          <w:numId w:val="28"/>
        </w:numPr>
        <w:spacing w:after="0"/>
        <w:contextualSpacing w:val="0"/>
        <w:rPr>
          <w:rFonts w:eastAsia="Calibri"/>
          <w:szCs w:val="24"/>
        </w:rPr>
      </w:pPr>
      <w:r w:rsidRPr="006101B1">
        <w:rPr>
          <w:rFonts w:eastAsia="Calibri"/>
          <w:szCs w:val="24"/>
        </w:rPr>
        <w:t xml:space="preserve">finanšu stabilitātes nodevas neizpilde – 5,6 milj. </w:t>
      </w:r>
      <w:proofErr w:type="spellStart"/>
      <w:r w:rsidRPr="006101B1">
        <w:rPr>
          <w:rFonts w:eastAsia="Calibri"/>
          <w:i/>
          <w:szCs w:val="24"/>
        </w:rPr>
        <w:t>euro</w:t>
      </w:r>
      <w:proofErr w:type="spellEnd"/>
      <w:r w:rsidRPr="006101B1">
        <w:rPr>
          <w:rFonts w:eastAsia="Calibri"/>
          <w:szCs w:val="24"/>
        </w:rPr>
        <w:t>;</w:t>
      </w:r>
    </w:p>
    <w:p w:rsidR="000F4C77" w:rsidRPr="006101B1" w:rsidRDefault="000F4C77" w:rsidP="000F4C77">
      <w:pPr>
        <w:pStyle w:val="ListParagraph"/>
        <w:numPr>
          <w:ilvl w:val="0"/>
          <w:numId w:val="28"/>
        </w:numPr>
        <w:spacing w:after="0"/>
        <w:contextualSpacing w:val="0"/>
        <w:rPr>
          <w:rFonts w:eastAsia="Calibri"/>
          <w:szCs w:val="24"/>
        </w:rPr>
      </w:pPr>
      <w:r w:rsidRPr="006101B1">
        <w:rPr>
          <w:rFonts w:eastAsia="Calibri"/>
          <w:szCs w:val="24"/>
        </w:rPr>
        <w:t xml:space="preserve">naudas sodu un sankciju neizpilde – 5,7 milj. </w:t>
      </w:r>
      <w:proofErr w:type="spellStart"/>
      <w:r w:rsidRPr="006101B1">
        <w:rPr>
          <w:rFonts w:eastAsia="Calibri"/>
          <w:i/>
          <w:szCs w:val="24"/>
        </w:rPr>
        <w:t>euro</w:t>
      </w:r>
      <w:proofErr w:type="spellEnd"/>
      <w:r w:rsidRPr="006101B1">
        <w:rPr>
          <w:rFonts w:eastAsia="Calibri"/>
          <w:szCs w:val="24"/>
        </w:rPr>
        <w:t xml:space="preserve">. Šeit atsevišķi var minēt prognozes naudas sodiem, ko uzliek par pārkāpumiem ceļu satiksmē. Šajā kategorijā ieņēmumu prognoze 2018.gadam tika paaugstināta par 6,3 milj. </w:t>
      </w:r>
      <w:proofErr w:type="spellStart"/>
      <w:r w:rsidRPr="006101B1">
        <w:rPr>
          <w:rFonts w:eastAsia="Calibri"/>
          <w:i/>
          <w:szCs w:val="24"/>
        </w:rPr>
        <w:t>euro</w:t>
      </w:r>
      <w:proofErr w:type="spellEnd"/>
      <w:r w:rsidRPr="006101B1">
        <w:rPr>
          <w:rFonts w:eastAsia="Calibri"/>
          <w:szCs w:val="24"/>
        </w:rPr>
        <w:t xml:space="preserve"> attiecībā pret 2017.gadu, bet gada izpilde pret plānu (25,0 milj. </w:t>
      </w:r>
      <w:proofErr w:type="spellStart"/>
      <w:r w:rsidRPr="006101B1">
        <w:rPr>
          <w:rFonts w:eastAsia="Calibri"/>
          <w:i/>
          <w:szCs w:val="24"/>
        </w:rPr>
        <w:t>euro</w:t>
      </w:r>
      <w:proofErr w:type="spellEnd"/>
      <w:r w:rsidRPr="006101B1">
        <w:rPr>
          <w:rFonts w:eastAsia="Calibri"/>
          <w:szCs w:val="24"/>
        </w:rPr>
        <w:t xml:space="preserve">) ir tikai 79,2% jeb 19,8 milj. </w:t>
      </w:r>
      <w:proofErr w:type="spellStart"/>
      <w:r w:rsidRPr="006101B1">
        <w:rPr>
          <w:rFonts w:eastAsia="Calibri"/>
          <w:i/>
          <w:szCs w:val="24"/>
        </w:rPr>
        <w:t>euro</w:t>
      </w:r>
      <w:proofErr w:type="spellEnd"/>
      <w:r w:rsidRPr="006101B1">
        <w:rPr>
          <w:rFonts w:eastAsia="Calibri"/>
          <w:szCs w:val="24"/>
        </w:rPr>
        <w:t xml:space="preserve">, sastādot 5,2 milj. </w:t>
      </w:r>
      <w:proofErr w:type="spellStart"/>
      <w:r w:rsidRPr="006101B1">
        <w:rPr>
          <w:rFonts w:eastAsia="Calibri"/>
          <w:i/>
          <w:szCs w:val="24"/>
        </w:rPr>
        <w:t>euro</w:t>
      </w:r>
      <w:proofErr w:type="spellEnd"/>
      <w:r w:rsidRPr="006101B1">
        <w:rPr>
          <w:rFonts w:eastAsia="Calibri"/>
          <w:szCs w:val="24"/>
        </w:rPr>
        <w:t xml:space="preserve"> neizpildi;</w:t>
      </w:r>
    </w:p>
    <w:p w:rsidR="000F4C77" w:rsidRPr="006101B1" w:rsidRDefault="000F4C77" w:rsidP="000F4C77">
      <w:pPr>
        <w:pStyle w:val="ListParagraph"/>
        <w:numPr>
          <w:ilvl w:val="0"/>
          <w:numId w:val="28"/>
        </w:numPr>
        <w:spacing w:after="0"/>
        <w:contextualSpacing w:val="0"/>
        <w:rPr>
          <w:rFonts w:eastAsia="Calibri"/>
          <w:szCs w:val="24"/>
        </w:rPr>
      </w:pPr>
      <w:r w:rsidRPr="006101B1">
        <w:rPr>
          <w:rFonts w:eastAsia="Calibri"/>
          <w:szCs w:val="24"/>
        </w:rPr>
        <w:t xml:space="preserve">pārējos </w:t>
      </w:r>
      <w:proofErr w:type="spellStart"/>
      <w:r w:rsidRPr="006101B1">
        <w:rPr>
          <w:rFonts w:eastAsia="Calibri"/>
          <w:szCs w:val="24"/>
        </w:rPr>
        <w:t>nenodokļu</w:t>
      </w:r>
      <w:proofErr w:type="spellEnd"/>
      <w:r w:rsidRPr="006101B1">
        <w:rPr>
          <w:rFonts w:eastAsia="Calibri"/>
          <w:szCs w:val="24"/>
        </w:rPr>
        <w:t xml:space="preserve"> ieņēmumos neizpilde sastāda 5,2 milj. </w:t>
      </w:r>
      <w:proofErr w:type="spellStart"/>
      <w:r w:rsidRPr="006101B1">
        <w:rPr>
          <w:rFonts w:eastAsia="Calibri"/>
          <w:i/>
          <w:szCs w:val="24"/>
        </w:rPr>
        <w:t>euro</w:t>
      </w:r>
      <w:proofErr w:type="spellEnd"/>
      <w:r w:rsidRPr="006101B1">
        <w:rPr>
          <w:rFonts w:eastAsia="Calibri"/>
          <w:szCs w:val="24"/>
        </w:rPr>
        <w:t>. Tas skaidrojams ar neizpildi ieņēmumos no budžeta iestāžu saņemto un iepriekšējos gados neizlietoto budžeta līdzekļu atmaksāšanas.</w:t>
      </w:r>
    </w:p>
    <w:p w:rsidR="000F4C77" w:rsidRPr="00A52AFA" w:rsidRDefault="000F4C77" w:rsidP="00A52AFA">
      <w:pPr>
        <w:spacing w:beforeLines="60" w:before="144"/>
      </w:pPr>
      <w:r w:rsidRPr="00E82053">
        <w:rPr>
          <w:szCs w:val="24"/>
          <w:shd w:val="clear" w:color="auto" w:fill="FFFFFF"/>
        </w:rPr>
        <w:t>Valsts</w:t>
      </w:r>
      <w:r w:rsidRPr="00E82053">
        <w:t xml:space="preserve"> pamatbudžeta </w:t>
      </w:r>
      <w:proofErr w:type="spellStart"/>
      <w:r w:rsidRPr="00E82053">
        <w:t>nenodokļu</w:t>
      </w:r>
      <w:proofErr w:type="spellEnd"/>
      <w:r w:rsidRPr="00E82053">
        <w:t xml:space="preserve"> ieņēmumi saskaņā ar likum</w:t>
      </w:r>
      <w:r w:rsidR="005567D2">
        <w:t>u</w:t>
      </w:r>
      <w:r w:rsidRPr="00E82053">
        <w:t xml:space="preserve"> „Par valsts budžetu 2019.gadam” tiek plānoti </w:t>
      </w:r>
      <w:r w:rsidR="005567D2">
        <w:t>483,9</w:t>
      </w:r>
      <w:r w:rsidRPr="00E82053">
        <w:t> milj. </w:t>
      </w:r>
      <w:proofErr w:type="spellStart"/>
      <w:r w:rsidRPr="00E82053">
        <w:rPr>
          <w:i/>
        </w:rPr>
        <w:t>euro</w:t>
      </w:r>
      <w:proofErr w:type="spellEnd"/>
      <w:r w:rsidRPr="00E82053">
        <w:t xml:space="preserve">, kas salīdzinājumā ar 2018.gadu ir par </w:t>
      </w:r>
      <w:r w:rsidR="005567D2">
        <w:t>127,3</w:t>
      </w:r>
      <w:r w:rsidRPr="00E82053">
        <w:t> milj. </w:t>
      </w:r>
      <w:proofErr w:type="spellStart"/>
      <w:r w:rsidRPr="00E82053">
        <w:rPr>
          <w:i/>
        </w:rPr>
        <w:t>euro</w:t>
      </w:r>
      <w:proofErr w:type="spellEnd"/>
      <w:r w:rsidRPr="00E82053">
        <w:t xml:space="preserve"> jeb </w:t>
      </w:r>
      <w:r w:rsidR="005567D2">
        <w:t>20,8</w:t>
      </w:r>
      <w:r w:rsidRPr="00E82053">
        <w:t>% mazāk.</w:t>
      </w:r>
    </w:p>
    <w:p w:rsidR="00A52AFA" w:rsidRPr="00B22DC7" w:rsidRDefault="00A52AFA" w:rsidP="000F4C77">
      <w:pPr>
        <w:spacing w:beforeLines="60" w:before="144"/>
        <w:ind w:firstLine="0"/>
        <w:jc w:val="center"/>
        <w:rPr>
          <w:u w:val="single"/>
        </w:rPr>
      </w:pPr>
      <w:r>
        <w:rPr>
          <w:noProof/>
          <w:lang w:eastAsia="lv-LV"/>
        </w:rPr>
        <w:drawing>
          <wp:inline distT="0" distB="0" distL="0" distR="0" wp14:anchorId="2B2EA443" wp14:editId="7E3D4C96">
            <wp:extent cx="5760085" cy="2507615"/>
            <wp:effectExtent l="0" t="0" r="12065"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F4C77" w:rsidRPr="000703FE" w:rsidRDefault="000F4C77" w:rsidP="000F4C77">
      <w:pPr>
        <w:ind w:firstLine="0"/>
        <w:jc w:val="center"/>
      </w:pPr>
      <w:r w:rsidRPr="000703FE">
        <w:rPr>
          <w:b/>
          <w:i/>
        </w:rPr>
        <w:t xml:space="preserve">3.17. att. Valsts pamatbudžeta </w:t>
      </w:r>
      <w:proofErr w:type="spellStart"/>
      <w:r w:rsidRPr="000703FE">
        <w:rPr>
          <w:b/>
          <w:i/>
        </w:rPr>
        <w:t>nenodokļu</w:t>
      </w:r>
      <w:proofErr w:type="spellEnd"/>
      <w:r w:rsidRPr="000703FE">
        <w:rPr>
          <w:b/>
          <w:i/>
        </w:rPr>
        <w:t xml:space="preserve"> ieņēmumu 2018.gada izpilde un 2019.gada plāns, milj. </w:t>
      </w:r>
      <w:proofErr w:type="spellStart"/>
      <w:r w:rsidRPr="000703FE">
        <w:rPr>
          <w:b/>
          <w:i/>
        </w:rPr>
        <w:t>euro</w:t>
      </w:r>
      <w:proofErr w:type="spellEnd"/>
    </w:p>
    <w:p w:rsidR="000F4C77" w:rsidRPr="00A81565" w:rsidRDefault="000F4C77" w:rsidP="000F4C77">
      <w:pPr>
        <w:spacing w:beforeLines="60" w:before="144"/>
      </w:pPr>
      <w:r w:rsidRPr="00A81565">
        <w:t xml:space="preserve">Ieņēmumi no dividendēm 2019.gadā tiek plānoti </w:t>
      </w:r>
      <w:r w:rsidR="005567D2">
        <w:t>209,4</w:t>
      </w:r>
      <w:r w:rsidRPr="00A81565">
        <w:t xml:space="preserve"> milj. </w:t>
      </w:r>
      <w:proofErr w:type="spellStart"/>
      <w:r w:rsidRPr="00A81565">
        <w:rPr>
          <w:i/>
        </w:rPr>
        <w:t>euro</w:t>
      </w:r>
      <w:proofErr w:type="spellEnd"/>
      <w:r w:rsidRPr="00A81565">
        <w:t xml:space="preserve">, kas ir par </w:t>
      </w:r>
      <w:r w:rsidR="005567D2">
        <w:t>35,2</w:t>
      </w:r>
      <w:r w:rsidRPr="00A81565">
        <w:t> milj. </w:t>
      </w:r>
      <w:proofErr w:type="spellStart"/>
      <w:r w:rsidRPr="00A81565">
        <w:rPr>
          <w:i/>
        </w:rPr>
        <w:t>euro</w:t>
      </w:r>
      <w:proofErr w:type="spellEnd"/>
      <w:r w:rsidRPr="00A81565">
        <w:t xml:space="preserve"> mazāk nekā iekasēts 2018.gadā</w:t>
      </w:r>
      <w:r>
        <w:t xml:space="preserve"> (no 2019.gada dividenžu maksājumā ietverta arī uzņēmumu ienākuma nodokļa daļa 20% apmērā)</w:t>
      </w:r>
      <w:r w:rsidRPr="00A81565">
        <w:t xml:space="preserve">. Plāns veidots, pamatojoties uz lielāko valsts kapitālsabiedrību sniegtajām 2018.gada peļņas prognozēm, kā arī </w:t>
      </w:r>
      <w:r w:rsidRPr="00D3709A">
        <w:t xml:space="preserve">saskaņā ar likumu “Par vidēja termiņa budžeta ietvaru 2018., 2019. un 2020.gadam”, kurā noteikts, ka minimālo dividendēs izmaksājamo peļņas daļu 2019.gadā (par 2018.gada peļņu) </w:t>
      </w:r>
      <w:r>
        <w:t xml:space="preserve">nosaka </w:t>
      </w:r>
      <w:r w:rsidRPr="00D3709A">
        <w:t>85%</w:t>
      </w:r>
      <w:r w:rsidRPr="00A81565">
        <w:t xml:space="preserve"> apmērā no attiecīgās kapitālsabiedrības neto peļņas. </w:t>
      </w:r>
    </w:p>
    <w:p w:rsidR="000F4C77" w:rsidRPr="00C54B36" w:rsidRDefault="000F4C77" w:rsidP="000F4C77">
      <w:pPr>
        <w:spacing w:after="0"/>
        <w:ind w:right="57"/>
        <w:rPr>
          <w:color w:val="000000"/>
          <w:szCs w:val="24"/>
          <w:lang w:eastAsia="lv-LV"/>
        </w:rPr>
      </w:pPr>
      <w:r w:rsidRPr="00A81565">
        <w:t xml:space="preserve">Papildus tam </w:t>
      </w:r>
      <w:proofErr w:type="spellStart"/>
      <w:r>
        <w:t>nenodokļu</w:t>
      </w:r>
      <w:proofErr w:type="spellEnd"/>
      <w:r>
        <w:t xml:space="preserve"> </w:t>
      </w:r>
      <w:r w:rsidRPr="004B7B47">
        <w:t xml:space="preserve">ieņēmumus ietekmē arī </w:t>
      </w:r>
      <w:r w:rsidRPr="006274FB">
        <w:t>Ministru kabineta 201</w:t>
      </w:r>
      <w:r>
        <w:t>8</w:t>
      </w:r>
      <w:r w:rsidRPr="006274FB">
        <w:t xml:space="preserve">.gada </w:t>
      </w:r>
      <w:r>
        <w:t>18</w:t>
      </w:r>
      <w:r w:rsidRPr="006274FB">
        <w:t>.</w:t>
      </w:r>
      <w:r>
        <w:t xml:space="preserve">decembra sēdes lēmums (protokols nr.60 §88) –  palielināt akciju sabiedrības “Latvijas </w:t>
      </w:r>
      <w:r>
        <w:lastRenderedPageBreak/>
        <w:t xml:space="preserve">valsts meži” dividendēs izmaksājamo peļņas daļu par 2018.gadu par </w:t>
      </w:r>
      <w:r>
        <w:rPr>
          <w:szCs w:val="24"/>
        </w:rPr>
        <w:t>45</w:t>
      </w:r>
      <w:r w:rsidRPr="00C54B36">
        <w:rPr>
          <w:szCs w:val="24"/>
        </w:rPr>
        <w:t> milj. </w:t>
      </w:r>
      <w:proofErr w:type="spellStart"/>
      <w:r w:rsidRPr="00C54B36">
        <w:rPr>
          <w:i/>
          <w:spacing w:val="-6"/>
          <w:szCs w:val="24"/>
        </w:rPr>
        <w:t>euro</w:t>
      </w:r>
      <w:proofErr w:type="spellEnd"/>
      <w:r>
        <w:t xml:space="preserve"> </w:t>
      </w:r>
      <w:r w:rsidRPr="00C54B36">
        <w:rPr>
          <w:szCs w:val="24"/>
        </w:rPr>
        <w:t>(fiskālā ietekme</w:t>
      </w:r>
      <w:r>
        <w:rPr>
          <w:szCs w:val="24"/>
        </w:rPr>
        <w:t xml:space="preserve"> </w:t>
      </w:r>
      <w:r w:rsidRPr="00C54B36">
        <w:rPr>
          <w:szCs w:val="24"/>
        </w:rPr>
        <w:t>2019.gadā +</w:t>
      </w:r>
      <w:r>
        <w:rPr>
          <w:szCs w:val="24"/>
        </w:rPr>
        <w:t>36,0</w:t>
      </w:r>
      <w:r w:rsidRPr="00C54B36">
        <w:rPr>
          <w:szCs w:val="24"/>
        </w:rPr>
        <w:t> milj. </w:t>
      </w:r>
      <w:proofErr w:type="spellStart"/>
      <w:r w:rsidRPr="00C54B36">
        <w:rPr>
          <w:i/>
          <w:spacing w:val="-6"/>
          <w:szCs w:val="24"/>
        </w:rPr>
        <w:t>euro</w:t>
      </w:r>
      <w:proofErr w:type="spellEnd"/>
      <w:r w:rsidRPr="00C54B36">
        <w:rPr>
          <w:szCs w:val="24"/>
        </w:rPr>
        <w:t>)</w:t>
      </w:r>
      <w:r w:rsidRPr="00C54B36">
        <w:rPr>
          <w:color w:val="000000"/>
          <w:szCs w:val="24"/>
          <w:lang w:eastAsia="lv-LV"/>
        </w:rPr>
        <w:t>.</w:t>
      </w:r>
    </w:p>
    <w:p w:rsidR="000F4C77" w:rsidRPr="00B22DC7" w:rsidRDefault="000F4C77" w:rsidP="000F4C77">
      <w:pPr>
        <w:spacing w:beforeLines="60" w:before="144"/>
      </w:pPr>
      <w:r w:rsidRPr="009D4193">
        <w:t>Ieņēmumi no valsts nodevām par valsts sniegto nodrošinājumu un juridiskajiem un citiem pakalpojumiem 2019.gadā tiek plānoti 83,6 milj. </w:t>
      </w:r>
      <w:proofErr w:type="spellStart"/>
      <w:r w:rsidRPr="009D4193">
        <w:rPr>
          <w:i/>
        </w:rPr>
        <w:t>euro</w:t>
      </w:r>
      <w:proofErr w:type="spellEnd"/>
      <w:r w:rsidRPr="009D4193">
        <w:t xml:space="preserve">, kas ir par 4,6 milj. </w:t>
      </w:r>
      <w:proofErr w:type="spellStart"/>
      <w:r w:rsidRPr="009D4193">
        <w:rPr>
          <w:i/>
        </w:rPr>
        <w:t>euro</w:t>
      </w:r>
      <w:proofErr w:type="spellEnd"/>
      <w:r w:rsidRPr="009D4193">
        <w:t xml:space="preserve"> vairāk nekā iekasēts 2018.gadā. Plāns veidots, pamatojoties uz ieņēmumu attīstības tendencēm un atbildīgo ministriju sniegtajām prognozēm. </w:t>
      </w:r>
      <w:r>
        <w:t>Papildus s</w:t>
      </w:r>
      <w:r w:rsidRPr="009D4193">
        <w:t xml:space="preserve">askaņā ar 2019. gada 8. februāra Ministru kabineta lēmumu precizēti ieņēmumi nodevai par konsulāro amatpersonu sniegtajiem pakalpojumiem (fiskālā ietekme +0,25 milj. </w:t>
      </w:r>
      <w:proofErr w:type="spellStart"/>
      <w:r w:rsidRPr="009D4193">
        <w:rPr>
          <w:i/>
        </w:rPr>
        <w:t>euro</w:t>
      </w:r>
      <w:proofErr w:type="spellEnd"/>
      <w:r w:rsidRPr="009D4193">
        <w:t>)</w:t>
      </w:r>
      <w:r>
        <w:t>.</w:t>
      </w:r>
      <w:r w:rsidRPr="009D4193">
        <w:t xml:space="preserve"> </w:t>
      </w:r>
    </w:p>
    <w:p w:rsidR="000F4C77" w:rsidRPr="00AC4EB0" w:rsidRDefault="000F4C77" w:rsidP="000F4C77">
      <w:pPr>
        <w:spacing w:beforeLines="60" w:before="144"/>
      </w:pPr>
      <w:r w:rsidRPr="00AC4EB0">
        <w:t>Ieņēmumi no valsts nodevām par speciālu atļauju (licenču) izsniegšanu un profesionālās kvalifikācija</w:t>
      </w:r>
      <w:r>
        <w:t>s</w:t>
      </w:r>
      <w:r w:rsidRPr="00AC4EB0">
        <w:t xml:space="preserve"> atbilstības dokumentu reģistrāciju 2019.gadā tiek plānoti 7,2 milj. </w:t>
      </w:r>
      <w:proofErr w:type="spellStart"/>
      <w:r w:rsidRPr="00AC4EB0">
        <w:rPr>
          <w:i/>
        </w:rPr>
        <w:t>euro</w:t>
      </w:r>
      <w:proofErr w:type="spellEnd"/>
      <w:r w:rsidRPr="00AC4EB0">
        <w:rPr>
          <w:i/>
        </w:rPr>
        <w:t xml:space="preserve">, </w:t>
      </w:r>
      <w:r w:rsidRPr="00AC4EB0">
        <w:t>kas ir par 0,03 milj. </w:t>
      </w:r>
      <w:proofErr w:type="spellStart"/>
      <w:r w:rsidRPr="00AC4EB0">
        <w:rPr>
          <w:i/>
        </w:rPr>
        <w:t>euro</w:t>
      </w:r>
      <w:proofErr w:type="spellEnd"/>
      <w:r w:rsidRPr="00AC4EB0">
        <w:t xml:space="preserve"> jeb 0,5% vairāk nekā 2018.gada faktiskie ieņēmumi</w:t>
      </w:r>
      <w:r w:rsidRPr="00AC4EB0">
        <w:rPr>
          <w:i/>
        </w:rPr>
        <w:t>.</w:t>
      </w:r>
      <w:r w:rsidRPr="00AC4EB0">
        <w:t xml:space="preserve"> 2019.gada plāns ir sagatavots, ņemot vērā </w:t>
      </w:r>
      <w:r>
        <w:t>iepriekšējo gadu</w:t>
      </w:r>
      <w:r w:rsidRPr="00AC4EB0">
        <w:t xml:space="preserve"> ieņēmumu izpildes tendences. Papildus saskaņā 2019.</w:t>
      </w:r>
      <w:r>
        <w:t> </w:t>
      </w:r>
      <w:r w:rsidRPr="00AC4EB0">
        <w:t xml:space="preserve">gada 8. februāra Ministru kabineta lēmumu precizēti ieņēmumi nodevai par reģistrācijas darbībām būvkomersantu reģistrā (+1,08 milj. </w:t>
      </w:r>
      <w:proofErr w:type="spellStart"/>
      <w:r w:rsidRPr="00AC4EB0">
        <w:rPr>
          <w:i/>
        </w:rPr>
        <w:t>euro</w:t>
      </w:r>
      <w:proofErr w:type="spellEnd"/>
      <w:r w:rsidRPr="00AC4EB0">
        <w:t>);</w:t>
      </w:r>
    </w:p>
    <w:p w:rsidR="000F4C77" w:rsidRDefault="000F4C77" w:rsidP="000F4C77">
      <w:pPr>
        <w:spacing w:before="120"/>
        <w:rPr>
          <w:szCs w:val="24"/>
        </w:rPr>
      </w:pPr>
      <w:r w:rsidRPr="00AC4EB0">
        <w:t>Ieņēmumi no speciāliem mērķiem paredzētajām valsts nodevām 2019.gadā tiek plānoti 68,1 milj. </w:t>
      </w:r>
      <w:proofErr w:type="spellStart"/>
      <w:r w:rsidRPr="00AC4EB0">
        <w:rPr>
          <w:i/>
        </w:rPr>
        <w:t>euro</w:t>
      </w:r>
      <w:proofErr w:type="spellEnd"/>
      <w:r w:rsidRPr="00AC4EB0">
        <w:t xml:space="preserve"> apmērā, kas ir par 9,5 milj. </w:t>
      </w:r>
      <w:proofErr w:type="spellStart"/>
      <w:r w:rsidRPr="00AC4EB0">
        <w:rPr>
          <w:i/>
        </w:rPr>
        <w:t>euro</w:t>
      </w:r>
      <w:proofErr w:type="spellEnd"/>
      <w:r w:rsidRPr="00AC4EB0">
        <w:t xml:space="preserve"> jeb 16,3% vairāk nekā 2018.gadā</w:t>
      </w:r>
      <w:r>
        <w:t>. 2019</w:t>
      </w:r>
      <w:r w:rsidRPr="00AC4EB0">
        <w:t>.gada plān</w:t>
      </w:r>
      <w:r>
        <w:t xml:space="preserve">s ir sagatavots, ņemot vērā iepriekšējo </w:t>
      </w:r>
      <w:r w:rsidRPr="00AC4EB0">
        <w:t>gad</w:t>
      </w:r>
      <w:r>
        <w:t>u</w:t>
      </w:r>
      <w:r w:rsidRPr="00AC4EB0">
        <w:t xml:space="preserve"> ieņēmumu izpildes tendences un </w:t>
      </w:r>
      <w:r>
        <w:rPr>
          <w:szCs w:val="24"/>
        </w:rPr>
        <w:t xml:space="preserve">saskaņā ar </w:t>
      </w:r>
      <w:r w:rsidRPr="00AC4EB0">
        <w:t>2019. gada 8. februāra Ministru kabineta lēmumu</w:t>
      </w:r>
      <w:r>
        <w:t xml:space="preserve"> precizēti ieņēmumi</w:t>
      </w:r>
      <w:r w:rsidRPr="00AC4EB0">
        <w:rPr>
          <w:szCs w:val="24"/>
        </w:rPr>
        <w:t>:</w:t>
      </w:r>
    </w:p>
    <w:p w:rsidR="000F4C77" w:rsidRDefault="000F4C77" w:rsidP="000F4C77">
      <w:pPr>
        <w:pStyle w:val="ListParagraph"/>
        <w:numPr>
          <w:ilvl w:val="0"/>
          <w:numId w:val="27"/>
        </w:numPr>
        <w:spacing w:before="120"/>
        <w:rPr>
          <w:szCs w:val="24"/>
        </w:rPr>
      </w:pPr>
      <w:r>
        <w:rPr>
          <w:szCs w:val="24"/>
        </w:rPr>
        <w:t>v</w:t>
      </w:r>
      <w:r w:rsidRPr="00E530F9">
        <w:rPr>
          <w:szCs w:val="24"/>
        </w:rPr>
        <w:t>alsts nodeva</w:t>
      </w:r>
      <w:r>
        <w:rPr>
          <w:szCs w:val="24"/>
        </w:rPr>
        <w:t>i</w:t>
      </w:r>
      <w:r w:rsidRPr="00E530F9">
        <w:rPr>
          <w:szCs w:val="24"/>
        </w:rPr>
        <w:t xml:space="preserve"> par naftas produktu drošības rezervju uzturēšanu</w:t>
      </w:r>
      <w:r>
        <w:rPr>
          <w:szCs w:val="24"/>
        </w:rPr>
        <w:t xml:space="preserve"> (-3,4 milj. </w:t>
      </w:r>
      <w:proofErr w:type="spellStart"/>
      <w:r w:rsidRPr="00E530F9">
        <w:rPr>
          <w:i/>
          <w:szCs w:val="24"/>
        </w:rPr>
        <w:t>euro</w:t>
      </w:r>
      <w:proofErr w:type="spellEnd"/>
      <w:r>
        <w:rPr>
          <w:szCs w:val="24"/>
        </w:rPr>
        <w:t>);</w:t>
      </w:r>
    </w:p>
    <w:p w:rsidR="000F4C77" w:rsidRPr="00E530F9" w:rsidRDefault="000F4C77" w:rsidP="000F4C77">
      <w:pPr>
        <w:pStyle w:val="ListParagraph"/>
        <w:numPr>
          <w:ilvl w:val="0"/>
          <w:numId w:val="27"/>
        </w:numPr>
        <w:spacing w:before="120"/>
        <w:rPr>
          <w:szCs w:val="24"/>
        </w:rPr>
      </w:pPr>
      <w:r>
        <w:rPr>
          <w:szCs w:val="24"/>
        </w:rPr>
        <w:t xml:space="preserve">valsts nodevai par energoefektivitātes veicināšanu un </w:t>
      </w:r>
      <w:proofErr w:type="spellStart"/>
      <w:r>
        <w:rPr>
          <w:szCs w:val="24"/>
        </w:rPr>
        <w:t>energopārvaldības</w:t>
      </w:r>
      <w:proofErr w:type="spellEnd"/>
      <w:r>
        <w:rPr>
          <w:szCs w:val="24"/>
        </w:rPr>
        <w:t xml:space="preserve"> sistēmas ieviešanas kontroles nodrošināšanu (+0,8 milj. </w:t>
      </w:r>
      <w:proofErr w:type="spellStart"/>
      <w:r w:rsidRPr="00E530F9">
        <w:rPr>
          <w:i/>
          <w:szCs w:val="24"/>
        </w:rPr>
        <w:t>euro</w:t>
      </w:r>
      <w:proofErr w:type="spellEnd"/>
      <w:r>
        <w:rPr>
          <w:szCs w:val="24"/>
        </w:rPr>
        <w:t>).</w:t>
      </w:r>
    </w:p>
    <w:p w:rsidR="000F4C77" w:rsidRPr="00E530F9" w:rsidRDefault="000F4C77" w:rsidP="000F4C77">
      <w:pPr>
        <w:spacing w:before="120"/>
      </w:pPr>
      <w:r w:rsidRPr="00E530F9">
        <w:t>Naudas sodi un sankcijas 2019.gadā tiek plānoti 40,9 milj. </w:t>
      </w:r>
      <w:proofErr w:type="spellStart"/>
      <w:r w:rsidRPr="00E530F9">
        <w:rPr>
          <w:i/>
        </w:rPr>
        <w:t>euro</w:t>
      </w:r>
      <w:proofErr w:type="spellEnd"/>
      <w:r w:rsidRPr="00E530F9">
        <w:rPr>
          <w:i/>
        </w:rPr>
        <w:t xml:space="preserve"> </w:t>
      </w:r>
      <w:r w:rsidRPr="00E530F9">
        <w:t>apmērā, kas ir par 8,8 milj. </w:t>
      </w:r>
      <w:proofErr w:type="spellStart"/>
      <w:r w:rsidRPr="00E530F9">
        <w:rPr>
          <w:i/>
        </w:rPr>
        <w:t>euro</w:t>
      </w:r>
      <w:proofErr w:type="spellEnd"/>
      <w:r w:rsidRPr="00E530F9">
        <w:t xml:space="preserve"> jeb 27,6% vairāk nekā 2018.gadā. Ieņēmumu prognoze veidota</w:t>
      </w:r>
      <w:r>
        <w:t>,</w:t>
      </w:r>
      <w:r w:rsidRPr="00E530F9">
        <w:t xml:space="preserve"> balstoties uz iepriekšējo gadu tendencēm un atbildīgo </w:t>
      </w:r>
      <w:r>
        <w:t>v</w:t>
      </w:r>
      <w:r w:rsidRPr="00E530F9">
        <w:t>alsts institūciju un ministriju sniegtajām prognozēm.</w:t>
      </w:r>
    </w:p>
    <w:p w:rsidR="000F4C77" w:rsidRPr="00720EC9" w:rsidRDefault="000F4C77" w:rsidP="000F4C77">
      <w:pPr>
        <w:spacing w:before="240"/>
      </w:pPr>
      <w:r w:rsidRPr="00E530F9">
        <w:t xml:space="preserve">Pārējie </w:t>
      </w:r>
      <w:proofErr w:type="spellStart"/>
      <w:r w:rsidRPr="00E530F9">
        <w:t>nenodokļi</w:t>
      </w:r>
      <w:proofErr w:type="spellEnd"/>
      <w:r w:rsidRPr="00E530F9">
        <w:t xml:space="preserve"> 2019.gadā tiek plānoti 34,4 milj. </w:t>
      </w:r>
      <w:proofErr w:type="spellStart"/>
      <w:r w:rsidRPr="00E530F9">
        <w:rPr>
          <w:i/>
        </w:rPr>
        <w:t>euro</w:t>
      </w:r>
      <w:proofErr w:type="spellEnd"/>
      <w:r w:rsidRPr="00E530F9">
        <w:rPr>
          <w:i/>
        </w:rPr>
        <w:t xml:space="preserve"> </w:t>
      </w:r>
      <w:r w:rsidRPr="00E530F9">
        <w:t>apmērā, kas ir par 6,8 milj. </w:t>
      </w:r>
      <w:proofErr w:type="spellStart"/>
      <w:r w:rsidRPr="00E530F9">
        <w:rPr>
          <w:i/>
        </w:rPr>
        <w:t>euro</w:t>
      </w:r>
      <w:proofErr w:type="spellEnd"/>
      <w:r w:rsidRPr="00E530F9">
        <w:t xml:space="preserve"> vairāk nekā iekasēts 2018.gadā. Ieņēmumu prognozi ietekmēja ieņēmumu izpildes tendences iepriekšējos gados un saskaņā ar 2019. gada 8. februāra Ministru kabineta lēmumu precizēti ieņēmumi </w:t>
      </w:r>
      <w:r w:rsidRPr="00720EC9">
        <w:t>no ūdenstilpju un zvejas tiesību nomas un zvejas tiesību nerūpnieciskas</w:t>
      </w:r>
      <w:r>
        <w:t xml:space="preserve"> </w:t>
      </w:r>
      <w:r w:rsidRPr="00720EC9">
        <w:t>izmantošanas (makš</w:t>
      </w:r>
      <w:r>
        <w:t>ķ</w:t>
      </w:r>
      <w:r w:rsidRPr="00720EC9">
        <w:t>erēšanas kartes)</w:t>
      </w:r>
      <w:r>
        <w:t xml:space="preserve"> (+0,2 milj. </w:t>
      </w:r>
      <w:proofErr w:type="spellStart"/>
      <w:r>
        <w:rPr>
          <w:i/>
        </w:rPr>
        <w:t>euro</w:t>
      </w:r>
      <w:proofErr w:type="spellEnd"/>
      <w:r>
        <w:t>).</w:t>
      </w:r>
    </w:p>
    <w:p w:rsidR="000F4C77" w:rsidRPr="00AC61DF" w:rsidRDefault="000F4C77" w:rsidP="000F4C77">
      <w:pPr>
        <w:jc w:val="center"/>
        <w:rPr>
          <w:b/>
          <w:szCs w:val="24"/>
        </w:rPr>
      </w:pPr>
      <w:r>
        <w:rPr>
          <w:b/>
          <w:i/>
          <w:szCs w:val="24"/>
        </w:rPr>
        <w:t>3.19</w:t>
      </w:r>
      <w:r w:rsidRPr="00AC61DF">
        <w:rPr>
          <w:b/>
          <w:i/>
          <w:szCs w:val="24"/>
        </w:rPr>
        <w:t>.</w:t>
      </w:r>
      <w:r w:rsidRPr="00AC61DF">
        <w:rPr>
          <w:b/>
          <w:szCs w:val="24"/>
        </w:rPr>
        <w:t xml:space="preserve"> </w:t>
      </w:r>
      <w:r w:rsidRPr="00AC61DF">
        <w:rPr>
          <w:b/>
          <w:i/>
          <w:szCs w:val="24"/>
        </w:rPr>
        <w:t>tabula.</w:t>
      </w:r>
      <w:r w:rsidRPr="00AC61DF">
        <w:rPr>
          <w:b/>
          <w:szCs w:val="24"/>
        </w:rPr>
        <w:t xml:space="preserve"> </w:t>
      </w:r>
      <w:r w:rsidRPr="000F4C77">
        <w:rPr>
          <w:b/>
          <w:i/>
          <w:szCs w:val="24"/>
        </w:rPr>
        <w:t xml:space="preserve">Valsts pamatbudžeta </w:t>
      </w:r>
      <w:proofErr w:type="spellStart"/>
      <w:r w:rsidRPr="000F4C77">
        <w:rPr>
          <w:b/>
          <w:i/>
          <w:szCs w:val="24"/>
        </w:rPr>
        <w:t>nenodokļu</w:t>
      </w:r>
      <w:proofErr w:type="spellEnd"/>
      <w:r w:rsidRPr="000F4C77">
        <w:rPr>
          <w:b/>
          <w:i/>
          <w:szCs w:val="24"/>
        </w:rPr>
        <w:t xml:space="preserve"> ieņēmumi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4175"/>
        <w:gridCol w:w="1281"/>
        <w:gridCol w:w="1281"/>
        <w:gridCol w:w="1191"/>
        <w:gridCol w:w="1133"/>
      </w:tblGrid>
      <w:tr w:rsidR="000F4C77" w:rsidRPr="00AC61DF" w:rsidTr="005567D2">
        <w:trPr>
          <w:trHeight w:val="256"/>
          <w:jc w:val="center"/>
        </w:trPr>
        <w:tc>
          <w:tcPr>
            <w:tcW w:w="2304" w:type="pct"/>
            <w:vMerge w:val="restart"/>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p>
        </w:tc>
        <w:tc>
          <w:tcPr>
            <w:tcW w:w="707" w:type="pct"/>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r w:rsidRPr="00AC61DF">
              <w:rPr>
                <w:b/>
                <w:bCs/>
                <w:snapToGrid w:val="0"/>
                <w:color w:val="000000"/>
                <w:sz w:val="20"/>
                <w:lang w:eastAsia="lv-LV"/>
              </w:rPr>
              <w:t>2016</w:t>
            </w:r>
          </w:p>
        </w:tc>
        <w:tc>
          <w:tcPr>
            <w:tcW w:w="707" w:type="pct"/>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r w:rsidRPr="00AC61DF">
              <w:rPr>
                <w:b/>
                <w:bCs/>
                <w:snapToGrid w:val="0"/>
                <w:color w:val="000000"/>
                <w:sz w:val="20"/>
                <w:lang w:eastAsia="lv-LV"/>
              </w:rPr>
              <w:t>2017</w:t>
            </w:r>
          </w:p>
        </w:tc>
        <w:tc>
          <w:tcPr>
            <w:tcW w:w="657" w:type="pct"/>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r w:rsidRPr="00AC61DF">
              <w:rPr>
                <w:b/>
                <w:bCs/>
                <w:snapToGrid w:val="0"/>
                <w:color w:val="000000"/>
                <w:sz w:val="20"/>
                <w:lang w:eastAsia="lv-LV"/>
              </w:rPr>
              <w:t>2018</w:t>
            </w:r>
          </w:p>
        </w:tc>
        <w:tc>
          <w:tcPr>
            <w:tcW w:w="625" w:type="pct"/>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r w:rsidRPr="00AC61DF">
              <w:rPr>
                <w:b/>
                <w:bCs/>
                <w:snapToGrid w:val="0"/>
                <w:color w:val="000000"/>
                <w:sz w:val="20"/>
                <w:lang w:eastAsia="lv-LV"/>
              </w:rPr>
              <w:t>2019</w:t>
            </w:r>
          </w:p>
        </w:tc>
      </w:tr>
      <w:tr w:rsidR="000F4C77" w:rsidRPr="00AC61DF" w:rsidTr="005567D2">
        <w:trPr>
          <w:trHeight w:val="256"/>
          <w:jc w:val="center"/>
        </w:trPr>
        <w:tc>
          <w:tcPr>
            <w:tcW w:w="2304" w:type="pct"/>
            <w:vMerge/>
            <w:shd w:val="clear" w:color="auto" w:fill="D9D9D9" w:themeFill="background1" w:themeFillShade="D9"/>
            <w:vAlign w:val="center"/>
          </w:tcPr>
          <w:p w:rsidR="000F4C77" w:rsidRPr="00AC61DF" w:rsidRDefault="000F4C77" w:rsidP="005567D2">
            <w:pPr>
              <w:spacing w:after="0"/>
              <w:ind w:firstLine="0"/>
              <w:jc w:val="center"/>
              <w:rPr>
                <w:b/>
                <w:bCs/>
                <w:snapToGrid w:val="0"/>
                <w:color w:val="000000"/>
                <w:sz w:val="20"/>
                <w:lang w:eastAsia="lv-LV"/>
              </w:rPr>
            </w:pPr>
          </w:p>
        </w:tc>
        <w:tc>
          <w:tcPr>
            <w:tcW w:w="2071" w:type="pct"/>
            <w:gridSpan w:val="3"/>
            <w:shd w:val="clear" w:color="auto" w:fill="D9D9D9" w:themeFill="background1" w:themeFillShade="D9"/>
            <w:vAlign w:val="center"/>
          </w:tcPr>
          <w:p w:rsidR="000F4C77" w:rsidRPr="00AC61DF" w:rsidRDefault="000F4C77" w:rsidP="005567D2">
            <w:pPr>
              <w:spacing w:after="0"/>
              <w:ind w:firstLine="0"/>
              <w:jc w:val="center"/>
              <w:rPr>
                <w:bCs/>
                <w:snapToGrid w:val="0"/>
                <w:color w:val="000000"/>
                <w:sz w:val="20"/>
                <w:lang w:eastAsia="lv-LV"/>
              </w:rPr>
            </w:pPr>
            <w:r w:rsidRPr="00AC61DF">
              <w:rPr>
                <w:bCs/>
                <w:snapToGrid w:val="0"/>
                <w:color w:val="000000"/>
                <w:sz w:val="20"/>
                <w:lang w:eastAsia="lv-LV"/>
              </w:rPr>
              <w:t>fakts</w:t>
            </w:r>
          </w:p>
        </w:tc>
        <w:tc>
          <w:tcPr>
            <w:tcW w:w="625" w:type="pct"/>
            <w:shd w:val="clear" w:color="auto" w:fill="D9D9D9" w:themeFill="background1" w:themeFillShade="D9"/>
            <w:vAlign w:val="center"/>
          </w:tcPr>
          <w:p w:rsidR="000F4C77" w:rsidRPr="00AC61DF" w:rsidRDefault="000F4C77" w:rsidP="005567D2">
            <w:pPr>
              <w:spacing w:after="0"/>
              <w:ind w:firstLine="0"/>
              <w:jc w:val="center"/>
              <w:rPr>
                <w:bCs/>
                <w:snapToGrid w:val="0"/>
                <w:color w:val="000000"/>
                <w:sz w:val="20"/>
                <w:lang w:eastAsia="lv-LV"/>
              </w:rPr>
            </w:pPr>
            <w:r w:rsidRPr="00AC61DF">
              <w:rPr>
                <w:bCs/>
                <w:snapToGrid w:val="0"/>
                <w:color w:val="000000"/>
                <w:sz w:val="20"/>
                <w:lang w:eastAsia="lv-LV"/>
              </w:rPr>
              <w:t>plāns</w:t>
            </w:r>
          </w:p>
        </w:tc>
      </w:tr>
      <w:tr w:rsidR="000F4C77" w:rsidRPr="00AC61DF" w:rsidTr="005567D2">
        <w:trPr>
          <w:trHeight w:val="405"/>
          <w:jc w:val="center"/>
        </w:trPr>
        <w:tc>
          <w:tcPr>
            <w:tcW w:w="2304" w:type="pct"/>
            <w:shd w:val="clear" w:color="auto" w:fill="auto"/>
            <w:vAlign w:val="center"/>
          </w:tcPr>
          <w:p w:rsidR="000F4C77" w:rsidRPr="00AC61DF" w:rsidRDefault="000F4C77" w:rsidP="005567D2">
            <w:pPr>
              <w:pStyle w:val="tabtekst"/>
              <w:rPr>
                <w:b/>
                <w:i/>
                <w:color w:val="auto"/>
                <w:lang w:eastAsia="lv-LV"/>
              </w:rPr>
            </w:pPr>
            <w:proofErr w:type="spellStart"/>
            <w:r w:rsidRPr="00AC61DF">
              <w:rPr>
                <w:b/>
                <w:color w:val="auto"/>
                <w:lang w:eastAsia="lv-LV"/>
              </w:rPr>
              <w:t>Nenodokļu</w:t>
            </w:r>
            <w:proofErr w:type="spellEnd"/>
            <w:r w:rsidRPr="00AC61DF">
              <w:rPr>
                <w:b/>
                <w:color w:val="auto"/>
                <w:lang w:eastAsia="lv-LV"/>
              </w:rPr>
              <w:t xml:space="preserve"> ieņēmumi,</w:t>
            </w:r>
            <w:r w:rsidRPr="00AC61DF">
              <w:rPr>
                <w:color w:val="auto"/>
                <w:lang w:eastAsia="lv-LV"/>
              </w:rPr>
              <w:t xml:space="preserve"> milj. </w:t>
            </w:r>
            <w:proofErr w:type="spellStart"/>
            <w:r w:rsidRPr="00AC61DF">
              <w:rPr>
                <w:i/>
                <w:color w:val="auto"/>
                <w:lang w:eastAsia="lv-LV"/>
              </w:rPr>
              <w:t>euro</w:t>
            </w:r>
            <w:proofErr w:type="spellEnd"/>
          </w:p>
        </w:tc>
        <w:tc>
          <w:tcPr>
            <w:tcW w:w="707" w:type="pct"/>
            <w:vAlign w:val="center"/>
          </w:tcPr>
          <w:p w:rsidR="000F4C77" w:rsidRPr="00AC61DF" w:rsidRDefault="000F4C77" w:rsidP="005567D2">
            <w:pPr>
              <w:pStyle w:val="tabtekst"/>
              <w:jc w:val="center"/>
              <w:rPr>
                <w:b/>
                <w:color w:val="auto"/>
              </w:rPr>
            </w:pPr>
            <w:r w:rsidRPr="00AC61DF">
              <w:rPr>
                <w:b/>
              </w:rPr>
              <w:t>473,9</w:t>
            </w:r>
          </w:p>
        </w:tc>
        <w:tc>
          <w:tcPr>
            <w:tcW w:w="707" w:type="pct"/>
            <w:shd w:val="clear" w:color="auto" w:fill="auto"/>
            <w:vAlign w:val="center"/>
          </w:tcPr>
          <w:p w:rsidR="000F4C77" w:rsidRPr="00AC61DF" w:rsidRDefault="000F4C77" w:rsidP="005567D2">
            <w:pPr>
              <w:pStyle w:val="tabtekst"/>
              <w:jc w:val="center"/>
              <w:rPr>
                <w:b/>
                <w:color w:val="auto"/>
              </w:rPr>
            </w:pPr>
            <w:r w:rsidRPr="00AC61DF">
              <w:rPr>
                <w:b/>
                <w:color w:val="auto"/>
              </w:rPr>
              <w:t>418,8</w:t>
            </w:r>
          </w:p>
        </w:tc>
        <w:tc>
          <w:tcPr>
            <w:tcW w:w="657" w:type="pct"/>
            <w:shd w:val="clear" w:color="auto" w:fill="auto"/>
            <w:vAlign w:val="center"/>
          </w:tcPr>
          <w:p w:rsidR="000F4C77" w:rsidRPr="00AC61DF" w:rsidRDefault="000F4C77" w:rsidP="005567D2">
            <w:pPr>
              <w:pStyle w:val="tabtekst"/>
              <w:jc w:val="center"/>
              <w:rPr>
                <w:b/>
                <w:color w:val="auto"/>
              </w:rPr>
            </w:pPr>
            <w:r w:rsidRPr="00AC61DF">
              <w:rPr>
                <w:b/>
                <w:color w:val="auto"/>
              </w:rPr>
              <w:t>611,2</w:t>
            </w:r>
          </w:p>
        </w:tc>
        <w:tc>
          <w:tcPr>
            <w:tcW w:w="625" w:type="pct"/>
            <w:shd w:val="clear" w:color="auto" w:fill="auto"/>
            <w:vAlign w:val="center"/>
          </w:tcPr>
          <w:p w:rsidR="000F4C77" w:rsidRPr="00AC61DF" w:rsidRDefault="00F33851" w:rsidP="005567D2">
            <w:pPr>
              <w:pStyle w:val="tabtekst"/>
              <w:jc w:val="center"/>
              <w:rPr>
                <w:b/>
              </w:rPr>
            </w:pPr>
            <w:r>
              <w:rPr>
                <w:b/>
              </w:rPr>
              <w:t>483,9</w:t>
            </w:r>
          </w:p>
        </w:tc>
      </w:tr>
      <w:tr w:rsidR="000F4C77" w:rsidRPr="00AC61DF" w:rsidTr="005567D2">
        <w:trPr>
          <w:trHeight w:val="256"/>
          <w:jc w:val="center"/>
        </w:trPr>
        <w:tc>
          <w:tcPr>
            <w:tcW w:w="2304" w:type="pct"/>
            <w:shd w:val="clear" w:color="auto" w:fill="auto"/>
            <w:vAlign w:val="center"/>
          </w:tcPr>
          <w:p w:rsidR="000F4C77" w:rsidRPr="00AC61DF" w:rsidRDefault="000F4C77" w:rsidP="005567D2">
            <w:pPr>
              <w:pStyle w:val="tabtekst"/>
              <w:rPr>
                <w:i/>
                <w:color w:val="auto"/>
                <w:lang w:eastAsia="lv-LV"/>
              </w:rPr>
            </w:pPr>
            <w:r w:rsidRPr="00AC61DF">
              <w:rPr>
                <w:i/>
                <w:color w:val="auto"/>
                <w:lang w:eastAsia="lv-LV"/>
              </w:rPr>
              <w:t xml:space="preserve"> pieauguma tempi faktiskās cenās, %</w:t>
            </w:r>
          </w:p>
        </w:tc>
        <w:tc>
          <w:tcPr>
            <w:tcW w:w="707" w:type="pct"/>
            <w:vAlign w:val="center"/>
          </w:tcPr>
          <w:p w:rsidR="000F4C77" w:rsidRPr="00AC61DF" w:rsidRDefault="000F4C77" w:rsidP="005567D2">
            <w:pPr>
              <w:pStyle w:val="tabtekst"/>
              <w:jc w:val="center"/>
              <w:rPr>
                <w:i/>
                <w:color w:val="auto"/>
              </w:rPr>
            </w:pPr>
            <w:r w:rsidRPr="00AC61DF">
              <w:rPr>
                <w:i/>
                <w:color w:val="auto"/>
              </w:rPr>
              <w:t>12,3</w:t>
            </w:r>
          </w:p>
        </w:tc>
        <w:tc>
          <w:tcPr>
            <w:tcW w:w="707" w:type="pct"/>
            <w:shd w:val="clear" w:color="auto" w:fill="auto"/>
            <w:vAlign w:val="center"/>
          </w:tcPr>
          <w:p w:rsidR="000F4C77" w:rsidRPr="00AC61DF" w:rsidRDefault="000F4C77" w:rsidP="005567D2">
            <w:pPr>
              <w:pStyle w:val="tabtekst"/>
              <w:jc w:val="center"/>
              <w:rPr>
                <w:i/>
                <w:color w:val="auto"/>
              </w:rPr>
            </w:pPr>
            <w:r>
              <w:rPr>
                <w:i/>
                <w:color w:val="auto"/>
              </w:rPr>
              <w:t>-11,6</w:t>
            </w:r>
          </w:p>
        </w:tc>
        <w:tc>
          <w:tcPr>
            <w:tcW w:w="657" w:type="pct"/>
            <w:shd w:val="clear" w:color="auto" w:fill="auto"/>
            <w:vAlign w:val="center"/>
          </w:tcPr>
          <w:p w:rsidR="000F4C77" w:rsidRPr="00AC61DF" w:rsidRDefault="000F4C77" w:rsidP="005567D2">
            <w:pPr>
              <w:pStyle w:val="tabtekst"/>
              <w:jc w:val="center"/>
              <w:rPr>
                <w:i/>
                <w:color w:val="auto"/>
              </w:rPr>
            </w:pPr>
            <w:r>
              <w:rPr>
                <w:i/>
                <w:color w:val="auto"/>
              </w:rPr>
              <w:t>45,9</w:t>
            </w:r>
          </w:p>
        </w:tc>
        <w:tc>
          <w:tcPr>
            <w:tcW w:w="625" w:type="pct"/>
            <w:shd w:val="clear" w:color="auto" w:fill="auto"/>
            <w:vAlign w:val="center"/>
          </w:tcPr>
          <w:p w:rsidR="000F4C77" w:rsidRPr="00AC61DF" w:rsidRDefault="000F4C77" w:rsidP="00F33851">
            <w:pPr>
              <w:pStyle w:val="tabtekst"/>
              <w:jc w:val="center"/>
              <w:rPr>
                <w:i/>
              </w:rPr>
            </w:pPr>
            <w:r>
              <w:rPr>
                <w:i/>
              </w:rPr>
              <w:t>-</w:t>
            </w:r>
            <w:r w:rsidR="00F33851">
              <w:rPr>
                <w:i/>
              </w:rPr>
              <w:t>20,8</w:t>
            </w:r>
          </w:p>
        </w:tc>
      </w:tr>
      <w:tr w:rsidR="000F4C77" w:rsidRPr="002074E7" w:rsidTr="005567D2">
        <w:trPr>
          <w:trHeight w:val="256"/>
          <w:jc w:val="center"/>
        </w:trPr>
        <w:tc>
          <w:tcPr>
            <w:tcW w:w="2304" w:type="pct"/>
            <w:shd w:val="clear" w:color="auto" w:fill="auto"/>
            <w:vAlign w:val="center"/>
          </w:tcPr>
          <w:p w:rsidR="000F4C77" w:rsidRPr="00AC61DF" w:rsidRDefault="000F4C77" w:rsidP="005567D2">
            <w:pPr>
              <w:pStyle w:val="tabtekst"/>
              <w:rPr>
                <w:i/>
                <w:color w:val="auto"/>
                <w:lang w:eastAsia="lv-LV"/>
              </w:rPr>
            </w:pPr>
            <w:r w:rsidRPr="00AC61DF">
              <w:rPr>
                <w:i/>
                <w:color w:val="auto"/>
                <w:lang w:eastAsia="lv-LV"/>
              </w:rPr>
              <w:t xml:space="preserve"> % no IKP</w:t>
            </w:r>
          </w:p>
        </w:tc>
        <w:tc>
          <w:tcPr>
            <w:tcW w:w="707" w:type="pct"/>
            <w:vAlign w:val="center"/>
          </w:tcPr>
          <w:p w:rsidR="000F4C77" w:rsidRPr="00AC61DF" w:rsidRDefault="000F4C77" w:rsidP="005567D2">
            <w:pPr>
              <w:pStyle w:val="tabtekst"/>
              <w:jc w:val="center"/>
              <w:rPr>
                <w:i/>
                <w:color w:val="auto"/>
              </w:rPr>
            </w:pPr>
            <w:r w:rsidRPr="00AC61DF">
              <w:rPr>
                <w:i/>
                <w:color w:val="auto"/>
              </w:rPr>
              <w:t>1,9</w:t>
            </w:r>
          </w:p>
        </w:tc>
        <w:tc>
          <w:tcPr>
            <w:tcW w:w="707" w:type="pct"/>
            <w:shd w:val="clear" w:color="auto" w:fill="auto"/>
            <w:vAlign w:val="center"/>
          </w:tcPr>
          <w:p w:rsidR="000F4C77" w:rsidRPr="00AC61DF" w:rsidRDefault="000F4C77" w:rsidP="005567D2">
            <w:pPr>
              <w:pStyle w:val="tabtekst"/>
              <w:jc w:val="center"/>
              <w:rPr>
                <w:i/>
                <w:color w:val="auto"/>
              </w:rPr>
            </w:pPr>
            <w:r>
              <w:rPr>
                <w:i/>
                <w:color w:val="auto"/>
              </w:rPr>
              <w:t>1,5</w:t>
            </w:r>
          </w:p>
        </w:tc>
        <w:tc>
          <w:tcPr>
            <w:tcW w:w="657" w:type="pct"/>
            <w:shd w:val="clear" w:color="auto" w:fill="auto"/>
            <w:vAlign w:val="center"/>
          </w:tcPr>
          <w:p w:rsidR="000F4C77" w:rsidRPr="00AC61DF" w:rsidRDefault="000F4C77" w:rsidP="005567D2">
            <w:pPr>
              <w:pStyle w:val="tabtekst"/>
              <w:jc w:val="center"/>
              <w:rPr>
                <w:i/>
                <w:color w:val="auto"/>
              </w:rPr>
            </w:pPr>
            <w:r>
              <w:rPr>
                <w:i/>
                <w:color w:val="auto"/>
              </w:rPr>
              <w:t>2,1</w:t>
            </w:r>
          </w:p>
        </w:tc>
        <w:tc>
          <w:tcPr>
            <w:tcW w:w="625" w:type="pct"/>
            <w:shd w:val="clear" w:color="auto" w:fill="auto"/>
            <w:vAlign w:val="center"/>
          </w:tcPr>
          <w:p w:rsidR="000F4C77" w:rsidRPr="00AC61DF" w:rsidRDefault="000F4C77" w:rsidP="005567D2">
            <w:pPr>
              <w:pStyle w:val="tabtekst"/>
              <w:jc w:val="center"/>
              <w:rPr>
                <w:i/>
              </w:rPr>
            </w:pPr>
            <w:r>
              <w:rPr>
                <w:i/>
              </w:rPr>
              <w:t>1,</w:t>
            </w:r>
            <w:r w:rsidR="00AC6004">
              <w:rPr>
                <w:i/>
              </w:rPr>
              <w:t>6</w:t>
            </w:r>
          </w:p>
        </w:tc>
      </w:tr>
    </w:tbl>
    <w:p w:rsidR="007D64AA" w:rsidRDefault="007D64AA" w:rsidP="009E5CB7">
      <w:pPr>
        <w:pStyle w:val="cipari"/>
        <w:ind w:left="0" w:firstLine="0"/>
      </w:pPr>
    </w:p>
    <w:p w:rsidR="00AA0C50" w:rsidRDefault="00AA0C50" w:rsidP="00D81781">
      <w:pPr>
        <w:pStyle w:val="H2"/>
      </w:pPr>
    </w:p>
    <w:p w:rsidR="00D81781" w:rsidRDefault="00A170EA" w:rsidP="00D81781">
      <w:pPr>
        <w:pStyle w:val="H2"/>
      </w:pPr>
      <w:r>
        <w:t>3.</w:t>
      </w:r>
      <w:r w:rsidR="003A2D6C">
        <w:t>4</w:t>
      </w:r>
      <w:r>
        <w:t>. Pašu ieņēmumi un ārvalstu finanšu palīdzība</w:t>
      </w:r>
    </w:p>
    <w:p w:rsidR="007737B3" w:rsidRPr="00072277" w:rsidRDefault="007737B3" w:rsidP="007737B3">
      <w:pPr>
        <w:rPr>
          <w:sz w:val="22"/>
        </w:rPr>
      </w:pPr>
      <w:r w:rsidRPr="00072277">
        <w:t>Ieņēmumi no maksas pakalpojumiem un citiem pašu ieņēmumiem valsts pamat</w:t>
      </w:r>
      <w:r w:rsidRPr="00072277">
        <w:softHyphen/>
        <w:t xml:space="preserve">budžetā 2019.gadā tiek plānoti 107,3 milj. </w:t>
      </w:r>
      <w:proofErr w:type="spellStart"/>
      <w:r w:rsidRPr="00072277">
        <w:rPr>
          <w:i/>
          <w:iCs/>
        </w:rPr>
        <w:t>euro</w:t>
      </w:r>
      <w:proofErr w:type="spellEnd"/>
      <w:r w:rsidRPr="00072277">
        <w:t xml:space="preserve"> apmērā, kas ir par 11,5 milj. </w:t>
      </w:r>
      <w:proofErr w:type="spellStart"/>
      <w:r w:rsidRPr="00072277">
        <w:rPr>
          <w:i/>
          <w:iCs/>
        </w:rPr>
        <w:t>euro</w:t>
      </w:r>
      <w:proofErr w:type="spellEnd"/>
      <w:r w:rsidRPr="00072277">
        <w:t xml:space="preserve"> jeb 12,0% vairāk nekā plānots 2018.gadā. 2017.gadā valsts pamatbudžetā ieņēmumi no maksas pakal</w:t>
      </w:r>
      <w:r w:rsidRPr="00072277">
        <w:softHyphen/>
        <w:t xml:space="preserve">pojumiem un citiem pašu ieņēmumiem bija plānoti 86,1 milj. </w:t>
      </w:r>
      <w:proofErr w:type="spellStart"/>
      <w:r w:rsidRPr="00072277">
        <w:rPr>
          <w:i/>
          <w:iCs/>
        </w:rPr>
        <w:t>euro</w:t>
      </w:r>
      <w:proofErr w:type="spellEnd"/>
      <w:r w:rsidRPr="00072277">
        <w:t xml:space="preserve"> apmērā. Valsts speciālajā budžetā ieņēmumi no maksas pakalpojumiem un citiem pašu ieņēmumiem 2019.gadā plānoti 0,02 milj. </w:t>
      </w:r>
      <w:proofErr w:type="spellStart"/>
      <w:r w:rsidRPr="00072277">
        <w:rPr>
          <w:i/>
          <w:iCs/>
        </w:rPr>
        <w:t>euro</w:t>
      </w:r>
      <w:proofErr w:type="spellEnd"/>
      <w:r w:rsidRPr="00072277">
        <w:t xml:space="preserve"> apmērā, kas ir tādā pašā apmērā kā plānots 2018.gadā.</w:t>
      </w:r>
    </w:p>
    <w:p w:rsidR="009050B8" w:rsidRDefault="007737B3" w:rsidP="00207E07">
      <w:r w:rsidRPr="00072277">
        <w:lastRenderedPageBreak/>
        <w:t>Valsts pamatbudžetā ieņēmumi no ārvalstu finanšu palīdzības saskaņā ar likum</w:t>
      </w:r>
      <w:r w:rsidR="0088203A">
        <w:t>u</w:t>
      </w:r>
      <w:r w:rsidRPr="00072277">
        <w:t xml:space="preserve"> “Par valsts budžetu 2019.gadam” tiek plānoti 1 125,2 milj. </w:t>
      </w:r>
      <w:proofErr w:type="spellStart"/>
      <w:r w:rsidRPr="00072277">
        <w:rPr>
          <w:i/>
          <w:iCs/>
        </w:rPr>
        <w:t>euro</w:t>
      </w:r>
      <w:proofErr w:type="spellEnd"/>
      <w:r w:rsidRPr="00072277">
        <w:t xml:space="preserve"> apmērā, kas ir par 89,2 milj. </w:t>
      </w:r>
      <w:proofErr w:type="spellStart"/>
      <w:r w:rsidRPr="00072277">
        <w:rPr>
          <w:i/>
          <w:iCs/>
        </w:rPr>
        <w:t>euro</w:t>
      </w:r>
      <w:proofErr w:type="spellEnd"/>
      <w:r w:rsidRPr="00072277">
        <w:t xml:space="preserve"> jeb 7,3% mazāk nekā plānots 2018.gadā. 2017.gadā valsts pamatbudžetā ieņēmumi no ārvalstu finanšu palīdzības bija plānoti 1120,2 milj. </w:t>
      </w:r>
      <w:proofErr w:type="spellStart"/>
      <w:r w:rsidRPr="00072277">
        <w:rPr>
          <w:i/>
          <w:iCs/>
        </w:rPr>
        <w:t>euro</w:t>
      </w:r>
      <w:proofErr w:type="spellEnd"/>
      <w:r w:rsidRPr="00072277">
        <w:t xml:space="preserve"> apmērā.</w:t>
      </w:r>
    </w:p>
    <w:p w:rsidR="00207E07" w:rsidRPr="00207E07" w:rsidRDefault="00207E07" w:rsidP="00207E07">
      <w:pPr>
        <w:rPr>
          <w:sz w:val="36"/>
          <w:szCs w:val="36"/>
        </w:rPr>
      </w:pPr>
    </w:p>
    <w:p w:rsidR="009050B8" w:rsidRPr="00B22DC7" w:rsidRDefault="009050B8" w:rsidP="009050B8">
      <w:pPr>
        <w:spacing w:after="0"/>
        <w:ind w:hanging="284"/>
        <w:jc w:val="center"/>
        <w:outlineLvl w:val="1"/>
        <w:rPr>
          <w:sz w:val="36"/>
          <w:szCs w:val="36"/>
        </w:rPr>
      </w:pPr>
      <w:bookmarkStart w:id="21" w:name="_Toc150840169"/>
      <w:bookmarkStart w:id="22" w:name="_Toc150941359"/>
      <w:r w:rsidRPr="009050B8">
        <w:rPr>
          <w:rFonts w:eastAsiaTheme="majorEastAsia" w:cstheme="majorBidi"/>
          <w:b/>
          <w:bCs/>
          <w:smallCaps/>
          <w:color w:val="000000" w:themeColor="text1"/>
          <w:sz w:val="36"/>
          <w:szCs w:val="36"/>
        </w:rPr>
        <w:t xml:space="preserve">3.5. </w:t>
      </w:r>
      <w:r w:rsidRPr="009050B8">
        <w:rPr>
          <w:rFonts w:eastAsiaTheme="majorEastAsia"/>
          <w:b/>
          <w:sz w:val="36"/>
          <w:szCs w:val="36"/>
        </w:rPr>
        <w:t>Ieņēmumu prognoze vidējam termiņam, tās salīdzinājums ar iepriekšējā vidēja termiņa budžeta ietvara likumā vidējam termiņam noteikto ieņēmumu prognozi</w:t>
      </w:r>
    </w:p>
    <w:p w:rsidR="009050B8" w:rsidRPr="00B22DC7" w:rsidRDefault="009050B8" w:rsidP="009050B8">
      <w:pPr>
        <w:spacing w:after="0"/>
        <w:ind w:firstLine="720"/>
        <w:rPr>
          <w:szCs w:val="24"/>
          <w:lang w:eastAsia="lv-LV"/>
        </w:rPr>
      </w:pPr>
    </w:p>
    <w:p w:rsidR="009050B8" w:rsidRDefault="009050B8" w:rsidP="009050B8">
      <w:pPr>
        <w:spacing w:after="0"/>
        <w:rPr>
          <w:szCs w:val="28"/>
          <w:lang w:eastAsia="lv-LV"/>
        </w:rPr>
      </w:pPr>
      <w:r w:rsidRPr="005B57BB">
        <w:rPr>
          <w:szCs w:val="28"/>
          <w:lang w:eastAsia="lv-LV"/>
        </w:rPr>
        <w:t>Ņemot vērā, ka 2017.gada 24.maijā tika apstiprinātas</w:t>
      </w:r>
      <w:r w:rsidRPr="005B57BB">
        <w:rPr>
          <w:i/>
          <w:szCs w:val="28"/>
          <w:lang w:eastAsia="lv-LV"/>
        </w:rPr>
        <w:t xml:space="preserve"> Valsts nodokļu politikas pamatnostādnes 2018. – 2021.gadam</w:t>
      </w:r>
      <w:r w:rsidRPr="005B57BB">
        <w:rPr>
          <w:szCs w:val="28"/>
          <w:lang w:eastAsia="lv-LV"/>
        </w:rPr>
        <w:t>, sastādot 2019.gada budžeta prognozes, būtiskas papildu nodokļu politikas izmaiņas netika veiktas.</w:t>
      </w:r>
    </w:p>
    <w:p w:rsidR="009050B8" w:rsidRPr="005B57BB" w:rsidRDefault="009050B8" w:rsidP="009050B8">
      <w:pPr>
        <w:spacing w:after="0"/>
        <w:rPr>
          <w:rFonts w:eastAsia="Calibri"/>
          <w:color w:val="000000" w:themeColor="text1"/>
          <w:sz w:val="28"/>
          <w:szCs w:val="28"/>
          <w:u w:val="single"/>
          <w:lang w:eastAsia="lv-LV"/>
        </w:rPr>
      </w:pPr>
      <w:r>
        <w:rPr>
          <w:szCs w:val="28"/>
          <w:lang w:eastAsia="lv-LV"/>
        </w:rPr>
        <w:t xml:space="preserve">Būtiskākās </w:t>
      </w:r>
      <w:r>
        <w:rPr>
          <w:rFonts w:eastAsia="Calibri"/>
          <w:color w:val="000000" w:themeColor="text1"/>
          <w:szCs w:val="24"/>
          <w:lang w:eastAsia="lv-LV"/>
        </w:rPr>
        <w:t>2018.gadā pieņemtās normatīvo aktu</w:t>
      </w:r>
      <w:r w:rsidRPr="005B57BB">
        <w:rPr>
          <w:rFonts w:eastAsia="Calibri"/>
          <w:color w:val="000000" w:themeColor="text1"/>
          <w:szCs w:val="24"/>
          <w:lang w:eastAsia="lv-LV"/>
        </w:rPr>
        <w:t xml:space="preserve"> i</w:t>
      </w:r>
      <w:r>
        <w:rPr>
          <w:rFonts w:eastAsia="Calibri"/>
          <w:color w:val="000000" w:themeColor="text1"/>
          <w:szCs w:val="24"/>
          <w:lang w:eastAsia="lv-LV"/>
        </w:rPr>
        <w:t>zmaiņas, kas ietekmē nodokļu ieņēmumu prognozes vidējam termiņam:</w:t>
      </w:r>
    </w:p>
    <w:p w:rsidR="009050B8" w:rsidRPr="005B57BB" w:rsidRDefault="009050B8" w:rsidP="009050B8">
      <w:pPr>
        <w:numPr>
          <w:ilvl w:val="0"/>
          <w:numId w:val="33"/>
        </w:numPr>
        <w:spacing w:before="120"/>
        <w:contextualSpacing/>
        <w:rPr>
          <w:rFonts w:eastAsiaTheme="minorHAnsi"/>
          <w:szCs w:val="24"/>
        </w:rPr>
      </w:pPr>
      <w:r w:rsidRPr="005B57BB">
        <w:rPr>
          <w:rFonts w:eastAsia="Calibri"/>
          <w:szCs w:val="24"/>
          <w:lang w:eastAsia="lv-LV"/>
        </w:rPr>
        <w:t>Saskaņā ar 2018.gada 25.oktobra grozījumiem likumā “Par valsts sociālo apdrošināšanu”, sākot ar 2019. gada 1. janvāri valsts sociālo apdrošināšanas obligāto iemaksu maksimālais objekts tiek aprēķināts un noteikts nākamajiem trim gadiem 62 800 </w:t>
      </w:r>
      <w:proofErr w:type="spellStart"/>
      <w:r w:rsidRPr="005B57BB">
        <w:rPr>
          <w:rFonts w:eastAsiaTheme="minorHAnsi"/>
          <w:i/>
          <w:szCs w:val="24"/>
        </w:rPr>
        <w:t>euro</w:t>
      </w:r>
      <w:proofErr w:type="spellEnd"/>
      <w:r w:rsidRPr="005B57BB">
        <w:rPr>
          <w:rFonts w:eastAsiaTheme="minorHAnsi"/>
          <w:szCs w:val="24"/>
        </w:rPr>
        <w:t xml:space="preserve"> apmērā.</w:t>
      </w:r>
    </w:p>
    <w:p w:rsidR="009050B8" w:rsidRPr="005B57BB" w:rsidRDefault="009050B8" w:rsidP="009050B8">
      <w:pPr>
        <w:numPr>
          <w:ilvl w:val="0"/>
          <w:numId w:val="33"/>
        </w:numPr>
        <w:spacing w:before="120" w:after="0"/>
        <w:contextualSpacing/>
        <w:rPr>
          <w:rFonts w:eastAsiaTheme="minorHAnsi"/>
          <w:szCs w:val="24"/>
          <w:lang w:eastAsia="lv-LV"/>
        </w:rPr>
      </w:pPr>
      <w:r w:rsidRPr="005B57BB">
        <w:rPr>
          <w:rFonts w:eastAsiaTheme="minorHAnsi"/>
          <w:szCs w:val="24"/>
        </w:rPr>
        <w:t>Saskaņā ar 2018.gada 27.</w:t>
      </w:r>
      <w:r w:rsidRPr="005B57BB">
        <w:rPr>
          <w:rFonts w:eastAsiaTheme="minorHAnsi"/>
          <w:noProof/>
          <w:szCs w:val="24"/>
        </w:rPr>
        <w:t xml:space="preserve">septembra grozījumiem likumā “Par iedzīvotāju ienākuma nodokli” </w:t>
      </w:r>
      <w:r w:rsidRPr="005B57BB">
        <w:rPr>
          <w:rFonts w:eastAsia="Calibri"/>
          <w:noProof/>
          <w:szCs w:val="24"/>
          <w:lang w:eastAsia="lv-LV"/>
        </w:rPr>
        <w:t xml:space="preserve">paredzēts </w:t>
      </w:r>
      <w:r w:rsidRPr="005B57BB">
        <w:rPr>
          <w:rFonts w:eastAsiaTheme="minorHAnsi"/>
          <w:szCs w:val="24"/>
        </w:rPr>
        <w:t>paaugstināt neapliekamo minimumu pe</w:t>
      </w:r>
      <w:r>
        <w:rPr>
          <w:rFonts w:eastAsiaTheme="minorHAnsi"/>
          <w:szCs w:val="24"/>
        </w:rPr>
        <w:t>nsionāriem 2021.gadā – līdz 330 </w:t>
      </w:r>
      <w:proofErr w:type="spellStart"/>
      <w:r w:rsidRPr="005B57BB">
        <w:rPr>
          <w:rFonts w:eastAsiaTheme="minorHAnsi"/>
          <w:i/>
          <w:szCs w:val="24"/>
        </w:rPr>
        <w:t>euro</w:t>
      </w:r>
      <w:proofErr w:type="spellEnd"/>
      <w:r w:rsidRPr="005B57BB">
        <w:rPr>
          <w:rFonts w:eastAsiaTheme="minorHAnsi"/>
          <w:szCs w:val="24"/>
        </w:rPr>
        <w:t xml:space="preserve"> mēnesī.</w:t>
      </w:r>
    </w:p>
    <w:p w:rsidR="009050B8" w:rsidRPr="005B57BB" w:rsidRDefault="009050B8" w:rsidP="009050B8">
      <w:pPr>
        <w:numPr>
          <w:ilvl w:val="0"/>
          <w:numId w:val="33"/>
        </w:numPr>
        <w:spacing w:before="120" w:after="0"/>
        <w:ind w:right="142"/>
        <w:contextualSpacing/>
        <w:rPr>
          <w:spacing w:val="-2"/>
          <w:szCs w:val="24"/>
        </w:rPr>
      </w:pPr>
      <w:r w:rsidRPr="005B57BB">
        <w:rPr>
          <w:rFonts w:eastAsiaTheme="minorHAnsi"/>
          <w:szCs w:val="24"/>
          <w:lang w:eastAsia="lv-LV"/>
        </w:rPr>
        <w:t>Saskaņā ar 2018.gada 20.decembra grozījumiem likumā “Solidaritātes nodokļa likums”, sākot ar 2019.gada 3.janvāri solidaritātes nodokļa likme ir 25,5 procenti. Taksācijas periodā solidaritātes nodokļa objektam piemēro tādu pašu likmi, kādu piemēro valsts sociālās apdrošināšanas obligāto iemaksu objektam, un Valsts ieņēmumu dienests līdz pēctaksācijas gada 1.septembrim rezumējošā kārtībā veic pārmaksātā solidaritātes nodokļa atmaksu (starpību starp taksācijas periodā samaksāto solidaritātes nodokli, kas aprēķināts, piemērojot augstāku valsts sociālās apdrošināšanas obligāto iemaksu likmi un rezumējošā kārtībā aprēķināto solidaritātes nodokli, kas aprēķināts, piemērojot solidaritātes nodokļa likmi (25,5%)). Ar 2019.gada 3.janvāri arī ir noteikta jauna solidaritātes nodokļa sadalīšanas secība</w:t>
      </w:r>
      <w:r w:rsidRPr="005B57BB">
        <w:rPr>
          <w:spacing w:val="-2"/>
          <w:szCs w:val="24"/>
        </w:rPr>
        <w:t>, prioritāti piešķirot ar solidaritāti saistītām sadaļām,:</w:t>
      </w:r>
    </w:p>
    <w:p w:rsidR="009050B8" w:rsidRPr="005B57BB" w:rsidRDefault="009050B8" w:rsidP="009050B8">
      <w:pPr>
        <w:numPr>
          <w:ilvl w:val="2"/>
          <w:numId w:val="16"/>
        </w:numPr>
        <w:spacing w:before="120" w:after="0"/>
        <w:ind w:right="142" w:hanging="459"/>
        <w:contextualSpacing/>
        <w:rPr>
          <w:spacing w:val="-2"/>
          <w:szCs w:val="24"/>
        </w:rPr>
      </w:pPr>
      <w:r w:rsidRPr="005B57BB">
        <w:rPr>
          <w:spacing w:val="-2"/>
          <w:szCs w:val="24"/>
        </w:rPr>
        <w:t>1 procentpunkta apmērā veselības aprūpes pakalpojumu finansēšanai (2018.g</w:t>
      </w:r>
      <w:r>
        <w:rPr>
          <w:spacing w:val="-2"/>
          <w:szCs w:val="24"/>
        </w:rPr>
        <w:t>adā 1 </w:t>
      </w:r>
      <w:r w:rsidRPr="005B57BB">
        <w:rPr>
          <w:spacing w:val="-2"/>
          <w:szCs w:val="24"/>
        </w:rPr>
        <w:t>procentpunkts);</w:t>
      </w:r>
    </w:p>
    <w:p w:rsidR="009050B8" w:rsidRPr="005B57BB" w:rsidRDefault="009050B8" w:rsidP="009050B8">
      <w:pPr>
        <w:numPr>
          <w:ilvl w:val="2"/>
          <w:numId w:val="16"/>
        </w:numPr>
        <w:spacing w:before="120" w:after="0"/>
        <w:ind w:right="142" w:hanging="459"/>
        <w:contextualSpacing/>
        <w:rPr>
          <w:spacing w:val="-2"/>
          <w:szCs w:val="24"/>
        </w:rPr>
      </w:pPr>
      <w:r w:rsidRPr="005B57BB">
        <w:rPr>
          <w:spacing w:val="-2"/>
          <w:szCs w:val="24"/>
        </w:rPr>
        <w:t>14 procentpunktu apmērā valsts pensiju speciālajā budžetā (2018.</w:t>
      </w:r>
      <w:r>
        <w:rPr>
          <w:spacing w:val="-2"/>
          <w:szCs w:val="24"/>
        </w:rPr>
        <w:t>gadā 13,59 </w:t>
      </w:r>
      <w:r w:rsidRPr="005B57BB">
        <w:rPr>
          <w:spacing w:val="-2"/>
          <w:szCs w:val="24"/>
        </w:rPr>
        <w:t>procentpunkti);</w:t>
      </w:r>
    </w:p>
    <w:p w:rsidR="009050B8" w:rsidRPr="005B57BB" w:rsidRDefault="009050B8" w:rsidP="009050B8">
      <w:pPr>
        <w:numPr>
          <w:ilvl w:val="2"/>
          <w:numId w:val="16"/>
        </w:numPr>
        <w:spacing w:before="120" w:after="0"/>
        <w:ind w:right="142" w:hanging="459"/>
        <w:contextualSpacing/>
        <w:rPr>
          <w:spacing w:val="-2"/>
          <w:szCs w:val="24"/>
        </w:rPr>
      </w:pPr>
      <w:r w:rsidRPr="005B57BB">
        <w:rPr>
          <w:spacing w:val="-2"/>
          <w:szCs w:val="24"/>
        </w:rPr>
        <w:t>10,5 procentpunktu apmērā iedzīvotāju ienākuma nodokļa kontā Valsts kasē (2018.</w:t>
      </w:r>
      <w:r>
        <w:rPr>
          <w:spacing w:val="-2"/>
          <w:szCs w:val="24"/>
        </w:rPr>
        <w:t>gadā 10,5 </w:t>
      </w:r>
      <w:r w:rsidRPr="005B57BB">
        <w:rPr>
          <w:spacing w:val="-2"/>
          <w:szCs w:val="24"/>
        </w:rPr>
        <w:t>procentpunkti).</w:t>
      </w:r>
      <w:r w:rsidRPr="005B57BB" w:rsidDel="00765998">
        <w:rPr>
          <w:spacing w:val="-2"/>
          <w:szCs w:val="24"/>
        </w:rPr>
        <w:t xml:space="preserve"> </w:t>
      </w:r>
    </w:p>
    <w:p w:rsidR="009050B8" w:rsidRPr="005B57BB" w:rsidRDefault="009050B8" w:rsidP="009050B8">
      <w:pPr>
        <w:spacing w:before="120" w:after="0"/>
        <w:ind w:left="709" w:right="142"/>
        <w:contextualSpacing/>
        <w:rPr>
          <w:spacing w:val="-2"/>
          <w:szCs w:val="24"/>
        </w:rPr>
      </w:pPr>
      <w:r w:rsidRPr="005B57BB">
        <w:rPr>
          <w:spacing w:val="-2"/>
          <w:szCs w:val="24"/>
        </w:rPr>
        <w:t>Solidaritātes nodokļa ieņēmumi vairāk netiek pārskaitīti uz 2. un 3. pensiju līmeni, kā tas bija 2018.gadā.</w:t>
      </w:r>
    </w:p>
    <w:p w:rsidR="009050B8" w:rsidRPr="00D81781" w:rsidRDefault="009050B8" w:rsidP="00D81781">
      <w:pPr>
        <w:pStyle w:val="ListParagraph"/>
        <w:numPr>
          <w:ilvl w:val="0"/>
          <w:numId w:val="33"/>
        </w:numPr>
        <w:spacing w:before="120"/>
        <w:rPr>
          <w:szCs w:val="24"/>
        </w:rPr>
      </w:pPr>
      <w:r w:rsidRPr="005B57BB">
        <w:rPr>
          <w:rFonts w:eastAsiaTheme="minorHAnsi"/>
          <w:szCs w:val="24"/>
          <w:lang w:eastAsia="lv-LV"/>
        </w:rPr>
        <w:t xml:space="preserve">Saskaņā ar 2018.gada 11.oktobra “Grozījumi Valsts </w:t>
      </w:r>
      <w:proofErr w:type="spellStart"/>
      <w:r w:rsidRPr="005B57BB">
        <w:rPr>
          <w:rFonts w:eastAsiaTheme="minorHAnsi"/>
          <w:szCs w:val="24"/>
          <w:lang w:eastAsia="lv-LV"/>
        </w:rPr>
        <w:t>fondēto</w:t>
      </w:r>
      <w:proofErr w:type="spellEnd"/>
      <w:r w:rsidRPr="005B57BB">
        <w:rPr>
          <w:rFonts w:eastAsiaTheme="minorHAnsi"/>
          <w:szCs w:val="24"/>
          <w:lang w:eastAsia="lv-LV"/>
        </w:rPr>
        <w:t xml:space="preserve"> pensiju likumā” ar 2020.gada 1.janvāri iemaksas </w:t>
      </w:r>
      <w:proofErr w:type="spellStart"/>
      <w:r w:rsidRPr="005B57BB">
        <w:rPr>
          <w:rFonts w:eastAsiaTheme="minorHAnsi"/>
          <w:szCs w:val="24"/>
          <w:lang w:eastAsia="lv-LV"/>
        </w:rPr>
        <w:t>fondēto</w:t>
      </w:r>
      <w:proofErr w:type="spellEnd"/>
      <w:r w:rsidRPr="005B57BB">
        <w:rPr>
          <w:rFonts w:eastAsiaTheme="minorHAnsi"/>
          <w:szCs w:val="24"/>
          <w:lang w:eastAsia="lv-LV"/>
        </w:rPr>
        <w:t xml:space="preserve"> pensiju shēmā būs daļa no faktiski veiktajām iemaksām valsts pensiju apdrošināšanai, izņemot obligātās iemaksas no sociālās apdrošināšanas speciālajiem budžetiem un valsts pamatbudžeta.</w:t>
      </w:r>
    </w:p>
    <w:p w:rsidR="009050B8" w:rsidRPr="005B57BB" w:rsidRDefault="009050B8" w:rsidP="009050B8">
      <w:pPr>
        <w:ind w:right="-1"/>
        <w:rPr>
          <w:szCs w:val="28"/>
          <w:lang w:eastAsia="lv-LV"/>
        </w:rPr>
      </w:pPr>
      <w:r w:rsidRPr="005B57BB">
        <w:rPr>
          <w:szCs w:val="28"/>
          <w:lang w:eastAsia="lv-LV"/>
        </w:rPr>
        <w:t xml:space="preserve">Prognozēs ietvertās izmaiņas saistītas </w:t>
      </w:r>
      <w:r>
        <w:rPr>
          <w:szCs w:val="28"/>
          <w:lang w:eastAsia="lv-LV"/>
        </w:rPr>
        <w:t xml:space="preserve">arī </w:t>
      </w:r>
      <w:r w:rsidRPr="005B57BB">
        <w:rPr>
          <w:szCs w:val="28"/>
          <w:lang w:eastAsia="lv-LV"/>
        </w:rPr>
        <w:t>ar ēnu ekonomikas samazināšanas un administrēšanas uzlabošanas pasākumiem. N</w:t>
      </w:r>
      <w:r w:rsidRPr="005B57BB">
        <w:rPr>
          <w:noProof/>
          <w:lang w:eastAsia="lv-LV"/>
        </w:rPr>
        <w:t xml:space="preserve">odokļu ieņēmumu plānā iekļauti ēnu ekonomikas </w:t>
      </w:r>
      <w:r w:rsidRPr="005B57BB">
        <w:rPr>
          <w:noProof/>
          <w:lang w:eastAsia="lv-LV"/>
        </w:rPr>
        <w:lastRenderedPageBreak/>
        <w:t>apkarošanas pasākumi, kas ietverti informatīvajā ziņojumā "Par makroekonomisko rādītāju, ieņēmumu un vispārējās valdības budžeta bilances prognozēm 2019.-2021.gadā", kas tika izskatīts Ministru kabineta sēdē 2019. gada 5. februārī:</w:t>
      </w:r>
    </w:p>
    <w:p w:rsidR="009050B8" w:rsidRPr="005B57BB" w:rsidRDefault="009050B8" w:rsidP="009050B8">
      <w:pPr>
        <w:numPr>
          <w:ilvl w:val="0"/>
          <w:numId w:val="8"/>
        </w:numPr>
        <w:spacing w:before="120"/>
        <w:ind w:right="-1"/>
        <w:contextualSpacing/>
        <w:rPr>
          <w:lang w:eastAsia="lv-LV"/>
        </w:rPr>
      </w:pPr>
      <w:r w:rsidRPr="005B57BB">
        <w:rPr>
          <w:lang w:eastAsia="lv-LV"/>
        </w:rPr>
        <w:t>skaidras naudas lietošanas lieguma sliekšņa mazināšana;</w:t>
      </w:r>
    </w:p>
    <w:p w:rsidR="009050B8" w:rsidRPr="005B57BB" w:rsidRDefault="009050B8" w:rsidP="009050B8">
      <w:pPr>
        <w:numPr>
          <w:ilvl w:val="0"/>
          <w:numId w:val="8"/>
        </w:numPr>
        <w:spacing w:before="120"/>
        <w:ind w:right="-1"/>
        <w:contextualSpacing/>
        <w:rPr>
          <w:lang w:eastAsia="lv-LV"/>
        </w:rPr>
      </w:pPr>
      <w:r w:rsidRPr="005B57BB">
        <w:rPr>
          <w:lang w:eastAsia="lv-LV"/>
        </w:rPr>
        <w:t>ziņošana par aizdomīgiem darījumiem;</w:t>
      </w:r>
    </w:p>
    <w:p w:rsidR="009050B8" w:rsidRPr="005B57BB" w:rsidRDefault="009050B8" w:rsidP="009050B8">
      <w:pPr>
        <w:numPr>
          <w:ilvl w:val="0"/>
          <w:numId w:val="8"/>
        </w:numPr>
        <w:spacing w:before="120"/>
        <w:ind w:right="-1"/>
        <w:contextualSpacing/>
        <w:rPr>
          <w:lang w:eastAsia="lv-LV"/>
        </w:rPr>
      </w:pPr>
      <w:r w:rsidRPr="005B57BB">
        <w:rPr>
          <w:lang w:eastAsia="lv-LV"/>
        </w:rPr>
        <w:t>nelicencētā azartspēļu un izložu tirgus samazināšana;</w:t>
      </w:r>
    </w:p>
    <w:p w:rsidR="009050B8" w:rsidRPr="005B57BB" w:rsidRDefault="009050B8" w:rsidP="009050B8">
      <w:pPr>
        <w:numPr>
          <w:ilvl w:val="0"/>
          <w:numId w:val="8"/>
        </w:numPr>
        <w:spacing w:before="120"/>
        <w:ind w:right="-1"/>
        <w:contextualSpacing/>
        <w:rPr>
          <w:lang w:eastAsia="lv-LV"/>
        </w:rPr>
      </w:pPr>
      <w:r w:rsidRPr="005B57BB">
        <w:rPr>
          <w:lang w:eastAsia="lv-LV"/>
        </w:rPr>
        <w:t>Lauku atbalsta dienesta elektroniskās pieteikšanās sistēmas efektīva izmantošana naftas produktu aprites uzraudzības un kontroles veikšanā;</w:t>
      </w:r>
    </w:p>
    <w:p w:rsidR="009050B8" w:rsidRPr="005B57BB" w:rsidRDefault="009050B8" w:rsidP="009050B8">
      <w:pPr>
        <w:numPr>
          <w:ilvl w:val="0"/>
          <w:numId w:val="8"/>
        </w:numPr>
        <w:spacing w:before="120"/>
        <w:ind w:right="-1"/>
        <w:contextualSpacing/>
      </w:pPr>
      <w:r w:rsidRPr="005B57BB">
        <w:rPr>
          <w:lang w:eastAsia="lv-LV"/>
        </w:rPr>
        <w:t>taksometru pakalpojumu nozares darbības sakārtošana;</w:t>
      </w:r>
    </w:p>
    <w:p w:rsidR="009050B8" w:rsidRPr="005B57BB" w:rsidRDefault="009050B8" w:rsidP="009050B8">
      <w:pPr>
        <w:numPr>
          <w:ilvl w:val="0"/>
          <w:numId w:val="8"/>
        </w:numPr>
        <w:spacing w:before="120"/>
        <w:ind w:right="-1"/>
        <w:contextualSpacing/>
      </w:pPr>
      <w:r w:rsidRPr="005B57BB">
        <w:rPr>
          <w:lang w:eastAsia="lv-LV"/>
        </w:rPr>
        <w:t>elektroniskā darba laika uzskaite būvniecībā.</w:t>
      </w:r>
    </w:p>
    <w:p w:rsidR="009050B8" w:rsidRDefault="009050B8" w:rsidP="009050B8">
      <w:pPr>
        <w:spacing w:before="120"/>
        <w:contextualSpacing/>
        <w:rPr>
          <w:noProof/>
          <w:lang w:eastAsia="lv-LV"/>
        </w:rPr>
      </w:pPr>
    </w:p>
    <w:p w:rsidR="009050B8" w:rsidRDefault="009050B8" w:rsidP="009050B8">
      <w:pPr>
        <w:spacing w:before="120"/>
        <w:contextualSpacing/>
      </w:pPr>
      <w:r w:rsidRPr="005B57BB">
        <w:rPr>
          <w:noProof/>
          <w:lang w:eastAsia="lv-LV"/>
        </w:rPr>
        <w:t xml:space="preserve">Tāpat 2019.gada </w:t>
      </w:r>
      <w:r>
        <w:rPr>
          <w:noProof/>
          <w:lang w:eastAsia="lv-LV"/>
        </w:rPr>
        <w:t>prognozēs</w:t>
      </w:r>
      <w:r w:rsidRPr="005B57BB">
        <w:rPr>
          <w:noProof/>
          <w:lang w:eastAsia="lv-LV"/>
        </w:rPr>
        <w:t xml:space="preserve"> ņemts vērā arī atgriezeniskais efekts uz darbaspēka nodokļiem un pievienotās vērtības nodokļa no darba samaksas paaugstināšanas veselības aprūpes darbiniekiem, tiesnešiem un prokuroriem, izdienas piemaksu nodrošināšanai Korupcijas novēršanas un apkarošanas birojam un izdienas pabalsts pēc katriem pieciem nepārtrauktas izdienas gadiem Iekšlietu ministrijas amatpersonām. </w:t>
      </w:r>
      <w:r w:rsidR="00B75DFA">
        <w:rPr>
          <w:noProof/>
          <w:lang w:eastAsia="lv-LV"/>
        </w:rPr>
        <w:t>Papildus tam</w:t>
      </w:r>
      <w:r w:rsidRPr="005B57BB">
        <w:rPr>
          <w:noProof/>
          <w:lang w:eastAsia="lv-LV"/>
        </w:rPr>
        <w:t xml:space="preserve"> ietverti arī citi prognozes koriģējoši pasākumi, kas tika izskatīti </w:t>
      </w:r>
      <w:r w:rsidRPr="005B57BB">
        <w:t>Ministru kabineta 2019.gada 8.februāra sēdē informatīvajā ziņojumā “Par fiskālo telpu palielinošiem pasākumiem un izdevumiem prioritārajiem pasākumiem valsts budžetam 2019.gadam”.</w:t>
      </w:r>
    </w:p>
    <w:p w:rsidR="009050B8" w:rsidRPr="00B22DC7" w:rsidRDefault="009050B8" w:rsidP="009050B8">
      <w:pPr>
        <w:spacing w:after="0"/>
        <w:ind w:firstLine="720"/>
        <w:rPr>
          <w:szCs w:val="24"/>
          <w:lang w:eastAsia="lv-LV"/>
        </w:rPr>
      </w:pPr>
    </w:p>
    <w:p w:rsidR="009050B8" w:rsidRPr="005F0691" w:rsidRDefault="009050B8" w:rsidP="009050B8">
      <w:pPr>
        <w:spacing w:after="0"/>
        <w:rPr>
          <w:szCs w:val="24"/>
        </w:rPr>
      </w:pPr>
      <w:r w:rsidRPr="0078209B">
        <w:rPr>
          <w:szCs w:val="24"/>
        </w:rPr>
        <w:t xml:space="preserve">Saskaņā ar vidēja termiņa </w:t>
      </w:r>
      <w:r>
        <w:rPr>
          <w:szCs w:val="24"/>
        </w:rPr>
        <w:t>prognozēm</w:t>
      </w:r>
      <w:r w:rsidRPr="0078209B">
        <w:rPr>
          <w:szCs w:val="24"/>
        </w:rPr>
        <w:t xml:space="preserve"> 2019.gadā kopbudžeta nodok</w:t>
      </w:r>
      <w:r w:rsidR="00414EC0">
        <w:rPr>
          <w:szCs w:val="24"/>
        </w:rPr>
        <w:t xml:space="preserve">ļu ieņēmumi tiek plānoti </w:t>
      </w:r>
      <w:r w:rsidR="00414EC0" w:rsidRPr="00CA75C6">
        <w:rPr>
          <w:szCs w:val="24"/>
        </w:rPr>
        <w:t>9 043,7</w:t>
      </w:r>
      <w:r w:rsidRPr="00CA75C6">
        <w:rPr>
          <w:szCs w:val="24"/>
        </w:rPr>
        <w:t> milj. </w:t>
      </w:r>
      <w:proofErr w:type="spellStart"/>
      <w:r w:rsidRPr="00CA75C6">
        <w:rPr>
          <w:i/>
          <w:szCs w:val="24"/>
        </w:rPr>
        <w:t>euro</w:t>
      </w:r>
      <w:proofErr w:type="spellEnd"/>
      <w:r w:rsidR="00414EC0" w:rsidRPr="00CA75C6">
        <w:rPr>
          <w:szCs w:val="24"/>
        </w:rPr>
        <w:t>, 2020.gadā 9 691,0</w:t>
      </w:r>
      <w:r w:rsidRPr="00CA75C6">
        <w:rPr>
          <w:szCs w:val="24"/>
        </w:rPr>
        <w:t> milj. </w:t>
      </w:r>
      <w:proofErr w:type="spellStart"/>
      <w:r w:rsidRPr="00CA75C6">
        <w:rPr>
          <w:i/>
          <w:szCs w:val="24"/>
        </w:rPr>
        <w:t>euro</w:t>
      </w:r>
      <w:proofErr w:type="spellEnd"/>
      <w:r w:rsidR="00414EC0" w:rsidRPr="00CA75C6">
        <w:rPr>
          <w:szCs w:val="24"/>
        </w:rPr>
        <w:t xml:space="preserve"> un 2021.gadā 10 206,2</w:t>
      </w:r>
      <w:r w:rsidRPr="00CA75C6">
        <w:rPr>
          <w:szCs w:val="24"/>
        </w:rPr>
        <w:t> milj. </w:t>
      </w:r>
      <w:proofErr w:type="spellStart"/>
      <w:r w:rsidRPr="00CA75C6">
        <w:rPr>
          <w:i/>
          <w:szCs w:val="24"/>
        </w:rPr>
        <w:t>euro</w:t>
      </w:r>
      <w:proofErr w:type="spellEnd"/>
      <w:r w:rsidRPr="00CA75C6">
        <w:rPr>
          <w:szCs w:val="24"/>
        </w:rPr>
        <w:t xml:space="preserve"> apmērā. Prognožu pamatā ir:</w:t>
      </w:r>
    </w:p>
    <w:p w:rsidR="009050B8" w:rsidRPr="008D60C9" w:rsidRDefault="009050B8" w:rsidP="009050B8">
      <w:pPr>
        <w:numPr>
          <w:ilvl w:val="0"/>
          <w:numId w:val="31"/>
        </w:numPr>
        <w:spacing w:after="0"/>
        <w:ind w:left="709" w:hanging="425"/>
        <w:rPr>
          <w:szCs w:val="24"/>
        </w:rPr>
      </w:pPr>
      <w:r w:rsidRPr="008D60C9">
        <w:rPr>
          <w:szCs w:val="24"/>
        </w:rPr>
        <w:t>2018.gada faktiskās izpildes tendences;</w:t>
      </w:r>
    </w:p>
    <w:p w:rsidR="009050B8" w:rsidRPr="008D60C9" w:rsidRDefault="009050B8" w:rsidP="009050B8">
      <w:pPr>
        <w:numPr>
          <w:ilvl w:val="0"/>
          <w:numId w:val="31"/>
        </w:numPr>
        <w:spacing w:after="0"/>
        <w:ind w:left="709" w:hanging="425"/>
        <w:rPr>
          <w:szCs w:val="24"/>
        </w:rPr>
      </w:pPr>
      <w:r w:rsidRPr="008D60C9">
        <w:rPr>
          <w:szCs w:val="24"/>
        </w:rPr>
        <w:t>prognozētā ekonomiskā izaugsme;</w:t>
      </w:r>
    </w:p>
    <w:p w:rsidR="009050B8" w:rsidRPr="008D60C9" w:rsidRDefault="009050B8" w:rsidP="009050B8">
      <w:pPr>
        <w:numPr>
          <w:ilvl w:val="0"/>
          <w:numId w:val="31"/>
        </w:numPr>
        <w:spacing w:after="0"/>
        <w:ind w:left="709" w:hanging="425"/>
        <w:rPr>
          <w:szCs w:val="24"/>
        </w:rPr>
      </w:pPr>
      <w:r w:rsidRPr="008D60C9">
        <w:rPr>
          <w:szCs w:val="24"/>
        </w:rPr>
        <w:t>Valsts nodokļu politikas pamatnostādņu 2018. – 2021.gadam apstiprinātie nodokļu reformas pasākumi;</w:t>
      </w:r>
    </w:p>
    <w:p w:rsidR="009050B8" w:rsidRPr="005F0691" w:rsidRDefault="009050B8" w:rsidP="009050B8">
      <w:pPr>
        <w:numPr>
          <w:ilvl w:val="0"/>
          <w:numId w:val="31"/>
        </w:numPr>
        <w:spacing w:after="0"/>
        <w:ind w:left="709" w:hanging="425"/>
        <w:rPr>
          <w:szCs w:val="24"/>
        </w:rPr>
      </w:pPr>
      <w:r w:rsidRPr="008D60C9">
        <w:rPr>
          <w:szCs w:val="24"/>
        </w:rPr>
        <w:t>Ministru kabinetā un Saeimā apstiprinātie pasākumi</w:t>
      </w:r>
      <w:r w:rsidRPr="005F0691">
        <w:rPr>
          <w:szCs w:val="24"/>
        </w:rPr>
        <w:t>.</w:t>
      </w:r>
    </w:p>
    <w:p w:rsidR="009050B8" w:rsidRPr="00B22DC7" w:rsidRDefault="009050B8" w:rsidP="009050B8">
      <w:pPr>
        <w:spacing w:after="0"/>
        <w:ind w:firstLine="720"/>
        <w:rPr>
          <w:szCs w:val="24"/>
        </w:rPr>
      </w:pPr>
    </w:p>
    <w:p w:rsidR="009050B8" w:rsidRPr="005F0691" w:rsidRDefault="009050B8" w:rsidP="009050B8">
      <w:pPr>
        <w:spacing w:after="0"/>
        <w:ind w:firstLine="720"/>
        <w:rPr>
          <w:szCs w:val="24"/>
        </w:rPr>
      </w:pPr>
      <w:r w:rsidRPr="005F0691">
        <w:rPr>
          <w:szCs w:val="24"/>
        </w:rPr>
        <w:t xml:space="preserve">2019., 2020. un 2021.gada nodokļu ieņēmumu </w:t>
      </w:r>
      <w:r>
        <w:rPr>
          <w:szCs w:val="24"/>
        </w:rPr>
        <w:t>prognozēs</w:t>
      </w:r>
      <w:r w:rsidRPr="005F0691">
        <w:rPr>
          <w:szCs w:val="24"/>
        </w:rPr>
        <w:t xml:space="preserve"> ņemts vērā: </w:t>
      </w:r>
    </w:p>
    <w:p w:rsidR="009050B8" w:rsidRPr="005F0691" w:rsidRDefault="009050B8" w:rsidP="009050B8">
      <w:pPr>
        <w:numPr>
          <w:ilvl w:val="0"/>
          <w:numId w:val="32"/>
        </w:numPr>
        <w:spacing w:after="0"/>
        <w:contextualSpacing/>
        <w:rPr>
          <w:szCs w:val="24"/>
        </w:rPr>
      </w:pPr>
      <w:r w:rsidRPr="005F0691">
        <w:rPr>
          <w:szCs w:val="24"/>
        </w:rPr>
        <w:t>IKP pieaugums 2019.gadā +6,2%, 2020.gadā  +5,8% un 2021.gadā +5,5%;</w:t>
      </w:r>
    </w:p>
    <w:p w:rsidR="009050B8" w:rsidRPr="005F0691" w:rsidRDefault="009050B8" w:rsidP="009050B8">
      <w:pPr>
        <w:numPr>
          <w:ilvl w:val="0"/>
          <w:numId w:val="32"/>
        </w:numPr>
        <w:spacing w:after="0"/>
        <w:contextualSpacing/>
        <w:rPr>
          <w:szCs w:val="24"/>
        </w:rPr>
      </w:pPr>
      <w:r w:rsidRPr="005F0691">
        <w:rPr>
          <w:szCs w:val="24"/>
        </w:rPr>
        <w:t>darba samaksas fonda pieaugums 2019.gadā +6,1%, 2020.gadā +5,5% un 2021.gadā +4,9%;</w:t>
      </w:r>
    </w:p>
    <w:p w:rsidR="009050B8" w:rsidRPr="00D63998" w:rsidRDefault="009050B8" w:rsidP="009050B8">
      <w:pPr>
        <w:numPr>
          <w:ilvl w:val="0"/>
          <w:numId w:val="32"/>
        </w:numPr>
        <w:spacing w:after="0"/>
        <w:contextualSpacing/>
        <w:rPr>
          <w:szCs w:val="24"/>
        </w:rPr>
      </w:pPr>
      <w:r w:rsidRPr="00D63998">
        <w:rPr>
          <w:szCs w:val="24"/>
        </w:rPr>
        <w:t>preču un pakalpojumu eksporta pieaugums 2019.gadā +7,3</w:t>
      </w:r>
      <w:r>
        <w:rPr>
          <w:szCs w:val="24"/>
        </w:rPr>
        <w:t>%, 2020</w:t>
      </w:r>
      <w:r w:rsidRPr="00D63998">
        <w:rPr>
          <w:szCs w:val="24"/>
        </w:rPr>
        <w:t>.un 202</w:t>
      </w:r>
      <w:r>
        <w:rPr>
          <w:szCs w:val="24"/>
        </w:rPr>
        <w:t>1</w:t>
      </w:r>
      <w:r w:rsidRPr="00D63998">
        <w:rPr>
          <w:szCs w:val="24"/>
        </w:rPr>
        <w:t>.gadā +7,2%;</w:t>
      </w:r>
    </w:p>
    <w:p w:rsidR="009050B8" w:rsidRPr="00D63998" w:rsidRDefault="009050B8" w:rsidP="009050B8">
      <w:pPr>
        <w:numPr>
          <w:ilvl w:val="0"/>
          <w:numId w:val="32"/>
        </w:numPr>
        <w:spacing w:after="0"/>
        <w:contextualSpacing/>
        <w:rPr>
          <w:szCs w:val="24"/>
        </w:rPr>
      </w:pPr>
      <w:r w:rsidRPr="00D63998">
        <w:rPr>
          <w:szCs w:val="24"/>
        </w:rPr>
        <w:t xml:space="preserve">preču un pakalpojumu importa pieaugums 2019.gadā +8,1%, 2020. un 2021.gadā +8,6%; </w:t>
      </w:r>
    </w:p>
    <w:p w:rsidR="009050B8" w:rsidRPr="00D63998" w:rsidRDefault="009050B8" w:rsidP="009050B8">
      <w:pPr>
        <w:numPr>
          <w:ilvl w:val="0"/>
          <w:numId w:val="32"/>
        </w:numPr>
        <w:spacing w:after="0"/>
        <w:contextualSpacing/>
        <w:rPr>
          <w:szCs w:val="24"/>
        </w:rPr>
      </w:pPr>
      <w:r>
        <w:rPr>
          <w:szCs w:val="24"/>
        </w:rPr>
        <w:t>inflācijas pieaugums 2019. gadā +2,5 procentpunkti, 2020. gadā +2,2 un 2021. gadā +2,1 </w:t>
      </w:r>
      <w:r w:rsidRPr="00D63998">
        <w:rPr>
          <w:szCs w:val="24"/>
        </w:rPr>
        <w:t>procentpunkti.</w:t>
      </w:r>
    </w:p>
    <w:bookmarkEnd w:id="21"/>
    <w:bookmarkEnd w:id="22"/>
    <w:p w:rsidR="009050B8" w:rsidRDefault="009050B8" w:rsidP="00A170EA">
      <w:pPr>
        <w:pStyle w:val="H2"/>
      </w:pPr>
    </w:p>
    <w:p w:rsidR="003C3991" w:rsidRPr="00254769" w:rsidRDefault="003C3991" w:rsidP="003C3991">
      <w:pPr>
        <w:spacing w:after="0"/>
        <w:jc w:val="center"/>
        <w:rPr>
          <w:b/>
          <w:i/>
          <w:szCs w:val="24"/>
        </w:rPr>
      </w:pPr>
      <w:r>
        <w:rPr>
          <w:b/>
          <w:i/>
          <w:szCs w:val="24"/>
        </w:rPr>
        <w:t xml:space="preserve">3.20. tabula. </w:t>
      </w:r>
      <w:r w:rsidRPr="00254769">
        <w:rPr>
          <w:b/>
          <w:i/>
          <w:szCs w:val="24"/>
        </w:rPr>
        <w:t>Kopbudžeta nodokļu ieņēmumi</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993"/>
        <w:gridCol w:w="992"/>
        <w:gridCol w:w="993"/>
        <w:gridCol w:w="985"/>
      </w:tblGrid>
      <w:tr w:rsidR="005011D5" w:rsidRPr="00254769" w:rsidTr="00F44B3C">
        <w:trPr>
          <w:trHeight w:val="324"/>
          <w:jc w:val="center"/>
        </w:trPr>
        <w:tc>
          <w:tcPr>
            <w:tcW w:w="5098" w:type="dxa"/>
            <w:shd w:val="clear" w:color="auto" w:fill="95B3D7" w:themeFill="accent1" w:themeFillTint="99"/>
            <w:noWrap/>
            <w:vAlign w:val="center"/>
            <w:hideMark/>
          </w:tcPr>
          <w:p w:rsidR="003C3991" w:rsidRPr="00254769" w:rsidRDefault="003C3991" w:rsidP="005567D2">
            <w:pPr>
              <w:spacing w:after="0"/>
              <w:rPr>
                <w:b/>
                <w:bCs/>
                <w:color w:val="000000"/>
                <w:sz w:val="20"/>
                <w:lang w:eastAsia="lv-LV"/>
              </w:rPr>
            </w:pPr>
          </w:p>
        </w:tc>
        <w:tc>
          <w:tcPr>
            <w:tcW w:w="993" w:type="dxa"/>
            <w:shd w:val="clear" w:color="auto" w:fill="9CC2E5"/>
            <w:vAlign w:val="center"/>
          </w:tcPr>
          <w:p w:rsidR="003C3991" w:rsidRPr="00254769" w:rsidRDefault="003C3991" w:rsidP="003C3991">
            <w:pPr>
              <w:spacing w:after="0"/>
              <w:ind w:firstLine="0"/>
              <w:jc w:val="center"/>
              <w:rPr>
                <w:b/>
                <w:bCs/>
                <w:color w:val="000000"/>
                <w:sz w:val="20"/>
                <w:lang w:eastAsia="lv-LV"/>
              </w:rPr>
            </w:pPr>
            <w:r w:rsidRPr="00254769">
              <w:rPr>
                <w:b/>
                <w:bCs/>
                <w:color w:val="000000"/>
                <w:sz w:val="20"/>
                <w:lang w:eastAsia="lv-LV"/>
              </w:rPr>
              <w:t>2018</w:t>
            </w:r>
          </w:p>
        </w:tc>
        <w:tc>
          <w:tcPr>
            <w:tcW w:w="992" w:type="dxa"/>
            <w:shd w:val="clear" w:color="auto" w:fill="9CC2E5"/>
            <w:vAlign w:val="center"/>
          </w:tcPr>
          <w:p w:rsidR="003C3991" w:rsidRPr="00254769" w:rsidRDefault="003C3991" w:rsidP="003C3991">
            <w:pPr>
              <w:spacing w:after="0"/>
              <w:ind w:firstLine="0"/>
              <w:jc w:val="center"/>
              <w:rPr>
                <w:b/>
                <w:bCs/>
                <w:color w:val="000000"/>
                <w:sz w:val="20"/>
                <w:lang w:eastAsia="lv-LV"/>
              </w:rPr>
            </w:pPr>
            <w:r w:rsidRPr="00254769">
              <w:rPr>
                <w:b/>
                <w:bCs/>
                <w:color w:val="000000"/>
                <w:sz w:val="20"/>
                <w:lang w:eastAsia="lv-LV"/>
              </w:rPr>
              <w:t>2019</w:t>
            </w:r>
          </w:p>
        </w:tc>
        <w:tc>
          <w:tcPr>
            <w:tcW w:w="993" w:type="dxa"/>
            <w:shd w:val="clear" w:color="auto" w:fill="9CC2E5"/>
            <w:vAlign w:val="center"/>
          </w:tcPr>
          <w:p w:rsidR="003C3991" w:rsidRPr="00254769" w:rsidRDefault="003C3991" w:rsidP="003C3991">
            <w:pPr>
              <w:spacing w:after="0"/>
              <w:ind w:firstLine="0"/>
              <w:jc w:val="center"/>
              <w:rPr>
                <w:b/>
                <w:bCs/>
                <w:color w:val="000000"/>
                <w:sz w:val="20"/>
                <w:lang w:eastAsia="lv-LV"/>
              </w:rPr>
            </w:pPr>
            <w:r w:rsidRPr="00254769">
              <w:rPr>
                <w:b/>
                <w:bCs/>
                <w:color w:val="000000"/>
                <w:sz w:val="20"/>
                <w:lang w:eastAsia="lv-LV"/>
              </w:rPr>
              <w:t>2020</w:t>
            </w:r>
          </w:p>
        </w:tc>
        <w:tc>
          <w:tcPr>
            <w:tcW w:w="985" w:type="dxa"/>
            <w:shd w:val="clear" w:color="auto" w:fill="9CC2E5"/>
            <w:noWrap/>
            <w:vAlign w:val="center"/>
            <w:hideMark/>
          </w:tcPr>
          <w:p w:rsidR="003C3991" w:rsidRPr="00254769" w:rsidRDefault="003C3991" w:rsidP="003C3991">
            <w:pPr>
              <w:spacing w:after="0"/>
              <w:ind w:firstLine="0"/>
              <w:jc w:val="center"/>
              <w:rPr>
                <w:b/>
                <w:bCs/>
                <w:color w:val="000000"/>
                <w:sz w:val="20"/>
                <w:lang w:eastAsia="lv-LV"/>
              </w:rPr>
            </w:pPr>
            <w:r w:rsidRPr="00254769">
              <w:rPr>
                <w:b/>
                <w:bCs/>
                <w:color w:val="000000"/>
                <w:sz w:val="20"/>
                <w:lang w:eastAsia="lv-LV"/>
              </w:rPr>
              <w:t>2021</w:t>
            </w:r>
          </w:p>
        </w:tc>
      </w:tr>
      <w:tr w:rsidR="005011D5" w:rsidRPr="00254769" w:rsidTr="00F44B3C">
        <w:trPr>
          <w:trHeight w:val="414"/>
          <w:jc w:val="center"/>
        </w:trPr>
        <w:tc>
          <w:tcPr>
            <w:tcW w:w="5098" w:type="dxa"/>
            <w:shd w:val="clear" w:color="auto" w:fill="auto"/>
            <w:vAlign w:val="center"/>
            <w:hideMark/>
          </w:tcPr>
          <w:p w:rsidR="00E41318" w:rsidRPr="00254769" w:rsidRDefault="00E41318" w:rsidP="00E41318">
            <w:pPr>
              <w:spacing w:after="0"/>
              <w:ind w:firstLine="0"/>
              <w:rPr>
                <w:color w:val="000000"/>
                <w:sz w:val="20"/>
                <w:szCs w:val="18"/>
                <w:lang w:eastAsia="lv-LV"/>
              </w:rPr>
            </w:pPr>
            <w:r w:rsidRPr="00254769">
              <w:rPr>
                <w:b/>
                <w:color w:val="000000"/>
                <w:sz w:val="20"/>
                <w:szCs w:val="18"/>
                <w:lang w:eastAsia="lv-LV"/>
              </w:rPr>
              <w:t>Kopbudžeta nodokļu ieņēmumu prognozes vidējam termiņam 2019., 2020. un 2021.gadam</w:t>
            </w:r>
            <w:r w:rsidRPr="00254769">
              <w:rPr>
                <w:color w:val="000000"/>
                <w:sz w:val="20"/>
                <w:szCs w:val="18"/>
                <w:lang w:eastAsia="lv-LV"/>
              </w:rPr>
              <w:t xml:space="preserve">, milj. </w:t>
            </w:r>
            <w:proofErr w:type="spellStart"/>
            <w:r w:rsidRPr="00254769">
              <w:rPr>
                <w:i/>
                <w:color w:val="000000"/>
                <w:sz w:val="20"/>
                <w:szCs w:val="18"/>
                <w:lang w:eastAsia="lv-LV"/>
              </w:rPr>
              <w:t>euro</w:t>
            </w:r>
            <w:proofErr w:type="spellEnd"/>
          </w:p>
        </w:tc>
        <w:tc>
          <w:tcPr>
            <w:tcW w:w="993" w:type="dxa"/>
            <w:tcBorders>
              <w:top w:val="nil"/>
              <w:left w:val="nil"/>
              <w:bottom w:val="single" w:sz="8" w:space="0" w:color="auto"/>
              <w:right w:val="single" w:sz="8" w:space="0" w:color="auto"/>
            </w:tcBorders>
            <w:shd w:val="clear" w:color="auto" w:fill="auto"/>
            <w:noWrap/>
            <w:vAlign w:val="center"/>
          </w:tcPr>
          <w:p w:rsidR="00E41318" w:rsidRDefault="00AA0C50" w:rsidP="005011D5">
            <w:pPr>
              <w:spacing w:after="0"/>
              <w:ind w:firstLine="0"/>
              <w:jc w:val="center"/>
              <w:rPr>
                <w:b/>
                <w:bCs/>
                <w:color w:val="000000"/>
                <w:sz w:val="18"/>
                <w:szCs w:val="18"/>
                <w:lang w:eastAsia="lv-LV"/>
              </w:rPr>
            </w:pPr>
            <w:r>
              <w:rPr>
                <w:b/>
                <w:bCs/>
                <w:color w:val="000000"/>
                <w:sz w:val="18"/>
                <w:szCs w:val="18"/>
              </w:rPr>
              <w:t>8 657,7</w:t>
            </w:r>
            <w:r w:rsidRPr="00AA0C50">
              <w:rPr>
                <w:b/>
                <w:sz w:val="18"/>
                <w:szCs w:val="18"/>
                <w:vertAlign w:val="superscript"/>
              </w:rPr>
              <w:t>11</w:t>
            </w:r>
          </w:p>
        </w:tc>
        <w:tc>
          <w:tcPr>
            <w:tcW w:w="992" w:type="dxa"/>
            <w:tcBorders>
              <w:top w:val="nil"/>
              <w:left w:val="nil"/>
              <w:bottom w:val="single" w:sz="8" w:space="0" w:color="auto"/>
              <w:right w:val="single" w:sz="8" w:space="0" w:color="auto"/>
            </w:tcBorders>
            <w:shd w:val="clear" w:color="auto" w:fill="auto"/>
            <w:noWrap/>
            <w:vAlign w:val="center"/>
          </w:tcPr>
          <w:p w:rsidR="00E41318" w:rsidRDefault="00CA75C6" w:rsidP="005011D5">
            <w:pPr>
              <w:spacing w:after="0"/>
              <w:ind w:firstLine="0"/>
              <w:jc w:val="center"/>
              <w:rPr>
                <w:b/>
                <w:bCs/>
                <w:color w:val="000000"/>
                <w:sz w:val="18"/>
                <w:szCs w:val="18"/>
              </w:rPr>
            </w:pPr>
            <w:r>
              <w:rPr>
                <w:b/>
                <w:bCs/>
                <w:color w:val="000000"/>
                <w:sz w:val="18"/>
                <w:szCs w:val="18"/>
              </w:rPr>
              <w:t>9 043</w:t>
            </w:r>
            <w:r w:rsidR="00E41318">
              <w:rPr>
                <w:b/>
                <w:bCs/>
                <w:color w:val="000000"/>
                <w:sz w:val="18"/>
                <w:szCs w:val="18"/>
              </w:rPr>
              <w:t>,</w:t>
            </w:r>
            <w:r>
              <w:rPr>
                <w:b/>
                <w:bCs/>
                <w:color w:val="000000"/>
                <w:sz w:val="18"/>
                <w:szCs w:val="18"/>
              </w:rPr>
              <w:t>7</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spacing w:after="0"/>
              <w:ind w:firstLine="0"/>
              <w:jc w:val="center"/>
              <w:rPr>
                <w:b/>
                <w:bCs/>
                <w:color w:val="000000"/>
                <w:sz w:val="18"/>
                <w:szCs w:val="18"/>
              </w:rPr>
            </w:pPr>
            <w:r>
              <w:rPr>
                <w:b/>
                <w:bCs/>
                <w:color w:val="000000"/>
                <w:sz w:val="18"/>
                <w:szCs w:val="18"/>
              </w:rPr>
              <w:t>9 691,0</w:t>
            </w:r>
          </w:p>
        </w:tc>
        <w:tc>
          <w:tcPr>
            <w:tcW w:w="985" w:type="dxa"/>
            <w:tcBorders>
              <w:top w:val="nil"/>
              <w:left w:val="nil"/>
              <w:bottom w:val="single" w:sz="8" w:space="0" w:color="auto"/>
              <w:right w:val="single" w:sz="8" w:space="0" w:color="auto"/>
            </w:tcBorders>
            <w:shd w:val="clear" w:color="auto" w:fill="auto"/>
            <w:noWrap/>
            <w:vAlign w:val="center"/>
          </w:tcPr>
          <w:p w:rsidR="00E41318" w:rsidRDefault="00E41318" w:rsidP="005011D5">
            <w:pPr>
              <w:spacing w:after="0"/>
              <w:ind w:firstLine="0"/>
              <w:jc w:val="center"/>
              <w:rPr>
                <w:b/>
                <w:bCs/>
                <w:color w:val="000000"/>
                <w:sz w:val="18"/>
                <w:szCs w:val="18"/>
              </w:rPr>
            </w:pPr>
            <w:r>
              <w:rPr>
                <w:b/>
                <w:bCs/>
                <w:color w:val="000000"/>
                <w:sz w:val="18"/>
                <w:szCs w:val="18"/>
              </w:rPr>
              <w:t>10 206,2</w:t>
            </w:r>
          </w:p>
        </w:tc>
      </w:tr>
      <w:tr w:rsidR="005011D5" w:rsidRPr="00254769" w:rsidTr="00F44B3C">
        <w:trPr>
          <w:trHeight w:val="247"/>
          <w:jc w:val="center"/>
        </w:trPr>
        <w:tc>
          <w:tcPr>
            <w:tcW w:w="5098" w:type="dxa"/>
            <w:shd w:val="clear" w:color="auto" w:fill="auto"/>
            <w:vAlign w:val="center"/>
          </w:tcPr>
          <w:p w:rsidR="00E41318" w:rsidRPr="00254769" w:rsidRDefault="00E41318" w:rsidP="00E41318">
            <w:pPr>
              <w:spacing w:after="0"/>
              <w:ind w:firstLine="0"/>
              <w:rPr>
                <w:color w:val="000000"/>
                <w:sz w:val="20"/>
                <w:szCs w:val="18"/>
                <w:lang w:eastAsia="lv-LV"/>
              </w:rPr>
            </w:pPr>
            <w:r w:rsidRPr="00254769">
              <w:rPr>
                <w:color w:val="000000"/>
                <w:sz w:val="20"/>
                <w:szCs w:val="18"/>
                <w:lang w:eastAsia="lv-LV"/>
              </w:rPr>
              <w:t>Kopbudžeta nodokļu ieņēmumu prognozes vidējam termiņam 2019., 2020. un 2021.gadam % no IKP</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b/>
                <w:bCs/>
                <w:color w:val="000000"/>
                <w:sz w:val="18"/>
                <w:szCs w:val="18"/>
              </w:rPr>
            </w:pPr>
            <w:r>
              <w:rPr>
                <w:b/>
                <w:bCs/>
                <w:color w:val="000000"/>
                <w:sz w:val="18"/>
                <w:szCs w:val="18"/>
              </w:rPr>
              <w:t>29,8%</w:t>
            </w:r>
          </w:p>
        </w:tc>
        <w:tc>
          <w:tcPr>
            <w:tcW w:w="992"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b/>
                <w:bCs/>
                <w:color w:val="000000"/>
                <w:sz w:val="18"/>
                <w:szCs w:val="18"/>
              </w:rPr>
            </w:pPr>
            <w:r>
              <w:rPr>
                <w:b/>
                <w:bCs/>
                <w:color w:val="000000"/>
                <w:sz w:val="18"/>
                <w:szCs w:val="18"/>
              </w:rPr>
              <w:t>29,3%</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b/>
                <w:bCs/>
                <w:color w:val="000000"/>
                <w:sz w:val="18"/>
                <w:szCs w:val="18"/>
              </w:rPr>
            </w:pPr>
            <w:r>
              <w:rPr>
                <w:b/>
                <w:bCs/>
                <w:color w:val="000000"/>
                <w:sz w:val="18"/>
                <w:szCs w:val="18"/>
              </w:rPr>
              <w:t>29,7%</w:t>
            </w:r>
          </w:p>
        </w:tc>
        <w:tc>
          <w:tcPr>
            <w:tcW w:w="985"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b/>
                <w:bCs/>
                <w:color w:val="000000"/>
                <w:sz w:val="18"/>
                <w:szCs w:val="18"/>
              </w:rPr>
            </w:pPr>
            <w:r>
              <w:rPr>
                <w:b/>
                <w:bCs/>
                <w:color w:val="000000"/>
                <w:sz w:val="18"/>
                <w:szCs w:val="18"/>
              </w:rPr>
              <w:t>29,6%</w:t>
            </w:r>
          </w:p>
        </w:tc>
      </w:tr>
      <w:tr w:rsidR="005011D5" w:rsidRPr="00254769" w:rsidTr="00F44B3C">
        <w:trPr>
          <w:trHeight w:val="247"/>
          <w:jc w:val="center"/>
        </w:trPr>
        <w:tc>
          <w:tcPr>
            <w:tcW w:w="5098" w:type="dxa"/>
            <w:shd w:val="clear" w:color="auto" w:fill="auto"/>
            <w:vAlign w:val="center"/>
          </w:tcPr>
          <w:p w:rsidR="00E41318" w:rsidRPr="00254769" w:rsidRDefault="00E41318" w:rsidP="00E41318">
            <w:pPr>
              <w:spacing w:after="0"/>
              <w:ind w:firstLine="0"/>
              <w:rPr>
                <w:i/>
                <w:color w:val="000000"/>
                <w:sz w:val="20"/>
                <w:szCs w:val="18"/>
                <w:lang w:eastAsia="lv-LV"/>
              </w:rPr>
            </w:pPr>
            <w:r w:rsidRPr="00254769">
              <w:rPr>
                <w:color w:val="000000"/>
                <w:sz w:val="20"/>
                <w:szCs w:val="18"/>
                <w:lang w:eastAsia="lv-LV"/>
              </w:rPr>
              <w:t>Kopbudžeta nodokļu ieņēmumi</w:t>
            </w:r>
            <w:r w:rsidRPr="00254769">
              <w:rPr>
                <w:i/>
                <w:color w:val="000000"/>
                <w:sz w:val="20"/>
                <w:szCs w:val="18"/>
                <w:lang w:eastAsia="lv-LV"/>
              </w:rPr>
              <w:t xml:space="preserve"> </w:t>
            </w:r>
            <w:r w:rsidRPr="00254769">
              <w:rPr>
                <w:color w:val="000000"/>
                <w:sz w:val="20"/>
                <w:szCs w:val="18"/>
                <w:lang w:eastAsia="lv-LV"/>
              </w:rPr>
              <w:t>saskaņā ar likumu „Par vidēja termiņa budžeta ietvaru 2018., 2019. un 2020.gadam”, milj. </w:t>
            </w:r>
            <w:proofErr w:type="spellStart"/>
            <w:r w:rsidRPr="00254769">
              <w:rPr>
                <w:i/>
                <w:color w:val="000000"/>
                <w:sz w:val="20"/>
                <w:szCs w:val="18"/>
                <w:lang w:eastAsia="lv-LV"/>
              </w:rPr>
              <w:t>euro</w:t>
            </w:r>
            <w:proofErr w:type="spellEnd"/>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color w:val="000000"/>
                <w:sz w:val="18"/>
                <w:szCs w:val="18"/>
              </w:rPr>
            </w:pPr>
            <w:r>
              <w:rPr>
                <w:color w:val="000000"/>
                <w:sz w:val="18"/>
                <w:szCs w:val="18"/>
              </w:rPr>
              <w:t>8 581,0</w:t>
            </w:r>
          </w:p>
        </w:tc>
        <w:tc>
          <w:tcPr>
            <w:tcW w:w="992"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color w:val="000000"/>
                <w:sz w:val="18"/>
                <w:szCs w:val="18"/>
              </w:rPr>
            </w:pPr>
            <w:r>
              <w:rPr>
                <w:color w:val="000000"/>
                <w:sz w:val="18"/>
                <w:szCs w:val="18"/>
              </w:rPr>
              <w:t>8 894,1</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color w:val="000000"/>
                <w:sz w:val="18"/>
                <w:szCs w:val="18"/>
              </w:rPr>
            </w:pPr>
            <w:r>
              <w:rPr>
                <w:color w:val="000000"/>
                <w:sz w:val="18"/>
                <w:szCs w:val="18"/>
              </w:rPr>
              <w:t>9 548,6</w:t>
            </w:r>
          </w:p>
        </w:tc>
        <w:tc>
          <w:tcPr>
            <w:tcW w:w="985" w:type="dxa"/>
            <w:tcBorders>
              <w:top w:val="nil"/>
              <w:left w:val="nil"/>
              <w:bottom w:val="single" w:sz="8" w:space="0" w:color="auto"/>
              <w:right w:val="single" w:sz="8" w:space="0" w:color="auto"/>
            </w:tcBorders>
            <w:shd w:val="clear" w:color="auto" w:fill="auto"/>
            <w:noWrap/>
            <w:vAlign w:val="center"/>
          </w:tcPr>
          <w:p w:rsidR="00E41318" w:rsidRDefault="00E41318" w:rsidP="005011D5">
            <w:pPr>
              <w:jc w:val="center"/>
              <w:rPr>
                <w:color w:val="000000"/>
                <w:sz w:val="18"/>
                <w:szCs w:val="18"/>
              </w:rPr>
            </w:pPr>
          </w:p>
        </w:tc>
      </w:tr>
      <w:tr w:rsidR="005011D5" w:rsidRPr="00254769" w:rsidTr="00F44B3C">
        <w:trPr>
          <w:trHeight w:val="247"/>
          <w:jc w:val="center"/>
        </w:trPr>
        <w:tc>
          <w:tcPr>
            <w:tcW w:w="5098" w:type="dxa"/>
            <w:shd w:val="clear" w:color="auto" w:fill="auto"/>
            <w:vAlign w:val="center"/>
            <w:hideMark/>
          </w:tcPr>
          <w:p w:rsidR="00E41318" w:rsidRPr="00254769" w:rsidRDefault="00E41318" w:rsidP="00E41318">
            <w:pPr>
              <w:spacing w:after="0"/>
              <w:ind w:firstLine="0"/>
              <w:rPr>
                <w:i/>
                <w:color w:val="000000"/>
                <w:sz w:val="20"/>
                <w:szCs w:val="18"/>
                <w:lang w:eastAsia="lv-LV"/>
              </w:rPr>
            </w:pPr>
            <w:r w:rsidRPr="00254769">
              <w:rPr>
                <w:i/>
                <w:color w:val="000000"/>
                <w:sz w:val="20"/>
                <w:szCs w:val="18"/>
                <w:lang w:eastAsia="lv-LV"/>
              </w:rPr>
              <w:lastRenderedPageBreak/>
              <w:t xml:space="preserve">pieaugums, salīdzinot ar likumu </w:t>
            </w:r>
            <w:r w:rsidRPr="00254769">
              <w:rPr>
                <w:color w:val="000000"/>
                <w:sz w:val="20"/>
                <w:szCs w:val="18"/>
                <w:lang w:eastAsia="lv-LV"/>
              </w:rPr>
              <w:t>„Par vidēja termiņa budžeta ietvaru 2018., 2019. un 2020.gadam”, milj. </w:t>
            </w:r>
            <w:proofErr w:type="spellStart"/>
            <w:r w:rsidRPr="00254769">
              <w:rPr>
                <w:i/>
                <w:color w:val="000000"/>
                <w:sz w:val="20"/>
                <w:szCs w:val="18"/>
                <w:lang w:eastAsia="lv-LV"/>
              </w:rPr>
              <w:t>euro</w:t>
            </w:r>
            <w:proofErr w:type="spellEnd"/>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color w:val="000000"/>
                <w:sz w:val="18"/>
                <w:szCs w:val="18"/>
              </w:rPr>
            </w:pPr>
            <w:r>
              <w:rPr>
                <w:color w:val="000000"/>
                <w:sz w:val="18"/>
                <w:szCs w:val="18"/>
              </w:rPr>
              <w:t>76,7</w:t>
            </w:r>
          </w:p>
        </w:tc>
        <w:tc>
          <w:tcPr>
            <w:tcW w:w="992" w:type="dxa"/>
            <w:tcBorders>
              <w:top w:val="nil"/>
              <w:left w:val="nil"/>
              <w:bottom w:val="single" w:sz="8" w:space="0" w:color="auto"/>
              <w:right w:val="single" w:sz="8" w:space="0" w:color="auto"/>
            </w:tcBorders>
            <w:shd w:val="clear" w:color="auto" w:fill="auto"/>
            <w:noWrap/>
            <w:vAlign w:val="center"/>
          </w:tcPr>
          <w:p w:rsidR="00E41318" w:rsidRDefault="00CA75C6" w:rsidP="005011D5">
            <w:pPr>
              <w:ind w:firstLine="0"/>
              <w:jc w:val="center"/>
              <w:rPr>
                <w:color w:val="000000"/>
                <w:sz w:val="18"/>
                <w:szCs w:val="18"/>
              </w:rPr>
            </w:pPr>
            <w:r>
              <w:rPr>
                <w:color w:val="000000"/>
                <w:sz w:val="18"/>
                <w:szCs w:val="18"/>
              </w:rPr>
              <w:t>149,5</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color w:val="000000"/>
                <w:sz w:val="18"/>
                <w:szCs w:val="18"/>
              </w:rPr>
            </w:pPr>
            <w:r>
              <w:rPr>
                <w:color w:val="000000"/>
                <w:sz w:val="18"/>
                <w:szCs w:val="18"/>
              </w:rPr>
              <w:t>142,4</w:t>
            </w:r>
          </w:p>
        </w:tc>
        <w:tc>
          <w:tcPr>
            <w:tcW w:w="985" w:type="dxa"/>
            <w:tcBorders>
              <w:top w:val="nil"/>
              <w:left w:val="nil"/>
              <w:bottom w:val="single" w:sz="8" w:space="0" w:color="auto"/>
              <w:right w:val="single" w:sz="8" w:space="0" w:color="auto"/>
            </w:tcBorders>
            <w:shd w:val="clear" w:color="auto" w:fill="auto"/>
            <w:noWrap/>
            <w:vAlign w:val="center"/>
          </w:tcPr>
          <w:p w:rsidR="00E41318" w:rsidRDefault="00E41318" w:rsidP="005011D5">
            <w:pPr>
              <w:jc w:val="center"/>
              <w:rPr>
                <w:color w:val="FF0000"/>
                <w:sz w:val="18"/>
                <w:szCs w:val="18"/>
              </w:rPr>
            </w:pPr>
          </w:p>
        </w:tc>
        <w:bookmarkStart w:id="23" w:name="_GoBack"/>
        <w:bookmarkEnd w:id="23"/>
      </w:tr>
      <w:tr w:rsidR="005011D5" w:rsidRPr="00254769" w:rsidTr="00F44B3C">
        <w:trPr>
          <w:trHeight w:val="233"/>
          <w:jc w:val="center"/>
        </w:trPr>
        <w:tc>
          <w:tcPr>
            <w:tcW w:w="5098" w:type="dxa"/>
            <w:shd w:val="clear" w:color="auto" w:fill="auto"/>
            <w:vAlign w:val="center"/>
            <w:hideMark/>
          </w:tcPr>
          <w:p w:rsidR="00E41318" w:rsidRPr="00254769" w:rsidRDefault="00E41318" w:rsidP="00E41318">
            <w:pPr>
              <w:spacing w:after="0"/>
              <w:ind w:firstLine="0"/>
              <w:rPr>
                <w:i/>
                <w:color w:val="000000"/>
                <w:sz w:val="20"/>
                <w:szCs w:val="18"/>
                <w:lang w:eastAsia="lv-LV"/>
              </w:rPr>
            </w:pPr>
            <w:r w:rsidRPr="00254769">
              <w:rPr>
                <w:i/>
                <w:color w:val="000000"/>
                <w:sz w:val="20"/>
                <w:szCs w:val="18"/>
                <w:lang w:eastAsia="lv-LV"/>
              </w:rPr>
              <w:t xml:space="preserve">pieaugums, salīdzinot ar likumu </w:t>
            </w:r>
            <w:r w:rsidRPr="00254769">
              <w:rPr>
                <w:color w:val="000000"/>
                <w:sz w:val="20"/>
                <w:szCs w:val="18"/>
                <w:lang w:eastAsia="lv-LV"/>
              </w:rPr>
              <w:t>„Par vidēja termiņa budžeta ietvaru 2018., 2019. un 2020.gadam”</w:t>
            </w:r>
            <w:r w:rsidRPr="00254769">
              <w:rPr>
                <w:i/>
                <w:color w:val="000000"/>
                <w:sz w:val="20"/>
                <w:szCs w:val="18"/>
                <w:lang w:eastAsia="lv-LV"/>
              </w:rPr>
              <w:t>, %</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i/>
                <w:iCs/>
                <w:color w:val="000000"/>
                <w:sz w:val="18"/>
                <w:szCs w:val="18"/>
              </w:rPr>
            </w:pPr>
            <w:r>
              <w:rPr>
                <w:i/>
                <w:iCs/>
                <w:color w:val="000000"/>
                <w:sz w:val="18"/>
                <w:szCs w:val="18"/>
              </w:rPr>
              <w:t>0,89</w:t>
            </w:r>
          </w:p>
        </w:tc>
        <w:tc>
          <w:tcPr>
            <w:tcW w:w="992"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i/>
                <w:iCs/>
                <w:color w:val="000000"/>
                <w:sz w:val="18"/>
                <w:szCs w:val="18"/>
              </w:rPr>
            </w:pPr>
            <w:r>
              <w:rPr>
                <w:i/>
                <w:iCs/>
                <w:color w:val="000000"/>
                <w:sz w:val="18"/>
                <w:szCs w:val="18"/>
              </w:rPr>
              <w:t>1,66</w:t>
            </w:r>
          </w:p>
        </w:tc>
        <w:tc>
          <w:tcPr>
            <w:tcW w:w="993" w:type="dxa"/>
            <w:tcBorders>
              <w:top w:val="nil"/>
              <w:left w:val="nil"/>
              <w:bottom w:val="single" w:sz="8" w:space="0" w:color="auto"/>
              <w:right w:val="single" w:sz="8" w:space="0" w:color="auto"/>
            </w:tcBorders>
            <w:shd w:val="clear" w:color="auto" w:fill="auto"/>
            <w:noWrap/>
            <w:vAlign w:val="center"/>
          </w:tcPr>
          <w:p w:rsidR="00E41318" w:rsidRDefault="00E41318" w:rsidP="005011D5">
            <w:pPr>
              <w:ind w:firstLine="0"/>
              <w:jc w:val="center"/>
              <w:rPr>
                <w:i/>
                <w:iCs/>
                <w:color w:val="000000"/>
                <w:sz w:val="18"/>
                <w:szCs w:val="18"/>
              </w:rPr>
            </w:pPr>
            <w:r>
              <w:rPr>
                <w:i/>
                <w:iCs/>
                <w:color w:val="000000"/>
                <w:sz w:val="18"/>
                <w:szCs w:val="18"/>
              </w:rPr>
              <w:t>1,49</w:t>
            </w:r>
          </w:p>
        </w:tc>
        <w:tc>
          <w:tcPr>
            <w:tcW w:w="985" w:type="dxa"/>
            <w:tcBorders>
              <w:top w:val="nil"/>
              <w:left w:val="nil"/>
              <w:bottom w:val="single" w:sz="8" w:space="0" w:color="auto"/>
              <w:right w:val="single" w:sz="8" w:space="0" w:color="auto"/>
            </w:tcBorders>
            <w:shd w:val="clear" w:color="auto" w:fill="auto"/>
            <w:noWrap/>
            <w:vAlign w:val="center"/>
          </w:tcPr>
          <w:p w:rsidR="00E41318" w:rsidRDefault="00E41318" w:rsidP="005011D5">
            <w:pPr>
              <w:jc w:val="center"/>
              <w:rPr>
                <w:i/>
                <w:iCs/>
                <w:color w:val="FF0000"/>
                <w:sz w:val="18"/>
                <w:szCs w:val="18"/>
              </w:rPr>
            </w:pPr>
          </w:p>
        </w:tc>
      </w:tr>
    </w:tbl>
    <w:p w:rsidR="00A170EA" w:rsidRPr="005B5515" w:rsidRDefault="00AA0C50" w:rsidP="00207E07">
      <w:pPr>
        <w:spacing w:after="0"/>
        <w:ind w:firstLine="0"/>
      </w:pPr>
      <w:r w:rsidRPr="00AA0C50">
        <w:rPr>
          <w:sz w:val="18"/>
          <w:szCs w:val="18"/>
          <w:vertAlign w:val="superscript"/>
        </w:rPr>
        <w:t>11</w:t>
      </w:r>
      <w:r w:rsidR="00B75DFA">
        <w:rPr>
          <w:sz w:val="18"/>
          <w:szCs w:val="18"/>
        </w:rPr>
        <w:t>Izpilde</w:t>
      </w:r>
    </w:p>
    <w:sectPr w:rsidR="00A170EA" w:rsidRPr="005B5515" w:rsidSect="00E52D52">
      <w:headerReference w:type="even" r:id="rId25"/>
      <w:headerReference w:type="default" r:id="rId26"/>
      <w:footerReference w:type="default" r:id="rId27"/>
      <w:pgSz w:w="11906" w:h="16838" w:code="9"/>
      <w:pgMar w:top="1418" w:right="1134" w:bottom="1134" w:left="1701" w:header="720" w:footer="720" w:gutter="0"/>
      <w:pgNumType w:start="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D72" w:rsidRDefault="00D86D72">
      <w:r>
        <w:separator/>
      </w:r>
    </w:p>
  </w:endnote>
  <w:endnote w:type="continuationSeparator" w:id="0">
    <w:p w:rsidR="00D86D72" w:rsidRDefault="00D8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DD" w:rsidRDefault="008671DD">
    <w:pPr>
      <w:pStyle w:val="Footer"/>
    </w:pPr>
    <w:r>
      <w:rPr>
        <w:noProof/>
      </w:rPr>
      <w:fldChar w:fldCharType="begin"/>
    </w:r>
    <w:r>
      <w:rPr>
        <w:noProof/>
      </w:rPr>
      <w:instrText xml:space="preserve"> FILENAME   \* MERGEFORMAT </w:instrText>
    </w:r>
    <w:r>
      <w:rPr>
        <w:noProof/>
      </w:rPr>
      <w:fldChar w:fldCharType="separate"/>
    </w:r>
    <w:r w:rsidR="007D1937">
      <w:rPr>
        <w:noProof/>
      </w:rPr>
      <w:t>FMPask_G_090519_bud2019</w:t>
    </w:r>
    <w:r>
      <w:rPr>
        <w:noProof/>
      </w:rPr>
      <w:fldChar w:fldCharType="end"/>
    </w:r>
    <w:r w:rsidR="007D193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D72" w:rsidRDefault="00D86D72">
      <w:pPr>
        <w:spacing w:after="0"/>
        <w:ind w:firstLine="0"/>
      </w:pPr>
      <w:r>
        <w:separator/>
      </w:r>
    </w:p>
  </w:footnote>
  <w:footnote w:type="continuationSeparator" w:id="0">
    <w:p w:rsidR="00D86D72" w:rsidRDefault="00D86D72">
      <w:r>
        <w:continuationSeparator/>
      </w:r>
    </w:p>
  </w:footnote>
  <w:footnote w:id="1">
    <w:p w:rsidR="008671DD" w:rsidRDefault="008671DD" w:rsidP="007870D7">
      <w:pPr>
        <w:pStyle w:val="Footer"/>
      </w:pPr>
      <w:r w:rsidRPr="00D51AE9">
        <w:rPr>
          <w:vertAlign w:val="superscript"/>
        </w:rPr>
        <w:footnoteRef/>
      </w:r>
      <w:r>
        <w:t xml:space="preserve"> </w:t>
      </w:r>
      <w:r w:rsidRPr="003646E8">
        <w:t xml:space="preserve">Neieskaitot valsts sociālās apdrošināšanas iemaksas </w:t>
      </w:r>
      <w:proofErr w:type="spellStart"/>
      <w:r w:rsidRPr="003646E8">
        <w:t>fondēto</w:t>
      </w:r>
      <w:proofErr w:type="spellEnd"/>
      <w:r w:rsidRPr="003646E8">
        <w:t xml:space="preserve"> pensiju shēmā</w:t>
      </w:r>
      <w:r>
        <w:t xml:space="preserve"> un 3.pensiju līmenī</w:t>
      </w:r>
    </w:p>
  </w:footnote>
  <w:footnote w:id="2">
    <w:p w:rsidR="008671DD" w:rsidRDefault="008671DD" w:rsidP="007870D7">
      <w:pPr>
        <w:pStyle w:val="FootnoteText"/>
        <w:spacing w:after="0"/>
        <w:ind w:firstLine="0"/>
      </w:pPr>
      <w:r>
        <w:rPr>
          <w:rStyle w:val="FootnoteReference"/>
        </w:rPr>
        <w:footnoteRef/>
      </w:r>
      <w:r>
        <w:t xml:space="preserve"> </w:t>
      </w:r>
      <w:r w:rsidRPr="00914C1E">
        <w:t>2017.gada decembrī un 2018.gada 11 mēnešos</w:t>
      </w:r>
    </w:p>
  </w:footnote>
  <w:footnote w:id="3">
    <w:p w:rsidR="008671DD" w:rsidRDefault="008671DD" w:rsidP="007870D7">
      <w:pPr>
        <w:pStyle w:val="FootnoteText"/>
        <w:ind w:firstLine="0"/>
      </w:pPr>
      <w:r>
        <w:rPr>
          <w:rStyle w:val="FootnoteReference"/>
        </w:rPr>
        <w:footnoteRef/>
      </w:r>
      <w:r>
        <w:t xml:space="preserve"> </w:t>
      </w:r>
      <w:r w:rsidRPr="00971BF3">
        <w:t xml:space="preserve">Neieskaitot valsts sociālās apdrošināšanas iemaksas </w:t>
      </w:r>
      <w:proofErr w:type="spellStart"/>
      <w:r w:rsidRPr="00971BF3">
        <w:t>fondēto</w:t>
      </w:r>
      <w:proofErr w:type="spellEnd"/>
      <w:r w:rsidRPr="00971BF3">
        <w:t xml:space="preserve"> pensiju shēmā</w:t>
      </w:r>
      <w:r>
        <w:t xml:space="preserve"> un solidaritātes nodokli pamatbudžetā</w:t>
      </w:r>
    </w:p>
  </w:footnote>
  <w:footnote w:id="4">
    <w:p w:rsidR="008671DD" w:rsidRDefault="008671DD" w:rsidP="007870D7">
      <w:pPr>
        <w:pStyle w:val="FootnoteText"/>
        <w:ind w:firstLine="0"/>
      </w:pPr>
      <w:r>
        <w:rPr>
          <w:rStyle w:val="FootnoteReference"/>
        </w:rPr>
        <w:footnoteRef/>
      </w:r>
      <w:r>
        <w:t xml:space="preserve"> </w:t>
      </w:r>
      <w:r w:rsidRPr="002627F0">
        <w:t>2017.gada decembrī un 2018.gada 11 mēnešos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DD" w:rsidRDefault="008671D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71DD" w:rsidRDefault="00867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DD" w:rsidRDefault="008671D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DFA">
      <w:rPr>
        <w:rStyle w:val="PageNumber"/>
        <w:noProof/>
      </w:rPr>
      <w:t>87</w:t>
    </w:r>
    <w:r>
      <w:rPr>
        <w:rStyle w:val="PageNumber"/>
      </w:rPr>
      <w:fldChar w:fldCharType="end"/>
    </w:r>
  </w:p>
  <w:p w:rsidR="008671DD" w:rsidRDefault="00867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B0E8C5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B6066E"/>
    <w:multiLevelType w:val="hybridMultilevel"/>
    <w:tmpl w:val="C3FE8302"/>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2" w15:restartNumberingAfterBreak="0">
    <w:nsid w:val="0DA40E20"/>
    <w:multiLevelType w:val="hybridMultilevel"/>
    <w:tmpl w:val="22BE25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D72178"/>
    <w:multiLevelType w:val="hybridMultilevel"/>
    <w:tmpl w:val="EEE69022"/>
    <w:lvl w:ilvl="0" w:tplc="143CC6EA">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3C93311"/>
    <w:multiLevelType w:val="hybridMultilevel"/>
    <w:tmpl w:val="47F04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B76165"/>
    <w:multiLevelType w:val="hybridMultilevel"/>
    <w:tmpl w:val="6ED6753A"/>
    <w:lvl w:ilvl="0" w:tplc="0426000F">
      <w:start w:val="1"/>
      <w:numFmt w:val="decimal"/>
      <w:lvlText w:val="%1."/>
      <w:lvlJc w:val="left"/>
      <w:pPr>
        <w:ind w:left="720" w:hanging="360"/>
      </w:pPr>
    </w:lvl>
    <w:lvl w:ilvl="1" w:tplc="E4B4502C">
      <w:start w:val="1"/>
      <w:numFmt w:val="bullet"/>
      <w:lvlText w:val=""/>
      <w:lvlJc w:val="left"/>
      <w:pPr>
        <w:ind w:left="1440" w:hanging="360"/>
      </w:pPr>
      <w:rPr>
        <w:rFonts w:ascii="Symbol" w:hAnsi="Symbol" w:hint="default"/>
      </w:r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6E1F00"/>
    <w:multiLevelType w:val="hybridMultilevel"/>
    <w:tmpl w:val="E06884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FFC2BA3"/>
    <w:multiLevelType w:val="hybridMultilevel"/>
    <w:tmpl w:val="1D42C75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0157197"/>
    <w:multiLevelType w:val="hybridMultilevel"/>
    <w:tmpl w:val="083E84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2C1C10"/>
    <w:multiLevelType w:val="hybridMultilevel"/>
    <w:tmpl w:val="AD18114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7674388"/>
    <w:multiLevelType w:val="hybridMultilevel"/>
    <w:tmpl w:val="8E3CF622"/>
    <w:lvl w:ilvl="0" w:tplc="07D0FB2C">
      <w:start w:val="6"/>
      <w:numFmt w:val="bullet"/>
      <w:lvlText w:val="-"/>
      <w:lvlJc w:val="left"/>
      <w:pPr>
        <w:ind w:left="21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1" w15:restartNumberingAfterBreak="0">
    <w:nsid w:val="290B582D"/>
    <w:multiLevelType w:val="hybridMultilevel"/>
    <w:tmpl w:val="FF5C2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550CB8"/>
    <w:multiLevelType w:val="hybridMultilevel"/>
    <w:tmpl w:val="2F8C97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6261EC1"/>
    <w:multiLevelType w:val="hybridMultilevel"/>
    <w:tmpl w:val="2BC820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F424D0"/>
    <w:multiLevelType w:val="multilevel"/>
    <w:tmpl w:val="F9AA900C"/>
    <w:lvl w:ilvl="0">
      <w:start w:val="1"/>
      <w:numFmt w:val="decimal"/>
      <w:lvlRestart w:val="0"/>
      <w:pStyle w:val="Point123"/>
      <w:lvlText w:val="%1."/>
      <w:lvlJc w:val="left"/>
      <w:pPr>
        <w:tabs>
          <w:tab w:val="num" w:pos="567"/>
        </w:tabs>
        <w:ind w:left="567" w:hanging="567"/>
      </w:pPr>
      <w:rPr>
        <w:rFonts w:ascii="Times New Roman" w:eastAsia="Times New Roman" w:hAnsi="Times New Roman" w:cs="Times New Roman"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993"/>
        </w:tabs>
        <w:ind w:left="993"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5" w15:restartNumberingAfterBreak="0">
    <w:nsid w:val="3DA23199"/>
    <w:multiLevelType w:val="hybridMultilevel"/>
    <w:tmpl w:val="09DC8588"/>
    <w:lvl w:ilvl="0" w:tplc="4D589B72">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6" w15:restartNumberingAfterBreak="0">
    <w:nsid w:val="441E02BE"/>
    <w:multiLevelType w:val="hybridMultilevel"/>
    <w:tmpl w:val="FAEA7030"/>
    <w:lvl w:ilvl="0" w:tplc="0426000F">
      <w:start w:val="1"/>
      <w:numFmt w:val="decimal"/>
      <w:lvlText w:val="%1."/>
      <w:lvlJc w:val="left"/>
      <w:pPr>
        <w:ind w:left="502" w:hanging="360"/>
      </w:pPr>
    </w:lvl>
    <w:lvl w:ilvl="1" w:tplc="04090001">
      <w:start w:val="1"/>
      <w:numFmt w:val="bullet"/>
      <w:lvlText w:val=""/>
      <w:lvlJc w:val="left"/>
      <w:pPr>
        <w:ind w:left="1222" w:hanging="360"/>
      </w:pPr>
      <w:rPr>
        <w:rFonts w:ascii="Symbol" w:hAnsi="Symbol"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44524451"/>
    <w:multiLevelType w:val="hybridMultilevel"/>
    <w:tmpl w:val="5BEE171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4A584AAB"/>
    <w:multiLevelType w:val="hybridMultilevel"/>
    <w:tmpl w:val="AC30217C"/>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C66F6D"/>
    <w:multiLevelType w:val="hybridMultilevel"/>
    <w:tmpl w:val="918892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F8201AA"/>
    <w:multiLevelType w:val="hybridMultilevel"/>
    <w:tmpl w:val="DF322B20"/>
    <w:lvl w:ilvl="0" w:tplc="0426000F">
      <w:start w:val="1"/>
      <w:numFmt w:val="decimal"/>
      <w:lvlText w:val="%1."/>
      <w:lvlJc w:val="left"/>
      <w:pPr>
        <w:ind w:left="720" w:hanging="360"/>
      </w:pPr>
    </w:lvl>
    <w:lvl w:ilvl="1" w:tplc="E4B4502C">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8B1CF8"/>
    <w:multiLevelType w:val="hybridMultilevel"/>
    <w:tmpl w:val="16B09B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5BA33C92"/>
    <w:multiLevelType w:val="hybridMultilevel"/>
    <w:tmpl w:val="D36440A8"/>
    <w:lvl w:ilvl="0" w:tplc="0426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BBE41C5"/>
    <w:multiLevelType w:val="hybridMultilevel"/>
    <w:tmpl w:val="A614ED8A"/>
    <w:lvl w:ilvl="0" w:tplc="04260001">
      <w:start w:val="1"/>
      <w:numFmt w:val="bullet"/>
      <w:lvlText w:val=""/>
      <w:lvlJc w:val="left"/>
      <w:pPr>
        <w:ind w:left="1794" w:hanging="360"/>
      </w:pPr>
      <w:rPr>
        <w:rFonts w:ascii="Symbol" w:hAnsi="Symbol" w:hint="default"/>
      </w:rPr>
    </w:lvl>
    <w:lvl w:ilvl="1" w:tplc="04260003" w:tentative="1">
      <w:start w:val="1"/>
      <w:numFmt w:val="bullet"/>
      <w:lvlText w:val="o"/>
      <w:lvlJc w:val="left"/>
      <w:pPr>
        <w:ind w:left="2514" w:hanging="360"/>
      </w:pPr>
      <w:rPr>
        <w:rFonts w:ascii="Courier New" w:hAnsi="Courier New" w:cs="Courier New" w:hint="default"/>
      </w:rPr>
    </w:lvl>
    <w:lvl w:ilvl="2" w:tplc="04260005" w:tentative="1">
      <w:start w:val="1"/>
      <w:numFmt w:val="bullet"/>
      <w:lvlText w:val=""/>
      <w:lvlJc w:val="left"/>
      <w:pPr>
        <w:ind w:left="3234" w:hanging="360"/>
      </w:pPr>
      <w:rPr>
        <w:rFonts w:ascii="Wingdings" w:hAnsi="Wingdings" w:hint="default"/>
      </w:rPr>
    </w:lvl>
    <w:lvl w:ilvl="3" w:tplc="04260001" w:tentative="1">
      <w:start w:val="1"/>
      <w:numFmt w:val="bullet"/>
      <w:lvlText w:val=""/>
      <w:lvlJc w:val="left"/>
      <w:pPr>
        <w:ind w:left="3954" w:hanging="360"/>
      </w:pPr>
      <w:rPr>
        <w:rFonts w:ascii="Symbol" w:hAnsi="Symbol" w:hint="default"/>
      </w:rPr>
    </w:lvl>
    <w:lvl w:ilvl="4" w:tplc="04260003" w:tentative="1">
      <w:start w:val="1"/>
      <w:numFmt w:val="bullet"/>
      <w:lvlText w:val="o"/>
      <w:lvlJc w:val="left"/>
      <w:pPr>
        <w:ind w:left="4674" w:hanging="360"/>
      </w:pPr>
      <w:rPr>
        <w:rFonts w:ascii="Courier New" w:hAnsi="Courier New" w:cs="Courier New" w:hint="default"/>
      </w:rPr>
    </w:lvl>
    <w:lvl w:ilvl="5" w:tplc="04260005" w:tentative="1">
      <w:start w:val="1"/>
      <w:numFmt w:val="bullet"/>
      <w:lvlText w:val=""/>
      <w:lvlJc w:val="left"/>
      <w:pPr>
        <w:ind w:left="5394" w:hanging="360"/>
      </w:pPr>
      <w:rPr>
        <w:rFonts w:ascii="Wingdings" w:hAnsi="Wingdings" w:hint="default"/>
      </w:rPr>
    </w:lvl>
    <w:lvl w:ilvl="6" w:tplc="04260001" w:tentative="1">
      <w:start w:val="1"/>
      <w:numFmt w:val="bullet"/>
      <w:lvlText w:val=""/>
      <w:lvlJc w:val="left"/>
      <w:pPr>
        <w:ind w:left="6114" w:hanging="360"/>
      </w:pPr>
      <w:rPr>
        <w:rFonts w:ascii="Symbol" w:hAnsi="Symbol" w:hint="default"/>
      </w:rPr>
    </w:lvl>
    <w:lvl w:ilvl="7" w:tplc="04260003" w:tentative="1">
      <w:start w:val="1"/>
      <w:numFmt w:val="bullet"/>
      <w:lvlText w:val="o"/>
      <w:lvlJc w:val="left"/>
      <w:pPr>
        <w:ind w:left="6834" w:hanging="360"/>
      </w:pPr>
      <w:rPr>
        <w:rFonts w:ascii="Courier New" w:hAnsi="Courier New" w:cs="Courier New" w:hint="default"/>
      </w:rPr>
    </w:lvl>
    <w:lvl w:ilvl="8" w:tplc="04260005" w:tentative="1">
      <w:start w:val="1"/>
      <w:numFmt w:val="bullet"/>
      <w:lvlText w:val=""/>
      <w:lvlJc w:val="left"/>
      <w:pPr>
        <w:ind w:left="7554" w:hanging="360"/>
      </w:pPr>
      <w:rPr>
        <w:rFonts w:ascii="Wingdings" w:hAnsi="Wingdings" w:hint="default"/>
      </w:rPr>
    </w:lvl>
  </w:abstractNum>
  <w:abstractNum w:abstractNumId="24" w15:restartNumberingAfterBreak="0">
    <w:nsid w:val="6133233B"/>
    <w:multiLevelType w:val="hybridMultilevel"/>
    <w:tmpl w:val="9C32B8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CB29A5"/>
    <w:multiLevelType w:val="hybridMultilevel"/>
    <w:tmpl w:val="29040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A0935AC"/>
    <w:multiLevelType w:val="hybridMultilevel"/>
    <w:tmpl w:val="6A965FC4"/>
    <w:lvl w:ilvl="0" w:tplc="0426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7123222E"/>
    <w:multiLevelType w:val="hybridMultilevel"/>
    <w:tmpl w:val="D83E3D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72F0C42"/>
    <w:multiLevelType w:val="hybridMultilevel"/>
    <w:tmpl w:val="F2DA1C3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798F3183"/>
    <w:multiLevelType w:val="hybridMultilevel"/>
    <w:tmpl w:val="47F013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A5904C7"/>
    <w:multiLevelType w:val="hybridMultilevel"/>
    <w:tmpl w:val="773496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B843B38"/>
    <w:multiLevelType w:val="hybridMultilevel"/>
    <w:tmpl w:val="E348E8D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BB05D1E"/>
    <w:multiLevelType w:val="hybridMultilevel"/>
    <w:tmpl w:val="92100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31"/>
  </w:num>
  <w:num w:numId="4">
    <w:abstractNumId w:val="14"/>
  </w:num>
  <w:num w:numId="5">
    <w:abstractNumId w:val="15"/>
  </w:num>
  <w:num w:numId="6">
    <w:abstractNumId w:val="2"/>
  </w:num>
  <w:num w:numId="7">
    <w:abstractNumId w:val="23"/>
  </w:num>
  <w:num w:numId="8">
    <w:abstractNumId w:val="12"/>
  </w:num>
  <w:num w:numId="9">
    <w:abstractNumId w:val="25"/>
  </w:num>
  <w:num w:numId="10">
    <w:abstractNumId w:val="21"/>
  </w:num>
  <w:num w:numId="11">
    <w:abstractNumId w:val="1"/>
  </w:num>
  <w:num w:numId="12">
    <w:abstractNumId w:val="32"/>
  </w:num>
  <w:num w:numId="13">
    <w:abstractNumId w:val="19"/>
  </w:num>
  <w:num w:numId="14">
    <w:abstractNumId w:val="9"/>
  </w:num>
  <w:num w:numId="15">
    <w:abstractNumId w:val="26"/>
  </w:num>
  <w:num w:numId="16">
    <w:abstractNumId w:val="5"/>
  </w:num>
  <w:num w:numId="17">
    <w:abstractNumId w:val="17"/>
  </w:num>
  <w:num w:numId="18">
    <w:abstractNumId w:val="13"/>
  </w:num>
  <w:num w:numId="19">
    <w:abstractNumId w:val="10"/>
  </w:num>
  <w:num w:numId="20">
    <w:abstractNumId w:val="4"/>
  </w:num>
  <w:num w:numId="21">
    <w:abstractNumId w:val="16"/>
  </w:num>
  <w:num w:numId="22">
    <w:abstractNumId w:val="22"/>
  </w:num>
  <w:num w:numId="23">
    <w:abstractNumId w:val="18"/>
  </w:num>
  <w:num w:numId="24">
    <w:abstractNumId w:val="8"/>
  </w:num>
  <w:num w:numId="25">
    <w:abstractNumId w:val="28"/>
  </w:num>
  <w:num w:numId="26">
    <w:abstractNumId w:val="7"/>
  </w:num>
  <w:num w:numId="27">
    <w:abstractNumId w:val="27"/>
  </w:num>
  <w:num w:numId="28">
    <w:abstractNumId w:val="24"/>
  </w:num>
  <w:num w:numId="29">
    <w:abstractNumId w:val="3"/>
  </w:num>
  <w:num w:numId="30">
    <w:abstractNumId w:val="29"/>
  </w:num>
  <w:num w:numId="31">
    <w:abstractNumId w:val="6"/>
  </w:num>
  <w:num w:numId="32">
    <w:abstractNumId w:val="11"/>
  </w:num>
  <w:num w:numId="3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30"/>
    <w:rsid w:val="000032F9"/>
    <w:rsid w:val="0000456B"/>
    <w:rsid w:val="000054CA"/>
    <w:rsid w:val="00007E7C"/>
    <w:rsid w:val="0001023C"/>
    <w:rsid w:val="00010A2D"/>
    <w:rsid w:val="000111DB"/>
    <w:rsid w:val="00012F4C"/>
    <w:rsid w:val="000131E6"/>
    <w:rsid w:val="0001566D"/>
    <w:rsid w:val="00015EC4"/>
    <w:rsid w:val="00016387"/>
    <w:rsid w:val="0001758A"/>
    <w:rsid w:val="00020AF9"/>
    <w:rsid w:val="000211A7"/>
    <w:rsid w:val="00023E67"/>
    <w:rsid w:val="00024DB2"/>
    <w:rsid w:val="0002517C"/>
    <w:rsid w:val="000257CF"/>
    <w:rsid w:val="00025D96"/>
    <w:rsid w:val="0002736D"/>
    <w:rsid w:val="00027B32"/>
    <w:rsid w:val="0003387D"/>
    <w:rsid w:val="0003393A"/>
    <w:rsid w:val="0003416A"/>
    <w:rsid w:val="000344B6"/>
    <w:rsid w:val="00034E58"/>
    <w:rsid w:val="0003659B"/>
    <w:rsid w:val="00037310"/>
    <w:rsid w:val="0003754A"/>
    <w:rsid w:val="00037934"/>
    <w:rsid w:val="00037B5B"/>
    <w:rsid w:val="00037DE3"/>
    <w:rsid w:val="00045B8E"/>
    <w:rsid w:val="00045BC3"/>
    <w:rsid w:val="000465A8"/>
    <w:rsid w:val="00046B09"/>
    <w:rsid w:val="0005035D"/>
    <w:rsid w:val="00051347"/>
    <w:rsid w:val="0005140A"/>
    <w:rsid w:val="0005799F"/>
    <w:rsid w:val="00057BBE"/>
    <w:rsid w:val="0006275A"/>
    <w:rsid w:val="00063D03"/>
    <w:rsid w:val="00064CA5"/>
    <w:rsid w:val="0006575C"/>
    <w:rsid w:val="00067C37"/>
    <w:rsid w:val="00067E82"/>
    <w:rsid w:val="00071FEE"/>
    <w:rsid w:val="000727DF"/>
    <w:rsid w:val="00072E67"/>
    <w:rsid w:val="00073C0D"/>
    <w:rsid w:val="0007513B"/>
    <w:rsid w:val="0007634C"/>
    <w:rsid w:val="00076E2F"/>
    <w:rsid w:val="00076FCD"/>
    <w:rsid w:val="00077B61"/>
    <w:rsid w:val="00077C11"/>
    <w:rsid w:val="00080810"/>
    <w:rsid w:val="00080CA8"/>
    <w:rsid w:val="00081CDD"/>
    <w:rsid w:val="00082445"/>
    <w:rsid w:val="000827B0"/>
    <w:rsid w:val="00082B05"/>
    <w:rsid w:val="00082C89"/>
    <w:rsid w:val="00083BB1"/>
    <w:rsid w:val="000844D4"/>
    <w:rsid w:val="00084502"/>
    <w:rsid w:val="00084769"/>
    <w:rsid w:val="000850B6"/>
    <w:rsid w:val="0008563B"/>
    <w:rsid w:val="00087E9C"/>
    <w:rsid w:val="00091A13"/>
    <w:rsid w:val="00092847"/>
    <w:rsid w:val="00092E9B"/>
    <w:rsid w:val="00093083"/>
    <w:rsid w:val="0009321A"/>
    <w:rsid w:val="00093EA1"/>
    <w:rsid w:val="00094244"/>
    <w:rsid w:val="00094F7F"/>
    <w:rsid w:val="00096476"/>
    <w:rsid w:val="00097608"/>
    <w:rsid w:val="00097FD5"/>
    <w:rsid w:val="00097FD6"/>
    <w:rsid w:val="000A0219"/>
    <w:rsid w:val="000A0354"/>
    <w:rsid w:val="000A0CDF"/>
    <w:rsid w:val="000A1AF5"/>
    <w:rsid w:val="000A3149"/>
    <w:rsid w:val="000A4FCA"/>
    <w:rsid w:val="000A6071"/>
    <w:rsid w:val="000B1569"/>
    <w:rsid w:val="000B1889"/>
    <w:rsid w:val="000B2691"/>
    <w:rsid w:val="000B3114"/>
    <w:rsid w:val="000B38B4"/>
    <w:rsid w:val="000B4789"/>
    <w:rsid w:val="000B48C8"/>
    <w:rsid w:val="000C138B"/>
    <w:rsid w:val="000C22AC"/>
    <w:rsid w:val="000C4AFC"/>
    <w:rsid w:val="000C5E95"/>
    <w:rsid w:val="000D15C1"/>
    <w:rsid w:val="000D4264"/>
    <w:rsid w:val="000D4F16"/>
    <w:rsid w:val="000D53BB"/>
    <w:rsid w:val="000D5E82"/>
    <w:rsid w:val="000D6D46"/>
    <w:rsid w:val="000D7E4A"/>
    <w:rsid w:val="000D7FAD"/>
    <w:rsid w:val="000E0219"/>
    <w:rsid w:val="000E0F12"/>
    <w:rsid w:val="000E22A3"/>
    <w:rsid w:val="000E2B04"/>
    <w:rsid w:val="000E36BE"/>
    <w:rsid w:val="000E57FF"/>
    <w:rsid w:val="000E644C"/>
    <w:rsid w:val="000E645D"/>
    <w:rsid w:val="000E754B"/>
    <w:rsid w:val="000F0B33"/>
    <w:rsid w:val="000F2B21"/>
    <w:rsid w:val="000F36B2"/>
    <w:rsid w:val="000F4C77"/>
    <w:rsid w:val="000F5C9D"/>
    <w:rsid w:val="000F6EF7"/>
    <w:rsid w:val="000F786C"/>
    <w:rsid w:val="00100942"/>
    <w:rsid w:val="001067C7"/>
    <w:rsid w:val="00107AD5"/>
    <w:rsid w:val="00110B6F"/>
    <w:rsid w:val="00112A62"/>
    <w:rsid w:val="00113DDF"/>
    <w:rsid w:val="0011490E"/>
    <w:rsid w:val="001150D3"/>
    <w:rsid w:val="001151BB"/>
    <w:rsid w:val="00115C65"/>
    <w:rsid w:val="00115D4C"/>
    <w:rsid w:val="00117A2D"/>
    <w:rsid w:val="0012038D"/>
    <w:rsid w:val="001206FC"/>
    <w:rsid w:val="00123530"/>
    <w:rsid w:val="00124CB1"/>
    <w:rsid w:val="00124D4D"/>
    <w:rsid w:val="00126204"/>
    <w:rsid w:val="00131B9B"/>
    <w:rsid w:val="00132204"/>
    <w:rsid w:val="00133081"/>
    <w:rsid w:val="001330BD"/>
    <w:rsid w:val="001332D4"/>
    <w:rsid w:val="00136631"/>
    <w:rsid w:val="001379CC"/>
    <w:rsid w:val="00140146"/>
    <w:rsid w:val="00141B52"/>
    <w:rsid w:val="00142404"/>
    <w:rsid w:val="00145604"/>
    <w:rsid w:val="00145FF2"/>
    <w:rsid w:val="00146437"/>
    <w:rsid w:val="00146442"/>
    <w:rsid w:val="00151AD6"/>
    <w:rsid w:val="001523DB"/>
    <w:rsid w:val="00156711"/>
    <w:rsid w:val="00156872"/>
    <w:rsid w:val="00157BA8"/>
    <w:rsid w:val="00160AD6"/>
    <w:rsid w:val="00160C89"/>
    <w:rsid w:val="00160CDB"/>
    <w:rsid w:val="00160E65"/>
    <w:rsid w:val="00161011"/>
    <w:rsid w:val="0016356C"/>
    <w:rsid w:val="00163B9B"/>
    <w:rsid w:val="001644C2"/>
    <w:rsid w:val="001649A6"/>
    <w:rsid w:val="00164ACF"/>
    <w:rsid w:val="00164DAD"/>
    <w:rsid w:val="001650A5"/>
    <w:rsid w:val="001650C7"/>
    <w:rsid w:val="00165337"/>
    <w:rsid w:val="001654F8"/>
    <w:rsid w:val="00166DB5"/>
    <w:rsid w:val="001768BF"/>
    <w:rsid w:val="00177066"/>
    <w:rsid w:val="001778AE"/>
    <w:rsid w:val="00177E63"/>
    <w:rsid w:val="00180844"/>
    <w:rsid w:val="001822C9"/>
    <w:rsid w:val="0018264B"/>
    <w:rsid w:val="00185947"/>
    <w:rsid w:val="00185F50"/>
    <w:rsid w:val="00190B7A"/>
    <w:rsid w:val="00191056"/>
    <w:rsid w:val="001919FE"/>
    <w:rsid w:val="00191BF5"/>
    <w:rsid w:val="00191F84"/>
    <w:rsid w:val="0019542B"/>
    <w:rsid w:val="0019558D"/>
    <w:rsid w:val="0019781A"/>
    <w:rsid w:val="00197BCB"/>
    <w:rsid w:val="00197C99"/>
    <w:rsid w:val="001A136A"/>
    <w:rsid w:val="001A1BD6"/>
    <w:rsid w:val="001A2620"/>
    <w:rsid w:val="001A2B2A"/>
    <w:rsid w:val="001A3045"/>
    <w:rsid w:val="001A6FF1"/>
    <w:rsid w:val="001B052B"/>
    <w:rsid w:val="001B220C"/>
    <w:rsid w:val="001B2621"/>
    <w:rsid w:val="001B3691"/>
    <w:rsid w:val="001B5437"/>
    <w:rsid w:val="001B6103"/>
    <w:rsid w:val="001B73B0"/>
    <w:rsid w:val="001C010D"/>
    <w:rsid w:val="001C0406"/>
    <w:rsid w:val="001C125C"/>
    <w:rsid w:val="001C1AB2"/>
    <w:rsid w:val="001C76FF"/>
    <w:rsid w:val="001D0218"/>
    <w:rsid w:val="001D0489"/>
    <w:rsid w:val="001D2F9E"/>
    <w:rsid w:val="001D36DC"/>
    <w:rsid w:val="001D3AD6"/>
    <w:rsid w:val="001D5ED2"/>
    <w:rsid w:val="001D64C1"/>
    <w:rsid w:val="001E0980"/>
    <w:rsid w:val="001E2774"/>
    <w:rsid w:val="001E28E7"/>
    <w:rsid w:val="001E4E40"/>
    <w:rsid w:val="001E6587"/>
    <w:rsid w:val="001E6B39"/>
    <w:rsid w:val="001E6E3A"/>
    <w:rsid w:val="001F044B"/>
    <w:rsid w:val="001F1606"/>
    <w:rsid w:val="001F184B"/>
    <w:rsid w:val="001F288F"/>
    <w:rsid w:val="001F490E"/>
    <w:rsid w:val="001F61E9"/>
    <w:rsid w:val="001F695F"/>
    <w:rsid w:val="00201EA2"/>
    <w:rsid w:val="0020355A"/>
    <w:rsid w:val="00203E87"/>
    <w:rsid w:val="0020443A"/>
    <w:rsid w:val="002051B0"/>
    <w:rsid w:val="00205271"/>
    <w:rsid w:val="0020597E"/>
    <w:rsid w:val="0020736B"/>
    <w:rsid w:val="00207C67"/>
    <w:rsid w:val="00207E07"/>
    <w:rsid w:val="00210C40"/>
    <w:rsid w:val="0021144B"/>
    <w:rsid w:val="00211BD0"/>
    <w:rsid w:val="0021226E"/>
    <w:rsid w:val="0021395A"/>
    <w:rsid w:val="002139E1"/>
    <w:rsid w:val="0021422C"/>
    <w:rsid w:val="00214C4A"/>
    <w:rsid w:val="00216D0E"/>
    <w:rsid w:val="00217C06"/>
    <w:rsid w:val="00220118"/>
    <w:rsid w:val="002203E8"/>
    <w:rsid w:val="00221972"/>
    <w:rsid w:val="0022229F"/>
    <w:rsid w:val="002230AF"/>
    <w:rsid w:val="002235E8"/>
    <w:rsid w:val="00223890"/>
    <w:rsid w:val="002243A4"/>
    <w:rsid w:val="00224CE0"/>
    <w:rsid w:val="00225E79"/>
    <w:rsid w:val="002272BC"/>
    <w:rsid w:val="00227F4A"/>
    <w:rsid w:val="0023223E"/>
    <w:rsid w:val="00232B8D"/>
    <w:rsid w:val="002332D2"/>
    <w:rsid w:val="0023363A"/>
    <w:rsid w:val="00234179"/>
    <w:rsid w:val="00235E7E"/>
    <w:rsid w:val="00237CCD"/>
    <w:rsid w:val="002403D9"/>
    <w:rsid w:val="00240754"/>
    <w:rsid w:val="00240F9D"/>
    <w:rsid w:val="002410D4"/>
    <w:rsid w:val="00241293"/>
    <w:rsid w:val="00241517"/>
    <w:rsid w:val="002419DF"/>
    <w:rsid w:val="002423DE"/>
    <w:rsid w:val="00243758"/>
    <w:rsid w:val="00243C25"/>
    <w:rsid w:val="00243DE6"/>
    <w:rsid w:val="00244B52"/>
    <w:rsid w:val="00245058"/>
    <w:rsid w:val="00245142"/>
    <w:rsid w:val="002453F9"/>
    <w:rsid w:val="00245B80"/>
    <w:rsid w:val="0024608F"/>
    <w:rsid w:val="00246FB5"/>
    <w:rsid w:val="002472F5"/>
    <w:rsid w:val="002507A7"/>
    <w:rsid w:val="00254992"/>
    <w:rsid w:val="0025503C"/>
    <w:rsid w:val="002551EB"/>
    <w:rsid w:val="0025582D"/>
    <w:rsid w:val="00255990"/>
    <w:rsid w:val="00255DF2"/>
    <w:rsid w:val="00260BEF"/>
    <w:rsid w:val="002628FA"/>
    <w:rsid w:val="00262FD4"/>
    <w:rsid w:val="002644A3"/>
    <w:rsid w:val="002663E5"/>
    <w:rsid w:val="00267A6A"/>
    <w:rsid w:val="002701BD"/>
    <w:rsid w:val="002705B1"/>
    <w:rsid w:val="00270732"/>
    <w:rsid w:val="00270A30"/>
    <w:rsid w:val="00271743"/>
    <w:rsid w:val="00271D7A"/>
    <w:rsid w:val="00272178"/>
    <w:rsid w:val="00272A11"/>
    <w:rsid w:val="002736D4"/>
    <w:rsid w:val="0027426F"/>
    <w:rsid w:val="0027465E"/>
    <w:rsid w:val="00275C1A"/>
    <w:rsid w:val="00275D92"/>
    <w:rsid w:val="002772E6"/>
    <w:rsid w:val="00277D1C"/>
    <w:rsid w:val="002806FA"/>
    <w:rsid w:val="00280782"/>
    <w:rsid w:val="00280E62"/>
    <w:rsid w:val="0028126F"/>
    <w:rsid w:val="00283237"/>
    <w:rsid w:val="00283ADE"/>
    <w:rsid w:val="00286AAD"/>
    <w:rsid w:val="00287761"/>
    <w:rsid w:val="002904FB"/>
    <w:rsid w:val="0029219E"/>
    <w:rsid w:val="00292D10"/>
    <w:rsid w:val="0029740C"/>
    <w:rsid w:val="002975B2"/>
    <w:rsid w:val="002A0739"/>
    <w:rsid w:val="002A0C2C"/>
    <w:rsid w:val="002A1321"/>
    <w:rsid w:val="002A26FE"/>
    <w:rsid w:val="002A3801"/>
    <w:rsid w:val="002A3A6D"/>
    <w:rsid w:val="002A48B2"/>
    <w:rsid w:val="002A60D8"/>
    <w:rsid w:val="002A6A1B"/>
    <w:rsid w:val="002A723E"/>
    <w:rsid w:val="002B0C90"/>
    <w:rsid w:val="002B1239"/>
    <w:rsid w:val="002B19CE"/>
    <w:rsid w:val="002B3A88"/>
    <w:rsid w:val="002B3AA8"/>
    <w:rsid w:val="002B3B28"/>
    <w:rsid w:val="002B3CD5"/>
    <w:rsid w:val="002B4721"/>
    <w:rsid w:val="002B6DB7"/>
    <w:rsid w:val="002B70DD"/>
    <w:rsid w:val="002B7837"/>
    <w:rsid w:val="002B7AB1"/>
    <w:rsid w:val="002B7BA8"/>
    <w:rsid w:val="002C0719"/>
    <w:rsid w:val="002C1B2D"/>
    <w:rsid w:val="002C3958"/>
    <w:rsid w:val="002C42FC"/>
    <w:rsid w:val="002C4E73"/>
    <w:rsid w:val="002C566B"/>
    <w:rsid w:val="002C7F61"/>
    <w:rsid w:val="002D05CF"/>
    <w:rsid w:val="002D0BB4"/>
    <w:rsid w:val="002D0DB4"/>
    <w:rsid w:val="002D110C"/>
    <w:rsid w:val="002D2BA8"/>
    <w:rsid w:val="002D44BC"/>
    <w:rsid w:val="002D477D"/>
    <w:rsid w:val="002D49E1"/>
    <w:rsid w:val="002D5497"/>
    <w:rsid w:val="002D6623"/>
    <w:rsid w:val="002E0855"/>
    <w:rsid w:val="002E3685"/>
    <w:rsid w:val="002E5422"/>
    <w:rsid w:val="002E56F7"/>
    <w:rsid w:val="002E61B4"/>
    <w:rsid w:val="002E640C"/>
    <w:rsid w:val="002E6A97"/>
    <w:rsid w:val="002E7B7D"/>
    <w:rsid w:val="002F0117"/>
    <w:rsid w:val="002F16B2"/>
    <w:rsid w:val="002F28C5"/>
    <w:rsid w:val="002F2CB5"/>
    <w:rsid w:val="002F3E25"/>
    <w:rsid w:val="002F60A5"/>
    <w:rsid w:val="002F6AE1"/>
    <w:rsid w:val="00300A70"/>
    <w:rsid w:val="003019FF"/>
    <w:rsid w:val="00304776"/>
    <w:rsid w:val="00304E0E"/>
    <w:rsid w:val="00304E94"/>
    <w:rsid w:val="00307828"/>
    <w:rsid w:val="00310160"/>
    <w:rsid w:val="00312A64"/>
    <w:rsid w:val="00313181"/>
    <w:rsid w:val="00313DD9"/>
    <w:rsid w:val="003149ED"/>
    <w:rsid w:val="00314E40"/>
    <w:rsid w:val="0031552D"/>
    <w:rsid w:val="003157DC"/>
    <w:rsid w:val="003216C5"/>
    <w:rsid w:val="00322541"/>
    <w:rsid w:val="00323C4F"/>
    <w:rsid w:val="0032441E"/>
    <w:rsid w:val="00324617"/>
    <w:rsid w:val="003249E3"/>
    <w:rsid w:val="00324D50"/>
    <w:rsid w:val="00326BFF"/>
    <w:rsid w:val="00327C0A"/>
    <w:rsid w:val="00330134"/>
    <w:rsid w:val="0033016A"/>
    <w:rsid w:val="00332C37"/>
    <w:rsid w:val="0033303D"/>
    <w:rsid w:val="00333912"/>
    <w:rsid w:val="0033466A"/>
    <w:rsid w:val="00334E86"/>
    <w:rsid w:val="003356F2"/>
    <w:rsid w:val="00336515"/>
    <w:rsid w:val="0033700F"/>
    <w:rsid w:val="003378C4"/>
    <w:rsid w:val="0034012E"/>
    <w:rsid w:val="00340D71"/>
    <w:rsid w:val="00342166"/>
    <w:rsid w:val="00342D72"/>
    <w:rsid w:val="00343AE0"/>
    <w:rsid w:val="00346146"/>
    <w:rsid w:val="0034625C"/>
    <w:rsid w:val="00347216"/>
    <w:rsid w:val="003478F8"/>
    <w:rsid w:val="00347A9F"/>
    <w:rsid w:val="003522AC"/>
    <w:rsid w:val="00352BC3"/>
    <w:rsid w:val="003537A6"/>
    <w:rsid w:val="00354835"/>
    <w:rsid w:val="00357D51"/>
    <w:rsid w:val="00360AC9"/>
    <w:rsid w:val="0036106C"/>
    <w:rsid w:val="003613E3"/>
    <w:rsid w:val="003616FD"/>
    <w:rsid w:val="003630DB"/>
    <w:rsid w:val="003646E8"/>
    <w:rsid w:val="0036575A"/>
    <w:rsid w:val="00366161"/>
    <w:rsid w:val="00366DD4"/>
    <w:rsid w:val="003705A8"/>
    <w:rsid w:val="00371BD7"/>
    <w:rsid w:val="0037215D"/>
    <w:rsid w:val="003758BC"/>
    <w:rsid w:val="003777C2"/>
    <w:rsid w:val="00377EC1"/>
    <w:rsid w:val="003812F9"/>
    <w:rsid w:val="00383A47"/>
    <w:rsid w:val="00383ADD"/>
    <w:rsid w:val="00385DE8"/>
    <w:rsid w:val="00390736"/>
    <w:rsid w:val="00390F7D"/>
    <w:rsid w:val="00391AD1"/>
    <w:rsid w:val="00391C79"/>
    <w:rsid w:val="0039287B"/>
    <w:rsid w:val="00393757"/>
    <w:rsid w:val="00395B25"/>
    <w:rsid w:val="0039691A"/>
    <w:rsid w:val="0039799E"/>
    <w:rsid w:val="003A0238"/>
    <w:rsid w:val="003A178B"/>
    <w:rsid w:val="003A2385"/>
    <w:rsid w:val="003A29A1"/>
    <w:rsid w:val="003A2D6C"/>
    <w:rsid w:val="003A3700"/>
    <w:rsid w:val="003A3B85"/>
    <w:rsid w:val="003A40FF"/>
    <w:rsid w:val="003A44E3"/>
    <w:rsid w:val="003A6565"/>
    <w:rsid w:val="003A66E8"/>
    <w:rsid w:val="003A71F5"/>
    <w:rsid w:val="003A78CA"/>
    <w:rsid w:val="003B2B59"/>
    <w:rsid w:val="003B3529"/>
    <w:rsid w:val="003B463A"/>
    <w:rsid w:val="003B4E1C"/>
    <w:rsid w:val="003B57C4"/>
    <w:rsid w:val="003C1652"/>
    <w:rsid w:val="003C2F79"/>
    <w:rsid w:val="003C3991"/>
    <w:rsid w:val="003C53FF"/>
    <w:rsid w:val="003C543F"/>
    <w:rsid w:val="003C5A8E"/>
    <w:rsid w:val="003C5B68"/>
    <w:rsid w:val="003D0A79"/>
    <w:rsid w:val="003D10CF"/>
    <w:rsid w:val="003D29A3"/>
    <w:rsid w:val="003D2C8B"/>
    <w:rsid w:val="003D3226"/>
    <w:rsid w:val="003D38D9"/>
    <w:rsid w:val="003D4F88"/>
    <w:rsid w:val="003D548A"/>
    <w:rsid w:val="003D6D37"/>
    <w:rsid w:val="003E08E5"/>
    <w:rsid w:val="003E09B3"/>
    <w:rsid w:val="003E240D"/>
    <w:rsid w:val="003E3A93"/>
    <w:rsid w:val="003E4486"/>
    <w:rsid w:val="003E5783"/>
    <w:rsid w:val="003E59C0"/>
    <w:rsid w:val="003E6137"/>
    <w:rsid w:val="003E627F"/>
    <w:rsid w:val="003F17E3"/>
    <w:rsid w:val="003F19AA"/>
    <w:rsid w:val="003F1DC9"/>
    <w:rsid w:val="003F21B7"/>
    <w:rsid w:val="003F22A8"/>
    <w:rsid w:val="003F23EB"/>
    <w:rsid w:val="003F3040"/>
    <w:rsid w:val="003F348B"/>
    <w:rsid w:val="003F3A34"/>
    <w:rsid w:val="003F496D"/>
    <w:rsid w:val="003F4F71"/>
    <w:rsid w:val="003F598C"/>
    <w:rsid w:val="003F5C05"/>
    <w:rsid w:val="003F6711"/>
    <w:rsid w:val="003F68C6"/>
    <w:rsid w:val="003F69F0"/>
    <w:rsid w:val="003F76EF"/>
    <w:rsid w:val="003F772B"/>
    <w:rsid w:val="00402094"/>
    <w:rsid w:val="004028D3"/>
    <w:rsid w:val="004031B1"/>
    <w:rsid w:val="00403360"/>
    <w:rsid w:val="00403B6D"/>
    <w:rsid w:val="00403F4F"/>
    <w:rsid w:val="00404BE5"/>
    <w:rsid w:val="00404FBC"/>
    <w:rsid w:val="00405B13"/>
    <w:rsid w:val="00406105"/>
    <w:rsid w:val="00406A80"/>
    <w:rsid w:val="0040765C"/>
    <w:rsid w:val="004076F9"/>
    <w:rsid w:val="0041020C"/>
    <w:rsid w:val="00410CE6"/>
    <w:rsid w:val="004117F1"/>
    <w:rsid w:val="004136EC"/>
    <w:rsid w:val="00414491"/>
    <w:rsid w:val="004149F4"/>
    <w:rsid w:val="00414CE3"/>
    <w:rsid w:val="00414D8F"/>
    <w:rsid w:val="00414E00"/>
    <w:rsid w:val="00414EC0"/>
    <w:rsid w:val="004159E6"/>
    <w:rsid w:val="00416339"/>
    <w:rsid w:val="004170CA"/>
    <w:rsid w:val="0042205B"/>
    <w:rsid w:val="004222D4"/>
    <w:rsid w:val="00424B5A"/>
    <w:rsid w:val="004261A9"/>
    <w:rsid w:val="004262CA"/>
    <w:rsid w:val="00426AE6"/>
    <w:rsid w:val="00430C0B"/>
    <w:rsid w:val="00431AA8"/>
    <w:rsid w:val="0043279A"/>
    <w:rsid w:val="004331F7"/>
    <w:rsid w:val="00433F6C"/>
    <w:rsid w:val="004375F8"/>
    <w:rsid w:val="00437B33"/>
    <w:rsid w:val="00437C3A"/>
    <w:rsid w:val="00437E81"/>
    <w:rsid w:val="00440141"/>
    <w:rsid w:val="004409CD"/>
    <w:rsid w:val="00442F9A"/>
    <w:rsid w:val="00443CA3"/>
    <w:rsid w:val="0044535F"/>
    <w:rsid w:val="00447AE9"/>
    <w:rsid w:val="00447D3B"/>
    <w:rsid w:val="004518C8"/>
    <w:rsid w:val="004538F4"/>
    <w:rsid w:val="004542F1"/>
    <w:rsid w:val="0045448C"/>
    <w:rsid w:val="00454F55"/>
    <w:rsid w:val="004553C4"/>
    <w:rsid w:val="00455721"/>
    <w:rsid w:val="00461632"/>
    <w:rsid w:val="00461E6C"/>
    <w:rsid w:val="00462130"/>
    <w:rsid w:val="0046229E"/>
    <w:rsid w:val="00462629"/>
    <w:rsid w:val="00462C92"/>
    <w:rsid w:val="00462F26"/>
    <w:rsid w:val="00463805"/>
    <w:rsid w:val="0046388F"/>
    <w:rsid w:val="00463BC3"/>
    <w:rsid w:val="00463FBB"/>
    <w:rsid w:val="00464434"/>
    <w:rsid w:val="004661C3"/>
    <w:rsid w:val="00466791"/>
    <w:rsid w:val="004677E8"/>
    <w:rsid w:val="00467FE8"/>
    <w:rsid w:val="00471623"/>
    <w:rsid w:val="00472071"/>
    <w:rsid w:val="00472112"/>
    <w:rsid w:val="00473F43"/>
    <w:rsid w:val="0047407F"/>
    <w:rsid w:val="00474268"/>
    <w:rsid w:val="004743A2"/>
    <w:rsid w:val="00475351"/>
    <w:rsid w:val="00476F1D"/>
    <w:rsid w:val="00480429"/>
    <w:rsid w:val="004813C2"/>
    <w:rsid w:val="00481896"/>
    <w:rsid w:val="004823C7"/>
    <w:rsid w:val="0048269B"/>
    <w:rsid w:val="00482F1C"/>
    <w:rsid w:val="00484190"/>
    <w:rsid w:val="00484420"/>
    <w:rsid w:val="00485168"/>
    <w:rsid w:val="00486118"/>
    <w:rsid w:val="0048687E"/>
    <w:rsid w:val="004907D5"/>
    <w:rsid w:val="0049138F"/>
    <w:rsid w:val="004946C4"/>
    <w:rsid w:val="004947C0"/>
    <w:rsid w:val="00495DD7"/>
    <w:rsid w:val="004962A3"/>
    <w:rsid w:val="00496959"/>
    <w:rsid w:val="00497A53"/>
    <w:rsid w:val="004A0CAA"/>
    <w:rsid w:val="004A10B6"/>
    <w:rsid w:val="004A14D1"/>
    <w:rsid w:val="004A3547"/>
    <w:rsid w:val="004A3C15"/>
    <w:rsid w:val="004A43E2"/>
    <w:rsid w:val="004A4D41"/>
    <w:rsid w:val="004A4E02"/>
    <w:rsid w:val="004A51A0"/>
    <w:rsid w:val="004A5D7D"/>
    <w:rsid w:val="004A7868"/>
    <w:rsid w:val="004A7C43"/>
    <w:rsid w:val="004B0B22"/>
    <w:rsid w:val="004B11FA"/>
    <w:rsid w:val="004B141F"/>
    <w:rsid w:val="004B2D8E"/>
    <w:rsid w:val="004B300E"/>
    <w:rsid w:val="004B5A84"/>
    <w:rsid w:val="004B73D5"/>
    <w:rsid w:val="004B7D5E"/>
    <w:rsid w:val="004C0146"/>
    <w:rsid w:val="004C2DD7"/>
    <w:rsid w:val="004C37ED"/>
    <w:rsid w:val="004C6D7A"/>
    <w:rsid w:val="004C7496"/>
    <w:rsid w:val="004C7DEB"/>
    <w:rsid w:val="004D03F6"/>
    <w:rsid w:val="004D3B19"/>
    <w:rsid w:val="004D3CF6"/>
    <w:rsid w:val="004D55F4"/>
    <w:rsid w:val="004D58A8"/>
    <w:rsid w:val="004D58BD"/>
    <w:rsid w:val="004D5D26"/>
    <w:rsid w:val="004D5D44"/>
    <w:rsid w:val="004D6471"/>
    <w:rsid w:val="004D7282"/>
    <w:rsid w:val="004E0284"/>
    <w:rsid w:val="004E0427"/>
    <w:rsid w:val="004E1EF0"/>
    <w:rsid w:val="004E4086"/>
    <w:rsid w:val="004E47D5"/>
    <w:rsid w:val="004E52FF"/>
    <w:rsid w:val="004E54A3"/>
    <w:rsid w:val="004F5714"/>
    <w:rsid w:val="004F665F"/>
    <w:rsid w:val="004F6A74"/>
    <w:rsid w:val="00500132"/>
    <w:rsid w:val="00500769"/>
    <w:rsid w:val="00500EF9"/>
    <w:rsid w:val="0050116D"/>
    <w:rsid w:val="005011D5"/>
    <w:rsid w:val="005013C3"/>
    <w:rsid w:val="005013C8"/>
    <w:rsid w:val="00501FC6"/>
    <w:rsid w:val="00502228"/>
    <w:rsid w:val="0050272E"/>
    <w:rsid w:val="00503213"/>
    <w:rsid w:val="0050337B"/>
    <w:rsid w:val="0050493D"/>
    <w:rsid w:val="005070AB"/>
    <w:rsid w:val="00510461"/>
    <w:rsid w:val="00512958"/>
    <w:rsid w:val="00515200"/>
    <w:rsid w:val="00515584"/>
    <w:rsid w:val="00515894"/>
    <w:rsid w:val="0051599E"/>
    <w:rsid w:val="00515CC8"/>
    <w:rsid w:val="00515F1A"/>
    <w:rsid w:val="00516DE2"/>
    <w:rsid w:val="005203A9"/>
    <w:rsid w:val="005206F4"/>
    <w:rsid w:val="00520E8B"/>
    <w:rsid w:val="00521084"/>
    <w:rsid w:val="0052446F"/>
    <w:rsid w:val="00526592"/>
    <w:rsid w:val="00526868"/>
    <w:rsid w:val="005279F2"/>
    <w:rsid w:val="00527BA6"/>
    <w:rsid w:val="00527C76"/>
    <w:rsid w:val="00530F25"/>
    <w:rsid w:val="005312E8"/>
    <w:rsid w:val="00531BF7"/>
    <w:rsid w:val="00532556"/>
    <w:rsid w:val="00534611"/>
    <w:rsid w:val="0053461B"/>
    <w:rsid w:val="005357A8"/>
    <w:rsid w:val="00535CAD"/>
    <w:rsid w:val="00535E35"/>
    <w:rsid w:val="005365AD"/>
    <w:rsid w:val="00537B9F"/>
    <w:rsid w:val="00542480"/>
    <w:rsid w:val="0054283F"/>
    <w:rsid w:val="00542841"/>
    <w:rsid w:val="00543750"/>
    <w:rsid w:val="005437D2"/>
    <w:rsid w:val="005448D5"/>
    <w:rsid w:val="00545E34"/>
    <w:rsid w:val="00546B65"/>
    <w:rsid w:val="005505DC"/>
    <w:rsid w:val="0055308B"/>
    <w:rsid w:val="00556742"/>
    <w:rsid w:val="005567D2"/>
    <w:rsid w:val="00556811"/>
    <w:rsid w:val="0055685D"/>
    <w:rsid w:val="00557F03"/>
    <w:rsid w:val="00560528"/>
    <w:rsid w:val="00560BAA"/>
    <w:rsid w:val="00561683"/>
    <w:rsid w:val="0056231E"/>
    <w:rsid w:val="005623C1"/>
    <w:rsid w:val="00563421"/>
    <w:rsid w:val="005646C0"/>
    <w:rsid w:val="00565598"/>
    <w:rsid w:val="0056751D"/>
    <w:rsid w:val="00567596"/>
    <w:rsid w:val="005679C9"/>
    <w:rsid w:val="00571388"/>
    <w:rsid w:val="00571620"/>
    <w:rsid w:val="00571C0E"/>
    <w:rsid w:val="005728E6"/>
    <w:rsid w:val="00577079"/>
    <w:rsid w:val="00577109"/>
    <w:rsid w:val="005817B9"/>
    <w:rsid w:val="0058500A"/>
    <w:rsid w:val="005856A8"/>
    <w:rsid w:val="0058645C"/>
    <w:rsid w:val="00586ADF"/>
    <w:rsid w:val="00590097"/>
    <w:rsid w:val="00590743"/>
    <w:rsid w:val="005907FA"/>
    <w:rsid w:val="005908C8"/>
    <w:rsid w:val="005911FC"/>
    <w:rsid w:val="00592578"/>
    <w:rsid w:val="005934FA"/>
    <w:rsid w:val="005A0338"/>
    <w:rsid w:val="005A0A06"/>
    <w:rsid w:val="005A110F"/>
    <w:rsid w:val="005A3AA2"/>
    <w:rsid w:val="005A3EAA"/>
    <w:rsid w:val="005A3F19"/>
    <w:rsid w:val="005A4586"/>
    <w:rsid w:val="005B0C75"/>
    <w:rsid w:val="005B3EA6"/>
    <w:rsid w:val="005B3FE8"/>
    <w:rsid w:val="005B5515"/>
    <w:rsid w:val="005B7C8C"/>
    <w:rsid w:val="005C18F7"/>
    <w:rsid w:val="005C1C29"/>
    <w:rsid w:val="005C22CA"/>
    <w:rsid w:val="005C2C67"/>
    <w:rsid w:val="005C2E43"/>
    <w:rsid w:val="005C31BD"/>
    <w:rsid w:val="005C4057"/>
    <w:rsid w:val="005C42FA"/>
    <w:rsid w:val="005C47E9"/>
    <w:rsid w:val="005C5467"/>
    <w:rsid w:val="005C7724"/>
    <w:rsid w:val="005D0656"/>
    <w:rsid w:val="005D0DCC"/>
    <w:rsid w:val="005D239E"/>
    <w:rsid w:val="005D7121"/>
    <w:rsid w:val="005E09E9"/>
    <w:rsid w:val="005E2507"/>
    <w:rsid w:val="005E25FE"/>
    <w:rsid w:val="005E3DFA"/>
    <w:rsid w:val="005E4E28"/>
    <w:rsid w:val="005E5F0A"/>
    <w:rsid w:val="005E64A4"/>
    <w:rsid w:val="005F0FBD"/>
    <w:rsid w:val="005F3F0C"/>
    <w:rsid w:val="005F4E1D"/>
    <w:rsid w:val="005F68DF"/>
    <w:rsid w:val="005F763A"/>
    <w:rsid w:val="005F7C16"/>
    <w:rsid w:val="005F7D44"/>
    <w:rsid w:val="006010B7"/>
    <w:rsid w:val="00604B95"/>
    <w:rsid w:val="00604BCE"/>
    <w:rsid w:val="00605968"/>
    <w:rsid w:val="00606B3F"/>
    <w:rsid w:val="00607302"/>
    <w:rsid w:val="00610D0D"/>
    <w:rsid w:val="00612D99"/>
    <w:rsid w:val="006132C9"/>
    <w:rsid w:val="00615531"/>
    <w:rsid w:val="00617ED4"/>
    <w:rsid w:val="00620127"/>
    <w:rsid w:val="00620870"/>
    <w:rsid w:val="00621701"/>
    <w:rsid w:val="00621F2F"/>
    <w:rsid w:val="00622426"/>
    <w:rsid w:val="00630257"/>
    <w:rsid w:val="006309F0"/>
    <w:rsid w:val="00631FC9"/>
    <w:rsid w:val="0063279E"/>
    <w:rsid w:val="00632C8A"/>
    <w:rsid w:val="00634BDA"/>
    <w:rsid w:val="006369D9"/>
    <w:rsid w:val="00636D62"/>
    <w:rsid w:val="0063717B"/>
    <w:rsid w:val="0063768C"/>
    <w:rsid w:val="00637AA4"/>
    <w:rsid w:val="0064043C"/>
    <w:rsid w:val="006407BD"/>
    <w:rsid w:val="00641628"/>
    <w:rsid w:val="00642663"/>
    <w:rsid w:val="0064424B"/>
    <w:rsid w:val="00644EE8"/>
    <w:rsid w:val="006462C9"/>
    <w:rsid w:val="00647857"/>
    <w:rsid w:val="00651DA4"/>
    <w:rsid w:val="00652E9D"/>
    <w:rsid w:val="006534C0"/>
    <w:rsid w:val="00654E6C"/>
    <w:rsid w:val="006626E6"/>
    <w:rsid w:val="00662F20"/>
    <w:rsid w:val="00662FAB"/>
    <w:rsid w:val="006637F2"/>
    <w:rsid w:val="006647DC"/>
    <w:rsid w:val="00665679"/>
    <w:rsid w:val="00665E2A"/>
    <w:rsid w:val="00667CF6"/>
    <w:rsid w:val="006703B1"/>
    <w:rsid w:val="00670FC1"/>
    <w:rsid w:val="006734E5"/>
    <w:rsid w:val="006775EF"/>
    <w:rsid w:val="0068138E"/>
    <w:rsid w:val="006826C2"/>
    <w:rsid w:val="0068321A"/>
    <w:rsid w:val="00683979"/>
    <w:rsid w:val="0068575B"/>
    <w:rsid w:val="00685FB8"/>
    <w:rsid w:val="006861E3"/>
    <w:rsid w:val="0068632C"/>
    <w:rsid w:val="00687A52"/>
    <w:rsid w:val="0069083A"/>
    <w:rsid w:val="00690AB6"/>
    <w:rsid w:val="00691208"/>
    <w:rsid w:val="00696FC8"/>
    <w:rsid w:val="00697043"/>
    <w:rsid w:val="0069786B"/>
    <w:rsid w:val="006978E3"/>
    <w:rsid w:val="006A04B2"/>
    <w:rsid w:val="006A13ED"/>
    <w:rsid w:val="006A1F30"/>
    <w:rsid w:val="006A2958"/>
    <w:rsid w:val="006A37BF"/>
    <w:rsid w:val="006A4E0C"/>
    <w:rsid w:val="006A4EE6"/>
    <w:rsid w:val="006A5EBF"/>
    <w:rsid w:val="006B0B3F"/>
    <w:rsid w:val="006B2792"/>
    <w:rsid w:val="006B3257"/>
    <w:rsid w:val="006B3FE4"/>
    <w:rsid w:val="006B43BE"/>
    <w:rsid w:val="006B75A8"/>
    <w:rsid w:val="006C05DE"/>
    <w:rsid w:val="006C093B"/>
    <w:rsid w:val="006C0CFE"/>
    <w:rsid w:val="006C0F2D"/>
    <w:rsid w:val="006C2AB4"/>
    <w:rsid w:val="006C503A"/>
    <w:rsid w:val="006C5DF4"/>
    <w:rsid w:val="006C5EAC"/>
    <w:rsid w:val="006C62FC"/>
    <w:rsid w:val="006C6970"/>
    <w:rsid w:val="006D13CE"/>
    <w:rsid w:val="006D38D4"/>
    <w:rsid w:val="006D6AE9"/>
    <w:rsid w:val="006E0288"/>
    <w:rsid w:val="006E2432"/>
    <w:rsid w:val="006E2491"/>
    <w:rsid w:val="006E4903"/>
    <w:rsid w:val="006E5091"/>
    <w:rsid w:val="006E588C"/>
    <w:rsid w:val="006E78BB"/>
    <w:rsid w:val="006F04EB"/>
    <w:rsid w:val="006F0FE9"/>
    <w:rsid w:val="006F1B30"/>
    <w:rsid w:val="006F1B57"/>
    <w:rsid w:val="006F30D2"/>
    <w:rsid w:val="006F4F38"/>
    <w:rsid w:val="006F517F"/>
    <w:rsid w:val="006F5CB9"/>
    <w:rsid w:val="006F618B"/>
    <w:rsid w:val="006F622C"/>
    <w:rsid w:val="006F62DF"/>
    <w:rsid w:val="006F6E75"/>
    <w:rsid w:val="006F72A1"/>
    <w:rsid w:val="00700739"/>
    <w:rsid w:val="0070134A"/>
    <w:rsid w:val="00701D48"/>
    <w:rsid w:val="00702896"/>
    <w:rsid w:val="00702B65"/>
    <w:rsid w:val="007035E3"/>
    <w:rsid w:val="007049C2"/>
    <w:rsid w:val="0070526B"/>
    <w:rsid w:val="00705910"/>
    <w:rsid w:val="00705B31"/>
    <w:rsid w:val="007061CC"/>
    <w:rsid w:val="007069E6"/>
    <w:rsid w:val="00707329"/>
    <w:rsid w:val="007114FE"/>
    <w:rsid w:val="00711AB6"/>
    <w:rsid w:val="00711C0A"/>
    <w:rsid w:val="007138D6"/>
    <w:rsid w:val="00713D8C"/>
    <w:rsid w:val="00714E92"/>
    <w:rsid w:val="00715D14"/>
    <w:rsid w:val="00716D8F"/>
    <w:rsid w:val="0072176B"/>
    <w:rsid w:val="00721882"/>
    <w:rsid w:val="00722175"/>
    <w:rsid w:val="00722C87"/>
    <w:rsid w:val="00722DF7"/>
    <w:rsid w:val="00724667"/>
    <w:rsid w:val="0072498D"/>
    <w:rsid w:val="00725B5A"/>
    <w:rsid w:val="00726ABD"/>
    <w:rsid w:val="00726CE8"/>
    <w:rsid w:val="00727886"/>
    <w:rsid w:val="007302CB"/>
    <w:rsid w:val="007304A3"/>
    <w:rsid w:val="00730A75"/>
    <w:rsid w:val="00732DA6"/>
    <w:rsid w:val="00736DB2"/>
    <w:rsid w:val="00741341"/>
    <w:rsid w:val="00742164"/>
    <w:rsid w:val="00742552"/>
    <w:rsid w:val="00742B8D"/>
    <w:rsid w:val="0074317E"/>
    <w:rsid w:val="00743286"/>
    <w:rsid w:val="00744E5F"/>
    <w:rsid w:val="00746167"/>
    <w:rsid w:val="00746476"/>
    <w:rsid w:val="007466CC"/>
    <w:rsid w:val="0074710D"/>
    <w:rsid w:val="007500D6"/>
    <w:rsid w:val="00750EA3"/>
    <w:rsid w:val="0075103E"/>
    <w:rsid w:val="00751C49"/>
    <w:rsid w:val="0075200B"/>
    <w:rsid w:val="00752CB7"/>
    <w:rsid w:val="0075313A"/>
    <w:rsid w:val="0075515C"/>
    <w:rsid w:val="007558D4"/>
    <w:rsid w:val="00755986"/>
    <w:rsid w:val="00756BEB"/>
    <w:rsid w:val="0076060E"/>
    <w:rsid w:val="007608E1"/>
    <w:rsid w:val="007612EC"/>
    <w:rsid w:val="00761A24"/>
    <w:rsid w:val="00761C9E"/>
    <w:rsid w:val="007626E4"/>
    <w:rsid w:val="00763915"/>
    <w:rsid w:val="0076493E"/>
    <w:rsid w:val="007657A0"/>
    <w:rsid w:val="0076615A"/>
    <w:rsid w:val="007671AE"/>
    <w:rsid w:val="00767249"/>
    <w:rsid w:val="00770C59"/>
    <w:rsid w:val="00771531"/>
    <w:rsid w:val="0077154E"/>
    <w:rsid w:val="00772254"/>
    <w:rsid w:val="007737B3"/>
    <w:rsid w:val="007767FD"/>
    <w:rsid w:val="00777475"/>
    <w:rsid w:val="00777FBF"/>
    <w:rsid w:val="007802CC"/>
    <w:rsid w:val="00780BCD"/>
    <w:rsid w:val="00782758"/>
    <w:rsid w:val="00782912"/>
    <w:rsid w:val="00782DEA"/>
    <w:rsid w:val="00785A89"/>
    <w:rsid w:val="00785AF4"/>
    <w:rsid w:val="007870D7"/>
    <w:rsid w:val="007932F1"/>
    <w:rsid w:val="0079389E"/>
    <w:rsid w:val="0079448B"/>
    <w:rsid w:val="00794AF2"/>
    <w:rsid w:val="0079543D"/>
    <w:rsid w:val="00795CC3"/>
    <w:rsid w:val="007972AD"/>
    <w:rsid w:val="00797A94"/>
    <w:rsid w:val="007A2075"/>
    <w:rsid w:val="007A259C"/>
    <w:rsid w:val="007A2D17"/>
    <w:rsid w:val="007A459A"/>
    <w:rsid w:val="007A6E5E"/>
    <w:rsid w:val="007B16FE"/>
    <w:rsid w:val="007B1D1C"/>
    <w:rsid w:val="007B2105"/>
    <w:rsid w:val="007B37FE"/>
    <w:rsid w:val="007B4628"/>
    <w:rsid w:val="007B4D85"/>
    <w:rsid w:val="007B5D37"/>
    <w:rsid w:val="007B5E02"/>
    <w:rsid w:val="007B67B0"/>
    <w:rsid w:val="007B6D1C"/>
    <w:rsid w:val="007B78D7"/>
    <w:rsid w:val="007C1C8F"/>
    <w:rsid w:val="007C27A3"/>
    <w:rsid w:val="007C2C2E"/>
    <w:rsid w:val="007C424F"/>
    <w:rsid w:val="007C4D2C"/>
    <w:rsid w:val="007C7D47"/>
    <w:rsid w:val="007C7E7B"/>
    <w:rsid w:val="007C7F35"/>
    <w:rsid w:val="007D1937"/>
    <w:rsid w:val="007D327E"/>
    <w:rsid w:val="007D3CD4"/>
    <w:rsid w:val="007D48BB"/>
    <w:rsid w:val="007D4CE4"/>
    <w:rsid w:val="007D64AA"/>
    <w:rsid w:val="007E1519"/>
    <w:rsid w:val="007E228E"/>
    <w:rsid w:val="007E36CC"/>
    <w:rsid w:val="007E3DAA"/>
    <w:rsid w:val="007E4109"/>
    <w:rsid w:val="007E4D86"/>
    <w:rsid w:val="007E4FCD"/>
    <w:rsid w:val="007E51D7"/>
    <w:rsid w:val="007E6ED3"/>
    <w:rsid w:val="007E776F"/>
    <w:rsid w:val="007F10A9"/>
    <w:rsid w:val="007F12DA"/>
    <w:rsid w:val="007F1CA7"/>
    <w:rsid w:val="007F254D"/>
    <w:rsid w:val="007F2E1B"/>
    <w:rsid w:val="007F330E"/>
    <w:rsid w:val="007F459B"/>
    <w:rsid w:val="007F4775"/>
    <w:rsid w:val="007F481A"/>
    <w:rsid w:val="007F6C5B"/>
    <w:rsid w:val="00801333"/>
    <w:rsid w:val="008013E4"/>
    <w:rsid w:val="00801AAE"/>
    <w:rsid w:val="00801ACC"/>
    <w:rsid w:val="00801D1A"/>
    <w:rsid w:val="0080365B"/>
    <w:rsid w:val="00803E4F"/>
    <w:rsid w:val="00804120"/>
    <w:rsid w:val="00805B47"/>
    <w:rsid w:val="0080641B"/>
    <w:rsid w:val="00806DB4"/>
    <w:rsid w:val="0080704D"/>
    <w:rsid w:val="00807330"/>
    <w:rsid w:val="00807DE4"/>
    <w:rsid w:val="00811907"/>
    <w:rsid w:val="00812B31"/>
    <w:rsid w:val="008142D8"/>
    <w:rsid w:val="00814387"/>
    <w:rsid w:val="0081448C"/>
    <w:rsid w:val="0081675F"/>
    <w:rsid w:val="00817834"/>
    <w:rsid w:val="0082056F"/>
    <w:rsid w:val="00820DBD"/>
    <w:rsid w:val="008231D7"/>
    <w:rsid w:val="00823341"/>
    <w:rsid w:val="00823C31"/>
    <w:rsid w:val="0082485E"/>
    <w:rsid w:val="00827B82"/>
    <w:rsid w:val="00831A97"/>
    <w:rsid w:val="00831B73"/>
    <w:rsid w:val="00831B78"/>
    <w:rsid w:val="008329AB"/>
    <w:rsid w:val="00832CFE"/>
    <w:rsid w:val="00833AC9"/>
    <w:rsid w:val="00834280"/>
    <w:rsid w:val="008354DE"/>
    <w:rsid w:val="00836309"/>
    <w:rsid w:val="00836369"/>
    <w:rsid w:val="00836756"/>
    <w:rsid w:val="008376C0"/>
    <w:rsid w:val="00837B71"/>
    <w:rsid w:val="00837E4C"/>
    <w:rsid w:val="00840A1B"/>
    <w:rsid w:val="00842F69"/>
    <w:rsid w:val="008449C0"/>
    <w:rsid w:val="008473B5"/>
    <w:rsid w:val="008479B4"/>
    <w:rsid w:val="00847F3C"/>
    <w:rsid w:val="00851D6C"/>
    <w:rsid w:val="00853CAE"/>
    <w:rsid w:val="00853ECC"/>
    <w:rsid w:val="008551E6"/>
    <w:rsid w:val="008556E3"/>
    <w:rsid w:val="00855936"/>
    <w:rsid w:val="00855A24"/>
    <w:rsid w:val="00856FBE"/>
    <w:rsid w:val="008577BF"/>
    <w:rsid w:val="0086208D"/>
    <w:rsid w:val="008620A2"/>
    <w:rsid w:val="008635ED"/>
    <w:rsid w:val="00863730"/>
    <w:rsid w:val="00863CFD"/>
    <w:rsid w:val="00864212"/>
    <w:rsid w:val="0086573E"/>
    <w:rsid w:val="008671DD"/>
    <w:rsid w:val="008676C7"/>
    <w:rsid w:val="008677A8"/>
    <w:rsid w:val="008704E5"/>
    <w:rsid w:val="0087129F"/>
    <w:rsid w:val="00871BBA"/>
    <w:rsid w:val="00871BF6"/>
    <w:rsid w:val="008762CE"/>
    <w:rsid w:val="00876485"/>
    <w:rsid w:val="00876612"/>
    <w:rsid w:val="00877DDA"/>
    <w:rsid w:val="008818C7"/>
    <w:rsid w:val="008818E3"/>
    <w:rsid w:val="0088203A"/>
    <w:rsid w:val="00882AEF"/>
    <w:rsid w:val="008845E2"/>
    <w:rsid w:val="00885D83"/>
    <w:rsid w:val="008870FE"/>
    <w:rsid w:val="00890D36"/>
    <w:rsid w:val="008919D6"/>
    <w:rsid w:val="00891B97"/>
    <w:rsid w:val="0089246B"/>
    <w:rsid w:val="00892977"/>
    <w:rsid w:val="008929C3"/>
    <w:rsid w:val="0089393B"/>
    <w:rsid w:val="00895158"/>
    <w:rsid w:val="00895C9C"/>
    <w:rsid w:val="00895D22"/>
    <w:rsid w:val="00896195"/>
    <w:rsid w:val="00896368"/>
    <w:rsid w:val="00897765"/>
    <w:rsid w:val="00897926"/>
    <w:rsid w:val="008A01C2"/>
    <w:rsid w:val="008A076A"/>
    <w:rsid w:val="008A2601"/>
    <w:rsid w:val="008A3A12"/>
    <w:rsid w:val="008A41D6"/>
    <w:rsid w:val="008A5604"/>
    <w:rsid w:val="008A5FB1"/>
    <w:rsid w:val="008A7647"/>
    <w:rsid w:val="008A7EEC"/>
    <w:rsid w:val="008B0313"/>
    <w:rsid w:val="008B0D73"/>
    <w:rsid w:val="008B1955"/>
    <w:rsid w:val="008B2384"/>
    <w:rsid w:val="008B239E"/>
    <w:rsid w:val="008B244D"/>
    <w:rsid w:val="008B306E"/>
    <w:rsid w:val="008B4466"/>
    <w:rsid w:val="008B61A4"/>
    <w:rsid w:val="008B61BB"/>
    <w:rsid w:val="008C001A"/>
    <w:rsid w:val="008C0ED9"/>
    <w:rsid w:val="008C0FA6"/>
    <w:rsid w:val="008C2B96"/>
    <w:rsid w:val="008C345A"/>
    <w:rsid w:val="008C3BFD"/>
    <w:rsid w:val="008C6810"/>
    <w:rsid w:val="008C76AA"/>
    <w:rsid w:val="008D03AB"/>
    <w:rsid w:val="008D0E4F"/>
    <w:rsid w:val="008D0EB5"/>
    <w:rsid w:val="008D253C"/>
    <w:rsid w:val="008D3A4E"/>
    <w:rsid w:val="008D4134"/>
    <w:rsid w:val="008D55F9"/>
    <w:rsid w:val="008D5670"/>
    <w:rsid w:val="008D6254"/>
    <w:rsid w:val="008D6964"/>
    <w:rsid w:val="008E145E"/>
    <w:rsid w:val="008E3A8B"/>
    <w:rsid w:val="008E53A7"/>
    <w:rsid w:val="008E663A"/>
    <w:rsid w:val="008E7D77"/>
    <w:rsid w:val="008E7E28"/>
    <w:rsid w:val="008F03BA"/>
    <w:rsid w:val="008F46CA"/>
    <w:rsid w:val="008F7975"/>
    <w:rsid w:val="00900049"/>
    <w:rsid w:val="00900409"/>
    <w:rsid w:val="00902F21"/>
    <w:rsid w:val="00903FBA"/>
    <w:rsid w:val="00904F08"/>
    <w:rsid w:val="009050B8"/>
    <w:rsid w:val="00905FAC"/>
    <w:rsid w:val="009066BB"/>
    <w:rsid w:val="00906CBD"/>
    <w:rsid w:val="00907E4D"/>
    <w:rsid w:val="009127A5"/>
    <w:rsid w:val="00914720"/>
    <w:rsid w:val="00916188"/>
    <w:rsid w:val="00920008"/>
    <w:rsid w:val="009212E0"/>
    <w:rsid w:val="0092140F"/>
    <w:rsid w:val="009214F7"/>
    <w:rsid w:val="00921610"/>
    <w:rsid w:val="009239B7"/>
    <w:rsid w:val="00923DB5"/>
    <w:rsid w:val="009251BC"/>
    <w:rsid w:val="00926870"/>
    <w:rsid w:val="009315A4"/>
    <w:rsid w:val="00931A0C"/>
    <w:rsid w:val="00932547"/>
    <w:rsid w:val="00932CA3"/>
    <w:rsid w:val="00933A02"/>
    <w:rsid w:val="00933F89"/>
    <w:rsid w:val="0093722C"/>
    <w:rsid w:val="00937BB1"/>
    <w:rsid w:val="009414EB"/>
    <w:rsid w:val="009430E0"/>
    <w:rsid w:val="009433A7"/>
    <w:rsid w:val="00943A3B"/>
    <w:rsid w:val="00945010"/>
    <w:rsid w:val="0094677B"/>
    <w:rsid w:val="00946A5C"/>
    <w:rsid w:val="00946DDB"/>
    <w:rsid w:val="00947597"/>
    <w:rsid w:val="00947D72"/>
    <w:rsid w:val="00951E7F"/>
    <w:rsid w:val="00952D1F"/>
    <w:rsid w:val="00952E1A"/>
    <w:rsid w:val="00953062"/>
    <w:rsid w:val="009533C6"/>
    <w:rsid w:val="0095344B"/>
    <w:rsid w:val="00955D8A"/>
    <w:rsid w:val="00957072"/>
    <w:rsid w:val="00960BFD"/>
    <w:rsid w:val="009612C4"/>
    <w:rsid w:val="00962C22"/>
    <w:rsid w:val="00966155"/>
    <w:rsid w:val="00966166"/>
    <w:rsid w:val="0096751C"/>
    <w:rsid w:val="00970C7E"/>
    <w:rsid w:val="009714F4"/>
    <w:rsid w:val="00971A97"/>
    <w:rsid w:val="00971BD4"/>
    <w:rsid w:val="00972105"/>
    <w:rsid w:val="009731A7"/>
    <w:rsid w:val="0097373A"/>
    <w:rsid w:val="00973BF1"/>
    <w:rsid w:val="009741FC"/>
    <w:rsid w:val="00974C03"/>
    <w:rsid w:val="00975BDB"/>
    <w:rsid w:val="009764AF"/>
    <w:rsid w:val="009807D4"/>
    <w:rsid w:val="00981C03"/>
    <w:rsid w:val="00982113"/>
    <w:rsid w:val="00982F96"/>
    <w:rsid w:val="0098355E"/>
    <w:rsid w:val="00983FE2"/>
    <w:rsid w:val="00984E02"/>
    <w:rsid w:val="00985115"/>
    <w:rsid w:val="0098643A"/>
    <w:rsid w:val="00990076"/>
    <w:rsid w:val="00990A45"/>
    <w:rsid w:val="009914A0"/>
    <w:rsid w:val="0099183B"/>
    <w:rsid w:val="00992BD5"/>
    <w:rsid w:val="009936E1"/>
    <w:rsid w:val="00994055"/>
    <w:rsid w:val="009946EE"/>
    <w:rsid w:val="00995B05"/>
    <w:rsid w:val="00995C35"/>
    <w:rsid w:val="009965CA"/>
    <w:rsid w:val="009974F6"/>
    <w:rsid w:val="00997BBC"/>
    <w:rsid w:val="00997D8D"/>
    <w:rsid w:val="00997F8B"/>
    <w:rsid w:val="009A01FF"/>
    <w:rsid w:val="009A264A"/>
    <w:rsid w:val="009A287E"/>
    <w:rsid w:val="009A2CD2"/>
    <w:rsid w:val="009A2FE9"/>
    <w:rsid w:val="009A34F7"/>
    <w:rsid w:val="009A512F"/>
    <w:rsid w:val="009A5C3B"/>
    <w:rsid w:val="009A7A80"/>
    <w:rsid w:val="009B22F5"/>
    <w:rsid w:val="009B4848"/>
    <w:rsid w:val="009B4F62"/>
    <w:rsid w:val="009B5BC9"/>
    <w:rsid w:val="009B5D8F"/>
    <w:rsid w:val="009B6205"/>
    <w:rsid w:val="009B680A"/>
    <w:rsid w:val="009C17E7"/>
    <w:rsid w:val="009C2549"/>
    <w:rsid w:val="009C428D"/>
    <w:rsid w:val="009C4F34"/>
    <w:rsid w:val="009C5A42"/>
    <w:rsid w:val="009C5ECB"/>
    <w:rsid w:val="009C6F98"/>
    <w:rsid w:val="009C72BC"/>
    <w:rsid w:val="009C77AC"/>
    <w:rsid w:val="009D07B0"/>
    <w:rsid w:val="009D09BE"/>
    <w:rsid w:val="009D13EF"/>
    <w:rsid w:val="009D1F37"/>
    <w:rsid w:val="009D4C42"/>
    <w:rsid w:val="009D4C8F"/>
    <w:rsid w:val="009D6343"/>
    <w:rsid w:val="009D6AD9"/>
    <w:rsid w:val="009E0521"/>
    <w:rsid w:val="009E0744"/>
    <w:rsid w:val="009E0D77"/>
    <w:rsid w:val="009E3AF9"/>
    <w:rsid w:val="009E3BD2"/>
    <w:rsid w:val="009E3D50"/>
    <w:rsid w:val="009E421B"/>
    <w:rsid w:val="009E5019"/>
    <w:rsid w:val="009E52BC"/>
    <w:rsid w:val="009E5CB7"/>
    <w:rsid w:val="009E6E97"/>
    <w:rsid w:val="009E6EFD"/>
    <w:rsid w:val="009E6FAC"/>
    <w:rsid w:val="009F03FD"/>
    <w:rsid w:val="009F069D"/>
    <w:rsid w:val="009F48F9"/>
    <w:rsid w:val="009F525B"/>
    <w:rsid w:val="00A00C4A"/>
    <w:rsid w:val="00A020DE"/>
    <w:rsid w:val="00A02DED"/>
    <w:rsid w:val="00A030AC"/>
    <w:rsid w:val="00A03266"/>
    <w:rsid w:val="00A0348B"/>
    <w:rsid w:val="00A0438D"/>
    <w:rsid w:val="00A04E33"/>
    <w:rsid w:val="00A05A29"/>
    <w:rsid w:val="00A07DA2"/>
    <w:rsid w:val="00A10E2C"/>
    <w:rsid w:val="00A12F5D"/>
    <w:rsid w:val="00A13042"/>
    <w:rsid w:val="00A144EF"/>
    <w:rsid w:val="00A1702B"/>
    <w:rsid w:val="00A170EA"/>
    <w:rsid w:val="00A173C2"/>
    <w:rsid w:val="00A202C0"/>
    <w:rsid w:val="00A21D50"/>
    <w:rsid w:val="00A24407"/>
    <w:rsid w:val="00A256BD"/>
    <w:rsid w:val="00A25A72"/>
    <w:rsid w:val="00A27879"/>
    <w:rsid w:val="00A3066A"/>
    <w:rsid w:val="00A306A9"/>
    <w:rsid w:val="00A327CA"/>
    <w:rsid w:val="00A32F6F"/>
    <w:rsid w:val="00A405C9"/>
    <w:rsid w:val="00A40670"/>
    <w:rsid w:val="00A406AE"/>
    <w:rsid w:val="00A41E7D"/>
    <w:rsid w:val="00A42068"/>
    <w:rsid w:val="00A4209A"/>
    <w:rsid w:val="00A42133"/>
    <w:rsid w:val="00A44ED6"/>
    <w:rsid w:val="00A45C71"/>
    <w:rsid w:val="00A45D11"/>
    <w:rsid w:val="00A46051"/>
    <w:rsid w:val="00A4692E"/>
    <w:rsid w:val="00A51479"/>
    <w:rsid w:val="00A52AFA"/>
    <w:rsid w:val="00A52D9C"/>
    <w:rsid w:val="00A52DCB"/>
    <w:rsid w:val="00A52ED9"/>
    <w:rsid w:val="00A53242"/>
    <w:rsid w:val="00A54463"/>
    <w:rsid w:val="00A5618B"/>
    <w:rsid w:val="00A5714F"/>
    <w:rsid w:val="00A57972"/>
    <w:rsid w:val="00A61735"/>
    <w:rsid w:val="00A618B0"/>
    <w:rsid w:val="00A620DA"/>
    <w:rsid w:val="00A63AAD"/>
    <w:rsid w:val="00A65539"/>
    <w:rsid w:val="00A6676E"/>
    <w:rsid w:val="00A66C6A"/>
    <w:rsid w:val="00A70A62"/>
    <w:rsid w:val="00A7167C"/>
    <w:rsid w:val="00A71A5F"/>
    <w:rsid w:val="00A71C06"/>
    <w:rsid w:val="00A71C62"/>
    <w:rsid w:val="00A72391"/>
    <w:rsid w:val="00A7264B"/>
    <w:rsid w:val="00A72736"/>
    <w:rsid w:val="00A72C4C"/>
    <w:rsid w:val="00A7336E"/>
    <w:rsid w:val="00A73B0A"/>
    <w:rsid w:val="00A74DDC"/>
    <w:rsid w:val="00A752BE"/>
    <w:rsid w:val="00A75D34"/>
    <w:rsid w:val="00A762A4"/>
    <w:rsid w:val="00A77401"/>
    <w:rsid w:val="00A77D3A"/>
    <w:rsid w:val="00A80A07"/>
    <w:rsid w:val="00A80A80"/>
    <w:rsid w:val="00A81396"/>
    <w:rsid w:val="00A828D1"/>
    <w:rsid w:val="00A83811"/>
    <w:rsid w:val="00A846DA"/>
    <w:rsid w:val="00A84A8A"/>
    <w:rsid w:val="00A84FD0"/>
    <w:rsid w:val="00A8523F"/>
    <w:rsid w:val="00A85DCB"/>
    <w:rsid w:val="00A86670"/>
    <w:rsid w:val="00A9040B"/>
    <w:rsid w:val="00A90887"/>
    <w:rsid w:val="00A909DD"/>
    <w:rsid w:val="00A9185B"/>
    <w:rsid w:val="00A921D5"/>
    <w:rsid w:val="00A96D95"/>
    <w:rsid w:val="00A96DDE"/>
    <w:rsid w:val="00AA0C50"/>
    <w:rsid w:val="00AA11CC"/>
    <w:rsid w:val="00AA2335"/>
    <w:rsid w:val="00AA274F"/>
    <w:rsid w:val="00AA34F9"/>
    <w:rsid w:val="00AA6A23"/>
    <w:rsid w:val="00AA6D17"/>
    <w:rsid w:val="00AA76A2"/>
    <w:rsid w:val="00AA7FD5"/>
    <w:rsid w:val="00AB1F0F"/>
    <w:rsid w:val="00AB31FB"/>
    <w:rsid w:val="00AB43A6"/>
    <w:rsid w:val="00AB45DF"/>
    <w:rsid w:val="00AB79AB"/>
    <w:rsid w:val="00AB7CC5"/>
    <w:rsid w:val="00AC00DB"/>
    <w:rsid w:val="00AC090F"/>
    <w:rsid w:val="00AC1631"/>
    <w:rsid w:val="00AC2C3A"/>
    <w:rsid w:val="00AC408D"/>
    <w:rsid w:val="00AC5FE2"/>
    <w:rsid w:val="00AC6004"/>
    <w:rsid w:val="00AC609A"/>
    <w:rsid w:val="00AC73EB"/>
    <w:rsid w:val="00AC7DF4"/>
    <w:rsid w:val="00AD299A"/>
    <w:rsid w:val="00AD2AE3"/>
    <w:rsid w:val="00AD4DDC"/>
    <w:rsid w:val="00AD5996"/>
    <w:rsid w:val="00AD59EE"/>
    <w:rsid w:val="00AD7A82"/>
    <w:rsid w:val="00AD7CD8"/>
    <w:rsid w:val="00AE0162"/>
    <w:rsid w:val="00AE428B"/>
    <w:rsid w:val="00AE484D"/>
    <w:rsid w:val="00AE572F"/>
    <w:rsid w:val="00AE5B01"/>
    <w:rsid w:val="00AE5C62"/>
    <w:rsid w:val="00AE720B"/>
    <w:rsid w:val="00AF131B"/>
    <w:rsid w:val="00AF1A77"/>
    <w:rsid w:val="00AF2A93"/>
    <w:rsid w:val="00AF2EE5"/>
    <w:rsid w:val="00AF4B43"/>
    <w:rsid w:val="00AF78C0"/>
    <w:rsid w:val="00B01FCD"/>
    <w:rsid w:val="00B049D5"/>
    <w:rsid w:val="00B05182"/>
    <w:rsid w:val="00B05187"/>
    <w:rsid w:val="00B058C2"/>
    <w:rsid w:val="00B063EA"/>
    <w:rsid w:val="00B06549"/>
    <w:rsid w:val="00B06F37"/>
    <w:rsid w:val="00B10004"/>
    <w:rsid w:val="00B11E3F"/>
    <w:rsid w:val="00B12856"/>
    <w:rsid w:val="00B13377"/>
    <w:rsid w:val="00B14BB3"/>
    <w:rsid w:val="00B14C77"/>
    <w:rsid w:val="00B173DC"/>
    <w:rsid w:val="00B20A45"/>
    <w:rsid w:val="00B22DC7"/>
    <w:rsid w:val="00B234CE"/>
    <w:rsid w:val="00B24479"/>
    <w:rsid w:val="00B24843"/>
    <w:rsid w:val="00B259D7"/>
    <w:rsid w:val="00B25E4D"/>
    <w:rsid w:val="00B2639B"/>
    <w:rsid w:val="00B26473"/>
    <w:rsid w:val="00B26818"/>
    <w:rsid w:val="00B308CD"/>
    <w:rsid w:val="00B30958"/>
    <w:rsid w:val="00B30DBB"/>
    <w:rsid w:val="00B328B3"/>
    <w:rsid w:val="00B33418"/>
    <w:rsid w:val="00B34C6D"/>
    <w:rsid w:val="00B3500C"/>
    <w:rsid w:val="00B36291"/>
    <w:rsid w:val="00B36A27"/>
    <w:rsid w:val="00B36D76"/>
    <w:rsid w:val="00B37768"/>
    <w:rsid w:val="00B379AE"/>
    <w:rsid w:val="00B410A3"/>
    <w:rsid w:val="00B4182D"/>
    <w:rsid w:val="00B41BED"/>
    <w:rsid w:val="00B4222B"/>
    <w:rsid w:val="00B42889"/>
    <w:rsid w:val="00B44835"/>
    <w:rsid w:val="00B449AC"/>
    <w:rsid w:val="00B46842"/>
    <w:rsid w:val="00B47A44"/>
    <w:rsid w:val="00B47F9B"/>
    <w:rsid w:val="00B501E8"/>
    <w:rsid w:val="00B519AC"/>
    <w:rsid w:val="00B51D08"/>
    <w:rsid w:val="00B5234C"/>
    <w:rsid w:val="00B5443B"/>
    <w:rsid w:val="00B5542E"/>
    <w:rsid w:val="00B55F23"/>
    <w:rsid w:val="00B55FF9"/>
    <w:rsid w:val="00B56167"/>
    <w:rsid w:val="00B563EF"/>
    <w:rsid w:val="00B56EA8"/>
    <w:rsid w:val="00B56EC8"/>
    <w:rsid w:val="00B57185"/>
    <w:rsid w:val="00B57C37"/>
    <w:rsid w:val="00B57C39"/>
    <w:rsid w:val="00B60DAC"/>
    <w:rsid w:val="00B615FC"/>
    <w:rsid w:val="00B62A3F"/>
    <w:rsid w:val="00B631EC"/>
    <w:rsid w:val="00B66B60"/>
    <w:rsid w:val="00B70299"/>
    <w:rsid w:val="00B748A6"/>
    <w:rsid w:val="00B74EFB"/>
    <w:rsid w:val="00B75BD0"/>
    <w:rsid w:val="00B75DFA"/>
    <w:rsid w:val="00B7611B"/>
    <w:rsid w:val="00B763FD"/>
    <w:rsid w:val="00B81B43"/>
    <w:rsid w:val="00B81CC7"/>
    <w:rsid w:val="00B8228B"/>
    <w:rsid w:val="00B837FD"/>
    <w:rsid w:val="00B8459C"/>
    <w:rsid w:val="00B851EA"/>
    <w:rsid w:val="00B85639"/>
    <w:rsid w:val="00B87592"/>
    <w:rsid w:val="00B87AFC"/>
    <w:rsid w:val="00B9132D"/>
    <w:rsid w:val="00B928C5"/>
    <w:rsid w:val="00B9308A"/>
    <w:rsid w:val="00B9344B"/>
    <w:rsid w:val="00B93480"/>
    <w:rsid w:val="00B940B7"/>
    <w:rsid w:val="00B94CC3"/>
    <w:rsid w:val="00B95556"/>
    <w:rsid w:val="00B96CC1"/>
    <w:rsid w:val="00B979BF"/>
    <w:rsid w:val="00B979CC"/>
    <w:rsid w:val="00B97C6C"/>
    <w:rsid w:val="00BA07D3"/>
    <w:rsid w:val="00BA2057"/>
    <w:rsid w:val="00BA3BC4"/>
    <w:rsid w:val="00BA3C30"/>
    <w:rsid w:val="00BA3C8D"/>
    <w:rsid w:val="00BA422D"/>
    <w:rsid w:val="00BA5548"/>
    <w:rsid w:val="00BA63D5"/>
    <w:rsid w:val="00BA673D"/>
    <w:rsid w:val="00BA691D"/>
    <w:rsid w:val="00BA6CA5"/>
    <w:rsid w:val="00BA778E"/>
    <w:rsid w:val="00BA79C5"/>
    <w:rsid w:val="00BA7A93"/>
    <w:rsid w:val="00BB0D83"/>
    <w:rsid w:val="00BB11D8"/>
    <w:rsid w:val="00BB232A"/>
    <w:rsid w:val="00BB5AD8"/>
    <w:rsid w:val="00BB6CB2"/>
    <w:rsid w:val="00BB6EA8"/>
    <w:rsid w:val="00BC1346"/>
    <w:rsid w:val="00BC1432"/>
    <w:rsid w:val="00BC176A"/>
    <w:rsid w:val="00BC2462"/>
    <w:rsid w:val="00BC25B8"/>
    <w:rsid w:val="00BC2CAF"/>
    <w:rsid w:val="00BC34D7"/>
    <w:rsid w:val="00BC371E"/>
    <w:rsid w:val="00BC4AD9"/>
    <w:rsid w:val="00BC5054"/>
    <w:rsid w:val="00BC5B3E"/>
    <w:rsid w:val="00BC5D3C"/>
    <w:rsid w:val="00BC7005"/>
    <w:rsid w:val="00BC79CD"/>
    <w:rsid w:val="00BD0E71"/>
    <w:rsid w:val="00BD1C03"/>
    <w:rsid w:val="00BD55D0"/>
    <w:rsid w:val="00BD596C"/>
    <w:rsid w:val="00BD74AF"/>
    <w:rsid w:val="00BD769D"/>
    <w:rsid w:val="00BE0818"/>
    <w:rsid w:val="00BE3A9E"/>
    <w:rsid w:val="00BE3B11"/>
    <w:rsid w:val="00BE4037"/>
    <w:rsid w:val="00BE4104"/>
    <w:rsid w:val="00BE51AC"/>
    <w:rsid w:val="00BE5BEB"/>
    <w:rsid w:val="00BE69CA"/>
    <w:rsid w:val="00BE6E5A"/>
    <w:rsid w:val="00BE7295"/>
    <w:rsid w:val="00BE7C09"/>
    <w:rsid w:val="00BE7DDD"/>
    <w:rsid w:val="00BF2021"/>
    <w:rsid w:val="00BF2022"/>
    <w:rsid w:val="00BF205C"/>
    <w:rsid w:val="00BF3317"/>
    <w:rsid w:val="00BF4E9E"/>
    <w:rsid w:val="00BF52D1"/>
    <w:rsid w:val="00BF5544"/>
    <w:rsid w:val="00BF5BA9"/>
    <w:rsid w:val="00BF6267"/>
    <w:rsid w:val="00BF6736"/>
    <w:rsid w:val="00BF6D54"/>
    <w:rsid w:val="00C01853"/>
    <w:rsid w:val="00C01919"/>
    <w:rsid w:val="00C02006"/>
    <w:rsid w:val="00C03BB9"/>
    <w:rsid w:val="00C03CFA"/>
    <w:rsid w:val="00C076B3"/>
    <w:rsid w:val="00C0771C"/>
    <w:rsid w:val="00C11428"/>
    <w:rsid w:val="00C13246"/>
    <w:rsid w:val="00C13B45"/>
    <w:rsid w:val="00C14596"/>
    <w:rsid w:val="00C15A19"/>
    <w:rsid w:val="00C16869"/>
    <w:rsid w:val="00C17293"/>
    <w:rsid w:val="00C172E7"/>
    <w:rsid w:val="00C201BE"/>
    <w:rsid w:val="00C208C0"/>
    <w:rsid w:val="00C21B26"/>
    <w:rsid w:val="00C21BEC"/>
    <w:rsid w:val="00C239C1"/>
    <w:rsid w:val="00C25F66"/>
    <w:rsid w:val="00C269AD"/>
    <w:rsid w:val="00C27166"/>
    <w:rsid w:val="00C308B7"/>
    <w:rsid w:val="00C31582"/>
    <w:rsid w:val="00C31790"/>
    <w:rsid w:val="00C32A36"/>
    <w:rsid w:val="00C33273"/>
    <w:rsid w:val="00C37462"/>
    <w:rsid w:val="00C40287"/>
    <w:rsid w:val="00C40537"/>
    <w:rsid w:val="00C405EF"/>
    <w:rsid w:val="00C41091"/>
    <w:rsid w:val="00C41A29"/>
    <w:rsid w:val="00C41AFC"/>
    <w:rsid w:val="00C42662"/>
    <w:rsid w:val="00C42D3A"/>
    <w:rsid w:val="00C43249"/>
    <w:rsid w:val="00C438F7"/>
    <w:rsid w:val="00C448AB"/>
    <w:rsid w:val="00C466F6"/>
    <w:rsid w:val="00C46946"/>
    <w:rsid w:val="00C479FA"/>
    <w:rsid w:val="00C50244"/>
    <w:rsid w:val="00C5190C"/>
    <w:rsid w:val="00C52419"/>
    <w:rsid w:val="00C52A4D"/>
    <w:rsid w:val="00C55426"/>
    <w:rsid w:val="00C601A6"/>
    <w:rsid w:val="00C6110C"/>
    <w:rsid w:val="00C61AC5"/>
    <w:rsid w:val="00C61CF4"/>
    <w:rsid w:val="00C629E2"/>
    <w:rsid w:val="00C6427A"/>
    <w:rsid w:val="00C6553C"/>
    <w:rsid w:val="00C7152B"/>
    <w:rsid w:val="00C719C7"/>
    <w:rsid w:val="00C74565"/>
    <w:rsid w:val="00C75508"/>
    <w:rsid w:val="00C76DEC"/>
    <w:rsid w:val="00C77461"/>
    <w:rsid w:val="00C775D8"/>
    <w:rsid w:val="00C779D0"/>
    <w:rsid w:val="00C80525"/>
    <w:rsid w:val="00C80C4E"/>
    <w:rsid w:val="00C810F7"/>
    <w:rsid w:val="00C8357B"/>
    <w:rsid w:val="00C86CB5"/>
    <w:rsid w:val="00C86CDE"/>
    <w:rsid w:val="00C87508"/>
    <w:rsid w:val="00C876F6"/>
    <w:rsid w:val="00C87E3C"/>
    <w:rsid w:val="00C90336"/>
    <w:rsid w:val="00C904B2"/>
    <w:rsid w:val="00C90C37"/>
    <w:rsid w:val="00C90D06"/>
    <w:rsid w:val="00C917B2"/>
    <w:rsid w:val="00C93FEB"/>
    <w:rsid w:val="00C9439C"/>
    <w:rsid w:val="00C961F7"/>
    <w:rsid w:val="00C97112"/>
    <w:rsid w:val="00CA03FA"/>
    <w:rsid w:val="00CA073C"/>
    <w:rsid w:val="00CA0F67"/>
    <w:rsid w:val="00CA1C08"/>
    <w:rsid w:val="00CA35C6"/>
    <w:rsid w:val="00CA3643"/>
    <w:rsid w:val="00CA67AC"/>
    <w:rsid w:val="00CA75C6"/>
    <w:rsid w:val="00CB1C81"/>
    <w:rsid w:val="00CB3F91"/>
    <w:rsid w:val="00CB4045"/>
    <w:rsid w:val="00CB4BA9"/>
    <w:rsid w:val="00CB56EF"/>
    <w:rsid w:val="00CB5C03"/>
    <w:rsid w:val="00CB657D"/>
    <w:rsid w:val="00CC1828"/>
    <w:rsid w:val="00CC192D"/>
    <w:rsid w:val="00CC4027"/>
    <w:rsid w:val="00CC523F"/>
    <w:rsid w:val="00CC561C"/>
    <w:rsid w:val="00CD11A8"/>
    <w:rsid w:val="00CD1234"/>
    <w:rsid w:val="00CD26D5"/>
    <w:rsid w:val="00CD2E2C"/>
    <w:rsid w:val="00CD3182"/>
    <w:rsid w:val="00CD33C2"/>
    <w:rsid w:val="00CD5209"/>
    <w:rsid w:val="00CD53C4"/>
    <w:rsid w:val="00CD597F"/>
    <w:rsid w:val="00CD6479"/>
    <w:rsid w:val="00CD6B35"/>
    <w:rsid w:val="00CD7323"/>
    <w:rsid w:val="00CD761E"/>
    <w:rsid w:val="00CD7815"/>
    <w:rsid w:val="00CD7EE7"/>
    <w:rsid w:val="00CE0297"/>
    <w:rsid w:val="00CE1924"/>
    <w:rsid w:val="00CE1B75"/>
    <w:rsid w:val="00CE2D2D"/>
    <w:rsid w:val="00CE2F6F"/>
    <w:rsid w:val="00CE4129"/>
    <w:rsid w:val="00CE580E"/>
    <w:rsid w:val="00CE6C63"/>
    <w:rsid w:val="00CE6D1B"/>
    <w:rsid w:val="00CF0514"/>
    <w:rsid w:val="00CF07A5"/>
    <w:rsid w:val="00CF0BAC"/>
    <w:rsid w:val="00CF1BC8"/>
    <w:rsid w:val="00CF1CC3"/>
    <w:rsid w:val="00CF221F"/>
    <w:rsid w:val="00CF2D39"/>
    <w:rsid w:val="00CF4BF7"/>
    <w:rsid w:val="00CF7967"/>
    <w:rsid w:val="00CF7B0A"/>
    <w:rsid w:val="00CF7CED"/>
    <w:rsid w:val="00CF7FA3"/>
    <w:rsid w:val="00D00005"/>
    <w:rsid w:val="00D00948"/>
    <w:rsid w:val="00D0186B"/>
    <w:rsid w:val="00D024C2"/>
    <w:rsid w:val="00D03D8C"/>
    <w:rsid w:val="00D0482F"/>
    <w:rsid w:val="00D051F2"/>
    <w:rsid w:val="00D063D6"/>
    <w:rsid w:val="00D101EE"/>
    <w:rsid w:val="00D11598"/>
    <w:rsid w:val="00D11758"/>
    <w:rsid w:val="00D13090"/>
    <w:rsid w:val="00D15CC3"/>
    <w:rsid w:val="00D172CB"/>
    <w:rsid w:val="00D209AC"/>
    <w:rsid w:val="00D20AB8"/>
    <w:rsid w:val="00D2102F"/>
    <w:rsid w:val="00D213E6"/>
    <w:rsid w:val="00D2182B"/>
    <w:rsid w:val="00D21F74"/>
    <w:rsid w:val="00D2204B"/>
    <w:rsid w:val="00D231FD"/>
    <w:rsid w:val="00D2473F"/>
    <w:rsid w:val="00D24831"/>
    <w:rsid w:val="00D253FE"/>
    <w:rsid w:val="00D25842"/>
    <w:rsid w:val="00D271A1"/>
    <w:rsid w:val="00D31438"/>
    <w:rsid w:val="00D31F73"/>
    <w:rsid w:val="00D3261F"/>
    <w:rsid w:val="00D326B9"/>
    <w:rsid w:val="00D3330F"/>
    <w:rsid w:val="00D37347"/>
    <w:rsid w:val="00D407E3"/>
    <w:rsid w:val="00D41B6F"/>
    <w:rsid w:val="00D42FEC"/>
    <w:rsid w:val="00D43EB6"/>
    <w:rsid w:val="00D4405C"/>
    <w:rsid w:val="00D44FCE"/>
    <w:rsid w:val="00D508DA"/>
    <w:rsid w:val="00D510FB"/>
    <w:rsid w:val="00D51AE9"/>
    <w:rsid w:val="00D51CB3"/>
    <w:rsid w:val="00D539E4"/>
    <w:rsid w:val="00D540A4"/>
    <w:rsid w:val="00D5491E"/>
    <w:rsid w:val="00D54E60"/>
    <w:rsid w:val="00D56C6F"/>
    <w:rsid w:val="00D617EC"/>
    <w:rsid w:val="00D62302"/>
    <w:rsid w:val="00D632F6"/>
    <w:rsid w:val="00D63721"/>
    <w:rsid w:val="00D639CF"/>
    <w:rsid w:val="00D657D6"/>
    <w:rsid w:val="00D66D68"/>
    <w:rsid w:val="00D73333"/>
    <w:rsid w:val="00D74328"/>
    <w:rsid w:val="00D760F8"/>
    <w:rsid w:val="00D76C40"/>
    <w:rsid w:val="00D77054"/>
    <w:rsid w:val="00D775F7"/>
    <w:rsid w:val="00D8004B"/>
    <w:rsid w:val="00D8113C"/>
    <w:rsid w:val="00D81339"/>
    <w:rsid w:val="00D8144E"/>
    <w:rsid w:val="00D81781"/>
    <w:rsid w:val="00D8192F"/>
    <w:rsid w:val="00D81A40"/>
    <w:rsid w:val="00D82C12"/>
    <w:rsid w:val="00D8345A"/>
    <w:rsid w:val="00D84002"/>
    <w:rsid w:val="00D84259"/>
    <w:rsid w:val="00D8659A"/>
    <w:rsid w:val="00D86D72"/>
    <w:rsid w:val="00D87413"/>
    <w:rsid w:val="00D92A4A"/>
    <w:rsid w:val="00D94C71"/>
    <w:rsid w:val="00D94D77"/>
    <w:rsid w:val="00D9632D"/>
    <w:rsid w:val="00D97D16"/>
    <w:rsid w:val="00DA00C4"/>
    <w:rsid w:val="00DA0349"/>
    <w:rsid w:val="00DA24D0"/>
    <w:rsid w:val="00DA4022"/>
    <w:rsid w:val="00DA5FB9"/>
    <w:rsid w:val="00DA6217"/>
    <w:rsid w:val="00DB0470"/>
    <w:rsid w:val="00DB0FD9"/>
    <w:rsid w:val="00DB1B1E"/>
    <w:rsid w:val="00DB28ED"/>
    <w:rsid w:val="00DB2B3C"/>
    <w:rsid w:val="00DB36AB"/>
    <w:rsid w:val="00DB48B5"/>
    <w:rsid w:val="00DC0327"/>
    <w:rsid w:val="00DC089A"/>
    <w:rsid w:val="00DC0FF4"/>
    <w:rsid w:val="00DC16A4"/>
    <w:rsid w:val="00DC2C90"/>
    <w:rsid w:val="00DC30D4"/>
    <w:rsid w:val="00DC378B"/>
    <w:rsid w:val="00DC4145"/>
    <w:rsid w:val="00DC4DA4"/>
    <w:rsid w:val="00DC5F33"/>
    <w:rsid w:val="00DC70C3"/>
    <w:rsid w:val="00DC7F26"/>
    <w:rsid w:val="00DD0CB9"/>
    <w:rsid w:val="00DD12F2"/>
    <w:rsid w:val="00DD1E87"/>
    <w:rsid w:val="00DD211D"/>
    <w:rsid w:val="00DD298D"/>
    <w:rsid w:val="00DD2C95"/>
    <w:rsid w:val="00DD5B69"/>
    <w:rsid w:val="00DD7622"/>
    <w:rsid w:val="00DE0D46"/>
    <w:rsid w:val="00DE1B9D"/>
    <w:rsid w:val="00DE2186"/>
    <w:rsid w:val="00DE25B3"/>
    <w:rsid w:val="00DE3780"/>
    <w:rsid w:val="00DE3A39"/>
    <w:rsid w:val="00DE3FAC"/>
    <w:rsid w:val="00DE4DC1"/>
    <w:rsid w:val="00DE6249"/>
    <w:rsid w:val="00DF1E0A"/>
    <w:rsid w:val="00DF2728"/>
    <w:rsid w:val="00DF27BC"/>
    <w:rsid w:val="00DF2846"/>
    <w:rsid w:val="00DF40B4"/>
    <w:rsid w:val="00DF511B"/>
    <w:rsid w:val="00DF5D51"/>
    <w:rsid w:val="00DF62FA"/>
    <w:rsid w:val="00DF77EA"/>
    <w:rsid w:val="00DF7EA7"/>
    <w:rsid w:val="00E02F37"/>
    <w:rsid w:val="00E030D6"/>
    <w:rsid w:val="00E0369A"/>
    <w:rsid w:val="00E06E03"/>
    <w:rsid w:val="00E1108A"/>
    <w:rsid w:val="00E1139A"/>
    <w:rsid w:val="00E12211"/>
    <w:rsid w:val="00E13812"/>
    <w:rsid w:val="00E13D56"/>
    <w:rsid w:val="00E14334"/>
    <w:rsid w:val="00E15653"/>
    <w:rsid w:val="00E15852"/>
    <w:rsid w:val="00E170BE"/>
    <w:rsid w:val="00E17CBB"/>
    <w:rsid w:val="00E2326D"/>
    <w:rsid w:val="00E24A0C"/>
    <w:rsid w:val="00E25596"/>
    <w:rsid w:val="00E26258"/>
    <w:rsid w:val="00E262AD"/>
    <w:rsid w:val="00E26AD7"/>
    <w:rsid w:val="00E27067"/>
    <w:rsid w:val="00E3593C"/>
    <w:rsid w:val="00E359A4"/>
    <w:rsid w:val="00E36208"/>
    <w:rsid w:val="00E400D5"/>
    <w:rsid w:val="00E40403"/>
    <w:rsid w:val="00E41318"/>
    <w:rsid w:val="00E4177E"/>
    <w:rsid w:val="00E44C32"/>
    <w:rsid w:val="00E450BA"/>
    <w:rsid w:val="00E47333"/>
    <w:rsid w:val="00E47C26"/>
    <w:rsid w:val="00E501F5"/>
    <w:rsid w:val="00E503DD"/>
    <w:rsid w:val="00E51197"/>
    <w:rsid w:val="00E527BB"/>
    <w:rsid w:val="00E52B65"/>
    <w:rsid w:val="00E52D52"/>
    <w:rsid w:val="00E53127"/>
    <w:rsid w:val="00E53614"/>
    <w:rsid w:val="00E55A28"/>
    <w:rsid w:val="00E56D8E"/>
    <w:rsid w:val="00E57B81"/>
    <w:rsid w:val="00E605DE"/>
    <w:rsid w:val="00E6094F"/>
    <w:rsid w:val="00E60CF1"/>
    <w:rsid w:val="00E61F59"/>
    <w:rsid w:val="00E62185"/>
    <w:rsid w:val="00E627E3"/>
    <w:rsid w:val="00E62AA0"/>
    <w:rsid w:val="00E6352A"/>
    <w:rsid w:val="00E63DD7"/>
    <w:rsid w:val="00E6423D"/>
    <w:rsid w:val="00E64BAC"/>
    <w:rsid w:val="00E64ED9"/>
    <w:rsid w:val="00E64EE7"/>
    <w:rsid w:val="00E701BC"/>
    <w:rsid w:val="00E70FDF"/>
    <w:rsid w:val="00E72749"/>
    <w:rsid w:val="00E72C54"/>
    <w:rsid w:val="00E72E09"/>
    <w:rsid w:val="00E73391"/>
    <w:rsid w:val="00E7340E"/>
    <w:rsid w:val="00E73E0D"/>
    <w:rsid w:val="00E7453A"/>
    <w:rsid w:val="00E74AD1"/>
    <w:rsid w:val="00E753F3"/>
    <w:rsid w:val="00E779AE"/>
    <w:rsid w:val="00E80228"/>
    <w:rsid w:val="00E81A60"/>
    <w:rsid w:val="00E825F7"/>
    <w:rsid w:val="00E8411E"/>
    <w:rsid w:val="00E8549A"/>
    <w:rsid w:val="00E85F14"/>
    <w:rsid w:val="00E87C46"/>
    <w:rsid w:val="00E90D8F"/>
    <w:rsid w:val="00E91305"/>
    <w:rsid w:val="00E92088"/>
    <w:rsid w:val="00E92A43"/>
    <w:rsid w:val="00E935B4"/>
    <w:rsid w:val="00E94182"/>
    <w:rsid w:val="00E95087"/>
    <w:rsid w:val="00E95807"/>
    <w:rsid w:val="00E95D7F"/>
    <w:rsid w:val="00E9616A"/>
    <w:rsid w:val="00E9642E"/>
    <w:rsid w:val="00E97F5D"/>
    <w:rsid w:val="00EA03D0"/>
    <w:rsid w:val="00EA0499"/>
    <w:rsid w:val="00EA1175"/>
    <w:rsid w:val="00EA26E2"/>
    <w:rsid w:val="00EA2EEC"/>
    <w:rsid w:val="00EA4CCB"/>
    <w:rsid w:val="00EA63E6"/>
    <w:rsid w:val="00EA7397"/>
    <w:rsid w:val="00EB0EC8"/>
    <w:rsid w:val="00EB104D"/>
    <w:rsid w:val="00EB4080"/>
    <w:rsid w:val="00EB5EE0"/>
    <w:rsid w:val="00EB6D0A"/>
    <w:rsid w:val="00EB6ED4"/>
    <w:rsid w:val="00EB745C"/>
    <w:rsid w:val="00EC20EC"/>
    <w:rsid w:val="00EC3E1D"/>
    <w:rsid w:val="00EC5958"/>
    <w:rsid w:val="00EC6F77"/>
    <w:rsid w:val="00EC7753"/>
    <w:rsid w:val="00EC7865"/>
    <w:rsid w:val="00EC79A0"/>
    <w:rsid w:val="00ED0469"/>
    <w:rsid w:val="00ED195F"/>
    <w:rsid w:val="00ED203A"/>
    <w:rsid w:val="00ED3BB2"/>
    <w:rsid w:val="00ED4345"/>
    <w:rsid w:val="00ED43C8"/>
    <w:rsid w:val="00ED51F7"/>
    <w:rsid w:val="00ED593B"/>
    <w:rsid w:val="00ED64B4"/>
    <w:rsid w:val="00ED6E52"/>
    <w:rsid w:val="00ED7137"/>
    <w:rsid w:val="00ED7359"/>
    <w:rsid w:val="00EE25AE"/>
    <w:rsid w:val="00EE3F55"/>
    <w:rsid w:val="00EE40EB"/>
    <w:rsid w:val="00EE5D14"/>
    <w:rsid w:val="00EE7057"/>
    <w:rsid w:val="00EE7B56"/>
    <w:rsid w:val="00EF00C6"/>
    <w:rsid w:val="00EF0427"/>
    <w:rsid w:val="00EF0CF0"/>
    <w:rsid w:val="00EF107C"/>
    <w:rsid w:val="00EF1941"/>
    <w:rsid w:val="00EF1CA2"/>
    <w:rsid w:val="00EF248F"/>
    <w:rsid w:val="00EF2FC4"/>
    <w:rsid w:val="00EF3F4C"/>
    <w:rsid w:val="00EF6C87"/>
    <w:rsid w:val="00EF764E"/>
    <w:rsid w:val="00F00F94"/>
    <w:rsid w:val="00F030D2"/>
    <w:rsid w:val="00F033C6"/>
    <w:rsid w:val="00F0344D"/>
    <w:rsid w:val="00F0387A"/>
    <w:rsid w:val="00F03A0D"/>
    <w:rsid w:val="00F03CE2"/>
    <w:rsid w:val="00F045E3"/>
    <w:rsid w:val="00F0655F"/>
    <w:rsid w:val="00F0771B"/>
    <w:rsid w:val="00F12497"/>
    <w:rsid w:val="00F13104"/>
    <w:rsid w:val="00F13BBA"/>
    <w:rsid w:val="00F13F52"/>
    <w:rsid w:val="00F14EE9"/>
    <w:rsid w:val="00F21CE9"/>
    <w:rsid w:val="00F22BA9"/>
    <w:rsid w:val="00F23BEC"/>
    <w:rsid w:val="00F24E79"/>
    <w:rsid w:val="00F25240"/>
    <w:rsid w:val="00F26499"/>
    <w:rsid w:val="00F26565"/>
    <w:rsid w:val="00F27514"/>
    <w:rsid w:val="00F305AD"/>
    <w:rsid w:val="00F308D3"/>
    <w:rsid w:val="00F31820"/>
    <w:rsid w:val="00F31845"/>
    <w:rsid w:val="00F3193A"/>
    <w:rsid w:val="00F32A65"/>
    <w:rsid w:val="00F32AB4"/>
    <w:rsid w:val="00F335AE"/>
    <w:rsid w:val="00F33851"/>
    <w:rsid w:val="00F343D3"/>
    <w:rsid w:val="00F35F09"/>
    <w:rsid w:val="00F36061"/>
    <w:rsid w:val="00F372CB"/>
    <w:rsid w:val="00F41964"/>
    <w:rsid w:val="00F419A3"/>
    <w:rsid w:val="00F445DB"/>
    <w:rsid w:val="00F44B3C"/>
    <w:rsid w:val="00F45178"/>
    <w:rsid w:val="00F46170"/>
    <w:rsid w:val="00F470AF"/>
    <w:rsid w:val="00F5030A"/>
    <w:rsid w:val="00F51329"/>
    <w:rsid w:val="00F52709"/>
    <w:rsid w:val="00F52F20"/>
    <w:rsid w:val="00F56F62"/>
    <w:rsid w:val="00F5794C"/>
    <w:rsid w:val="00F61926"/>
    <w:rsid w:val="00F62086"/>
    <w:rsid w:val="00F64530"/>
    <w:rsid w:val="00F64942"/>
    <w:rsid w:val="00F65D06"/>
    <w:rsid w:val="00F66970"/>
    <w:rsid w:val="00F669B8"/>
    <w:rsid w:val="00F671F8"/>
    <w:rsid w:val="00F7098B"/>
    <w:rsid w:val="00F7160E"/>
    <w:rsid w:val="00F71B03"/>
    <w:rsid w:val="00F72377"/>
    <w:rsid w:val="00F7395B"/>
    <w:rsid w:val="00F74DFB"/>
    <w:rsid w:val="00F75BB5"/>
    <w:rsid w:val="00F76A15"/>
    <w:rsid w:val="00F82137"/>
    <w:rsid w:val="00F824BE"/>
    <w:rsid w:val="00F82AE4"/>
    <w:rsid w:val="00F846D3"/>
    <w:rsid w:val="00F8641A"/>
    <w:rsid w:val="00F86F2B"/>
    <w:rsid w:val="00F9032C"/>
    <w:rsid w:val="00F9093F"/>
    <w:rsid w:val="00F91626"/>
    <w:rsid w:val="00F92979"/>
    <w:rsid w:val="00F929E1"/>
    <w:rsid w:val="00F93C41"/>
    <w:rsid w:val="00F95676"/>
    <w:rsid w:val="00F9614C"/>
    <w:rsid w:val="00F96266"/>
    <w:rsid w:val="00FA27D5"/>
    <w:rsid w:val="00FA3348"/>
    <w:rsid w:val="00FA3CB6"/>
    <w:rsid w:val="00FA3D5F"/>
    <w:rsid w:val="00FA64B1"/>
    <w:rsid w:val="00FA6F10"/>
    <w:rsid w:val="00FA76E2"/>
    <w:rsid w:val="00FB0006"/>
    <w:rsid w:val="00FB00A3"/>
    <w:rsid w:val="00FB1724"/>
    <w:rsid w:val="00FB2E51"/>
    <w:rsid w:val="00FB45D5"/>
    <w:rsid w:val="00FB4C68"/>
    <w:rsid w:val="00FB5100"/>
    <w:rsid w:val="00FB5F06"/>
    <w:rsid w:val="00FB674C"/>
    <w:rsid w:val="00FB68AF"/>
    <w:rsid w:val="00FB7DD8"/>
    <w:rsid w:val="00FB7E7B"/>
    <w:rsid w:val="00FC21D8"/>
    <w:rsid w:val="00FC2B13"/>
    <w:rsid w:val="00FC397E"/>
    <w:rsid w:val="00FC43E7"/>
    <w:rsid w:val="00FC4500"/>
    <w:rsid w:val="00FC47B6"/>
    <w:rsid w:val="00FC59D4"/>
    <w:rsid w:val="00FC6DFF"/>
    <w:rsid w:val="00FC70DB"/>
    <w:rsid w:val="00FC7B59"/>
    <w:rsid w:val="00FD0714"/>
    <w:rsid w:val="00FD0C3C"/>
    <w:rsid w:val="00FD1541"/>
    <w:rsid w:val="00FD23E3"/>
    <w:rsid w:val="00FD2E04"/>
    <w:rsid w:val="00FD6A67"/>
    <w:rsid w:val="00FD6C61"/>
    <w:rsid w:val="00FE1E8B"/>
    <w:rsid w:val="00FE26A2"/>
    <w:rsid w:val="00FE61E6"/>
    <w:rsid w:val="00FE7F9E"/>
    <w:rsid w:val="00FF10A1"/>
    <w:rsid w:val="00FF1679"/>
    <w:rsid w:val="00FF1C0F"/>
    <w:rsid w:val="00FF1C20"/>
    <w:rsid w:val="00FF241E"/>
    <w:rsid w:val="00FF461A"/>
    <w:rsid w:val="00FF5384"/>
    <w:rsid w:val="00FF65B4"/>
    <w:rsid w:val="00FF68EF"/>
    <w:rsid w:val="00FF7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A8700B"/>
  <w15:docId w15:val="{A7EECF78-587F-4FCB-95E9-3837A766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1A7"/>
    <w:pPr>
      <w:spacing w:after="120"/>
      <w:ind w:firstLine="709"/>
      <w:jc w:val="both"/>
    </w:pPr>
    <w:rPr>
      <w:sz w:val="24"/>
      <w:lang w:eastAsia="en-US"/>
    </w:rPr>
  </w:style>
  <w:style w:type="paragraph" w:styleId="Heading1">
    <w:name w:val="heading 1"/>
    <w:basedOn w:val="Normal"/>
    <w:next w:val="Normal"/>
    <w:rsid w:val="00756BEB"/>
    <w:pPr>
      <w:keepNext/>
      <w:outlineLvl w:val="0"/>
    </w:pPr>
    <w:rPr>
      <w:b/>
    </w:rPr>
  </w:style>
  <w:style w:type="paragraph" w:styleId="Heading2">
    <w:name w:val="heading 2"/>
    <w:basedOn w:val="Normal"/>
    <w:next w:val="Normal"/>
    <w:rsid w:val="00756BEB"/>
    <w:pPr>
      <w:keepNext/>
      <w:spacing w:before="240" w:after="60"/>
      <w:outlineLvl w:val="1"/>
    </w:pPr>
    <w:rPr>
      <w:rFonts w:ascii="Arial" w:hAnsi="Arial" w:cs="Arial"/>
      <w:b/>
      <w:bCs/>
      <w:i/>
      <w:iCs/>
      <w:szCs w:val="28"/>
    </w:rPr>
  </w:style>
  <w:style w:type="paragraph" w:styleId="Heading3">
    <w:name w:val="heading 3"/>
    <w:basedOn w:val="Normal"/>
    <w:next w:val="Normal"/>
    <w:rsid w:val="00756BEB"/>
    <w:pPr>
      <w:keepNext/>
      <w:spacing w:before="240" w:after="60"/>
      <w:outlineLvl w:val="2"/>
    </w:pPr>
    <w:rPr>
      <w:rFonts w:ascii="Arial" w:hAnsi="Arial"/>
    </w:rPr>
  </w:style>
  <w:style w:type="paragraph" w:styleId="Heading4">
    <w:name w:val="heading 4"/>
    <w:basedOn w:val="Normal"/>
    <w:next w:val="Normal"/>
    <w:rsid w:val="00756BEB"/>
    <w:pPr>
      <w:keepNext/>
      <w:spacing w:after="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6BEB"/>
    <w:pPr>
      <w:tabs>
        <w:tab w:val="center" w:pos="4153"/>
        <w:tab w:val="right" w:pos="8306"/>
      </w:tabs>
      <w:spacing w:after="0"/>
      <w:ind w:firstLine="0"/>
    </w:pPr>
    <w:rPr>
      <w:sz w:val="20"/>
    </w:rPr>
  </w:style>
  <w:style w:type="character" w:customStyle="1" w:styleId="FooterChar">
    <w:name w:val="Footer Char"/>
    <w:link w:val="Footer"/>
    <w:uiPriority w:val="99"/>
    <w:locked/>
    <w:rsid w:val="002E0855"/>
    <w:rPr>
      <w:lang w:eastAsia="en-US"/>
    </w:rPr>
  </w:style>
  <w:style w:type="paragraph" w:customStyle="1" w:styleId="H4">
    <w:name w:val="H4"/>
    <w:uiPriority w:val="99"/>
    <w:rsid w:val="009731A7"/>
    <w:pPr>
      <w:spacing w:after="120"/>
      <w:jc w:val="center"/>
      <w:outlineLvl w:val="3"/>
    </w:pPr>
    <w:rPr>
      <w:b/>
      <w:sz w:val="28"/>
      <w:lang w:eastAsia="en-US"/>
    </w:rPr>
  </w:style>
  <w:style w:type="paragraph" w:customStyle="1" w:styleId="H3">
    <w:name w:val="H3"/>
    <w:rsid w:val="009731A7"/>
    <w:pPr>
      <w:spacing w:after="120"/>
      <w:jc w:val="center"/>
      <w:outlineLvl w:val="2"/>
    </w:pPr>
    <w:rPr>
      <w:b/>
      <w:sz w:val="32"/>
      <w:lang w:eastAsia="en-US"/>
    </w:rPr>
  </w:style>
  <w:style w:type="paragraph" w:customStyle="1" w:styleId="H2">
    <w:name w:val="H2"/>
    <w:rsid w:val="009731A7"/>
    <w:pPr>
      <w:spacing w:after="120"/>
      <w:jc w:val="center"/>
      <w:outlineLvl w:val="1"/>
    </w:pPr>
    <w:rPr>
      <w:b/>
      <w:sz w:val="36"/>
      <w:lang w:eastAsia="en-US"/>
    </w:rPr>
  </w:style>
  <w:style w:type="paragraph" w:customStyle="1" w:styleId="H1">
    <w:name w:val="H1"/>
    <w:rsid w:val="009731A7"/>
    <w:pPr>
      <w:spacing w:after="120"/>
      <w:jc w:val="center"/>
      <w:outlineLvl w:val="0"/>
    </w:pPr>
    <w:rPr>
      <w:b/>
      <w:sz w:val="44"/>
      <w:lang w:eastAsia="en-US"/>
    </w:rPr>
  </w:style>
  <w:style w:type="paragraph" w:customStyle="1" w:styleId="T">
    <w:name w:val="T"/>
    <w:basedOn w:val="Normal"/>
    <w:rsid w:val="009731A7"/>
    <w:pPr>
      <w:keepNext/>
      <w:ind w:firstLine="0"/>
      <w:jc w:val="center"/>
    </w:pPr>
    <w:rPr>
      <w:b/>
      <w:i/>
    </w:rPr>
  </w:style>
  <w:style w:type="paragraph" w:customStyle="1" w:styleId="Z">
    <w:name w:val="Z"/>
    <w:basedOn w:val="T"/>
    <w:uiPriority w:val="99"/>
    <w:rsid w:val="009731A7"/>
    <w:pPr>
      <w:keepNext w:val="0"/>
    </w:pPr>
  </w:style>
  <w:style w:type="character" w:styleId="PageNumber">
    <w:name w:val="page number"/>
    <w:basedOn w:val="DefaultParagraphFont"/>
    <w:semiHidden/>
    <w:rsid w:val="00756BEB"/>
  </w:style>
  <w:style w:type="paragraph" w:styleId="Header">
    <w:name w:val="header"/>
    <w:basedOn w:val="Normal"/>
    <w:semiHidden/>
    <w:rsid w:val="00756BEB"/>
    <w:pPr>
      <w:tabs>
        <w:tab w:val="center" w:pos="4153"/>
        <w:tab w:val="right" w:pos="8306"/>
      </w:tabs>
      <w:spacing w:after="0"/>
      <w:ind w:firstLine="0"/>
    </w:pPr>
  </w:style>
  <w:style w:type="paragraph" w:customStyle="1" w:styleId="paraksti">
    <w:name w:val="paraksti"/>
    <w:basedOn w:val="Normal"/>
    <w:qFormat/>
    <w:rsid w:val="009731A7"/>
    <w:pPr>
      <w:ind w:firstLine="0"/>
    </w:pPr>
    <w:rPr>
      <w:i/>
      <w:sz w:val="18"/>
    </w:rPr>
  </w:style>
  <w:style w:type="paragraph" w:styleId="FootnoteText">
    <w:name w:val="footnote text"/>
    <w:basedOn w:val="Normal"/>
    <w:link w:val="FootnoteTextChar"/>
    <w:uiPriority w:val="99"/>
    <w:semiHidden/>
    <w:rsid w:val="00756BEB"/>
    <w:rPr>
      <w:sz w:val="20"/>
    </w:rPr>
  </w:style>
  <w:style w:type="character" w:customStyle="1" w:styleId="FootnoteTextChar">
    <w:name w:val="Footnote Text Char"/>
    <w:link w:val="FootnoteText"/>
    <w:uiPriority w:val="99"/>
    <w:semiHidden/>
    <w:rsid w:val="00831B78"/>
    <w:rPr>
      <w:lang w:eastAsia="en-US"/>
    </w:rPr>
  </w:style>
  <w:style w:type="paragraph" w:styleId="TOC1">
    <w:name w:val="toc 1"/>
    <w:basedOn w:val="Normal"/>
    <w:next w:val="Normal"/>
    <w:autoRedefine/>
    <w:semiHidden/>
    <w:rsid w:val="00756BEB"/>
    <w:pPr>
      <w:tabs>
        <w:tab w:val="right" w:leader="dot" w:pos="9061"/>
      </w:tabs>
      <w:ind w:firstLine="0"/>
    </w:pPr>
    <w:rPr>
      <w:noProof/>
      <w:szCs w:val="36"/>
    </w:rPr>
  </w:style>
  <w:style w:type="paragraph" w:styleId="TOC2">
    <w:name w:val="toc 2"/>
    <w:basedOn w:val="Normal"/>
    <w:next w:val="Normal"/>
    <w:autoRedefine/>
    <w:semiHidden/>
    <w:rsid w:val="00756BEB"/>
    <w:pPr>
      <w:tabs>
        <w:tab w:val="right" w:leader="dot" w:pos="9061"/>
      </w:tabs>
      <w:spacing w:after="0"/>
    </w:pPr>
    <w:rPr>
      <w:noProof/>
      <w:szCs w:val="32"/>
    </w:rPr>
  </w:style>
  <w:style w:type="paragraph" w:styleId="TOC3">
    <w:name w:val="toc 3"/>
    <w:basedOn w:val="Normal"/>
    <w:next w:val="Normal"/>
    <w:autoRedefine/>
    <w:semiHidden/>
    <w:rsid w:val="00756BEB"/>
    <w:pPr>
      <w:tabs>
        <w:tab w:val="right" w:leader="dot" w:pos="9061"/>
      </w:tabs>
      <w:spacing w:after="0"/>
      <w:ind w:left="1134" w:firstLine="0"/>
      <w:jc w:val="left"/>
    </w:pPr>
    <w:rPr>
      <w:noProof/>
      <w:szCs w:val="28"/>
    </w:rPr>
  </w:style>
  <w:style w:type="paragraph" w:styleId="BalloonText">
    <w:name w:val="Balloon Text"/>
    <w:basedOn w:val="Normal"/>
    <w:link w:val="BalloonTextChar"/>
    <w:uiPriority w:val="99"/>
    <w:semiHidden/>
    <w:unhideWhenUsed/>
    <w:rsid w:val="00F71B03"/>
    <w:pPr>
      <w:spacing w:after="0"/>
    </w:pPr>
    <w:rPr>
      <w:rFonts w:ascii="Tahoma" w:hAnsi="Tahoma" w:cs="Tahoma"/>
      <w:sz w:val="16"/>
      <w:szCs w:val="16"/>
    </w:rPr>
  </w:style>
  <w:style w:type="character" w:customStyle="1" w:styleId="BalloonTextChar">
    <w:name w:val="Balloon Text Char"/>
    <w:link w:val="BalloonText"/>
    <w:uiPriority w:val="99"/>
    <w:semiHidden/>
    <w:rsid w:val="00F71B03"/>
    <w:rPr>
      <w:rFonts w:ascii="Tahoma" w:hAnsi="Tahoma" w:cs="Tahoma"/>
      <w:sz w:val="16"/>
      <w:szCs w:val="16"/>
      <w:lang w:eastAsia="en-US"/>
    </w:rPr>
  </w:style>
  <w:style w:type="paragraph" w:styleId="EndnoteText">
    <w:name w:val="endnote text"/>
    <w:basedOn w:val="Normal"/>
    <w:link w:val="EndnoteTextChar"/>
    <w:uiPriority w:val="99"/>
    <w:semiHidden/>
    <w:unhideWhenUsed/>
    <w:rsid w:val="006A04B2"/>
    <w:rPr>
      <w:sz w:val="20"/>
    </w:rPr>
  </w:style>
  <w:style w:type="character" w:customStyle="1" w:styleId="EndnoteTextChar">
    <w:name w:val="Endnote Text Char"/>
    <w:link w:val="EndnoteText"/>
    <w:uiPriority w:val="99"/>
    <w:semiHidden/>
    <w:rsid w:val="006A04B2"/>
    <w:rPr>
      <w:lang w:eastAsia="en-US"/>
    </w:rPr>
  </w:style>
  <w:style w:type="character" w:styleId="EndnoteReference">
    <w:name w:val="endnote reference"/>
    <w:uiPriority w:val="99"/>
    <w:semiHidden/>
    <w:unhideWhenUsed/>
    <w:rsid w:val="006A04B2"/>
    <w:rPr>
      <w:vertAlign w:val="superscript"/>
    </w:rPr>
  </w:style>
  <w:style w:type="character" w:styleId="Hyperlink">
    <w:name w:val="Hyperlink"/>
    <w:uiPriority w:val="99"/>
    <w:semiHidden/>
    <w:unhideWhenUsed/>
    <w:rsid w:val="006F62DF"/>
    <w:rPr>
      <w:color w:val="AA1317"/>
      <w:u w:val="single"/>
    </w:rPr>
  </w:style>
  <w:style w:type="character" w:styleId="CommentReference">
    <w:name w:val="annotation reference"/>
    <w:uiPriority w:val="99"/>
    <w:semiHidden/>
    <w:unhideWhenUsed/>
    <w:rsid w:val="00322541"/>
    <w:rPr>
      <w:sz w:val="16"/>
      <w:szCs w:val="16"/>
    </w:rPr>
  </w:style>
  <w:style w:type="paragraph" w:styleId="CommentText">
    <w:name w:val="annotation text"/>
    <w:basedOn w:val="Normal"/>
    <w:link w:val="CommentTextChar"/>
    <w:uiPriority w:val="99"/>
    <w:semiHidden/>
    <w:unhideWhenUsed/>
    <w:rsid w:val="00322541"/>
    <w:rPr>
      <w:sz w:val="20"/>
    </w:rPr>
  </w:style>
  <w:style w:type="character" w:customStyle="1" w:styleId="CommentTextChar">
    <w:name w:val="Comment Text Char"/>
    <w:link w:val="CommentText"/>
    <w:uiPriority w:val="99"/>
    <w:semiHidden/>
    <w:rsid w:val="00322541"/>
    <w:rPr>
      <w:lang w:eastAsia="en-US"/>
    </w:rPr>
  </w:style>
  <w:style w:type="paragraph" w:styleId="CommentSubject">
    <w:name w:val="annotation subject"/>
    <w:basedOn w:val="CommentText"/>
    <w:next w:val="CommentText"/>
    <w:link w:val="CommentSubjectChar"/>
    <w:uiPriority w:val="99"/>
    <w:semiHidden/>
    <w:unhideWhenUsed/>
    <w:rsid w:val="00322541"/>
    <w:rPr>
      <w:b/>
      <w:bCs/>
    </w:rPr>
  </w:style>
  <w:style w:type="character" w:customStyle="1" w:styleId="CommentSubjectChar">
    <w:name w:val="Comment Subject Char"/>
    <w:link w:val="CommentSubject"/>
    <w:uiPriority w:val="99"/>
    <w:semiHidden/>
    <w:rsid w:val="00322541"/>
    <w:rPr>
      <w:b/>
      <w:bCs/>
      <w:lang w:eastAsia="en-US"/>
    </w:rPr>
  </w:style>
  <w:style w:type="paragraph" w:customStyle="1" w:styleId="Default">
    <w:name w:val="Default"/>
    <w:rsid w:val="009807D4"/>
    <w:pPr>
      <w:autoSpaceDE w:val="0"/>
      <w:autoSpaceDN w:val="0"/>
      <w:adjustRightInd w:val="0"/>
    </w:pPr>
    <w:rPr>
      <w:color w:val="000000"/>
      <w:sz w:val="24"/>
      <w:szCs w:val="24"/>
    </w:rPr>
  </w:style>
  <w:style w:type="paragraph" w:customStyle="1" w:styleId="cipari">
    <w:name w:val="cipari"/>
    <w:basedOn w:val="Normal"/>
    <w:qFormat/>
    <w:rsid w:val="009731A7"/>
    <w:pPr>
      <w:ind w:left="720" w:hanging="720"/>
    </w:pPr>
    <w:rPr>
      <w:bCs/>
    </w:rPr>
  </w:style>
  <w:style w:type="paragraph" w:customStyle="1" w:styleId="cipariiturp">
    <w:name w:val="ciparii_turp"/>
    <w:basedOn w:val="cipari"/>
    <w:qFormat/>
    <w:rsid w:val="009731A7"/>
    <w:pPr>
      <w:ind w:left="709" w:firstLine="0"/>
    </w:pPr>
    <w:rPr>
      <w:bCs w:val="0"/>
    </w:rPr>
  </w:style>
  <w:style w:type="paragraph" w:customStyle="1" w:styleId="funkcijas">
    <w:name w:val="funkcijas"/>
    <w:basedOn w:val="Normal"/>
    <w:qFormat/>
    <w:rsid w:val="009731A7"/>
    <w:pPr>
      <w:ind w:firstLine="0"/>
    </w:pPr>
    <w:rPr>
      <w:bCs/>
      <w:u w:val="single"/>
    </w:rPr>
  </w:style>
  <w:style w:type="paragraph" w:customStyle="1" w:styleId="Funkcijasbold">
    <w:name w:val="Funkcijas_bold"/>
    <w:basedOn w:val="Normal"/>
    <w:qFormat/>
    <w:rsid w:val="009731A7"/>
    <w:pPr>
      <w:ind w:firstLine="0"/>
    </w:pPr>
    <w:rPr>
      <w:b/>
      <w:bCs/>
    </w:rPr>
  </w:style>
  <w:style w:type="paragraph" w:customStyle="1" w:styleId="izdevumi">
    <w:name w:val="izdevumi"/>
    <w:basedOn w:val="Normal"/>
    <w:qFormat/>
    <w:rsid w:val="009731A7"/>
    <w:pPr>
      <w:widowControl w:val="0"/>
      <w:spacing w:before="120"/>
      <w:ind w:left="567" w:firstLine="0"/>
    </w:pPr>
    <w:rPr>
      <w:i/>
    </w:rPr>
  </w:style>
  <w:style w:type="paragraph" w:customStyle="1" w:styleId="programmas">
    <w:name w:val="programmas"/>
    <w:basedOn w:val="Normal"/>
    <w:qFormat/>
    <w:rsid w:val="009731A7"/>
    <w:pPr>
      <w:widowControl w:val="0"/>
      <w:spacing w:before="240"/>
      <w:ind w:firstLine="0"/>
      <w:jc w:val="center"/>
    </w:pPr>
    <w:rPr>
      <w:b/>
      <w:lang w:val="en-US"/>
    </w:rPr>
  </w:style>
  <w:style w:type="paragraph" w:customStyle="1" w:styleId="samazpaliel">
    <w:name w:val="samaz_paliel"/>
    <w:basedOn w:val="Normal"/>
    <w:qFormat/>
    <w:rsid w:val="009731A7"/>
    <w:pPr>
      <w:widowControl w:val="0"/>
      <w:ind w:firstLine="0"/>
    </w:pPr>
    <w:rPr>
      <w:b/>
      <w:u w:val="single"/>
    </w:rPr>
  </w:style>
  <w:style w:type="paragraph" w:customStyle="1" w:styleId="tabteksts">
    <w:name w:val="tab_teksts"/>
    <w:basedOn w:val="Normal"/>
    <w:qFormat/>
    <w:rsid w:val="009731A7"/>
    <w:pPr>
      <w:spacing w:after="0"/>
      <w:ind w:firstLine="0"/>
      <w:jc w:val="left"/>
    </w:pPr>
    <w:rPr>
      <w:sz w:val="18"/>
    </w:rPr>
  </w:style>
  <w:style w:type="paragraph" w:customStyle="1" w:styleId="Tabuluvirsraksti">
    <w:name w:val="Tabulu_virsraksti"/>
    <w:basedOn w:val="Normal"/>
    <w:qFormat/>
    <w:rsid w:val="009731A7"/>
    <w:pPr>
      <w:ind w:firstLine="0"/>
      <w:jc w:val="center"/>
    </w:pPr>
  </w:style>
  <w:style w:type="numbering" w:customStyle="1" w:styleId="NoList1">
    <w:name w:val="No List1"/>
    <w:next w:val="NoList"/>
    <w:uiPriority w:val="99"/>
    <w:semiHidden/>
    <w:unhideWhenUsed/>
    <w:rsid w:val="003613E3"/>
  </w:style>
  <w:style w:type="character" w:styleId="FootnoteReference">
    <w:name w:val="footnote reference"/>
    <w:aliases w:val="Footnote Reference Number,Footnote symbol,Footnote Reference Superscript,ftref"/>
    <w:uiPriority w:val="99"/>
    <w:rsid w:val="00C31790"/>
    <w:rPr>
      <w:vertAlign w:val="superscript"/>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E1108A"/>
    <w:pPr>
      <w:ind w:left="720"/>
      <w:contextualSpacing/>
    </w:pPr>
  </w:style>
  <w:style w:type="paragraph" w:customStyle="1" w:styleId="tabtekst">
    <w:name w:val="tab_tekst"/>
    <w:basedOn w:val="Normal"/>
    <w:uiPriority w:val="99"/>
    <w:rsid w:val="00C9439C"/>
    <w:pPr>
      <w:spacing w:after="0"/>
      <w:ind w:firstLine="0"/>
      <w:jc w:val="left"/>
    </w:pPr>
    <w:rPr>
      <w:snapToGrid w:val="0"/>
      <w:color w:val="000000"/>
      <w:sz w:val="20"/>
    </w:rPr>
  </w:style>
  <w:style w:type="paragraph" w:styleId="NoSpacing">
    <w:name w:val="No Spacing"/>
    <w:uiPriority w:val="1"/>
    <w:qFormat/>
    <w:rsid w:val="00C9439C"/>
    <w:pPr>
      <w:ind w:firstLine="720"/>
      <w:jc w:val="both"/>
    </w:pPr>
    <w:rPr>
      <w:sz w:val="24"/>
      <w:lang w:eastAsia="en-US"/>
    </w:rPr>
  </w:style>
  <w:style w:type="paragraph" w:styleId="ListBullet2">
    <w:name w:val="List Bullet 2"/>
    <w:basedOn w:val="Normal"/>
    <w:unhideWhenUsed/>
    <w:rsid w:val="00C9439C"/>
    <w:pPr>
      <w:numPr>
        <w:numId w:val="2"/>
      </w:numPr>
      <w:spacing w:after="0"/>
      <w:jc w:val="left"/>
    </w:pPr>
    <w:rPr>
      <w:sz w:val="20"/>
      <w:lang w:val="en-US" w:eastAsia="lv-LV"/>
    </w:rPr>
  </w:style>
  <w:style w:type="character" w:customStyle="1" w:styleId="apple-converted-space">
    <w:name w:val="apple-converted-space"/>
    <w:rsid w:val="00DB28ED"/>
  </w:style>
  <w:style w:type="character" w:styleId="Strong">
    <w:name w:val="Strong"/>
    <w:uiPriority w:val="22"/>
    <w:qFormat/>
    <w:rsid w:val="00995C35"/>
    <w:rPr>
      <w:b/>
      <w:bCs/>
    </w:rPr>
  </w:style>
  <w:style w:type="paragraph" w:customStyle="1" w:styleId="Pointabc">
    <w:name w:val="Point abc"/>
    <w:basedOn w:val="Normal"/>
    <w:rsid w:val="00995C35"/>
    <w:pPr>
      <w:numPr>
        <w:ilvl w:val="1"/>
        <w:numId w:val="4"/>
      </w:numPr>
      <w:spacing w:before="120" w:line="360" w:lineRule="auto"/>
      <w:jc w:val="left"/>
    </w:pPr>
    <w:rPr>
      <w:szCs w:val="24"/>
      <w:lang w:val="en-GB"/>
    </w:rPr>
  </w:style>
  <w:style w:type="paragraph" w:customStyle="1" w:styleId="Pointabc1">
    <w:name w:val="Point abc (1)"/>
    <w:basedOn w:val="Normal"/>
    <w:rsid w:val="00995C35"/>
    <w:pPr>
      <w:numPr>
        <w:ilvl w:val="3"/>
        <w:numId w:val="4"/>
      </w:numPr>
      <w:spacing w:before="120" w:line="360" w:lineRule="auto"/>
      <w:jc w:val="left"/>
      <w:outlineLvl w:val="0"/>
    </w:pPr>
    <w:rPr>
      <w:szCs w:val="24"/>
      <w:lang w:val="en-GB"/>
    </w:rPr>
  </w:style>
  <w:style w:type="paragraph" w:customStyle="1" w:styleId="Pointabc2">
    <w:name w:val="Point abc (2)"/>
    <w:basedOn w:val="Normal"/>
    <w:rsid w:val="00995C35"/>
    <w:pPr>
      <w:numPr>
        <w:ilvl w:val="5"/>
        <w:numId w:val="4"/>
      </w:numPr>
      <w:spacing w:before="120" w:line="360" w:lineRule="auto"/>
      <w:jc w:val="left"/>
      <w:outlineLvl w:val="1"/>
    </w:pPr>
    <w:rPr>
      <w:szCs w:val="24"/>
      <w:lang w:val="en-GB"/>
    </w:rPr>
  </w:style>
  <w:style w:type="paragraph" w:customStyle="1" w:styleId="Pointabc3">
    <w:name w:val="Point abc (3)"/>
    <w:basedOn w:val="Normal"/>
    <w:rsid w:val="00995C35"/>
    <w:pPr>
      <w:numPr>
        <w:ilvl w:val="7"/>
        <w:numId w:val="4"/>
      </w:numPr>
      <w:spacing w:before="120" w:line="360" w:lineRule="auto"/>
      <w:jc w:val="left"/>
      <w:outlineLvl w:val="2"/>
    </w:pPr>
    <w:rPr>
      <w:szCs w:val="24"/>
      <w:lang w:val="en-GB"/>
    </w:rPr>
  </w:style>
  <w:style w:type="paragraph" w:customStyle="1" w:styleId="Pointabc4">
    <w:name w:val="Point abc (4)"/>
    <w:basedOn w:val="Normal"/>
    <w:rsid w:val="00995C35"/>
    <w:pPr>
      <w:numPr>
        <w:ilvl w:val="8"/>
        <w:numId w:val="4"/>
      </w:numPr>
      <w:spacing w:before="120" w:line="360" w:lineRule="auto"/>
      <w:jc w:val="left"/>
      <w:outlineLvl w:val="3"/>
    </w:pPr>
    <w:rPr>
      <w:szCs w:val="24"/>
      <w:lang w:val="en-GB"/>
    </w:rPr>
  </w:style>
  <w:style w:type="paragraph" w:customStyle="1" w:styleId="Point123">
    <w:name w:val="Point 123"/>
    <w:basedOn w:val="Normal"/>
    <w:rsid w:val="00995C35"/>
    <w:pPr>
      <w:numPr>
        <w:numId w:val="4"/>
      </w:numPr>
      <w:spacing w:before="120" w:line="360" w:lineRule="auto"/>
      <w:jc w:val="left"/>
    </w:pPr>
    <w:rPr>
      <w:szCs w:val="24"/>
      <w:lang w:val="en-GB"/>
    </w:rPr>
  </w:style>
  <w:style w:type="paragraph" w:customStyle="1" w:styleId="Point1231">
    <w:name w:val="Point 123 (1)"/>
    <w:basedOn w:val="Normal"/>
    <w:rsid w:val="00995C35"/>
    <w:pPr>
      <w:numPr>
        <w:ilvl w:val="2"/>
        <w:numId w:val="4"/>
      </w:numPr>
      <w:spacing w:before="120" w:line="360" w:lineRule="auto"/>
      <w:jc w:val="left"/>
      <w:outlineLvl w:val="0"/>
    </w:pPr>
    <w:rPr>
      <w:szCs w:val="24"/>
      <w:lang w:val="en-GB"/>
    </w:rPr>
  </w:style>
  <w:style w:type="paragraph" w:customStyle="1" w:styleId="Point1232">
    <w:name w:val="Point 123 (2)"/>
    <w:basedOn w:val="Normal"/>
    <w:rsid w:val="00995C35"/>
    <w:pPr>
      <w:numPr>
        <w:ilvl w:val="4"/>
        <w:numId w:val="4"/>
      </w:numPr>
      <w:spacing w:before="120" w:line="360" w:lineRule="auto"/>
      <w:jc w:val="left"/>
      <w:outlineLvl w:val="1"/>
    </w:pPr>
    <w:rPr>
      <w:szCs w:val="24"/>
      <w:lang w:val="en-GB"/>
    </w:rPr>
  </w:style>
  <w:style w:type="paragraph" w:customStyle="1" w:styleId="Point1233">
    <w:name w:val="Point 123 (3)"/>
    <w:basedOn w:val="Normal"/>
    <w:rsid w:val="00995C35"/>
    <w:pPr>
      <w:numPr>
        <w:ilvl w:val="6"/>
        <w:numId w:val="4"/>
      </w:numPr>
      <w:spacing w:before="120" w:line="360" w:lineRule="auto"/>
      <w:jc w:val="left"/>
      <w:outlineLvl w:val="2"/>
    </w:pPr>
    <w:rPr>
      <w:szCs w:val="24"/>
      <w:lang w:val="en-GB"/>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7870D7"/>
    <w:rPr>
      <w:sz w:val="24"/>
      <w:lang w:eastAsia="en-US"/>
    </w:rPr>
  </w:style>
  <w:style w:type="character" w:styleId="Emphasis">
    <w:name w:val="Emphasis"/>
    <w:basedOn w:val="DefaultParagraphFont"/>
    <w:uiPriority w:val="20"/>
    <w:qFormat/>
    <w:rsid w:val="007870D7"/>
    <w:rPr>
      <w:i/>
      <w:iCs/>
    </w:rPr>
  </w:style>
  <w:style w:type="paragraph" w:styleId="NormalWeb">
    <w:name w:val="Normal (Web)"/>
    <w:basedOn w:val="Normal"/>
    <w:uiPriority w:val="99"/>
    <w:semiHidden/>
    <w:unhideWhenUsed/>
    <w:rsid w:val="007870D7"/>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7327">
      <w:bodyDiv w:val="1"/>
      <w:marLeft w:val="0"/>
      <w:marRight w:val="0"/>
      <w:marTop w:val="0"/>
      <w:marBottom w:val="0"/>
      <w:divBdr>
        <w:top w:val="none" w:sz="0" w:space="0" w:color="auto"/>
        <w:left w:val="none" w:sz="0" w:space="0" w:color="auto"/>
        <w:bottom w:val="none" w:sz="0" w:space="0" w:color="auto"/>
        <w:right w:val="none" w:sz="0" w:space="0" w:color="auto"/>
      </w:divBdr>
    </w:div>
    <w:div w:id="172960222">
      <w:bodyDiv w:val="1"/>
      <w:marLeft w:val="0"/>
      <w:marRight w:val="0"/>
      <w:marTop w:val="0"/>
      <w:marBottom w:val="0"/>
      <w:divBdr>
        <w:top w:val="none" w:sz="0" w:space="0" w:color="auto"/>
        <w:left w:val="none" w:sz="0" w:space="0" w:color="auto"/>
        <w:bottom w:val="none" w:sz="0" w:space="0" w:color="auto"/>
        <w:right w:val="none" w:sz="0" w:space="0" w:color="auto"/>
      </w:divBdr>
    </w:div>
    <w:div w:id="222837077">
      <w:bodyDiv w:val="1"/>
      <w:marLeft w:val="0"/>
      <w:marRight w:val="0"/>
      <w:marTop w:val="0"/>
      <w:marBottom w:val="0"/>
      <w:divBdr>
        <w:top w:val="none" w:sz="0" w:space="0" w:color="auto"/>
        <w:left w:val="none" w:sz="0" w:space="0" w:color="auto"/>
        <w:bottom w:val="none" w:sz="0" w:space="0" w:color="auto"/>
        <w:right w:val="none" w:sz="0" w:space="0" w:color="auto"/>
      </w:divBdr>
    </w:div>
    <w:div w:id="260266500">
      <w:bodyDiv w:val="1"/>
      <w:marLeft w:val="0"/>
      <w:marRight w:val="0"/>
      <w:marTop w:val="0"/>
      <w:marBottom w:val="0"/>
      <w:divBdr>
        <w:top w:val="none" w:sz="0" w:space="0" w:color="auto"/>
        <w:left w:val="none" w:sz="0" w:space="0" w:color="auto"/>
        <w:bottom w:val="none" w:sz="0" w:space="0" w:color="auto"/>
        <w:right w:val="none" w:sz="0" w:space="0" w:color="auto"/>
      </w:divBdr>
    </w:div>
    <w:div w:id="479076894">
      <w:bodyDiv w:val="1"/>
      <w:marLeft w:val="0"/>
      <w:marRight w:val="0"/>
      <w:marTop w:val="0"/>
      <w:marBottom w:val="0"/>
      <w:divBdr>
        <w:top w:val="none" w:sz="0" w:space="0" w:color="auto"/>
        <w:left w:val="none" w:sz="0" w:space="0" w:color="auto"/>
        <w:bottom w:val="none" w:sz="0" w:space="0" w:color="auto"/>
        <w:right w:val="none" w:sz="0" w:space="0" w:color="auto"/>
      </w:divBdr>
    </w:div>
    <w:div w:id="667706677">
      <w:bodyDiv w:val="1"/>
      <w:marLeft w:val="0"/>
      <w:marRight w:val="0"/>
      <w:marTop w:val="0"/>
      <w:marBottom w:val="0"/>
      <w:divBdr>
        <w:top w:val="none" w:sz="0" w:space="0" w:color="auto"/>
        <w:left w:val="none" w:sz="0" w:space="0" w:color="auto"/>
        <w:bottom w:val="none" w:sz="0" w:space="0" w:color="auto"/>
        <w:right w:val="none" w:sz="0" w:space="0" w:color="auto"/>
      </w:divBdr>
    </w:div>
    <w:div w:id="745152837">
      <w:bodyDiv w:val="1"/>
      <w:marLeft w:val="0"/>
      <w:marRight w:val="0"/>
      <w:marTop w:val="0"/>
      <w:marBottom w:val="0"/>
      <w:divBdr>
        <w:top w:val="none" w:sz="0" w:space="0" w:color="auto"/>
        <w:left w:val="none" w:sz="0" w:space="0" w:color="auto"/>
        <w:bottom w:val="none" w:sz="0" w:space="0" w:color="auto"/>
        <w:right w:val="none" w:sz="0" w:space="0" w:color="auto"/>
      </w:divBdr>
    </w:div>
    <w:div w:id="751050323">
      <w:bodyDiv w:val="1"/>
      <w:marLeft w:val="0"/>
      <w:marRight w:val="0"/>
      <w:marTop w:val="0"/>
      <w:marBottom w:val="0"/>
      <w:divBdr>
        <w:top w:val="none" w:sz="0" w:space="0" w:color="auto"/>
        <w:left w:val="none" w:sz="0" w:space="0" w:color="auto"/>
        <w:bottom w:val="none" w:sz="0" w:space="0" w:color="auto"/>
        <w:right w:val="none" w:sz="0" w:space="0" w:color="auto"/>
      </w:divBdr>
    </w:div>
    <w:div w:id="754547860">
      <w:bodyDiv w:val="1"/>
      <w:marLeft w:val="0"/>
      <w:marRight w:val="0"/>
      <w:marTop w:val="0"/>
      <w:marBottom w:val="0"/>
      <w:divBdr>
        <w:top w:val="none" w:sz="0" w:space="0" w:color="auto"/>
        <w:left w:val="none" w:sz="0" w:space="0" w:color="auto"/>
        <w:bottom w:val="none" w:sz="0" w:space="0" w:color="auto"/>
        <w:right w:val="none" w:sz="0" w:space="0" w:color="auto"/>
      </w:divBdr>
    </w:div>
    <w:div w:id="883568238">
      <w:bodyDiv w:val="1"/>
      <w:marLeft w:val="0"/>
      <w:marRight w:val="0"/>
      <w:marTop w:val="0"/>
      <w:marBottom w:val="0"/>
      <w:divBdr>
        <w:top w:val="none" w:sz="0" w:space="0" w:color="auto"/>
        <w:left w:val="none" w:sz="0" w:space="0" w:color="auto"/>
        <w:bottom w:val="none" w:sz="0" w:space="0" w:color="auto"/>
        <w:right w:val="none" w:sz="0" w:space="0" w:color="auto"/>
      </w:divBdr>
    </w:div>
    <w:div w:id="991103814">
      <w:bodyDiv w:val="1"/>
      <w:marLeft w:val="0"/>
      <w:marRight w:val="0"/>
      <w:marTop w:val="0"/>
      <w:marBottom w:val="0"/>
      <w:divBdr>
        <w:top w:val="none" w:sz="0" w:space="0" w:color="auto"/>
        <w:left w:val="none" w:sz="0" w:space="0" w:color="auto"/>
        <w:bottom w:val="none" w:sz="0" w:space="0" w:color="auto"/>
        <w:right w:val="none" w:sz="0" w:space="0" w:color="auto"/>
      </w:divBdr>
    </w:div>
    <w:div w:id="1030302758">
      <w:bodyDiv w:val="1"/>
      <w:marLeft w:val="0"/>
      <w:marRight w:val="0"/>
      <w:marTop w:val="0"/>
      <w:marBottom w:val="0"/>
      <w:divBdr>
        <w:top w:val="none" w:sz="0" w:space="0" w:color="auto"/>
        <w:left w:val="none" w:sz="0" w:space="0" w:color="auto"/>
        <w:bottom w:val="none" w:sz="0" w:space="0" w:color="auto"/>
        <w:right w:val="none" w:sz="0" w:space="0" w:color="auto"/>
      </w:divBdr>
    </w:div>
    <w:div w:id="1218857053">
      <w:bodyDiv w:val="1"/>
      <w:marLeft w:val="0"/>
      <w:marRight w:val="0"/>
      <w:marTop w:val="0"/>
      <w:marBottom w:val="0"/>
      <w:divBdr>
        <w:top w:val="none" w:sz="0" w:space="0" w:color="auto"/>
        <w:left w:val="none" w:sz="0" w:space="0" w:color="auto"/>
        <w:bottom w:val="none" w:sz="0" w:space="0" w:color="auto"/>
        <w:right w:val="none" w:sz="0" w:space="0" w:color="auto"/>
      </w:divBdr>
      <w:divsChild>
        <w:div w:id="1117141765">
          <w:marLeft w:val="0"/>
          <w:marRight w:val="0"/>
          <w:marTop w:val="100"/>
          <w:marBottom w:val="100"/>
          <w:divBdr>
            <w:top w:val="none" w:sz="0" w:space="0" w:color="auto"/>
            <w:left w:val="none" w:sz="0" w:space="0" w:color="auto"/>
            <w:bottom w:val="none" w:sz="0" w:space="0" w:color="auto"/>
            <w:right w:val="none" w:sz="0" w:space="0" w:color="auto"/>
          </w:divBdr>
          <w:divsChild>
            <w:div w:id="1460536375">
              <w:marLeft w:val="0"/>
              <w:marRight w:val="0"/>
              <w:marTop w:val="0"/>
              <w:marBottom w:val="0"/>
              <w:divBdr>
                <w:top w:val="none" w:sz="0" w:space="0" w:color="auto"/>
                <w:left w:val="none" w:sz="0" w:space="0" w:color="auto"/>
                <w:bottom w:val="none" w:sz="0" w:space="0" w:color="auto"/>
                <w:right w:val="none" w:sz="0" w:space="0" w:color="auto"/>
              </w:divBdr>
              <w:divsChild>
                <w:div w:id="891380031">
                  <w:marLeft w:val="0"/>
                  <w:marRight w:val="0"/>
                  <w:marTop w:val="0"/>
                  <w:marBottom w:val="0"/>
                  <w:divBdr>
                    <w:top w:val="none" w:sz="0" w:space="0" w:color="auto"/>
                    <w:left w:val="none" w:sz="0" w:space="0" w:color="auto"/>
                    <w:bottom w:val="none" w:sz="0" w:space="0" w:color="auto"/>
                    <w:right w:val="none" w:sz="0" w:space="0" w:color="auto"/>
                  </w:divBdr>
                  <w:divsChild>
                    <w:div w:id="1683702780">
                      <w:marLeft w:val="0"/>
                      <w:marRight w:val="0"/>
                      <w:marTop w:val="0"/>
                      <w:marBottom w:val="0"/>
                      <w:divBdr>
                        <w:top w:val="none" w:sz="0" w:space="0" w:color="auto"/>
                        <w:left w:val="none" w:sz="0" w:space="0" w:color="auto"/>
                        <w:bottom w:val="none" w:sz="0" w:space="0" w:color="auto"/>
                        <w:right w:val="none" w:sz="0" w:space="0" w:color="auto"/>
                      </w:divBdr>
                      <w:divsChild>
                        <w:div w:id="680736521">
                          <w:marLeft w:val="0"/>
                          <w:marRight w:val="0"/>
                          <w:marTop w:val="0"/>
                          <w:marBottom w:val="0"/>
                          <w:divBdr>
                            <w:top w:val="none" w:sz="0" w:space="0" w:color="auto"/>
                            <w:left w:val="none" w:sz="0" w:space="0" w:color="auto"/>
                            <w:bottom w:val="none" w:sz="0" w:space="0" w:color="auto"/>
                            <w:right w:val="none" w:sz="0" w:space="0" w:color="auto"/>
                          </w:divBdr>
                          <w:divsChild>
                            <w:div w:id="235751223">
                              <w:marLeft w:val="0"/>
                              <w:marRight w:val="0"/>
                              <w:marTop w:val="0"/>
                              <w:marBottom w:val="0"/>
                              <w:divBdr>
                                <w:top w:val="none" w:sz="0" w:space="0" w:color="auto"/>
                                <w:left w:val="none" w:sz="0" w:space="0" w:color="auto"/>
                                <w:bottom w:val="none" w:sz="0" w:space="0" w:color="auto"/>
                                <w:right w:val="none" w:sz="0" w:space="0" w:color="auto"/>
                              </w:divBdr>
                              <w:divsChild>
                                <w:div w:id="1020665675">
                                  <w:marLeft w:val="0"/>
                                  <w:marRight w:val="0"/>
                                  <w:marTop w:val="0"/>
                                  <w:marBottom w:val="0"/>
                                  <w:divBdr>
                                    <w:top w:val="none" w:sz="0" w:space="0" w:color="auto"/>
                                    <w:left w:val="none" w:sz="0" w:space="0" w:color="auto"/>
                                    <w:bottom w:val="none" w:sz="0" w:space="0" w:color="auto"/>
                                    <w:right w:val="none" w:sz="0" w:space="0" w:color="auto"/>
                                  </w:divBdr>
                                  <w:divsChild>
                                    <w:div w:id="1368989132">
                                      <w:marLeft w:val="0"/>
                                      <w:marRight w:val="0"/>
                                      <w:marTop w:val="0"/>
                                      <w:marBottom w:val="150"/>
                                      <w:divBdr>
                                        <w:top w:val="none" w:sz="0" w:space="0" w:color="auto"/>
                                        <w:left w:val="none" w:sz="0" w:space="0" w:color="auto"/>
                                        <w:bottom w:val="none" w:sz="0" w:space="0" w:color="auto"/>
                                        <w:right w:val="none" w:sz="0" w:space="0" w:color="auto"/>
                                      </w:divBdr>
                                      <w:divsChild>
                                        <w:div w:id="14703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996723">
      <w:bodyDiv w:val="1"/>
      <w:marLeft w:val="0"/>
      <w:marRight w:val="0"/>
      <w:marTop w:val="0"/>
      <w:marBottom w:val="0"/>
      <w:divBdr>
        <w:top w:val="none" w:sz="0" w:space="0" w:color="auto"/>
        <w:left w:val="none" w:sz="0" w:space="0" w:color="auto"/>
        <w:bottom w:val="none" w:sz="0" w:space="0" w:color="auto"/>
        <w:right w:val="none" w:sz="0" w:space="0" w:color="auto"/>
      </w:divBdr>
    </w:div>
    <w:div w:id="1358116583">
      <w:bodyDiv w:val="1"/>
      <w:marLeft w:val="0"/>
      <w:marRight w:val="0"/>
      <w:marTop w:val="0"/>
      <w:marBottom w:val="0"/>
      <w:divBdr>
        <w:top w:val="none" w:sz="0" w:space="0" w:color="auto"/>
        <w:left w:val="none" w:sz="0" w:space="0" w:color="auto"/>
        <w:bottom w:val="none" w:sz="0" w:space="0" w:color="auto"/>
        <w:right w:val="none" w:sz="0" w:space="0" w:color="auto"/>
      </w:divBdr>
      <w:divsChild>
        <w:div w:id="1892881685">
          <w:marLeft w:val="0"/>
          <w:marRight w:val="0"/>
          <w:marTop w:val="0"/>
          <w:marBottom w:val="0"/>
          <w:divBdr>
            <w:top w:val="none" w:sz="0" w:space="0" w:color="auto"/>
            <w:left w:val="none" w:sz="0" w:space="0" w:color="auto"/>
            <w:bottom w:val="none" w:sz="0" w:space="0" w:color="auto"/>
            <w:right w:val="none" w:sz="0" w:space="0" w:color="auto"/>
          </w:divBdr>
          <w:divsChild>
            <w:div w:id="319695871">
              <w:marLeft w:val="0"/>
              <w:marRight w:val="0"/>
              <w:marTop w:val="0"/>
              <w:marBottom w:val="0"/>
              <w:divBdr>
                <w:top w:val="none" w:sz="0" w:space="0" w:color="auto"/>
                <w:left w:val="none" w:sz="0" w:space="0" w:color="auto"/>
                <w:bottom w:val="none" w:sz="0" w:space="0" w:color="auto"/>
                <w:right w:val="none" w:sz="0" w:space="0" w:color="auto"/>
              </w:divBdr>
              <w:divsChild>
                <w:div w:id="1636565179">
                  <w:marLeft w:val="0"/>
                  <w:marRight w:val="0"/>
                  <w:marTop w:val="0"/>
                  <w:marBottom w:val="0"/>
                  <w:divBdr>
                    <w:top w:val="none" w:sz="0" w:space="0" w:color="auto"/>
                    <w:left w:val="none" w:sz="0" w:space="0" w:color="auto"/>
                    <w:bottom w:val="none" w:sz="0" w:space="0" w:color="auto"/>
                    <w:right w:val="none" w:sz="0" w:space="0" w:color="auto"/>
                  </w:divBdr>
                  <w:divsChild>
                    <w:div w:id="671180920">
                      <w:marLeft w:val="0"/>
                      <w:marRight w:val="0"/>
                      <w:marTop w:val="0"/>
                      <w:marBottom w:val="0"/>
                      <w:divBdr>
                        <w:top w:val="none" w:sz="0" w:space="0" w:color="auto"/>
                        <w:left w:val="none" w:sz="0" w:space="0" w:color="auto"/>
                        <w:bottom w:val="none" w:sz="0" w:space="0" w:color="auto"/>
                        <w:right w:val="none" w:sz="0" w:space="0" w:color="auto"/>
                      </w:divBdr>
                      <w:divsChild>
                        <w:div w:id="85539760">
                          <w:marLeft w:val="0"/>
                          <w:marRight w:val="0"/>
                          <w:marTop w:val="300"/>
                          <w:marBottom w:val="0"/>
                          <w:divBdr>
                            <w:top w:val="none" w:sz="0" w:space="0" w:color="auto"/>
                            <w:left w:val="none" w:sz="0" w:space="0" w:color="auto"/>
                            <w:bottom w:val="none" w:sz="0" w:space="0" w:color="auto"/>
                            <w:right w:val="none" w:sz="0" w:space="0" w:color="auto"/>
                          </w:divBdr>
                          <w:divsChild>
                            <w:div w:id="2073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009600">
      <w:bodyDiv w:val="1"/>
      <w:marLeft w:val="0"/>
      <w:marRight w:val="0"/>
      <w:marTop w:val="0"/>
      <w:marBottom w:val="0"/>
      <w:divBdr>
        <w:top w:val="none" w:sz="0" w:space="0" w:color="auto"/>
        <w:left w:val="none" w:sz="0" w:space="0" w:color="auto"/>
        <w:bottom w:val="none" w:sz="0" w:space="0" w:color="auto"/>
        <w:right w:val="none" w:sz="0" w:space="0" w:color="auto"/>
      </w:divBdr>
    </w:div>
    <w:div w:id="1389845545">
      <w:bodyDiv w:val="1"/>
      <w:marLeft w:val="0"/>
      <w:marRight w:val="0"/>
      <w:marTop w:val="0"/>
      <w:marBottom w:val="0"/>
      <w:divBdr>
        <w:top w:val="none" w:sz="0" w:space="0" w:color="auto"/>
        <w:left w:val="none" w:sz="0" w:space="0" w:color="auto"/>
        <w:bottom w:val="none" w:sz="0" w:space="0" w:color="auto"/>
        <w:right w:val="none" w:sz="0" w:space="0" w:color="auto"/>
      </w:divBdr>
    </w:div>
    <w:div w:id="1397555686">
      <w:bodyDiv w:val="1"/>
      <w:marLeft w:val="0"/>
      <w:marRight w:val="0"/>
      <w:marTop w:val="0"/>
      <w:marBottom w:val="0"/>
      <w:divBdr>
        <w:top w:val="none" w:sz="0" w:space="0" w:color="auto"/>
        <w:left w:val="none" w:sz="0" w:space="0" w:color="auto"/>
        <w:bottom w:val="none" w:sz="0" w:space="0" w:color="auto"/>
        <w:right w:val="none" w:sz="0" w:space="0" w:color="auto"/>
      </w:divBdr>
    </w:div>
    <w:div w:id="1407534140">
      <w:bodyDiv w:val="1"/>
      <w:marLeft w:val="0"/>
      <w:marRight w:val="0"/>
      <w:marTop w:val="0"/>
      <w:marBottom w:val="0"/>
      <w:divBdr>
        <w:top w:val="none" w:sz="0" w:space="0" w:color="auto"/>
        <w:left w:val="none" w:sz="0" w:space="0" w:color="auto"/>
        <w:bottom w:val="none" w:sz="0" w:space="0" w:color="auto"/>
        <w:right w:val="none" w:sz="0" w:space="0" w:color="auto"/>
      </w:divBdr>
    </w:div>
    <w:div w:id="1445347726">
      <w:bodyDiv w:val="1"/>
      <w:marLeft w:val="0"/>
      <w:marRight w:val="0"/>
      <w:marTop w:val="0"/>
      <w:marBottom w:val="0"/>
      <w:divBdr>
        <w:top w:val="none" w:sz="0" w:space="0" w:color="auto"/>
        <w:left w:val="none" w:sz="0" w:space="0" w:color="auto"/>
        <w:bottom w:val="none" w:sz="0" w:space="0" w:color="auto"/>
        <w:right w:val="none" w:sz="0" w:space="0" w:color="auto"/>
      </w:divBdr>
    </w:div>
    <w:div w:id="1539665509">
      <w:bodyDiv w:val="1"/>
      <w:marLeft w:val="0"/>
      <w:marRight w:val="0"/>
      <w:marTop w:val="0"/>
      <w:marBottom w:val="0"/>
      <w:divBdr>
        <w:top w:val="none" w:sz="0" w:space="0" w:color="auto"/>
        <w:left w:val="none" w:sz="0" w:space="0" w:color="auto"/>
        <w:bottom w:val="none" w:sz="0" w:space="0" w:color="auto"/>
        <w:right w:val="none" w:sz="0" w:space="0" w:color="auto"/>
      </w:divBdr>
    </w:div>
    <w:div w:id="1644194168">
      <w:bodyDiv w:val="1"/>
      <w:marLeft w:val="0"/>
      <w:marRight w:val="0"/>
      <w:marTop w:val="0"/>
      <w:marBottom w:val="0"/>
      <w:divBdr>
        <w:top w:val="none" w:sz="0" w:space="0" w:color="auto"/>
        <w:left w:val="none" w:sz="0" w:space="0" w:color="auto"/>
        <w:bottom w:val="none" w:sz="0" w:space="0" w:color="auto"/>
        <w:right w:val="none" w:sz="0" w:space="0" w:color="auto"/>
      </w:divBdr>
    </w:div>
    <w:div w:id="1647902733">
      <w:bodyDiv w:val="1"/>
      <w:marLeft w:val="0"/>
      <w:marRight w:val="0"/>
      <w:marTop w:val="0"/>
      <w:marBottom w:val="0"/>
      <w:divBdr>
        <w:top w:val="none" w:sz="0" w:space="0" w:color="auto"/>
        <w:left w:val="none" w:sz="0" w:space="0" w:color="auto"/>
        <w:bottom w:val="none" w:sz="0" w:space="0" w:color="auto"/>
        <w:right w:val="none" w:sz="0" w:space="0" w:color="auto"/>
      </w:divBdr>
    </w:div>
    <w:div w:id="1684043606">
      <w:bodyDiv w:val="1"/>
      <w:marLeft w:val="0"/>
      <w:marRight w:val="0"/>
      <w:marTop w:val="0"/>
      <w:marBottom w:val="0"/>
      <w:divBdr>
        <w:top w:val="none" w:sz="0" w:space="0" w:color="auto"/>
        <w:left w:val="none" w:sz="0" w:space="0" w:color="auto"/>
        <w:bottom w:val="none" w:sz="0" w:space="0" w:color="auto"/>
        <w:right w:val="none" w:sz="0" w:space="0" w:color="auto"/>
      </w:divBdr>
    </w:div>
    <w:div w:id="1714770571">
      <w:bodyDiv w:val="1"/>
      <w:marLeft w:val="0"/>
      <w:marRight w:val="0"/>
      <w:marTop w:val="0"/>
      <w:marBottom w:val="0"/>
      <w:divBdr>
        <w:top w:val="none" w:sz="0" w:space="0" w:color="auto"/>
        <w:left w:val="none" w:sz="0" w:space="0" w:color="auto"/>
        <w:bottom w:val="none" w:sz="0" w:space="0" w:color="auto"/>
        <w:right w:val="none" w:sz="0" w:space="0" w:color="auto"/>
      </w:divBdr>
    </w:div>
    <w:div w:id="1716542207">
      <w:bodyDiv w:val="1"/>
      <w:marLeft w:val="0"/>
      <w:marRight w:val="0"/>
      <w:marTop w:val="0"/>
      <w:marBottom w:val="0"/>
      <w:divBdr>
        <w:top w:val="none" w:sz="0" w:space="0" w:color="auto"/>
        <w:left w:val="none" w:sz="0" w:space="0" w:color="auto"/>
        <w:bottom w:val="none" w:sz="0" w:space="0" w:color="auto"/>
        <w:right w:val="none" w:sz="0" w:space="0" w:color="auto"/>
      </w:divBdr>
    </w:div>
    <w:div w:id="1781144022">
      <w:bodyDiv w:val="1"/>
      <w:marLeft w:val="0"/>
      <w:marRight w:val="0"/>
      <w:marTop w:val="0"/>
      <w:marBottom w:val="0"/>
      <w:divBdr>
        <w:top w:val="none" w:sz="0" w:space="0" w:color="auto"/>
        <w:left w:val="none" w:sz="0" w:space="0" w:color="auto"/>
        <w:bottom w:val="none" w:sz="0" w:space="0" w:color="auto"/>
        <w:right w:val="none" w:sz="0" w:space="0" w:color="auto"/>
      </w:divBdr>
      <w:divsChild>
        <w:div w:id="1100643866">
          <w:marLeft w:val="0"/>
          <w:marRight w:val="0"/>
          <w:marTop w:val="0"/>
          <w:marBottom w:val="0"/>
          <w:divBdr>
            <w:top w:val="none" w:sz="0" w:space="0" w:color="auto"/>
            <w:left w:val="none" w:sz="0" w:space="0" w:color="auto"/>
            <w:bottom w:val="none" w:sz="0" w:space="0" w:color="auto"/>
            <w:right w:val="none" w:sz="0" w:space="0" w:color="auto"/>
          </w:divBdr>
          <w:divsChild>
            <w:div w:id="950280683">
              <w:marLeft w:val="0"/>
              <w:marRight w:val="0"/>
              <w:marTop w:val="0"/>
              <w:marBottom w:val="0"/>
              <w:divBdr>
                <w:top w:val="none" w:sz="0" w:space="0" w:color="auto"/>
                <w:left w:val="none" w:sz="0" w:space="0" w:color="auto"/>
                <w:bottom w:val="none" w:sz="0" w:space="0" w:color="auto"/>
                <w:right w:val="none" w:sz="0" w:space="0" w:color="auto"/>
              </w:divBdr>
              <w:divsChild>
                <w:div w:id="1864325521">
                  <w:marLeft w:val="135"/>
                  <w:marRight w:val="0"/>
                  <w:marTop w:val="0"/>
                  <w:marBottom w:val="0"/>
                  <w:divBdr>
                    <w:top w:val="none" w:sz="0" w:space="0" w:color="auto"/>
                    <w:left w:val="none" w:sz="0" w:space="0" w:color="auto"/>
                    <w:bottom w:val="none" w:sz="0" w:space="0" w:color="auto"/>
                    <w:right w:val="none" w:sz="0" w:space="0" w:color="auto"/>
                  </w:divBdr>
                  <w:divsChild>
                    <w:div w:id="188417024">
                      <w:marLeft w:val="0"/>
                      <w:marRight w:val="0"/>
                      <w:marTop w:val="0"/>
                      <w:marBottom w:val="0"/>
                      <w:divBdr>
                        <w:top w:val="none" w:sz="0" w:space="0" w:color="auto"/>
                        <w:left w:val="none" w:sz="0" w:space="0" w:color="auto"/>
                        <w:bottom w:val="none" w:sz="0" w:space="0" w:color="auto"/>
                        <w:right w:val="none" w:sz="0" w:space="0" w:color="auto"/>
                      </w:divBdr>
                      <w:divsChild>
                        <w:div w:id="1513455068">
                          <w:marLeft w:val="0"/>
                          <w:marRight w:val="0"/>
                          <w:marTop w:val="0"/>
                          <w:marBottom w:val="0"/>
                          <w:divBdr>
                            <w:top w:val="none" w:sz="0" w:space="0" w:color="auto"/>
                            <w:left w:val="none" w:sz="0" w:space="0" w:color="auto"/>
                            <w:bottom w:val="none" w:sz="0" w:space="0" w:color="auto"/>
                            <w:right w:val="none" w:sz="0" w:space="0" w:color="auto"/>
                          </w:divBdr>
                          <w:divsChild>
                            <w:div w:id="9478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724191">
      <w:bodyDiv w:val="1"/>
      <w:marLeft w:val="0"/>
      <w:marRight w:val="0"/>
      <w:marTop w:val="0"/>
      <w:marBottom w:val="0"/>
      <w:divBdr>
        <w:top w:val="none" w:sz="0" w:space="0" w:color="auto"/>
        <w:left w:val="none" w:sz="0" w:space="0" w:color="auto"/>
        <w:bottom w:val="none" w:sz="0" w:space="0" w:color="auto"/>
        <w:right w:val="none" w:sz="0" w:space="0" w:color="auto"/>
      </w:divBdr>
    </w:div>
    <w:div w:id="213139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fs\nad\_Bud&#382;eta%20projekts\Bud&#382;eta%20projekts%202019\Jaunais%20bud&#382;ets\Bud&#382;eta%20paskaidrojumi\Budz_pask_2019\akc&#299;zes%20grafiki%20bud&#382;eta%20paskaidrojumiem.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s\nad\_Bud&#382;eta%20projekts\Bud&#382;eta%20projekts%202019\Jaunais%20bud&#382;ets\Bud&#382;eta%20paskaidrojumi\Budz_pask_2019\akc&#299;zes%20grafiki%20bud&#382;eta%20paskaidrojumiem.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fs\nad\_Bud&#382;eta%20projekts\Bud&#382;eta%20projekts%202019\Jaunais%20bud&#382;ets\Bud&#382;eta%20paskaidrojumi\Budz_pask_2019\nenodok&#316;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9379555343862"/>
          <c:y val="8.60478961067416E-2"/>
          <c:w val="0.71569364174305794"/>
          <c:h val="0.73288736541218635"/>
        </c:manualLayout>
      </c:layout>
      <c:barChart>
        <c:barDir val="col"/>
        <c:grouping val="clustered"/>
        <c:varyColors val="0"/>
        <c:ser>
          <c:idx val="0"/>
          <c:order val="0"/>
          <c:tx>
            <c:strRef>
              <c:f>'naftas produkti'!$C$14</c:f>
              <c:strCache>
                <c:ptCount val="1"/>
                <c:pt idx="0">
                  <c:v>Benzīns</c:v>
                </c:pt>
              </c:strCache>
            </c:strRef>
          </c:tx>
          <c:spPr>
            <a:solidFill>
              <a:schemeClr val="tx1">
                <a:lumMod val="65000"/>
                <a:lumOff val="35000"/>
              </a:schemeClr>
            </a:solidFill>
          </c:spPr>
          <c:invertIfNegative val="0"/>
          <c:cat>
            <c:numRef>
              <c:f>'naftas produkti'!$D$13:$F$13</c:f>
              <c:numCache>
                <c:formatCode>General</c:formatCode>
                <c:ptCount val="3"/>
                <c:pt idx="0">
                  <c:v>2016</c:v>
                </c:pt>
                <c:pt idx="1">
                  <c:v>2017</c:v>
                </c:pt>
                <c:pt idx="2">
                  <c:v>2018</c:v>
                </c:pt>
              </c:numCache>
            </c:numRef>
          </c:cat>
          <c:val>
            <c:numRef>
              <c:f>'naftas produkti'!$D$14:$F$14</c:f>
              <c:numCache>
                <c:formatCode>_-* #\ ##0_-;\-* #\ ##0_-;_-* "-"??_-;_-@_-</c:formatCode>
                <c:ptCount val="3"/>
                <c:pt idx="0">
                  <c:v>199893</c:v>
                </c:pt>
                <c:pt idx="1">
                  <c:v>189553</c:v>
                </c:pt>
                <c:pt idx="2">
                  <c:v>184057</c:v>
                </c:pt>
              </c:numCache>
            </c:numRef>
          </c:val>
          <c:extLst>
            <c:ext xmlns:c16="http://schemas.microsoft.com/office/drawing/2014/chart" uri="{C3380CC4-5D6E-409C-BE32-E72D297353CC}">
              <c16:uniqueId val="{00000000-1628-4453-8839-4420E1320302}"/>
            </c:ext>
          </c:extLst>
        </c:ser>
        <c:ser>
          <c:idx val="1"/>
          <c:order val="1"/>
          <c:tx>
            <c:strRef>
              <c:f>'naftas produkti'!$C$15</c:f>
              <c:strCache>
                <c:ptCount val="1"/>
                <c:pt idx="0">
                  <c:v>Dīzeļdegviela</c:v>
                </c:pt>
              </c:strCache>
            </c:strRef>
          </c:tx>
          <c:spPr>
            <a:solidFill>
              <a:schemeClr val="tx1">
                <a:lumMod val="50000"/>
                <a:lumOff val="50000"/>
              </a:schemeClr>
            </a:solidFill>
          </c:spPr>
          <c:invertIfNegative val="0"/>
          <c:cat>
            <c:numRef>
              <c:f>'naftas produkti'!$D$13:$F$13</c:f>
              <c:numCache>
                <c:formatCode>General</c:formatCode>
                <c:ptCount val="3"/>
                <c:pt idx="0">
                  <c:v>2016</c:v>
                </c:pt>
                <c:pt idx="1">
                  <c:v>2017</c:v>
                </c:pt>
                <c:pt idx="2">
                  <c:v>2018</c:v>
                </c:pt>
              </c:numCache>
            </c:numRef>
          </c:cat>
          <c:val>
            <c:numRef>
              <c:f>'naftas produkti'!$D$15:$F$15</c:f>
              <c:numCache>
                <c:formatCode>_-* #\ ##0_-;\-* #\ ##0_-;_-* "-"??_-;_-@_-</c:formatCode>
                <c:ptCount val="3"/>
                <c:pt idx="0">
                  <c:v>944846</c:v>
                </c:pt>
                <c:pt idx="1">
                  <c:v>1009897</c:v>
                </c:pt>
                <c:pt idx="2">
                  <c:v>1052367</c:v>
                </c:pt>
              </c:numCache>
            </c:numRef>
          </c:val>
          <c:extLst>
            <c:ext xmlns:c16="http://schemas.microsoft.com/office/drawing/2014/chart" uri="{C3380CC4-5D6E-409C-BE32-E72D297353CC}">
              <c16:uniqueId val="{00000001-1628-4453-8839-4420E1320302}"/>
            </c:ext>
          </c:extLst>
        </c:ser>
        <c:ser>
          <c:idx val="2"/>
          <c:order val="2"/>
          <c:tx>
            <c:strRef>
              <c:f>'naftas produkti'!$C$16</c:f>
              <c:strCache>
                <c:ptCount val="1"/>
                <c:pt idx="0">
                  <c:v>Sašķidrinātā naftas gāze</c:v>
                </c:pt>
              </c:strCache>
            </c:strRef>
          </c:tx>
          <c:spPr>
            <a:solidFill>
              <a:schemeClr val="bg1">
                <a:lumMod val="75000"/>
              </a:schemeClr>
            </a:solidFill>
          </c:spPr>
          <c:invertIfNegative val="0"/>
          <c:cat>
            <c:numRef>
              <c:f>'naftas produkti'!$D$13:$F$13</c:f>
              <c:numCache>
                <c:formatCode>General</c:formatCode>
                <c:ptCount val="3"/>
                <c:pt idx="0">
                  <c:v>2016</c:v>
                </c:pt>
                <c:pt idx="1">
                  <c:v>2017</c:v>
                </c:pt>
                <c:pt idx="2">
                  <c:v>2018</c:v>
                </c:pt>
              </c:numCache>
            </c:numRef>
          </c:cat>
          <c:val>
            <c:numRef>
              <c:f>'naftas produkti'!$D$16:$F$16</c:f>
              <c:numCache>
                <c:formatCode>_-* #\ ##0_-;\-* #\ ##0_-;_-* "-"??_-;_-@_-</c:formatCode>
                <c:ptCount val="3"/>
                <c:pt idx="0">
                  <c:v>56129</c:v>
                </c:pt>
                <c:pt idx="1">
                  <c:v>52823</c:v>
                </c:pt>
                <c:pt idx="2">
                  <c:v>49853</c:v>
                </c:pt>
              </c:numCache>
            </c:numRef>
          </c:val>
          <c:extLst>
            <c:ext xmlns:c16="http://schemas.microsoft.com/office/drawing/2014/chart" uri="{C3380CC4-5D6E-409C-BE32-E72D297353CC}">
              <c16:uniqueId val="{00000002-1628-4453-8839-4420E1320302}"/>
            </c:ext>
          </c:extLst>
        </c:ser>
        <c:dLbls>
          <c:showLegendKey val="0"/>
          <c:showVal val="0"/>
          <c:showCatName val="0"/>
          <c:showSerName val="0"/>
          <c:showPercent val="0"/>
          <c:showBubbleSize val="0"/>
        </c:dLbls>
        <c:gapWidth val="150"/>
        <c:axId val="263288056"/>
        <c:axId val="263288448"/>
      </c:barChart>
      <c:catAx>
        <c:axId val="263288056"/>
        <c:scaling>
          <c:orientation val="minMax"/>
        </c:scaling>
        <c:delete val="0"/>
        <c:axPos val="b"/>
        <c:numFmt formatCode="General" sourceLinked="1"/>
        <c:majorTickMark val="out"/>
        <c:minorTickMark val="none"/>
        <c:tickLblPos val="nextTo"/>
        <c:crossAx val="263288448"/>
        <c:crosses val="autoZero"/>
        <c:auto val="1"/>
        <c:lblAlgn val="ctr"/>
        <c:lblOffset val="100"/>
        <c:noMultiLvlLbl val="0"/>
      </c:catAx>
      <c:valAx>
        <c:axId val="263288448"/>
        <c:scaling>
          <c:orientation val="minMax"/>
        </c:scaling>
        <c:delete val="0"/>
        <c:axPos val="l"/>
        <c:majorGridlines/>
        <c:numFmt formatCode="_-* #\ ##0_-;\-* #\ ##0_-;_-* &quot;-&quot;??_-;_-@_-" sourceLinked="1"/>
        <c:majorTickMark val="out"/>
        <c:minorTickMark val="none"/>
        <c:tickLblPos val="nextTo"/>
        <c:crossAx val="26328805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alkohols!$E$18</c:f>
              <c:strCache>
                <c:ptCount val="1"/>
                <c:pt idx="0">
                  <c:v>Vīni un raudzētie dzērieni</c:v>
                </c:pt>
              </c:strCache>
            </c:strRef>
          </c:tx>
          <c:spPr>
            <a:solidFill>
              <a:schemeClr val="bg1">
                <a:lumMod val="50000"/>
              </a:schemeClr>
            </a:solidFill>
            <a:ln>
              <a:noFill/>
            </a:ln>
            <a:effectLst/>
          </c:spPr>
          <c:invertIfNegative val="0"/>
          <c:cat>
            <c:numRef>
              <c:f>alkohols!$F$17:$H$17</c:f>
              <c:numCache>
                <c:formatCode>General</c:formatCode>
                <c:ptCount val="3"/>
                <c:pt idx="0">
                  <c:v>2016</c:v>
                </c:pt>
                <c:pt idx="1">
                  <c:v>2017</c:v>
                </c:pt>
                <c:pt idx="2">
                  <c:v>2018</c:v>
                </c:pt>
              </c:numCache>
            </c:numRef>
          </c:cat>
          <c:val>
            <c:numRef>
              <c:f>alkohols!$F$18:$H$18</c:f>
              <c:numCache>
                <c:formatCode>#,##0</c:formatCode>
                <c:ptCount val="3"/>
                <c:pt idx="0">
                  <c:v>2270497.1780000003</c:v>
                </c:pt>
                <c:pt idx="1">
                  <c:v>2490378.6425999999</c:v>
                </c:pt>
                <c:pt idx="2">
                  <c:v>2975651.3889999995</c:v>
                </c:pt>
              </c:numCache>
            </c:numRef>
          </c:val>
          <c:extLst>
            <c:ext xmlns:c16="http://schemas.microsoft.com/office/drawing/2014/chart" uri="{C3380CC4-5D6E-409C-BE32-E72D297353CC}">
              <c16:uniqueId val="{00000000-2161-49D4-B021-0BB206D27DE9}"/>
            </c:ext>
          </c:extLst>
        </c:ser>
        <c:ser>
          <c:idx val="1"/>
          <c:order val="1"/>
          <c:tx>
            <c:strRef>
              <c:f>alkohols!$E$19</c:f>
              <c:strCache>
                <c:ptCount val="1"/>
                <c:pt idx="0">
                  <c:v>Degvīns, brendijs, viskijs, konjaks u.c. stiprie dzērieni</c:v>
                </c:pt>
              </c:strCache>
            </c:strRef>
          </c:tx>
          <c:spPr>
            <a:solidFill>
              <a:schemeClr val="tx1">
                <a:lumMod val="65000"/>
                <a:lumOff val="35000"/>
              </a:schemeClr>
            </a:solidFill>
            <a:ln>
              <a:noFill/>
            </a:ln>
            <a:effectLst/>
          </c:spPr>
          <c:invertIfNegative val="0"/>
          <c:cat>
            <c:numRef>
              <c:f>alkohols!$F$17:$H$17</c:f>
              <c:numCache>
                <c:formatCode>General</c:formatCode>
                <c:ptCount val="3"/>
                <c:pt idx="0">
                  <c:v>2016</c:v>
                </c:pt>
                <c:pt idx="1">
                  <c:v>2017</c:v>
                </c:pt>
                <c:pt idx="2">
                  <c:v>2018</c:v>
                </c:pt>
              </c:numCache>
            </c:numRef>
          </c:cat>
          <c:val>
            <c:numRef>
              <c:f>alkohols!$F$19:$H$19</c:f>
              <c:numCache>
                <c:formatCode>#,##0</c:formatCode>
                <c:ptCount val="3"/>
                <c:pt idx="0">
                  <c:v>2647219.8080000002</c:v>
                </c:pt>
                <c:pt idx="1">
                  <c:v>2980927.6124</c:v>
                </c:pt>
                <c:pt idx="2">
                  <c:v>2888007.3559999997</c:v>
                </c:pt>
              </c:numCache>
            </c:numRef>
          </c:val>
          <c:extLst>
            <c:ext xmlns:c16="http://schemas.microsoft.com/office/drawing/2014/chart" uri="{C3380CC4-5D6E-409C-BE32-E72D297353CC}">
              <c16:uniqueId val="{00000001-2161-49D4-B021-0BB206D27DE9}"/>
            </c:ext>
          </c:extLst>
        </c:ser>
        <c:ser>
          <c:idx val="2"/>
          <c:order val="2"/>
          <c:tx>
            <c:strRef>
              <c:f>alkohols!$E$20</c:f>
              <c:strCache>
                <c:ptCount val="1"/>
                <c:pt idx="0">
                  <c:v>Starpprodukti</c:v>
                </c:pt>
              </c:strCache>
            </c:strRef>
          </c:tx>
          <c:spPr>
            <a:solidFill>
              <a:schemeClr val="bg1">
                <a:lumMod val="75000"/>
              </a:schemeClr>
            </a:solidFill>
            <a:ln>
              <a:noFill/>
            </a:ln>
            <a:effectLst/>
          </c:spPr>
          <c:invertIfNegative val="0"/>
          <c:cat>
            <c:numRef>
              <c:f>alkohols!$F$17:$H$17</c:f>
              <c:numCache>
                <c:formatCode>General</c:formatCode>
                <c:ptCount val="3"/>
                <c:pt idx="0">
                  <c:v>2016</c:v>
                </c:pt>
                <c:pt idx="1">
                  <c:v>2017</c:v>
                </c:pt>
                <c:pt idx="2">
                  <c:v>2018</c:v>
                </c:pt>
              </c:numCache>
            </c:numRef>
          </c:cat>
          <c:val>
            <c:numRef>
              <c:f>alkohols!$F$20:$H$20</c:f>
              <c:numCache>
                <c:formatCode>#,##0</c:formatCode>
                <c:ptCount val="3"/>
                <c:pt idx="0">
                  <c:v>478026.33499999996</c:v>
                </c:pt>
                <c:pt idx="1">
                  <c:v>532627.47899999993</c:v>
                </c:pt>
                <c:pt idx="2">
                  <c:v>855692.45100000012</c:v>
                </c:pt>
              </c:numCache>
            </c:numRef>
          </c:val>
          <c:extLst>
            <c:ext xmlns:c16="http://schemas.microsoft.com/office/drawing/2014/chart" uri="{C3380CC4-5D6E-409C-BE32-E72D297353CC}">
              <c16:uniqueId val="{00000002-2161-49D4-B021-0BB206D27DE9}"/>
            </c:ext>
          </c:extLst>
        </c:ser>
        <c:dLbls>
          <c:showLegendKey val="0"/>
          <c:showVal val="0"/>
          <c:showCatName val="0"/>
          <c:showSerName val="0"/>
          <c:showPercent val="0"/>
          <c:showBubbleSize val="0"/>
        </c:dLbls>
        <c:gapWidth val="219"/>
        <c:overlap val="-27"/>
        <c:axId val="497914280"/>
        <c:axId val="497914672"/>
      </c:barChart>
      <c:catAx>
        <c:axId val="49791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7914672"/>
        <c:crosses val="autoZero"/>
        <c:auto val="1"/>
        <c:lblAlgn val="ctr"/>
        <c:lblOffset val="100"/>
        <c:noMultiLvlLbl val="0"/>
      </c:catAx>
      <c:valAx>
        <c:axId val="497914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79142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2A97-4AC2-BED3-B9D79B27B5E6}"/>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2A97-4AC2-BED3-B9D79B27B5E6}"/>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2A97-4AC2-BED3-B9D79B27B5E6}"/>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2A97-4AC2-BED3-B9D79B27B5E6}"/>
              </c:ext>
            </c:extLst>
          </c:dPt>
          <c:dLbls>
            <c:dLbl>
              <c:idx val="2"/>
              <c:layout>
                <c:manualLayout>
                  <c:x val="-1.3425822331617812E-2"/>
                  <c:y val="6.155303030303030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2A97-4AC2-BED3-B9D79B27B5E6}"/>
                </c:ext>
              </c:extLst>
            </c:dLbl>
            <c:dLbl>
              <c:idx val="3"/>
              <c:layout>
                <c:manualLayout>
                  <c:x val="0.17403574581147815"/>
                  <c:y val="1.3365694345025055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fld id="{8A1902FD-162F-46B4-A329-422B47EF7B21}" type="CATEGORYNAME">
                      <a:rPr lang="lv-LV"/>
                      <a:pPr>
                        <a:defRPr sz="1000"/>
                      </a:pPr>
                      <a:t>[CATEGORY NAME]</a:t>
                    </a:fld>
                    <a:r>
                      <a:rPr lang="lv-LV" baseline="0"/>
                      <a:t> </a:t>
                    </a:r>
                    <a:fld id="{C78969E0-50B4-45FE-9C45-F8592F7C3A1F}" type="PERCENTAGE">
                      <a:rPr lang="lv-LV" baseline="0"/>
                      <a:pPr>
                        <a:defRPr sz="1000"/>
                      </a:pPr>
                      <a:t>[PERCENTAGE]</a:t>
                    </a:fld>
                    <a:endParaRPr lang="lv-LV" baseline="0"/>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49837762503898236"/>
                      <c:h val="9.76090879265092E-2"/>
                    </c:manualLayout>
                  </c15:layout>
                  <c15:dlblFieldTable/>
                  <c15:showDataLabelsRange val="0"/>
                </c:ext>
                <c:ext xmlns:c16="http://schemas.microsoft.com/office/drawing/2014/chart" uri="{C3380CC4-5D6E-409C-BE32-E72D297353CC}">
                  <c16:uniqueId val="{00000007-2A97-4AC2-BED3-B9D79B27B5E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layout/>
              </c:ext>
            </c:extLst>
          </c:dLbls>
          <c:cat>
            <c:strRef>
              <c:f>Sheet1!$C$7:$C$10</c:f>
              <c:strCache>
                <c:ptCount val="4"/>
                <c:pt idx="0">
                  <c:v>Ieņēmumi no uzņēmējdarbības un īpašuma</c:v>
                </c:pt>
                <c:pt idx="1">
                  <c:v>Naudas sodi un sankcijas</c:v>
                </c:pt>
                <c:pt idx="2">
                  <c:v>Valsts (pašvaldību) nodevas un kancelejas nodevas</c:v>
                </c:pt>
                <c:pt idx="3">
                  <c:v>Pārējie nenodokļu ieņēmumi</c:v>
                </c:pt>
              </c:strCache>
            </c:strRef>
          </c:cat>
          <c:val>
            <c:numRef>
              <c:f>Sheet1!$D$7:$D$10</c:f>
              <c:numCache>
                <c:formatCode>0.00</c:formatCode>
                <c:ptCount val="4"/>
                <c:pt idx="0">
                  <c:v>406.82490722</c:v>
                </c:pt>
                <c:pt idx="1">
                  <c:v>32.029266630000002</c:v>
                </c:pt>
                <c:pt idx="2">
                  <c:v>144.76248024</c:v>
                </c:pt>
                <c:pt idx="3">
                  <c:v>27.563396539999996</c:v>
                </c:pt>
              </c:numCache>
            </c:numRef>
          </c:val>
          <c:extLst>
            <c:ext xmlns:c16="http://schemas.microsoft.com/office/drawing/2014/chart" uri="{C3380CC4-5D6E-409C-BE32-E72D297353CC}">
              <c16:uniqueId val="{00000008-2A97-4AC2-BED3-B9D79B27B5E6}"/>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Sheet1!$D$6</c:f>
              <c:strCache>
                <c:ptCount val="1"/>
                <c:pt idx="0">
                  <c:v>Izpilde 2018</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Sheet1!$C$7:$C$10</c:f>
              <c:strCache>
                <c:ptCount val="4"/>
                <c:pt idx="0">
                  <c:v>Ieņēmumi no uzņēmējdarbības un īpašuma</c:v>
                </c:pt>
                <c:pt idx="1">
                  <c:v>Naudas sodi un sankcijas</c:v>
                </c:pt>
                <c:pt idx="2">
                  <c:v>Valsts (pašvaldību) nodevas un kancelejas nodevas</c:v>
                </c:pt>
                <c:pt idx="3">
                  <c:v>Pārējie nenodokļu ieņēmumi</c:v>
                </c:pt>
              </c:strCache>
            </c:strRef>
          </c:cat>
          <c:val>
            <c:numRef>
              <c:f>Sheet1!$D$7:$D$10</c:f>
              <c:numCache>
                <c:formatCode>0.00</c:formatCode>
                <c:ptCount val="4"/>
                <c:pt idx="0">
                  <c:v>406.82490722</c:v>
                </c:pt>
                <c:pt idx="1">
                  <c:v>32.029266630000002</c:v>
                </c:pt>
                <c:pt idx="2">
                  <c:v>144.76248024</c:v>
                </c:pt>
                <c:pt idx="3">
                  <c:v>27.563396539999996</c:v>
                </c:pt>
              </c:numCache>
            </c:numRef>
          </c:val>
          <c:extLst>
            <c:ext xmlns:c16="http://schemas.microsoft.com/office/drawing/2014/chart" uri="{C3380CC4-5D6E-409C-BE32-E72D297353CC}">
              <c16:uniqueId val="{00000000-4E14-4BEB-9CCA-69DA92B97D96}"/>
            </c:ext>
          </c:extLst>
        </c:ser>
        <c:ser>
          <c:idx val="1"/>
          <c:order val="1"/>
          <c:tx>
            <c:strRef>
              <c:f>Sheet1!$E$6</c:f>
              <c:strCache>
                <c:ptCount val="1"/>
                <c:pt idx="0">
                  <c:v>Plāns 2019</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Sheet1!$C$7:$C$10</c:f>
              <c:strCache>
                <c:ptCount val="4"/>
                <c:pt idx="0">
                  <c:v>Ieņēmumi no uzņēmējdarbības un īpašuma</c:v>
                </c:pt>
                <c:pt idx="1">
                  <c:v>Naudas sodi un sankcijas</c:v>
                </c:pt>
                <c:pt idx="2">
                  <c:v>Valsts (pašvaldību) nodevas un kancelejas nodevas</c:v>
                </c:pt>
                <c:pt idx="3">
                  <c:v>Pārējie nenodokļu ieņēmumi</c:v>
                </c:pt>
              </c:strCache>
            </c:strRef>
          </c:cat>
          <c:val>
            <c:numRef>
              <c:f>Sheet1!$E$7:$E$10</c:f>
              <c:numCache>
                <c:formatCode>0.00</c:formatCode>
                <c:ptCount val="4"/>
                <c:pt idx="0">
                  <c:v>249.681039</c:v>
                </c:pt>
                <c:pt idx="1">
                  <c:v>40.875926</c:v>
                </c:pt>
                <c:pt idx="2">
                  <c:v>158.90767600000001</c:v>
                </c:pt>
                <c:pt idx="3">
                  <c:v>34.394674999999999</c:v>
                </c:pt>
              </c:numCache>
            </c:numRef>
          </c:val>
          <c:extLst>
            <c:ext xmlns:c16="http://schemas.microsoft.com/office/drawing/2014/chart" uri="{C3380CC4-5D6E-409C-BE32-E72D297353CC}">
              <c16:uniqueId val="{00000001-4E14-4BEB-9CCA-69DA92B97D96}"/>
            </c:ext>
          </c:extLst>
        </c:ser>
        <c:dLbls>
          <c:showLegendKey val="0"/>
          <c:showVal val="0"/>
          <c:showCatName val="0"/>
          <c:showSerName val="0"/>
          <c:showPercent val="0"/>
          <c:showBubbleSize val="0"/>
        </c:dLbls>
        <c:gapWidth val="182"/>
        <c:axId val="1532269120"/>
        <c:axId val="1532275360"/>
      </c:barChart>
      <c:catAx>
        <c:axId val="1532269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32275360"/>
        <c:crosses val="autoZero"/>
        <c:auto val="1"/>
        <c:lblAlgn val="ctr"/>
        <c:lblOffset val="100"/>
        <c:noMultiLvlLbl val="0"/>
      </c:catAx>
      <c:valAx>
        <c:axId val="1532275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32269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F590C-2EF9-4E98-ACC9-A4EDD717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33</Pages>
  <Words>9978</Words>
  <Characters>67099</Characters>
  <Application>Microsoft Office Word</Application>
  <DocSecurity>0</DocSecurity>
  <Lines>559</Lines>
  <Paragraphs>153</Paragraphs>
  <ScaleCrop>false</ScaleCrop>
  <HeadingPairs>
    <vt:vector size="2" baseType="variant">
      <vt:variant>
        <vt:lpstr>Title</vt:lpstr>
      </vt:variant>
      <vt:variant>
        <vt:i4>1</vt:i4>
      </vt:variant>
    </vt:vector>
  </HeadingPairs>
  <TitlesOfParts>
    <vt:vector size="1" baseType="lpstr">
      <vt:lpstr>Likuma "Par valsts budžetu 2019.gadam" paskaidrojumi. 3. nodaļa Ieņēmumu analīze</vt:lpstr>
    </vt:vector>
  </TitlesOfParts>
  <Company>Finanšu ministrija</Company>
  <LinksUpToDate>false</LinksUpToDate>
  <CharactersWithSpaces>76924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3. nodaļa Ieņēmumu analīze</dc:title>
  <dc:subject>paskaidrojuma raksts</dc:subject>
  <dc:creator>Krista Belija</dc:creator>
  <dc:description>67095625, krista.belija@fm.gov.lv</dc:description>
  <cp:lastModifiedBy>Aija Freiberga</cp:lastModifiedBy>
  <cp:revision>11</cp:revision>
  <cp:lastPrinted>2019-04-23T12:17:00Z</cp:lastPrinted>
  <dcterms:created xsi:type="dcterms:W3CDTF">2019-05-07T11:49:00Z</dcterms:created>
  <dcterms:modified xsi:type="dcterms:W3CDTF">2019-05-10T07:28:00Z</dcterms:modified>
</cp:coreProperties>
</file>