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2BA" w:rsidRPr="004E2527" w:rsidRDefault="001B73EC" w:rsidP="004E2527">
      <w:pPr>
        <w:pStyle w:val="Heading1"/>
        <w:numPr>
          <w:ilvl w:val="0"/>
          <w:numId w:val="17"/>
        </w:numPr>
        <w:spacing w:before="0" w:after="120"/>
        <w:jc w:val="center"/>
        <w:rPr>
          <w:rFonts w:ascii="Times New Roman" w:hAnsi="Times New Roman" w:cs="Times New Roman"/>
          <w:b/>
          <w:color w:val="auto"/>
          <w:sz w:val="44"/>
          <w:szCs w:val="44"/>
        </w:rPr>
      </w:pPr>
      <w:bookmarkStart w:id="0" w:name="_Toc403038744"/>
      <w:bookmarkStart w:id="1" w:name="_Toc403115883"/>
      <w:r w:rsidRPr="001B73EC">
        <w:rPr>
          <w:rFonts w:ascii="Times New Roman" w:hAnsi="Times New Roman" w:cs="Times New Roman"/>
          <w:b/>
          <w:color w:val="auto"/>
          <w:sz w:val="44"/>
          <w:szCs w:val="44"/>
        </w:rPr>
        <w:t>Fiskālais apskats</w:t>
      </w:r>
    </w:p>
    <w:bookmarkEnd w:id="0"/>
    <w:bookmarkEnd w:id="1"/>
    <w:p w:rsidR="00BC1FD1" w:rsidRPr="00D20C53" w:rsidRDefault="00D20C53" w:rsidP="00D20C53">
      <w:pPr>
        <w:pStyle w:val="Heading2"/>
        <w:numPr>
          <w:ilvl w:val="1"/>
          <w:numId w:val="17"/>
        </w:numPr>
        <w:spacing w:before="240" w:after="240"/>
        <w:jc w:val="center"/>
        <w:rPr>
          <w:rFonts w:ascii="Times New Roman" w:hAnsi="Times New Roman" w:cs="Times New Roman"/>
          <w:b/>
          <w:color w:val="auto"/>
          <w:sz w:val="36"/>
          <w:szCs w:val="36"/>
        </w:rPr>
      </w:pPr>
      <w:r>
        <w:rPr>
          <w:rFonts w:ascii="Times New Roman" w:hAnsi="Times New Roman" w:cs="Times New Roman"/>
          <w:b/>
          <w:color w:val="auto"/>
          <w:sz w:val="36"/>
          <w:szCs w:val="36"/>
        </w:rPr>
        <w:t>Fiskālā politika un vidēja termiņa budžeta mērķi</w:t>
      </w:r>
    </w:p>
    <w:p w:rsidR="00D20C53" w:rsidRPr="00F70898" w:rsidRDefault="00D20C53" w:rsidP="00D20C53">
      <w:pPr>
        <w:rPr>
          <w:rFonts w:eastAsia="Calibri"/>
          <w:color w:val="000000" w:themeColor="text1"/>
        </w:rPr>
      </w:pPr>
      <w:r w:rsidRPr="00F70898">
        <w:rPr>
          <w:rFonts w:eastAsia="Calibri"/>
          <w:color w:val="000000" w:themeColor="text1"/>
        </w:rPr>
        <w:t xml:space="preserve">Latvijas fiskālās politikas </w:t>
      </w:r>
      <w:r w:rsidRPr="00F70898">
        <w:rPr>
          <w:rFonts w:eastAsia="Calibri"/>
          <w:b/>
          <w:color w:val="000000" w:themeColor="text1"/>
        </w:rPr>
        <w:t>vispārējais mērķis</w:t>
      </w:r>
      <w:r>
        <w:rPr>
          <w:rFonts w:eastAsia="Calibri"/>
          <w:b/>
          <w:color w:val="000000" w:themeColor="text1"/>
        </w:rPr>
        <w:t xml:space="preserve"> nav mainījies un joprojām</w:t>
      </w:r>
      <w:r w:rsidRPr="00F70898">
        <w:rPr>
          <w:rFonts w:eastAsia="Calibri"/>
          <w:color w:val="000000" w:themeColor="text1"/>
        </w:rPr>
        <w:t xml:space="preserve"> </w:t>
      </w:r>
      <w:r>
        <w:rPr>
          <w:rFonts w:eastAsia="Calibri"/>
          <w:color w:val="000000" w:themeColor="text1"/>
        </w:rPr>
        <w:t>paredz</w:t>
      </w:r>
      <w:r w:rsidRPr="00F70898">
        <w:rPr>
          <w:rFonts w:eastAsia="Calibri"/>
          <w:color w:val="000000" w:themeColor="text1"/>
        </w:rPr>
        <w:t xml:space="preserve"> </w:t>
      </w:r>
      <w:r w:rsidRPr="00F70898">
        <w:rPr>
          <w:rFonts w:eastAsia="Calibri"/>
          <w:color w:val="000000" w:themeColor="text1"/>
          <w:u w:val="single"/>
        </w:rPr>
        <w:t>ilgtspējīgi kāpināt iedzīvotāju dzīves kvalitāti</w:t>
      </w:r>
      <w:r w:rsidRPr="00F70898">
        <w:rPr>
          <w:rFonts w:eastAsia="Calibri"/>
          <w:color w:val="000000" w:themeColor="text1"/>
        </w:rPr>
        <w:t>. Latvijas fiskālās politikas īstenošanas rīks ir vidēja termiņa budžeta ietvars</w:t>
      </w:r>
      <w:r>
        <w:rPr>
          <w:rFonts w:eastAsia="Calibri"/>
          <w:color w:val="000000" w:themeColor="text1"/>
        </w:rPr>
        <w:t xml:space="preserve"> (turpmāk – Ietvars)</w:t>
      </w:r>
      <w:r w:rsidRPr="00F70898">
        <w:rPr>
          <w:rFonts w:eastAsia="Calibri"/>
          <w:color w:val="000000" w:themeColor="text1"/>
        </w:rPr>
        <w:t>. Tas īsteno gan Latvijas fiskālās politikas vispārējo mērķi, gan specifiskos mērķus, jeb vidēja termiņa budžeta politikas pr</w:t>
      </w:r>
      <w:r>
        <w:rPr>
          <w:rFonts w:eastAsia="Calibri"/>
          <w:color w:val="000000" w:themeColor="text1"/>
        </w:rPr>
        <w:t>ioritāros attīstības virzienus.</w:t>
      </w:r>
    </w:p>
    <w:p w:rsidR="00D20C53" w:rsidRPr="00F70898" w:rsidRDefault="00D20C53" w:rsidP="00D20C53">
      <w:pPr>
        <w:rPr>
          <w:rFonts w:eastAsia="Calibri"/>
          <w:color w:val="000000" w:themeColor="text1"/>
        </w:rPr>
      </w:pPr>
      <w:r w:rsidRPr="00F70898">
        <w:rPr>
          <w:rFonts w:eastAsia="Calibri"/>
          <w:color w:val="000000" w:themeColor="text1"/>
        </w:rPr>
        <w:t>Sakarā ar 2018.gada 6.oktobrī notikušajām Saeimas vēlēšanām, jaunā valdība tika apstiprināta</w:t>
      </w:r>
      <w:r>
        <w:rPr>
          <w:rFonts w:eastAsia="Calibri"/>
          <w:color w:val="000000" w:themeColor="text1"/>
        </w:rPr>
        <w:t xml:space="preserve"> </w:t>
      </w:r>
      <w:r w:rsidRPr="00F70898">
        <w:rPr>
          <w:rFonts w:eastAsia="Calibri"/>
          <w:color w:val="000000" w:themeColor="text1"/>
        </w:rPr>
        <w:t xml:space="preserve">2019.gada 23.janvārī. Ņemot vērā, ka valdība netika izveidota līdz 2018.gada beigām un nebija izstrādāts 2019.gada valsts budžeta likums, saskaņā ar pastāvošajām tiesību normām, Finanšu ministrs apstiprināja valsts darbībai 2019.gadā nepieciešamos valsts budžeta izdevumus, </w:t>
      </w:r>
      <w:r>
        <w:rPr>
          <w:rFonts w:eastAsia="Calibri"/>
          <w:color w:val="000000" w:themeColor="text1"/>
        </w:rPr>
        <w:t>aizdevumu un aizņēmumu limitus.</w:t>
      </w:r>
    </w:p>
    <w:p w:rsidR="00D20C53" w:rsidRPr="00F70898" w:rsidRDefault="00D20C53" w:rsidP="00D20C53">
      <w:pPr>
        <w:rPr>
          <w:rFonts w:eastAsia="Calibri"/>
          <w:color w:val="000000" w:themeColor="text1"/>
        </w:rPr>
      </w:pPr>
      <w:r w:rsidRPr="00F70898">
        <w:rPr>
          <w:rFonts w:eastAsia="Calibri"/>
          <w:color w:val="000000" w:themeColor="text1"/>
        </w:rPr>
        <w:t>Lai gan valdība jau ir pieņēmu</w:t>
      </w:r>
      <w:r>
        <w:rPr>
          <w:rFonts w:eastAsia="Calibri"/>
          <w:color w:val="000000" w:themeColor="text1"/>
        </w:rPr>
        <w:t>s</w:t>
      </w:r>
      <w:r w:rsidRPr="00F70898">
        <w:rPr>
          <w:rFonts w:eastAsia="Calibri"/>
          <w:color w:val="000000" w:themeColor="text1"/>
        </w:rPr>
        <w:t xml:space="preserve">i </w:t>
      </w:r>
      <w:proofErr w:type="spellStart"/>
      <w:r w:rsidRPr="00F70898">
        <w:rPr>
          <w:rFonts w:eastAsia="Calibri"/>
          <w:color w:val="000000" w:themeColor="text1"/>
        </w:rPr>
        <w:t>diskrecionāros</w:t>
      </w:r>
      <w:proofErr w:type="spellEnd"/>
      <w:r w:rsidRPr="00F70898">
        <w:rPr>
          <w:rFonts w:eastAsia="Calibri"/>
          <w:color w:val="000000" w:themeColor="text1"/>
        </w:rPr>
        <w:t xml:space="preserve"> lēmumus par 2019.gada</w:t>
      </w:r>
      <w:r>
        <w:rPr>
          <w:rFonts w:eastAsia="Calibri"/>
          <w:color w:val="000000" w:themeColor="text1"/>
        </w:rPr>
        <w:t xml:space="preserve"> valsts</w:t>
      </w:r>
      <w:r w:rsidRPr="00F70898">
        <w:rPr>
          <w:rFonts w:eastAsia="Calibri"/>
          <w:color w:val="000000" w:themeColor="text1"/>
        </w:rPr>
        <w:t xml:space="preserve"> budžetā iekļaujamajiem ieņēmumu un izdevumu pasākumiem,</w:t>
      </w:r>
      <w:r>
        <w:rPr>
          <w:rFonts w:eastAsia="Calibri"/>
          <w:color w:val="000000" w:themeColor="text1"/>
        </w:rPr>
        <w:t xml:space="preserve"> valsts budžeta izstrāde</w:t>
      </w:r>
      <w:r w:rsidRPr="00F70898">
        <w:rPr>
          <w:rFonts w:eastAsia="Calibri"/>
          <w:color w:val="000000" w:themeColor="text1"/>
        </w:rPr>
        <w:t xml:space="preserve"> joprojām tehniski tiek turpināta</w:t>
      </w:r>
      <w:r>
        <w:rPr>
          <w:rFonts w:eastAsia="Calibri"/>
          <w:color w:val="000000" w:themeColor="text1"/>
        </w:rPr>
        <w:t xml:space="preserve"> un atbilstoši budžeta sagatavošanas laika grafikam pieņemšana Saeimā plānota š.g. aprīļa sākumā</w:t>
      </w:r>
      <w:r w:rsidRPr="005D6EFB">
        <w:rPr>
          <w:rFonts w:eastAsia="Calibri"/>
          <w:color w:val="000000" w:themeColor="text1"/>
        </w:rPr>
        <w:t>. Savukārt šī gada vasarā tiks uzsākts darbs jau pie n</w:t>
      </w:r>
      <w:r w:rsidRPr="00F70898">
        <w:rPr>
          <w:rFonts w:eastAsia="Calibri"/>
          <w:color w:val="000000" w:themeColor="text1"/>
        </w:rPr>
        <w:t>ākamā valsts budžeta likuma un</w:t>
      </w:r>
      <w:r>
        <w:rPr>
          <w:rFonts w:eastAsia="Calibri"/>
          <w:color w:val="000000" w:themeColor="text1"/>
        </w:rPr>
        <w:t xml:space="preserve"> I</w:t>
      </w:r>
      <w:r w:rsidRPr="00F70898">
        <w:rPr>
          <w:rFonts w:eastAsia="Calibri"/>
          <w:color w:val="000000" w:themeColor="text1"/>
        </w:rPr>
        <w:t>etvara likum</w:t>
      </w:r>
      <w:r>
        <w:rPr>
          <w:rFonts w:eastAsia="Calibri"/>
          <w:color w:val="000000" w:themeColor="text1"/>
        </w:rPr>
        <w:t>a</w:t>
      </w:r>
      <w:r w:rsidRPr="00F70898">
        <w:rPr>
          <w:rFonts w:eastAsia="Calibri"/>
          <w:color w:val="000000" w:themeColor="text1"/>
        </w:rPr>
        <w:t xml:space="preserve"> 2020.</w:t>
      </w:r>
      <w:r w:rsidRPr="005A1A19">
        <w:rPr>
          <w:rFonts w:eastAsia="Calibri"/>
          <w:color w:val="000000" w:themeColor="text1"/>
        </w:rPr>
        <w:t xml:space="preserve"> </w:t>
      </w:r>
      <w:r w:rsidRPr="00F70898">
        <w:rPr>
          <w:rFonts w:eastAsia="Calibri"/>
          <w:color w:val="000000" w:themeColor="text1"/>
        </w:rPr>
        <w:t>–</w:t>
      </w:r>
      <w:r>
        <w:rPr>
          <w:rFonts w:eastAsia="Calibri"/>
          <w:color w:val="000000" w:themeColor="text1"/>
        </w:rPr>
        <w:t xml:space="preserve"> </w:t>
      </w:r>
      <w:r w:rsidRPr="00F70898">
        <w:rPr>
          <w:rFonts w:eastAsia="Calibri"/>
          <w:color w:val="000000" w:themeColor="text1"/>
        </w:rPr>
        <w:t>2022.gadam izstrādes. Ņemot vērā šos apstākļus, valdība</w:t>
      </w:r>
      <w:r>
        <w:rPr>
          <w:rFonts w:eastAsia="Calibri"/>
          <w:color w:val="000000" w:themeColor="text1"/>
        </w:rPr>
        <w:t xml:space="preserve"> attiecīgi</w:t>
      </w:r>
      <w:r w:rsidRPr="00F70898">
        <w:rPr>
          <w:rFonts w:eastAsia="Calibri"/>
          <w:color w:val="000000" w:themeColor="text1"/>
        </w:rPr>
        <w:t xml:space="preserve"> pieņēma lēmumu</w:t>
      </w:r>
      <w:r>
        <w:rPr>
          <w:rFonts w:eastAsia="Calibri"/>
          <w:color w:val="000000" w:themeColor="text1"/>
        </w:rPr>
        <w:t>,</w:t>
      </w:r>
      <w:r w:rsidRPr="00F70898">
        <w:rPr>
          <w:rFonts w:eastAsia="Calibri"/>
          <w:color w:val="000000" w:themeColor="text1"/>
        </w:rPr>
        <w:t xml:space="preserve"> kopā ar 2019.gada</w:t>
      </w:r>
      <w:r>
        <w:rPr>
          <w:rFonts w:eastAsia="Calibri"/>
          <w:color w:val="000000" w:themeColor="text1"/>
        </w:rPr>
        <w:t xml:space="preserve"> valsts</w:t>
      </w:r>
      <w:r w:rsidRPr="00F70898">
        <w:rPr>
          <w:rFonts w:eastAsia="Calibri"/>
          <w:color w:val="000000" w:themeColor="text1"/>
        </w:rPr>
        <w:t xml:space="preserve"> budžeta likumprojektu</w:t>
      </w:r>
      <w:r>
        <w:rPr>
          <w:rFonts w:eastAsia="Calibri"/>
          <w:color w:val="000000" w:themeColor="text1"/>
        </w:rPr>
        <w:t>,</w:t>
      </w:r>
      <w:r w:rsidRPr="00F70898">
        <w:rPr>
          <w:rFonts w:eastAsia="Calibri"/>
          <w:color w:val="000000" w:themeColor="text1"/>
        </w:rPr>
        <w:t xml:space="preserve"> negatavot likumprojektu “Par vidēja termiņa</w:t>
      </w:r>
      <w:r>
        <w:rPr>
          <w:rFonts w:eastAsia="Calibri"/>
          <w:color w:val="000000" w:themeColor="text1"/>
        </w:rPr>
        <w:t xml:space="preserve"> budžeta</w:t>
      </w:r>
      <w:r w:rsidRPr="00F70898">
        <w:rPr>
          <w:rFonts w:eastAsia="Calibri"/>
          <w:color w:val="000000" w:themeColor="text1"/>
        </w:rPr>
        <w:t xml:space="preserve"> ietvaru 2019., 2020. un 2021.gadam”. </w:t>
      </w:r>
      <w:r>
        <w:rPr>
          <w:rFonts w:eastAsia="Calibri"/>
          <w:color w:val="000000" w:themeColor="text1"/>
        </w:rPr>
        <w:t xml:space="preserve">Tādējādi </w:t>
      </w:r>
      <w:r w:rsidRPr="00F70898">
        <w:rPr>
          <w:rFonts w:eastAsia="Calibri"/>
          <w:color w:val="000000" w:themeColor="text1"/>
        </w:rPr>
        <w:t xml:space="preserve">pašlaik spēkā ir likums “Par vidēja termiņa </w:t>
      </w:r>
      <w:r>
        <w:rPr>
          <w:rFonts w:eastAsia="Calibri"/>
          <w:color w:val="000000" w:themeColor="text1"/>
        </w:rPr>
        <w:t xml:space="preserve">budžeta </w:t>
      </w:r>
      <w:r w:rsidRPr="00F70898">
        <w:rPr>
          <w:rFonts w:eastAsia="Calibri"/>
          <w:color w:val="000000" w:themeColor="text1"/>
        </w:rPr>
        <w:t>ietvaru 2018., 2019. un 2020.gadam” un tajā noteiktais strukturālās bilances mērķis 2019.gadam.</w:t>
      </w:r>
    </w:p>
    <w:p w:rsidR="00D20C53" w:rsidRPr="00F70898" w:rsidRDefault="00D20C53" w:rsidP="00D20C53">
      <w:pPr>
        <w:rPr>
          <w:rFonts w:eastAsia="Calibri"/>
          <w:color w:val="000000" w:themeColor="text1"/>
        </w:rPr>
      </w:pPr>
      <w:r w:rsidRPr="00F70898">
        <w:rPr>
          <w:rFonts w:eastAsia="Calibri"/>
          <w:color w:val="000000" w:themeColor="text1"/>
        </w:rPr>
        <w:t xml:space="preserve">Tā kā pretēji līdzšinējai praksei kopā ar 2019.gada valsts budžeta likumu netiek izstrādāts </w:t>
      </w:r>
      <w:r>
        <w:rPr>
          <w:rFonts w:eastAsia="Calibri"/>
          <w:color w:val="000000" w:themeColor="text1"/>
        </w:rPr>
        <w:t>I</w:t>
      </w:r>
      <w:r w:rsidRPr="00F70898">
        <w:rPr>
          <w:rFonts w:eastAsia="Calibri"/>
          <w:color w:val="000000" w:themeColor="text1"/>
        </w:rPr>
        <w:t xml:space="preserve">etvara likums 2019.–2021.gadam, valdība nav specifiski definējusi atjaunotus vidēja termiņa budžeta politikas prioritāros attīstības virzienus. Vienlaikus, spēkā ir iepriekšējā Ietvara likumā definētā valdības politika: </w:t>
      </w:r>
    </w:p>
    <w:p w:rsidR="00D20C53" w:rsidRPr="00F70898" w:rsidRDefault="00D20C53" w:rsidP="00D20C53">
      <w:pPr>
        <w:pStyle w:val="ListParagraph"/>
        <w:numPr>
          <w:ilvl w:val="0"/>
          <w:numId w:val="22"/>
        </w:numPr>
        <w:ind w:hanging="513"/>
        <w:contextualSpacing w:val="0"/>
        <w:rPr>
          <w:color w:val="000000" w:themeColor="text1"/>
          <w:szCs w:val="24"/>
        </w:rPr>
      </w:pPr>
      <w:r>
        <w:rPr>
          <w:color w:val="000000" w:themeColor="text1"/>
          <w:szCs w:val="24"/>
        </w:rPr>
        <w:t>nodrošinā</w:t>
      </w:r>
      <w:r w:rsidRPr="00F70898">
        <w:rPr>
          <w:color w:val="000000" w:themeColor="text1"/>
          <w:szCs w:val="24"/>
        </w:rPr>
        <w:t xml:space="preserve">t valsts aizsardzības finansējumu pret IKP 2 procentu apmērā; </w:t>
      </w:r>
    </w:p>
    <w:p w:rsidR="00D20C53" w:rsidRPr="00F70898" w:rsidRDefault="00D20C53" w:rsidP="00D20C53">
      <w:pPr>
        <w:pStyle w:val="ListParagraph"/>
        <w:numPr>
          <w:ilvl w:val="0"/>
          <w:numId w:val="22"/>
        </w:numPr>
        <w:ind w:hanging="513"/>
        <w:contextualSpacing w:val="0"/>
        <w:rPr>
          <w:color w:val="000000" w:themeColor="text1"/>
          <w:szCs w:val="24"/>
        </w:rPr>
      </w:pPr>
      <w:r>
        <w:rPr>
          <w:color w:val="000000" w:themeColor="text1"/>
          <w:szCs w:val="24"/>
        </w:rPr>
        <w:t>ievies</w:t>
      </w:r>
      <w:r w:rsidRPr="00F70898">
        <w:rPr>
          <w:color w:val="000000" w:themeColor="text1"/>
          <w:szCs w:val="24"/>
        </w:rPr>
        <w:t xml:space="preserve">t nodokļu reformu; </w:t>
      </w:r>
    </w:p>
    <w:p w:rsidR="00D20C53" w:rsidRPr="00F70898" w:rsidRDefault="00D20C53" w:rsidP="00D20C53">
      <w:pPr>
        <w:pStyle w:val="ListParagraph"/>
        <w:numPr>
          <w:ilvl w:val="0"/>
          <w:numId w:val="22"/>
        </w:numPr>
        <w:ind w:hanging="513"/>
        <w:contextualSpacing w:val="0"/>
        <w:rPr>
          <w:color w:val="000000" w:themeColor="text1"/>
          <w:szCs w:val="24"/>
        </w:rPr>
      </w:pPr>
      <w:r>
        <w:rPr>
          <w:color w:val="000000" w:themeColor="text1"/>
          <w:szCs w:val="24"/>
        </w:rPr>
        <w:t>nodrošinā</w:t>
      </w:r>
      <w:r w:rsidRPr="00F70898">
        <w:rPr>
          <w:color w:val="000000" w:themeColor="text1"/>
          <w:szCs w:val="24"/>
        </w:rPr>
        <w:t xml:space="preserve">t finansējumu aizsardzībai, veselībai, demogrāfijai un autoceļu uzturēšanai; </w:t>
      </w:r>
    </w:p>
    <w:p w:rsidR="00D20C53" w:rsidRPr="00F70898" w:rsidRDefault="00D20C53" w:rsidP="00D20C53">
      <w:pPr>
        <w:pStyle w:val="ListParagraph"/>
        <w:numPr>
          <w:ilvl w:val="0"/>
          <w:numId w:val="22"/>
        </w:numPr>
        <w:ind w:hanging="513"/>
        <w:contextualSpacing w:val="0"/>
        <w:rPr>
          <w:color w:val="000000" w:themeColor="text1"/>
          <w:szCs w:val="24"/>
        </w:rPr>
      </w:pPr>
      <w:r w:rsidRPr="00F70898">
        <w:rPr>
          <w:color w:val="000000" w:themeColor="text1"/>
          <w:szCs w:val="24"/>
        </w:rPr>
        <w:t>virz</w:t>
      </w:r>
      <w:r>
        <w:rPr>
          <w:color w:val="000000" w:themeColor="text1"/>
          <w:szCs w:val="24"/>
        </w:rPr>
        <w:t>īties uz nodokļu ieņēmumu apjoma</w:t>
      </w:r>
      <w:r w:rsidRPr="00F70898">
        <w:rPr>
          <w:color w:val="000000" w:themeColor="text1"/>
          <w:szCs w:val="24"/>
        </w:rPr>
        <w:t xml:space="preserve"> pret IKP pakāpenisku palielināšanu līdz 1/3 no IKP, pamatā uzlabojot nodokļu </w:t>
      </w:r>
      <w:proofErr w:type="spellStart"/>
      <w:r w:rsidRPr="00F70898">
        <w:rPr>
          <w:color w:val="000000" w:themeColor="text1"/>
          <w:szCs w:val="24"/>
        </w:rPr>
        <w:t>iekasējamību</w:t>
      </w:r>
      <w:proofErr w:type="spellEnd"/>
      <w:r w:rsidRPr="00F70898">
        <w:rPr>
          <w:color w:val="000000" w:themeColor="text1"/>
          <w:szCs w:val="24"/>
        </w:rPr>
        <w:t xml:space="preserve">. </w:t>
      </w:r>
    </w:p>
    <w:p w:rsidR="00D20C53" w:rsidRPr="001F61A9" w:rsidRDefault="00D20C53" w:rsidP="001952BA">
      <w:pPr>
        <w:spacing w:after="0"/>
        <w:rPr>
          <w:color w:val="000000" w:themeColor="text1"/>
        </w:rPr>
      </w:pPr>
      <w:r>
        <w:rPr>
          <w:color w:val="000000" w:themeColor="text1"/>
        </w:rPr>
        <w:t xml:space="preserve">Jāatzīmē, ka </w:t>
      </w:r>
      <w:r w:rsidRPr="001B199D">
        <w:rPr>
          <w:color w:val="000000" w:themeColor="text1"/>
        </w:rPr>
        <w:t>2019.gada</w:t>
      </w:r>
      <w:r>
        <w:rPr>
          <w:color w:val="000000" w:themeColor="text1"/>
        </w:rPr>
        <w:t xml:space="preserve"> valsts</w:t>
      </w:r>
      <w:r w:rsidRPr="001B199D">
        <w:rPr>
          <w:color w:val="000000" w:themeColor="text1"/>
        </w:rPr>
        <w:t xml:space="preserve"> budžeta izstrāde tika uzsākta ar negatīvu fiskālo telpu -</w:t>
      </w:r>
      <w:r>
        <w:rPr>
          <w:color w:val="000000" w:themeColor="text1"/>
        </w:rPr>
        <w:t> </w:t>
      </w:r>
      <w:r w:rsidRPr="001B199D">
        <w:rPr>
          <w:color w:val="000000" w:themeColor="text1"/>
        </w:rPr>
        <w:t>34,0</w:t>
      </w:r>
      <w:r>
        <w:rPr>
          <w:color w:val="000000" w:themeColor="text1"/>
        </w:rPr>
        <w:t> </w:t>
      </w:r>
      <w:r w:rsidRPr="001B199D">
        <w:rPr>
          <w:color w:val="000000" w:themeColor="text1"/>
        </w:rPr>
        <w:t>milj.</w:t>
      </w:r>
      <w:r>
        <w:rPr>
          <w:color w:val="000000" w:themeColor="text1"/>
        </w:rPr>
        <w:t> </w:t>
      </w:r>
      <w:proofErr w:type="spellStart"/>
      <w:r w:rsidRPr="001B199D">
        <w:rPr>
          <w:i/>
          <w:color w:val="000000" w:themeColor="text1"/>
        </w:rPr>
        <w:t>euro</w:t>
      </w:r>
      <w:proofErr w:type="spellEnd"/>
      <w:r w:rsidRPr="001B199D">
        <w:rPr>
          <w:color w:val="000000" w:themeColor="text1"/>
        </w:rPr>
        <w:t xml:space="preserve"> apmērā. </w:t>
      </w:r>
      <w:proofErr w:type="spellStart"/>
      <w:r w:rsidRPr="001B199D">
        <w:rPr>
          <w:color w:val="000000" w:themeColor="text1"/>
        </w:rPr>
        <w:t>Jaunizveidotā</w:t>
      </w:r>
      <w:proofErr w:type="spellEnd"/>
      <w:r w:rsidRPr="001B199D">
        <w:rPr>
          <w:color w:val="000000" w:themeColor="text1"/>
        </w:rPr>
        <w:t xml:space="preserve"> valdība pieņēma lēmumus par </w:t>
      </w:r>
      <w:proofErr w:type="spellStart"/>
      <w:r w:rsidRPr="001B199D">
        <w:rPr>
          <w:color w:val="000000" w:themeColor="text1"/>
        </w:rPr>
        <w:t>diskrecionārajiem</w:t>
      </w:r>
      <w:proofErr w:type="spellEnd"/>
      <w:r w:rsidRPr="001B199D">
        <w:rPr>
          <w:color w:val="000000" w:themeColor="text1"/>
        </w:rPr>
        <w:t xml:space="preserve"> ieņēmumu un izdevumu pasākumiem, lai nodrošinātu gan negatīvās fiskālās telpas likvidēšanu, gan arī piešķirtu finansējumu ministriju izvirzītajām prioritātēm.</w:t>
      </w:r>
      <w:r>
        <w:rPr>
          <w:color w:val="000000" w:themeColor="text1"/>
        </w:rPr>
        <w:t xml:space="preserve"> </w:t>
      </w:r>
      <w:r w:rsidRPr="001B199D">
        <w:rPr>
          <w:color w:val="000000" w:themeColor="text1"/>
        </w:rPr>
        <w:t>Papildu resursi prioritāšu finansēšanai tika nodrošināti arī īstenojot valsts budžeta bāzes izdevumu pārskatīšanu, kas ļāva nodrošināt papildu līdzekļus gan pašu nozaru prioritāšu finansēšanai, gan arī kopējo valdības prioritāšu finansēšanai.</w:t>
      </w:r>
    </w:p>
    <w:p w:rsidR="00D20C53" w:rsidRPr="00F70898" w:rsidRDefault="00D20C53" w:rsidP="00D20C53">
      <w:pPr>
        <w:spacing w:after="0"/>
        <w:rPr>
          <w:b/>
          <w:color w:val="000000" w:themeColor="text1"/>
        </w:rPr>
      </w:pPr>
    </w:p>
    <w:p w:rsidR="00D20C53" w:rsidRPr="00F70898" w:rsidRDefault="00D20C53" w:rsidP="00D20C53">
      <w:pPr>
        <w:spacing w:after="0"/>
        <w:jc w:val="center"/>
        <w:rPr>
          <w:rFonts w:eastAsia="Calibri"/>
          <w:b/>
          <w:color w:val="000000" w:themeColor="text1"/>
          <w:sz w:val="28"/>
        </w:rPr>
      </w:pPr>
      <w:r>
        <w:rPr>
          <w:rFonts w:eastAsia="Calibri"/>
          <w:b/>
          <w:color w:val="000000" w:themeColor="text1"/>
          <w:sz w:val="28"/>
        </w:rPr>
        <w:t xml:space="preserve"> </w:t>
      </w:r>
      <w:r w:rsidRPr="00F70898">
        <w:rPr>
          <w:rFonts w:eastAsia="Calibri"/>
          <w:b/>
          <w:color w:val="000000" w:themeColor="text1"/>
          <w:sz w:val="28"/>
        </w:rPr>
        <w:t xml:space="preserve">Vidēja termiņa strukturālās </w:t>
      </w:r>
      <w:r w:rsidRPr="00554725">
        <w:rPr>
          <w:rFonts w:eastAsia="Calibri"/>
          <w:b/>
          <w:sz w:val="28"/>
        </w:rPr>
        <w:t>bilances</w:t>
      </w:r>
      <w:r>
        <w:rPr>
          <w:rFonts w:eastAsia="Calibri"/>
          <w:b/>
          <w:color w:val="000000" w:themeColor="text1"/>
          <w:sz w:val="28"/>
        </w:rPr>
        <w:t xml:space="preserve"> </w:t>
      </w:r>
      <w:r w:rsidRPr="00F70898">
        <w:rPr>
          <w:rFonts w:eastAsia="Calibri"/>
          <w:b/>
          <w:color w:val="000000" w:themeColor="text1"/>
          <w:sz w:val="28"/>
        </w:rPr>
        <w:t>mērķi</w:t>
      </w:r>
    </w:p>
    <w:p w:rsidR="00D20C53" w:rsidRPr="00F70898" w:rsidRDefault="00D20C53" w:rsidP="00D20C53">
      <w:pPr>
        <w:spacing w:after="0"/>
        <w:rPr>
          <w:rFonts w:eastAsia="Calibri"/>
          <w:b/>
          <w:color w:val="000000" w:themeColor="text1"/>
          <w:sz w:val="28"/>
        </w:rPr>
      </w:pPr>
    </w:p>
    <w:p w:rsidR="00D20C53" w:rsidRPr="00F70898" w:rsidRDefault="00D20C53" w:rsidP="00D20C53">
      <w:pPr>
        <w:spacing w:after="0"/>
        <w:ind w:firstLine="720"/>
        <w:rPr>
          <w:color w:val="000000" w:themeColor="text1"/>
        </w:rPr>
      </w:pPr>
      <w:r w:rsidRPr="00F70898">
        <w:rPr>
          <w:color w:val="000000" w:themeColor="text1"/>
        </w:rPr>
        <w:t>Pieeja</w:t>
      </w:r>
      <w:r>
        <w:rPr>
          <w:color w:val="000000" w:themeColor="text1"/>
        </w:rPr>
        <w:t>,</w:t>
      </w:r>
      <w:r w:rsidRPr="00F70898">
        <w:rPr>
          <w:color w:val="000000" w:themeColor="text1"/>
        </w:rPr>
        <w:t xml:space="preserve"> kā tiek noteikts gan kārtējā gada, gan vidēja termiņa strukturālās bilances mērķi</w:t>
      </w:r>
      <w:r>
        <w:rPr>
          <w:color w:val="000000" w:themeColor="text1"/>
        </w:rPr>
        <w:t>,</w:t>
      </w:r>
      <w:r w:rsidRPr="00F70898">
        <w:rPr>
          <w:color w:val="000000" w:themeColor="text1"/>
        </w:rPr>
        <w:t xml:space="preserve"> nav mainījusies un ir aprakstīta likuma “Par vidēja termiņa</w:t>
      </w:r>
      <w:r>
        <w:rPr>
          <w:color w:val="000000" w:themeColor="text1"/>
        </w:rPr>
        <w:t xml:space="preserve"> budžeta</w:t>
      </w:r>
      <w:r w:rsidRPr="00F70898">
        <w:rPr>
          <w:color w:val="000000" w:themeColor="text1"/>
        </w:rPr>
        <w:t xml:space="preserve"> ietvaru 2018., 2019. un 2020.gadam” paskaidrojumos. Kā jau tika minēts iepriekš</w:t>
      </w:r>
      <w:r>
        <w:rPr>
          <w:color w:val="000000" w:themeColor="text1"/>
        </w:rPr>
        <w:t>,</w:t>
      </w:r>
      <w:r w:rsidRPr="00F70898">
        <w:rPr>
          <w:color w:val="000000" w:themeColor="text1"/>
        </w:rPr>
        <w:t xml:space="preserve"> spēkā joprojām ir likumā “Par vidēja </w:t>
      </w:r>
      <w:r w:rsidRPr="00F70898">
        <w:rPr>
          <w:color w:val="000000" w:themeColor="text1"/>
        </w:rPr>
        <w:lastRenderedPageBreak/>
        <w:t>termiņa</w:t>
      </w:r>
      <w:r>
        <w:rPr>
          <w:color w:val="000000" w:themeColor="text1"/>
        </w:rPr>
        <w:t xml:space="preserve"> budžeta</w:t>
      </w:r>
      <w:r w:rsidRPr="00F70898">
        <w:rPr>
          <w:color w:val="000000" w:themeColor="text1"/>
        </w:rPr>
        <w:t xml:space="preserve"> ietvaru 2018., 2019. un 2020.gadam” definētais strukturālās bilances mērķis </w:t>
      </w:r>
      <w:r w:rsidRPr="00F70898">
        <w:rPr>
          <w:rFonts w:eastAsia="Calibri"/>
          <w:color w:val="000000" w:themeColor="text1"/>
        </w:rPr>
        <w:t>2019.gadā</w:t>
      </w:r>
      <w:r>
        <w:rPr>
          <w:rFonts w:eastAsia="Calibri"/>
          <w:color w:val="000000" w:themeColor="text1"/>
        </w:rPr>
        <w:t>, kas ir</w:t>
      </w:r>
      <w:r w:rsidRPr="00F70898">
        <w:rPr>
          <w:rFonts w:eastAsia="Calibri"/>
          <w:color w:val="000000" w:themeColor="text1"/>
        </w:rPr>
        <w:t xml:space="preserve"> -</w:t>
      </w:r>
      <w:r>
        <w:rPr>
          <w:rFonts w:eastAsia="Calibri"/>
          <w:color w:val="000000" w:themeColor="text1"/>
        </w:rPr>
        <w:t> </w:t>
      </w:r>
      <w:r w:rsidRPr="00F70898">
        <w:rPr>
          <w:rFonts w:eastAsia="Calibri"/>
          <w:color w:val="000000" w:themeColor="text1"/>
        </w:rPr>
        <w:t>0,6% no IKP.</w:t>
      </w:r>
    </w:p>
    <w:p w:rsidR="00D20C53" w:rsidRPr="00F70898" w:rsidRDefault="00D20C53" w:rsidP="00D20C53">
      <w:pPr>
        <w:spacing w:after="0"/>
        <w:ind w:firstLine="720"/>
        <w:rPr>
          <w:rFonts w:eastAsia="Calibri"/>
          <w:color w:val="000000" w:themeColor="text1"/>
        </w:rPr>
      </w:pPr>
      <w:r>
        <w:rPr>
          <w:color w:val="000000" w:themeColor="text1"/>
        </w:rPr>
        <w:t>2.1.t</w:t>
      </w:r>
      <w:r w:rsidRPr="00F70898">
        <w:rPr>
          <w:color w:val="000000" w:themeColor="text1"/>
        </w:rPr>
        <w:t>abulā ir atspoguļoti likumā “Par vidēja termiņa budžeta ietvaru 2017., 2018., 2019.gadam” un likumā “Par vidēja termiņa budžeta ietvaru 2018., 2019., 2020.gadam” noteiktie vispārējās valdības strukturālās bilances mērķi.</w:t>
      </w:r>
    </w:p>
    <w:p w:rsidR="00D20C53" w:rsidRPr="00F70898" w:rsidRDefault="00D20C53" w:rsidP="00D20C53">
      <w:pPr>
        <w:jc w:val="right"/>
        <w:rPr>
          <w:b/>
          <w:color w:val="000000" w:themeColor="text1"/>
        </w:rPr>
      </w:pPr>
    </w:p>
    <w:p w:rsidR="00D20C53" w:rsidRPr="007E4BCA" w:rsidRDefault="00D20C53" w:rsidP="00D20C53">
      <w:pPr>
        <w:spacing w:after="0"/>
        <w:jc w:val="center"/>
        <w:rPr>
          <w:b/>
          <w:i/>
          <w:color w:val="000000" w:themeColor="text1"/>
        </w:rPr>
      </w:pPr>
      <w:r w:rsidRPr="007E4BCA">
        <w:rPr>
          <w:b/>
          <w:i/>
          <w:color w:val="000000" w:themeColor="text1"/>
        </w:rPr>
        <w:t>2.</w:t>
      </w:r>
      <w:r w:rsidR="008C71C1">
        <w:rPr>
          <w:b/>
          <w:i/>
          <w:color w:val="000000" w:themeColor="text1"/>
        </w:rPr>
        <w:t>1</w:t>
      </w:r>
      <w:r w:rsidRPr="007E4BCA">
        <w:rPr>
          <w:b/>
          <w:i/>
          <w:color w:val="000000" w:themeColor="text1"/>
        </w:rPr>
        <w:t>.tabula. Vispārējās valdības budžeta mērķu salīdzinājums starp</w:t>
      </w:r>
      <w:r>
        <w:rPr>
          <w:b/>
          <w:i/>
          <w:color w:val="000000" w:themeColor="text1"/>
        </w:rPr>
        <w:t xml:space="preserve"> I</w:t>
      </w:r>
      <w:r w:rsidRPr="001F61A9">
        <w:rPr>
          <w:b/>
          <w:i/>
          <w:color w:val="000000" w:themeColor="text1"/>
        </w:rPr>
        <w:t>etvar</w:t>
      </w:r>
      <w:r>
        <w:rPr>
          <w:b/>
          <w:i/>
          <w:color w:val="000000" w:themeColor="text1"/>
        </w:rPr>
        <w:t>a likumu</w:t>
      </w:r>
      <w:r w:rsidRPr="007E4BCA">
        <w:rPr>
          <w:b/>
          <w:i/>
          <w:color w:val="000000" w:themeColor="text1"/>
        </w:rPr>
        <w:t xml:space="preserve"> 2017.</w:t>
      </w:r>
      <w:r w:rsidRPr="005A1A19">
        <w:rPr>
          <w:rFonts w:eastAsia="Calibri"/>
          <w:color w:val="000000" w:themeColor="text1"/>
        </w:rPr>
        <w:t xml:space="preserve"> </w:t>
      </w:r>
      <w:r w:rsidRPr="00F70898">
        <w:rPr>
          <w:rFonts w:eastAsia="Calibri"/>
          <w:color w:val="000000" w:themeColor="text1"/>
        </w:rPr>
        <w:t>–</w:t>
      </w:r>
      <w:r>
        <w:rPr>
          <w:rFonts w:eastAsia="Calibri"/>
          <w:color w:val="000000" w:themeColor="text1"/>
        </w:rPr>
        <w:t xml:space="preserve"> </w:t>
      </w:r>
      <w:r w:rsidRPr="007E4BCA">
        <w:rPr>
          <w:b/>
          <w:i/>
          <w:color w:val="000000" w:themeColor="text1"/>
        </w:rPr>
        <w:t>2019.</w:t>
      </w:r>
      <w:r>
        <w:rPr>
          <w:b/>
          <w:i/>
          <w:color w:val="000000" w:themeColor="text1"/>
        </w:rPr>
        <w:t>gadam</w:t>
      </w:r>
      <w:r w:rsidRPr="007E4BCA">
        <w:rPr>
          <w:b/>
          <w:i/>
          <w:color w:val="000000" w:themeColor="text1"/>
        </w:rPr>
        <w:t xml:space="preserve"> un</w:t>
      </w:r>
      <w:r>
        <w:rPr>
          <w:b/>
          <w:i/>
          <w:color w:val="000000" w:themeColor="text1"/>
        </w:rPr>
        <w:t xml:space="preserve"> Ietvara likumu</w:t>
      </w:r>
      <w:r w:rsidRPr="001F61A9">
        <w:rPr>
          <w:b/>
          <w:i/>
          <w:color w:val="000000" w:themeColor="text1"/>
        </w:rPr>
        <w:t xml:space="preserve"> </w:t>
      </w:r>
      <w:r w:rsidRPr="007E4BCA">
        <w:rPr>
          <w:b/>
          <w:i/>
          <w:color w:val="000000" w:themeColor="text1"/>
        </w:rPr>
        <w:t>2018.</w:t>
      </w:r>
      <w:r w:rsidRPr="005A1A19">
        <w:rPr>
          <w:rFonts w:eastAsia="Calibri"/>
          <w:color w:val="000000" w:themeColor="text1"/>
        </w:rPr>
        <w:t xml:space="preserve"> </w:t>
      </w:r>
      <w:r w:rsidRPr="00F70898">
        <w:rPr>
          <w:rFonts w:eastAsia="Calibri"/>
          <w:color w:val="000000" w:themeColor="text1"/>
        </w:rPr>
        <w:t>–</w:t>
      </w:r>
      <w:r>
        <w:rPr>
          <w:rFonts w:eastAsia="Calibri"/>
          <w:color w:val="000000" w:themeColor="text1"/>
        </w:rPr>
        <w:t xml:space="preserve"> </w:t>
      </w:r>
      <w:r w:rsidRPr="007E4BCA">
        <w:rPr>
          <w:b/>
          <w:i/>
          <w:color w:val="000000" w:themeColor="text1"/>
        </w:rPr>
        <w:t>2020.</w:t>
      </w:r>
      <w:r>
        <w:rPr>
          <w:b/>
          <w:i/>
          <w:color w:val="000000" w:themeColor="text1"/>
        </w:rPr>
        <w:t>gadam</w:t>
      </w:r>
    </w:p>
    <w:tbl>
      <w:tblPr>
        <w:tblpPr w:leftFromText="180" w:rightFromText="180" w:vertAnchor="text" w:horzAnchor="margin" w:tblpXSpec="center" w:tblpY="221"/>
        <w:tblW w:w="9497" w:type="dxa"/>
        <w:tblLook w:val="04A0" w:firstRow="1" w:lastRow="0" w:firstColumn="1" w:lastColumn="0" w:noHBand="0" w:noVBand="1"/>
      </w:tblPr>
      <w:tblGrid>
        <w:gridCol w:w="975"/>
        <w:gridCol w:w="1914"/>
        <w:gridCol w:w="1837"/>
        <w:gridCol w:w="1914"/>
        <w:gridCol w:w="1837"/>
        <w:gridCol w:w="1228"/>
      </w:tblGrid>
      <w:tr w:rsidR="00D20C53" w:rsidRPr="00F70898" w:rsidTr="00850B80">
        <w:trPr>
          <w:trHeight w:val="19"/>
        </w:trPr>
        <w:tc>
          <w:tcPr>
            <w:tcW w:w="7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C53" w:rsidRPr="00F70898" w:rsidRDefault="00D20C53" w:rsidP="00046E7F">
            <w:pPr>
              <w:spacing w:after="0"/>
              <w:jc w:val="center"/>
              <w:rPr>
                <w:color w:val="000000" w:themeColor="text1"/>
                <w:sz w:val="20"/>
                <w:lang w:eastAsia="lv-LV"/>
              </w:rPr>
            </w:pPr>
            <w:r w:rsidRPr="00F70898">
              <w:rPr>
                <w:color w:val="000000" w:themeColor="text1"/>
                <w:sz w:val="20"/>
                <w:lang w:eastAsia="lv-LV"/>
              </w:rPr>
              <w:t> </w:t>
            </w:r>
          </w:p>
        </w:tc>
        <w:tc>
          <w:tcPr>
            <w:tcW w:w="3751" w:type="dxa"/>
            <w:gridSpan w:val="2"/>
            <w:tcBorders>
              <w:top w:val="single" w:sz="4" w:space="0" w:color="auto"/>
              <w:left w:val="nil"/>
              <w:bottom w:val="single" w:sz="4" w:space="0" w:color="auto"/>
              <w:right w:val="single" w:sz="4" w:space="0" w:color="auto"/>
            </w:tcBorders>
            <w:shd w:val="clear" w:color="auto" w:fill="auto"/>
            <w:vAlign w:val="center"/>
            <w:hideMark/>
          </w:tcPr>
          <w:p w:rsidR="00D20C53" w:rsidRPr="00F70898" w:rsidRDefault="00D20C53" w:rsidP="00046E7F">
            <w:pPr>
              <w:spacing w:after="0"/>
              <w:jc w:val="center"/>
              <w:rPr>
                <w:b/>
                <w:color w:val="000000" w:themeColor="text1"/>
                <w:sz w:val="20"/>
                <w:lang w:eastAsia="lv-LV"/>
              </w:rPr>
            </w:pPr>
            <w:r w:rsidRPr="00F70898">
              <w:rPr>
                <w:b/>
                <w:color w:val="000000" w:themeColor="text1"/>
                <w:sz w:val="20"/>
                <w:lang w:eastAsia="lv-LV"/>
              </w:rPr>
              <w:t>Ietvara likums 2017-2019</w:t>
            </w:r>
          </w:p>
        </w:tc>
        <w:tc>
          <w:tcPr>
            <w:tcW w:w="3751" w:type="dxa"/>
            <w:gridSpan w:val="2"/>
            <w:tcBorders>
              <w:top w:val="single" w:sz="4" w:space="0" w:color="auto"/>
              <w:left w:val="nil"/>
              <w:bottom w:val="single" w:sz="4" w:space="0" w:color="auto"/>
              <w:right w:val="single" w:sz="4" w:space="0" w:color="auto"/>
            </w:tcBorders>
            <w:shd w:val="clear" w:color="auto" w:fill="auto"/>
            <w:vAlign w:val="center"/>
            <w:hideMark/>
          </w:tcPr>
          <w:p w:rsidR="00D20C53" w:rsidRPr="00F70898" w:rsidRDefault="00D20C53" w:rsidP="00046E7F">
            <w:pPr>
              <w:spacing w:after="0"/>
              <w:jc w:val="center"/>
              <w:rPr>
                <w:b/>
                <w:color w:val="000000" w:themeColor="text1"/>
                <w:sz w:val="20"/>
                <w:lang w:eastAsia="lv-LV"/>
              </w:rPr>
            </w:pPr>
            <w:r w:rsidRPr="00F70898">
              <w:rPr>
                <w:b/>
                <w:color w:val="000000" w:themeColor="text1"/>
                <w:sz w:val="20"/>
                <w:lang w:eastAsia="lv-LV"/>
              </w:rPr>
              <w:t>Ietvara likums 2018-2020</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Starpība</w:t>
            </w:r>
          </w:p>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(3)=(2)-(1)</w:t>
            </w:r>
          </w:p>
        </w:tc>
      </w:tr>
      <w:tr w:rsidR="00D20C53" w:rsidRPr="00F70898" w:rsidTr="00850B80">
        <w:trPr>
          <w:trHeight w:val="19"/>
        </w:trPr>
        <w:tc>
          <w:tcPr>
            <w:tcW w:w="767" w:type="dxa"/>
            <w:vMerge/>
            <w:tcBorders>
              <w:top w:val="single" w:sz="4" w:space="0" w:color="auto"/>
              <w:left w:val="single" w:sz="4" w:space="0" w:color="auto"/>
              <w:bottom w:val="single" w:sz="4" w:space="0" w:color="auto"/>
              <w:right w:val="single" w:sz="4" w:space="0" w:color="auto"/>
            </w:tcBorders>
            <w:vAlign w:val="center"/>
            <w:hideMark/>
          </w:tcPr>
          <w:p w:rsidR="00D20C53" w:rsidRPr="00F70898" w:rsidRDefault="00D20C53" w:rsidP="00046E7F">
            <w:pPr>
              <w:spacing w:after="0"/>
              <w:rPr>
                <w:color w:val="000000" w:themeColor="text1"/>
                <w:sz w:val="20"/>
                <w:lang w:eastAsia="lv-LV"/>
              </w:rPr>
            </w:pPr>
          </w:p>
        </w:tc>
        <w:tc>
          <w:tcPr>
            <w:tcW w:w="1914" w:type="dxa"/>
            <w:tcBorders>
              <w:top w:val="nil"/>
              <w:left w:val="nil"/>
              <w:bottom w:val="single" w:sz="4" w:space="0" w:color="auto"/>
              <w:right w:val="single" w:sz="4" w:space="0" w:color="auto"/>
            </w:tcBorders>
            <w:shd w:val="clear" w:color="auto" w:fill="auto"/>
            <w:vAlign w:val="center"/>
            <w:hideMark/>
          </w:tcPr>
          <w:p w:rsidR="00D20C53" w:rsidRPr="00F70898" w:rsidRDefault="00D20C53" w:rsidP="00850B80">
            <w:pPr>
              <w:spacing w:after="0"/>
              <w:ind w:firstLine="0"/>
              <w:jc w:val="center"/>
              <w:rPr>
                <w:i/>
                <w:color w:val="000000" w:themeColor="text1"/>
                <w:sz w:val="20"/>
                <w:lang w:eastAsia="lv-LV"/>
              </w:rPr>
            </w:pPr>
            <w:r w:rsidRPr="00F70898">
              <w:rPr>
                <w:i/>
                <w:color w:val="000000" w:themeColor="text1"/>
                <w:sz w:val="20"/>
                <w:lang w:eastAsia="lv-LV"/>
              </w:rPr>
              <w:t>Strukturālās bilances mērķis</w:t>
            </w:r>
          </w:p>
          <w:p w:rsidR="00D20C53" w:rsidRPr="00F70898" w:rsidRDefault="00D20C53" w:rsidP="00850B80">
            <w:pPr>
              <w:spacing w:after="0"/>
              <w:ind w:firstLine="0"/>
              <w:jc w:val="center"/>
              <w:rPr>
                <w:i/>
                <w:color w:val="000000" w:themeColor="text1"/>
                <w:sz w:val="20"/>
                <w:lang w:eastAsia="lv-LV"/>
              </w:rPr>
            </w:pPr>
            <w:r w:rsidRPr="00F70898">
              <w:rPr>
                <w:i/>
                <w:color w:val="000000" w:themeColor="text1"/>
                <w:sz w:val="20"/>
                <w:lang w:eastAsia="lv-LV"/>
              </w:rPr>
              <w:t>(1)</w:t>
            </w:r>
          </w:p>
        </w:tc>
        <w:tc>
          <w:tcPr>
            <w:tcW w:w="1837" w:type="dxa"/>
            <w:tcBorders>
              <w:top w:val="nil"/>
              <w:left w:val="nil"/>
              <w:bottom w:val="single" w:sz="4" w:space="0" w:color="auto"/>
              <w:right w:val="single" w:sz="4" w:space="0" w:color="auto"/>
            </w:tcBorders>
            <w:shd w:val="clear" w:color="auto" w:fill="auto"/>
            <w:vAlign w:val="center"/>
            <w:hideMark/>
          </w:tcPr>
          <w:p w:rsidR="00850B80" w:rsidRDefault="00D20C53" w:rsidP="00850B80">
            <w:pPr>
              <w:spacing w:after="0"/>
              <w:ind w:firstLine="0"/>
              <w:jc w:val="center"/>
              <w:rPr>
                <w:i/>
                <w:color w:val="000000" w:themeColor="text1"/>
                <w:sz w:val="20"/>
                <w:lang w:eastAsia="lv-LV"/>
              </w:rPr>
            </w:pPr>
            <w:r w:rsidRPr="00F70898">
              <w:rPr>
                <w:i/>
                <w:color w:val="000000" w:themeColor="text1"/>
                <w:sz w:val="20"/>
                <w:lang w:eastAsia="lv-LV"/>
              </w:rPr>
              <w:t xml:space="preserve">Stingrākais fiskālais </w:t>
            </w:r>
          </w:p>
          <w:p w:rsidR="00D20C53" w:rsidRPr="00F70898" w:rsidRDefault="00D20C53" w:rsidP="00850B80">
            <w:pPr>
              <w:spacing w:after="0"/>
              <w:ind w:firstLine="0"/>
              <w:jc w:val="center"/>
              <w:rPr>
                <w:i/>
                <w:color w:val="000000" w:themeColor="text1"/>
                <w:sz w:val="20"/>
                <w:lang w:eastAsia="lv-LV"/>
              </w:rPr>
            </w:pPr>
            <w:r w:rsidRPr="00F70898">
              <w:rPr>
                <w:i/>
                <w:color w:val="000000" w:themeColor="text1"/>
                <w:sz w:val="20"/>
                <w:lang w:eastAsia="lv-LV"/>
              </w:rPr>
              <w:t>nosacījums</w:t>
            </w:r>
          </w:p>
        </w:tc>
        <w:tc>
          <w:tcPr>
            <w:tcW w:w="1914" w:type="dxa"/>
            <w:tcBorders>
              <w:top w:val="nil"/>
              <w:left w:val="nil"/>
              <w:bottom w:val="single" w:sz="4" w:space="0" w:color="auto"/>
              <w:right w:val="single" w:sz="4" w:space="0" w:color="auto"/>
            </w:tcBorders>
            <w:shd w:val="clear" w:color="auto" w:fill="auto"/>
            <w:vAlign w:val="center"/>
            <w:hideMark/>
          </w:tcPr>
          <w:p w:rsidR="00D20C53" w:rsidRPr="00F70898" w:rsidRDefault="00D20C53" w:rsidP="00850B80">
            <w:pPr>
              <w:spacing w:after="0"/>
              <w:ind w:firstLine="0"/>
              <w:jc w:val="center"/>
              <w:rPr>
                <w:i/>
                <w:color w:val="000000" w:themeColor="text1"/>
                <w:sz w:val="20"/>
                <w:lang w:eastAsia="lv-LV"/>
              </w:rPr>
            </w:pPr>
            <w:r w:rsidRPr="00F70898">
              <w:rPr>
                <w:i/>
                <w:color w:val="000000" w:themeColor="text1"/>
                <w:sz w:val="20"/>
                <w:lang w:eastAsia="lv-LV"/>
              </w:rPr>
              <w:t>Strukturālās bilances mērķis</w:t>
            </w:r>
          </w:p>
          <w:p w:rsidR="00D20C53" w:rsidRPr="00F70898" w:rsidRDefault="00D20C53" w:rsidP="00850B80">
            <w:pPr>
              <w:spacing w:after="0"/>
              <w:ind w:firstLine="0"/>
              <w:jc w:val="center"/>
              <w:rPr>
                <w:i/>
                <w:color w:val="000000" w:themeColor="text1"/>
                <w:sz w:val="20"/>
                <w:lang w:eastAsia="lv-LV"/>
              </w:rPr>
            </w:pPr>
            <w:r w:rsidRPr="00F70898">
              <w:rPr>
                <w:i/>
                <w:color w:val="000000" w:themeColor="text1"/>
                <w:sz w:val="20"/>
                <w:lang w:eastAsia="lv-LV"/>
              </w:rPr>
              <w:t>(2)</w:t>
            </w:r>
          </w:p>
        </w:tc>
        <w:tc>
          <w:tcPr>
            <w:tcW w:w="1837" w:type="dxa"/>
            <w:tcBorders>
              <w:top w:val="nil"/>
              <w:left w:val="nil"/>
              <w:bottom w:val="single" w:sz="4" w:space="0" w:color="auto"/>
              <w:right w:val="single" w:sz="4" w:space="0" w:color="auto"/>
            </w:tcBorders>
            <w:shd w:val="clear" w:color="auto" w:fill="auto"/>
            <w:vAlign w:val="center"/>
            <w:hideMark/>
          </w:tcPr>
          <w:p w:rsidR="00850B80" w:rsidRDefault="00D20C53" w:rsidP="00850B80">
            <w:pPr>
              <w:spacing w:after="0"/>
              <w:ind w:firstLine="0"/>
              <w:jc w:val="center"/>
              <w:rPr>
                <w:i/>
                <w:color w:val="000000" w:themeColor="text1"/>
                <w:sz w:val="20"/>
                <w:lang w:eastAsia="lv-LV"/>
              </w:rPr>
            </w:pPr>
            <w:r w:rsidRPr="00F70898">
              <w:rPr>
                <w:i/>
                <w:color w:val="000000" w:themeColor="text1"/>
                <w:sz w:val="20"/>
                <w:lang w:eastAsia="lv-LV"/>
              </w:rPr>
              <w:t xml:space="preserve">Stingrākais fiskālais </w:t>
            </w:r>
          </w:p>
          <w:p w:rsidR="00D20C53" w:rsidRPr="00F70898" w:rsidRDefault="00D20C53" w:rsidP="00850B80">
            <w:pPr>
              <w:spacing w:after="0"/>
              <w:ind w:firstLine="0"/>
              <w:jc w:val="center"/>
              <w:rPr>
                <w:i/>
                <w:color w:val="000000" w:themeColor="text1"/>
                <w:sz w:val="20"/>
                <w:lang w:eastAsia="lv-LV"/>
              </w:rPr>
            </w:pPr>
            <w:r w:rsidRPr="00F70898">
              <w:rPr>
                <w:i/>
                <w:color w:val="000000" w:themeColor="text1"/>
                <w:sz w:val="20"/>
                <w:lang w:eastAsia="lv-LV"/>
              </w:rPr>
              <w:t>nosacījums</w:t>
            </w: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D20C53" w:rsidRPr="00F70898" w:rsidRDefault="00D20C53" w:rsidP="00046E7F">
            <w:pPr>
              <w:spacing w:after="0"/>
              <w:rPr>
                <w:color w:val="000000" w:themeColor="text1"/>
                <w:sz w:val="20"/>
                <w:lang w:eastAsia="lv-LV"/>
              </w:rPr>
            </w:pPr>
          </w:p>
        </w:tc>
      </w:tr>
      <w:tr w:rsidR="00D20C53" w:rsidRPr="00F70898" w:rsidTr="00850B80">
        <w:trPr>
          <w:trHeight w:val="19"/>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b/>
                <w:color w:val="000000" w:themeColor="text1"/>
                <w:sz w:val="20"/>
                <w:lang w:eastAsia="lv-LV"/>
              </w:rPr>
            </w:pPr>
            <w:r w:rsidRPr="00F70898">
              <w:rPr>
                <w:b/>
                <w:color w:val="000000" w:themeColor="text1"/>
                <w:sz w:val="20"/>
                <w:lang w:eastAsia="lv-LV"/>
              </w:rPr>
              <w:t>2017</w:t>
            </w:r>
          </w:p>
        </w:tc>
        <w:tc>
          <w:tcPr>
            <w:tcW w:w="1914"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-1,0</w:t>
            </w:r>
          </w:p>
        </w:tc>
        <w:tc>
          <w:tcPr>
            <w:tcW w:w="1837" w:type="dxa"/>
            <w:tcBorders>
              <w:top w:val="nil"/>
              <w:left w:val="nil"/>
              <w:bottom w:val="single" w:sz="4" w:space="0" w:color="auto"/>
              <w:right w:val="single" w:sz="4" w:space="0" w:color="auto"/>
            </w:tcBorders>
            <w:shd w:val="clear" w:color="auto" w:fill="auto"/>
            <w:vAlign w:val="center"/>
            <w:hideMark/>
          </w:tcPr>
          <w:p w:rsidR="00D20C53" w:rsidRPr="00F70898" w:rsidRDefault="00D20C53" w:rsidP="00850B80">
            <w:pPr>
              <w:spacing w:after="0"/>
              <w:ind w:firstLine="0"/>
              <w:jc w:val="center"/>
              <w:rPr>
                <w:iCs/>
                <w:color w:val="000000" w:themeColor="text1"/>
                <w:sz w:val="20"/>
                <w:lang w:eastAsia="lv-LV"/>
              </w:rPr>
            </w:pPr>
            <w:r w:rsidRPr="00F70898">
              <w:rPr>
                <w:iCs/>
                <w:color w:val="000000" w:themeColor="text1"/>
                <w:sz w:val="20"/>
                <w:lang w:eastAsia="lv-LV"/>
              </w:rPr>
              <w:t xml:space="preserve">Izdevumu </w:t>
            </w:r>
            <w:proofErr w:type="spellStart"/>
            <w:r w:rsidRPr="00F70898">
              <w:rPr>
                <w:iCs/>
                <w:color w:val="000000" w:themeColor="text1"/>
                <w:sz w:val="20"/>
                <w:lang w:eastAsia="lv-LV"/>
              </w:rPr>
              <w:t>pārmantojamības</w:t>
            </w:r>
            <w:proofErr w:type="spellEnd"/>
            <w:r w:rsidRPr="00F70898">
              <w:rPr>
                <w:iCs/>
                <w:color w:val="000000" w:themeColor="text1"/>
                <w:sz w:val="20"/>
                <w:lang w:eastAsia="lv-LV"/>
              </w:rPr>
              <w:t xml:space="preserve"> nosacījums</w:t>
            </w:r>
          </w:p>
        </w:tc>
        <w:tc>
          <w:tcPr>
            <w:tcW w:w="1914"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x</w:t>
            </w:r>
          </w:p>
        </w:tc>
        <w:tc>
          <w:tcPr>
            <w:tcW w:w="1837"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x</w:t>
            </w:r>
          </w:p>
        </w:tc>
        <w:tc>
          <w:tcPr>
            <w:tcW w:w="1228"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046E7F">
            <w:pPr>
              <w:spacing w:after="0"/>
              <w:jc w:val="center"/>
              <w:rPr>
                <w:color w:val="000000" w:themeColor="text1"/>
                <w:sz w:val="20"/>
                <w:lang w:eastAsia="lv-LV"/>
              </w:rPr>
            </w:pPr>
            <w:r w:rsidRPr="00F70898">
              <w:rPr>
                <w:color w:val="000000" w:themeColor="text1"/>
                <w:sz w:val="20"/>
                <w:lang w:eastAsia="lv-LV"/>
              </w:rPr>
              <w:t> </w:t>
            </w:r>
          </w:p>
        </w:tc>
      </w:tr>
      <w:tr w:rsidR="00D20C53" w:rsidRPr="00F70898" w:rsidTr="00850B80">
        <w:trPr>
          <w:trHeight w:val="19"/>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b/>
                <w:color w:val="000000" w:themeColor="text1"/>
                <w:sz w:val="20"/>
                <w:lang w:eastAsia="lv-LV"/>
              </w:rPr>
            </w:pPr>
            <w:r w:rsidRPr="00F70898">
              <w:rPr>
                <w:b/>
                <w:color w:val="000000" w:themeColor="text1"/>
                <w:sz w:val="20"/>
                <w:lang w:eastAsia="lv-LV"/>
              </w:rPr>
              <w:t>2018</w:t>
            </w:r>
          </w:p>
        </w:tc>
        <w:tc>
          <w:tcPr>
            <w:tcW w:w="1914"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-1,1</w:t>
            </w:r>
          </w:p>
        </w:tc>
        <w:tc>
          <w:tcPr>
            <w:tcW w:w="1837" w:type="dxa"/>
            <w:tcBorders>
              <w:top w:val="nil"/>
              <w:left w:val="nil"/>
              <w:bottom w:val="single" w:sz="4" w:space="0" w:color="auto"/>
              <w:right w:val="single" w:sz="4" w:space="0" w:color="auto"/>
            </w:tcBorders>
            <w:shd w:val="clear" w:color="auto" w:fill="auto"/>
            <w:vAlign w:val="center"/>
            <w:hideMark/>
          </w:tcPr>
          <w:p w:rsidR="00D20C53" w:rsidRPr="00F70898" w:rsidRDefault="00D20C53" w:rsidP="00850B80">
            <w:pPr>
              <w:spacing w:after="0"/>
              <w:ind w:firstLine="0"/>
              <w:jc w:val="center"/>
              <w:rPr>
                <w:iCs/>
                <w:color w:val="000000" w:themeColor="text1"/>
                <w:sz w:val="20"/>
                <w:lang w:eastAsia="lv-LV"/>
              </w:rPr>
            </w:pPr>
            <w:r w:rsidRPr="00F70898">
              <w:rPr>
                <w:iCs/>
                <w:color w:val="000000" w:themeColor="text1"/>
                <w:sz w:val="20"/>
                <w:lang w:eastAsia="lv-LV"/>
              </w:rPr>
              <w:t>Bilances nosacījums</w:t>
            </w:r>
          </w:p>
        </w:tc>
        <w:tc>
          <w:tcPr>
            <w:tcW w:w="1914"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-1,2</w:t>
            </w:r>
          </w:p>
        </w:tc>
        <w:tc>
          <w:tcPr>
            <w:tcW w:w="1837" w:type="dxa"/>
            <w:tcBorders>
              <w:top w:val="nil"/>
              <w:left w:val="nil"/>
              <w:bottom w:val="single" w:sz="4" w:space="0" w:color="auto"/>
              <w:right w:val="single" w:sz="4" w:space="0" w:color="auto"/>
            </w:tcBorders>
            <w:shd w:val="clear" w:color="auto" w:fill="auto"/>
            <w:vAlign w:val="center"/>
            <w:hideMark/>
          </w:tcPr>
          <w:p w:rsidR="00D20C53" w:rsidRPr="00F70898" w:rsidRDefault="00D20C53" w:rsidP="00850B80">
            <w:pPr>
              <w:spacing w:after="0"/>
              <w:ind w:firstLine="0"/>
              <w:jc w:val="center"/>
              <w:rPr>
                <w:iCs/>
                <w:color w:val="000000" w:themeColor="text1"/>
                <w:sz w:val="20"/>
                <w:lang w:eastAsia="lv-LV"/>
              </w:rPr>
            </w:pPr>
            <w:r w:rsidRPr="00F70898">
              <w:rPr>
                <w:iCs/>
                <w:color w:val="000000" w:themeColor="text1"/>
                <w:sz w:val="20"/>
                <w:lang w:eastAsia="lv-LV"/>
              </w:rPr>
              <w:t>Izdevumu pieauguma nosacījums</w:t>
            </w:r>
          </w:p>
        </w:tc>
        <w:tc>
          <w:tcPr>
            <w:tcW w:w="1228"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0,0</w:t>
            </w:r>
          </w:p>
        </w:tc>
      </w:tr>
      <w:tr w:rsidR="00D20C53" w:rsidRPr="00F70898" w:rsidTr="00850B80">
        <w:trPr>
          <w:trHeight w:val="19"/>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b/>
                <w:color w:val="000000" w:themeColor="text1"/>
                <w:sz w:val="20"/>
                <w:lang w:eastAsia="lv-LV"/>
              </w:rPr>
            </w:pPr>
            <w:r w:rsidRPr="00F70898">
              <w:rPr>
                <w:b/>
                <w:color w:val="000000" w:themeColor="text1"/>
                <w:sz w:val="20"/>
                <w:lang w:eastAsia="lv-LV"/>
              </w:rPr>
              <w:t>2019</w:t>
            </w:r>
          </w:p>
        </w:tc>
        <w:tc>
          <w:tcPr>
            <w:tcW w:w="1914"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-1,0</w:t>
            </w:r>
          </w:p>
        </w:tc>
        <w:tc>
          <w:tcPr>
            <w:tcW w:w="1837" w:type="dxa"/>
            <w:tcBorders>
              <w:top w:val="nil"/>
              <w:left w:val="nil"/>
              <w:bottom w:val="single" w:sz="4" w:space="0" w:color="auto"/>
              <w:right w:val="single" w:sz="4" w:space="0" w:color="auto"/>
            </w:tcBorders>
            <w:shd w:val="clear" w:color="auto" w:fill="auto"/>
            <w:vAlign w:val="center"/>
            <w:hideMark/>
          </w:tcPr>
          <w:p w:rsidR="00D20C53" w:rsidRPr="00F70898" w:rsidRDefault="00D20C53" w:rsidP="00850B80">
            <w:pPr>
              <w:spacing w:after="0"/>
              <w:ind w:firstLine="0"/>
              <w:jc w:val="center"/>
              <w:rPr>
                <w:iCs/>
                <w:color w:val="000000" w:themeColor="text1"/>
                <w:sz w:val="20"/>
                <w:lang w:eastAsia="lv-LV"/>
              </w:rPr>
            </w:pPr>
            <w:r w:rsidRPr="00F70898">
              <w:rPr>
                <w:iCs/>
                <w:color w:val="000000" w:themeColor="text1"/>
                <w:sz w:val="20"/>
                <w:lang w:eastAsia="lv-LV"/>
              </w:rPr>
              <w:t>Bilances nosacījums</w:t>
            </w:r>
          </w:p>
        </w:tc>
        <w:tc>
          <w:tcPr>
            <w:tcW w:w="1914"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-0,6</w:t>
            </w:r>
          </w:p>
        </w:tc>
        <w:tc>
          <w:tcPr>
            <w:tcW w:w="1837" w:type="dxa"/>
            <w:tcBorders>
              <w:top w:val="nil"/>
              <w:left w:val="nil"/>
              <w:bottom w:val="single" w:sz="4" w:space="0" w:color="auto"/>
              <w:right w:val="single" w:sz="4" w:space="0" w:color="auto"/>
            </w:tcBorders>
            <w:shd w:val="clear" w:color="auto" w:fill="auto"/>
            <w:vAlign w:val="center"/>
            <w:hideMark/>
          </w:tcPr>
          <w:p w:rsidR="00D20C53" w:rsidRPr="00F70898" w:rsidRDefault="00D20C53" w:rsidP="00850B80">
            <w:pPr>
              <w:spacing w:after="0"/>
              <w:ind w:firstLine="0"/>
              <w:jc w:val="center"/>
              <w:rPr>
                <w:iCs/>
                <w:color w:val="000000" w:themeColor="text1"/>
                <w:sz w:val="20"/>
                <w:lang w:eastAsia="lv-LV"/>
              </w:rPr>
            </w:pPr>
            <w:r w:rsidRPr="00F70898">
              <w:rPr>
                <w:iCs/>
                <w:color w:val="000000" w:themeColor="text1"/>
                <w:sz w:val="20"/>
                <w:lang w:eastAsia="lv-LV"/>
              </w:rPr>
              <w:t>Bilances nosacījums</w:t>
            </w:r>
          </w:p>
        </w:tc>
        <w:tc>
          <w:tcPr>
            <w:tcW w:w="1228"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0,4</w:t>
            </w:r>
          </w:p>
        </w:tc>
      </w:tr>
      <w:tr w:rsidR="00D20C53" w:rsidRPr="00F70898" w:rsidTr="00850B80">
        <w:trPr>
          <w:trHeight w:val="19"/>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b/>
                <w:color w:val="000000" w:themeColor="text1"/>
                <w:sz w:val="20"/>
                <w:lang w:eastAsia="lv-LV"/>
              </w:rPr>
            </w:pPr>
            <w:r w:rsidRPr="00F70898">
              <w:rPr>
                <w:b/>
                <w:color w:val="000000" w:themeColor="text1"/>
                <w:sz w:val="20"/>
                <w:lang w:eastAsia="lv-LV"/>
              </w:rPr>
              <w:t>2020</w:t>
            </w:r>
          </w:p>
        </w:tc>
        <w:tc>
          <w:tcPr>
            <w:tcW w:w="1914"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x</w:t>
            </w:r>
          </w:p>
        </w:tc>
        <w:tc>
          <w:tcPr>
            <w:tcW w:w="1837"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x</w:t>
            </w:r>
          </w:p>
        </w:tc>
        <w:tc>
          <w:tcPr>
            <w:tcW w:w="1914"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850B80">
            <w:pPr>
              <w:spacing w:after="0"/>
              <w:ind w:firstLine="0"/>
              <w:jc w:val="center"/>
              <w:rPr>
                <w:color w:val="000000" w:themeColor="text1"/>
                <w:sz w:val="20"/>
                <w:lang w:eastAsia="lv-LV"/>
              </w:rPr>
            </w:pPr>
            <w:r w:rsidRPr="00F70898">
              <w:rPr>
                <w:color w:val="000000" w:themeColor="text1"/>
                <w:sz w:val="20"/>
                <w:lang w:eastAsia="lv-LV"/>
              </w:rPr>
              <w:t>-0,4</w:t>
            </w:r>
          </w:p>
        </w:tc>
        <w:tc>
          <w:tcPr>
            <w:tcW w:w="1837" w:type="dxa"/>
            <w:tcBorders>
              <w:top w:val="nil"/>
              <w:left w:val="nil"/>
              <w:bottom w:val="single" w:sz="4" w:space="0" w:color="auto"/>
              <w:right w:val="single" w:sz="4" w:space="0" w:color="auto"/>
            </w:tcBorders>
            <w:shd w:val="clear" w:color="auto" w:fill="auto"/>
            <w:vAlign w:val="center"/>
            <w:hideMark/>
          </w:tcPr>
          <w:p w:rsidR="00D20C53" w:rsidRPr="00F70898" w:rsidRDefault="00D20C53" w:rsidP="00850B80">
            <w:pPr>
              <w:spacing w:after="0"/>
              <w:ind w:firstLine="0"/>
              <w:jc w:val="center"/>
              <w:rPr>
                <w:iCs/>
                <w:color w:val="000000" w:themeColor="text1"/>
                <w:sz w:val="20"/>
                <w:lang w:eastAsia="lv-LV"/>
              </w:rPr>
            </w:pPr>
            <w:r w:rsidRPr="00F70898">
              <w:rPr>
                <w:iCs/>
                <w:color w:val="000000" w:themeColor="text1"/>
                <w:sz w:val="20"/>
                <w:lang w:eastAsia="lv-LV"/>
              </w:rPr>
              <w:t>Bilances nosacījums</w:t>
            </w:r>
          </w:p>
        </w:tc>
        <w:tc>
          <w:tcPr>
            <w:tcW w:w="1228" w:type="dxa"/>
            <w:tcBorders>
              <w:top w:val="nil"/>
              <w:left w:val="nil"/>
              <w:bottom w:val="single" w:sz="4" w:space="0" w:color="auto"/>
              <w:right w:val="single" w:sz="4" w:space="0" w:color="auto"/>
            </w:tcBorders>
            <w:shd w:val="clear" w:color="auto" w:fill="auto"/>
            <w:noWrap/>
            <w:vAlign w:val="center"/>
            <w:hideMark/>
          </w:tcPr>
          <w:p w:rsidR="00D20C53" w:rsidRPr="00F70898" w:rsidRDefault="00D20C53" w:rsidP="00046E7F">
            <w:pPr>
              <w:spacing w:after="0"/>
              <w:jc w:val="center"/>
              <w:rPr>
                <w:color w:val="000000" w:themeColor="text1"/>
                <w:sz w:val="20"/>
                <w:lang w:eastAsia="lv-LV"/>
              </w:rPr>
            </w:pPr>
            <w:r w:rsidRPr="00F70898">
              <w:rPr>
                <w:color w:val="000000" w:themeColor="text1"/>
                <w:sz w:val="20"/>
                <w:lang w:eastAsia="lv-LV"/>
              </w:rPr>
              <w:t> </w:t>
            </w:r>
          </w:p>
        </w:tc>
      </w:tr>
    </w:tbl>
    <w:p w:rsidR="00D20C53" w:rsidRPr="00F70898" w:rsidRDefault="00D20C53" w:rsidP="00D20C53">
      <w:pPr>
        <w:rPr>
          <w:b/>
          <w:color w:val="000000" w:themeColor="text1"/>
        </w:rPr>
      </w:pPr>
    </w:p>
    <w:p w:rsidR="002F76F3" w:rsidRPr="00F70898" w:rsidRDefault="00D20C53" w:rsidP="004E2527">
      <w:pPr>
        <w:ind w:firstLine="720"/>
        <w:rPr>
          <w:color w:val="000000" w:themeColor="text1"/>
        </w:rPr>
      </w:pPr>
      <w:r w:rsidRPr="00F70898">
        <w:rPr>
          <w:color w:val="000000" w:themeColor="text1"/>
        </w:rPr>
        <w:t>Nosakot 2019.gada</w:t>
      </w:r>
      <w:r>
        <w:rPr>
          <w:color w:val="000000" w:themeColor="text1"/>
        </w:rPr>
        <w:t xml:space="preserve"> strukturālās bilances</w:t>
      </w:r>
      <w:r w:rsidRPr="00F70898">
        <w:rPr>
          <w:color w:val="000000" w:themeColor="text1"/>
        </w:rPr>
        <w:t xml:space="preserve"> mērķus abos </w:t>
      </w:r>
      <w:r>
        <w:rPr>
          <w:color w:val="000000" w:themeColor="text1"/>
        </w:rPr>
        <w:t>Ietvara</w:t>
      </w:r>
      <w:r w:rsidRPr="00F70898">
        <w:rPr>
          <w:color w:val="000000" w:themeColor="text1"/>
        </w:rPr>
        <w:t xml:space="preserve"> </w:t>
      </w:r>
      <w:r>
        <w:rPr>
          <w:color w:val="000000" w:themeColor="text1"/>
        </w:rPr>
        <w:t>likumos,</w:t>
      </w:r>
      <w:r w:rsidRPr="00F70898">
        <w:rPr>
          <w:color w:val="000000" w:themeColor="text1"/>
        </w:rPr>
        <w:t xml:space="preserve"> kā stingrākais nosacījums mērķu izvēlei ir bijis bilances nosacījums. Starpība starp 2019.gadam noteiktajiem strukturālās bilances mērķiem ir bijusi 0,4</w:t>
      </w:r>
      <w:r>
        <w:rPr>
          <w:color w:val="000000" w:themeColor="text1"/>
        </w:rPr>
        <w:t xml:space="preserve"> procentpunkti, ko pamatā noteica nodokļu reformas izraisītā īstermiņa nodokļu ieņēmumu samazinājuma atzīšana par vienreizēju pasākumu Fiskālās disciplīnas likuma izpratnē (efekts – 0,5 procentpunkti), kā arī cikliskās komponentes samazinājums par 0,1 procentpunktu.</w:t>
      </w:r>
    </w:p>
    <w:p w:rsidR="002F76F3" w:rsidRPr="00A832D8" w:rsidRDefault="002F76F3" w:rsidP="002F76F3">
      <w:pPr>
        <w:pStyle w:val="Heading2"/>
        <w:numPr>
          <w:ilvl w:val="1"/>
          <w:numId w:val="17"/>
        </w:numPr>
        <w:spacing w:before="240" w:after="240"/>
        <w:ind w:left="1077"/>
        <w:jc w:val="center"/>
        <w:rPr>
          <w:rFonts w:ascii="Times New Roman" w:hAnsi="Times New Roman" w:cs="Times New Roman"/>
          <w:b/>
          <w:color w:val="auto"/>
          <w:sz w:val="36"/>
          <w:szCs w:val="36"/>
        </w:rPr>
      </w:pPr>
      <w:r w:rsidRPr="00A832D8">
        <w:rPr>
          <w:rFonts w:ascii="Times New Roman" w:hAnsi="Times New Roman" w:cs="Times New Roman"/>
          <w:b/>
          <w:color w:val="auto"/>
          <w:sz w:val="36"/>
          <w:szCs w:val="36"/>
        </w:rPr>
        <w:t xml:space="preserve">Vispārējās valdības budžeta </w:t>
      </w:r>
      <w:r>
        <w:rPr>
          <w:rFonts w:ascii="Times New Roman" w:hAnsi="Times New Roman" w:cs="Times New Roman"/>
          <w:b/>
          <w:color w:val="auto"/>
          <w:sz w:val="36"/>
          <w:szCs w:val="36"/>
        </w:rPr>
        <w:t>struktūra</w:t>
      </w:r>
    </w:p>
    <w:p w:rsidR="002F76F3" w:rsidRPr="00A832D8" w:rsidRDefault="002F76F3" w:rsidP="002F76F3">
      <w:r w:rsidRPr="00A832D8">
        <w:t>ES dalībvalstīs makroekonomisko rādītāju un publisko finanšu statistiku uzskaita atbilstoši vienotai un harmonizētai metodoloģijai – Eiropas nacionālo un reģionālo kontu sistēmai (turpmāk – EKS)</w:t>
      </w:r>
      <w:r w:rsidRPr="00A832D8">
        <w:rPr>
          <w:sz w:val="28"/>
          <w:vertAlign w:val="superscript"/>
        </w:rPr>
        <w:footnoteReference w:id="1"/>
      </w:r>
      <w:r w:rsidRPr="00A832D8">
        <w:t>. 2014.gada septembrī ES tika ieviesta pārskatītā un atjaunotā EKS 2010, savukārt līdz tam nacionālo kontu sistēmas aprēķinos lietoja EKS 95, kas balstījās uz ANO 1993.gadā pieņemtajām nacionālo kontu sistēmas metodoloģijas rekomendācijām.</w:t>
      </w:r>
    </w:p>
    <w:p w:rsidR="002F76F3" w:rsidRPr="00A832D8" w:rsidRDefault="002F76F3" w:rsidP="002F76F3">
      <w:r w:rsidRPr="00A832D8">
        <w:t>EKS ir starptautiski atzīts gan vispārēju ekonomikas procesu, gan atsevišķu ekonomikas sektoru, piemēram, valdības finanšu uzskaites standarts. EKS piemēro Māstrihtas kritēriju uzraudzībai un tā ir ES fiskālās pārvaldības pamatā.</w:t>
      </w:r>
    </w:p>
    <w:p w:rsidR="002F76F3" w:rsidRPr="00A832D8" w:rsidRDefault="002F76F3" w:rsidP="002F76F3">
      <w:r w:rsidRPr="00A832D8">
        <w:t>Ja Latvijā valsts finanšu vadībai izmanto naudas plūsmā balstītu nacionālo metodoloģiju, tad EKS mērķis ir, ievērojot detalizētus metodiskus nosacījumus, transformēt naudas plūsmas ieņēmumus un izdevumus uz EKS ieņēmumiem un izdevumiem. Tādējādi arī budžeta deficītu</w:t>
      </w:r>
      <w:r>
        <w:t xml:space="preserve"> vai pārpalikumu var izteikt kā</w:t>
      </w:r>
      <w:r w:rsidRPr="00A832D8">
        <w:t>:</w:t>
      </w:r>
    </w:p>
    <w:p w:rsidR="002F76F3" w:rsidRDefault="002F76F3" w:rsidP="004E2527">
      <w:pPr>
        <w:numPr>
          <w:ilvl w:val="0"/>
          <w:numId w:val="18"/>
        </w:numPr>
        <w:ind w:hanging="357"/>
        <w:contextualSpacing/>
      </w:pPr>
      <w:r w:rsidRPr="00A832D8">
        <w:t>vispārējās valdības budž</w:t>
      </w:r>
      <w:r>
        <w:t>eta bilanci</w:t>
      </w:r>
      <w:r w:rsidRPr="008D2464">
        <w:rPr>
          <w:rStyle w:val="FootnoteReference"/>
          <w:color w:val="FFFFFF" w:themeColor="background1"/>
        </w:rPr>
        <w:footnoteReference w:id="2"/>
      </w:r>
      <w:r>
        <w:t>(EKS metodoloģija) vai</w:t>
      </w:r>
    </w:p>
    <w:p w:rsidR="002F76F3" w:rsidRPr="00A832D8" w:rsidRDefault="002F76F3" w:rsidP="004E2527">
      <w:pPr>
        <w:numPr>
          <w:ilvl w:val="0"/>
          <w:numId w:val="18"/>
        </w:numPr>
        <w:ind w:hanging="357"/>
        <w:contextualSpacing/>
      </w:pPr>
      <w:r w:rsidRPr="00A832D8">
        <w:lastRenderedPageBreak/>
        <w:t>konsolidētā kopbudžeta bilanci</w:t>
      </w:r>
      <w:r w:rsidRPr="008D2464">
        <w:rPr>
          <w:rStyle w:val="FootnoteReference"/>
          <w:color w:val="FFFFFF" w:themeColor="background1"/>
        </w:rPr>
        <w:footnoteReference w:id="3"/>
      </w:r>
      <w:r w:rsidRPr="00A832D8">
        <w:t>(nacionālā metodoloģija)</w:t>
      </w:r>
      <w:r>
        <w:t>.</w:t>
      </w:r>
    </w:p>
    <w:p w:rsidR="002F76F3" w:rsidRDefault="002F76F3" w:rsidP="002F76F3">
      <w:pPr>
        <w:ind w:left="1429" w:firstLine="0"/>
        <w:contextualSpacing/>
      </w:pPr>
    </w:p>
    <w:p w:rsidR="002F76F3" w:rsidRPr="00A832D8" w:rsidRDefault="002F76F3" w:rsidP="002F76F3">
      <w:pPr>
        <w:ind w:firstLine="0"/>
        <w:contextualSpacing/>
        <w:jc w:val="center"/>
      </w:pPr>
      <w:r w:rsidRPr="008D2464">
        <w:rPr>
          <w:noProof/>
          <w:lang w:eastAsia="lv-LV"/>
        </w:rPr>
        <w:drawing>
          <wp:inline distT="0" distB="0" distL="0" distR="0" wp14:anchorId="3F1E7E9F" wp14:editId="0FEC763A">
            <wp:extent cx="6008400" cy="3240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8400" cy="3240000"/>
                    </a:xfrm>
                    <a:prstGeom prst="rect">
                      <a:avLst/>
                    </a:prstGeom>
                    <a:noFill/>
                    <a:ln>
                      <a:noFill/>
                    </a:ln>
                  </pic:spPr>
                </pic:pic>
              </a:graphicData>
            </a:graphic>
          </wp:inline>
        </w:drawing>
      </w:r>
    </w:p>
    <w:p w:rsidR="002F76F3" w:rsidRPr="00A832D8" w:rsidRDefault="002F76F3" w:rsidP="002F76F3">
      <w:pPr>
        <w:ind w:firstLine="0"/>
        <w:jc w:val="center"/>
        <w:rPr>
          <w:b/>
          <w:i/>
          <w:szCs w:val="24"/>
        </w:rPr>
      </w:pPr>
      <w:r w:rsidRPr="00A832D8">
        <w:rPr>
          <w:b/>
          <w:i/>
          <w:szCs w:val="24"/>
        </w:rPr>
        <w:t>2.1. att. Vispārējās valdības budžeta struktūra</w:t>
      </w:r>
      <w:r>
        <w:rPr>
          <w:b/>
          <w:i/>
          <w:szCs w:val="24"/>
        </w:rPr>
        <w:t xml:space="preserve"> (S130000)</w:t>
      </w:r>
    </w:p>
    <w:p w:rsidR="002F76F3" w:rsidRDefault="002F76F3" w:rsidP="002F76F3">
      <w:pPr>
        <w:spacing w:before="120"/>
      </w:pPr>
    </w:p>
    <w:p w:rsidR="002F76F3" w:rsidRPr="00A832D8" w:rsidRDefault="002F76F3" w:rsidP="002F76F3">
      <w:pPr>
        <w:spacing w:before="120"/>
      </w:pPr>
      <w:r w:rsidRPr="00A832D8">
        <w:t>Lai nodrošinātu pāreju no nacionālās uzskaites kopbudžeta uz vienoto EKS standartu, konsolidētā kopbudžeta bilancei piemēro EKS korekcijas, kas sevī ietver uzskaites metodoloģijas atšķirības. Būtiskākās EKS publisko finanšu statistikas metodoloģijas atšķirības salīdzinājumā ar nacionālo metodoloģiju ir šādas:</w:t>
      </w:r>
    </w:p>
    <w:p w:rsidR="002F76F3" w:rsidRPr="00A832D8" w:rsidRDefault="002F76F3" w:rsidP="002F76F3">
      <w:pPr>
        <w:numPr>
          <w:ilvl w:val="0"/>
          <w:numId w:val="19"/>
        </w:numPr>
        <w:ind w:hanging="357"/>
      </w:pPr>
      <w:r w:rsidRPr="00A832D8">
        <w:t>EKS uzskaites pamatā ir uzkrājuma princips, savukārt nacionālajā budžeta vadībā ievēro naudas plūsmas principu;</w:t>
      </w:r>
    </w:p>
    <w:p w:rsidR="002F76F3" w:rsidRPr="00A832D8" w:rsidRDefault="002F76F3" w:rsidP="002F76F3">
      <w:pPr>
        <w:numPr>
          <w:ilvl w:val="0"/>
          <w:numId w:val="19"/>
        </w:numPr>
        <w:ind w:hanging="357"/>
        <w:rPr>
          <w:noProof/>
        </w:rPr>
      </w:pPr>
      <w:r w:rsidRPr="00A832D8">
        <w:rPr>
          <w:noProof/>
        </w:rPr>
        <w:t xml:space="preserve">Nacionālajā uzskaitē </w:t>
      </w:r>
      <w:r w:rsidRPr="00A832D8">
        <w:t xml:space="preserve">atsevišķu veidu finanšu darījumi (aizdevumi u.tml.) EKS izpratnē var būt </w:t>
      </w:r>
      <w:r w:rsidRPr="00A832D8">
        <w:rPr>
          <w:noProof/>
        </w:rPr>
        <w:t>nefinanšu darījumi, attiecīgi ietekmējot budžeta izdevumus;</w:t>
      </w:r>
    </w:p>
    <w:p w:rsidR="002F76F3" w:rsidRPr="00A832D8" w:rsidRDefault="002F76F3" w:rsidP="002F76F3">
      <w:pPr>
        <w:numPr>
          <w:ilvl w:val="0"/>
          <w:numId w:val="19"/>
        </w:numPr>
        <w:ind w:hanging="357"/>
      </w:pPr>
      <w:r w:rsidRPr="00A832D8">
        <w:rPr>
          <w:noProof/>
        </w:rPr>
        <w:t>EKS ir plašāks sektorālais</w:t>
      </w:r>
      <w:r w:rsidRPr="00A832D8">
        <w:t xml:space="preserve"> tvērums – tas ir attiecināms uz visu vispārējās valdības institucionālo sektoru, tajā skaitā uz valsts vai pašvaldību kontrolētām un finansētām komercsabiedrībām, taču nacionālā budžeta uzskaite aptver vien tipiskās budžeta iestādes.</w:t>
      </w:r>
    </w:p>
    <w:p w:rsidR="002F76F3" w:rsidRDefault="002F76F3" w:rsidP="002F76F3">
      <w:pPr>
        <w:spacing w:after="0"/>
      </w:pPr>
      <w:r w:rsidRPr="00A832D8">
        <w:t>Valsts finanšu uzskaiti atbilstoši EKS metodoloģijai Latvijā veic Centrālā statistikas pārvalde</w:t>
      </w:r>
      <w:r>
        <w:t xml:space="preserve"> (CSP)</w:t>
      </w:r>
      <w:r w:rsidRPr="00A832D8">
        <w:t xml:space="preserve">. Savukārt Finanšu ministrija izstrādā vispārējās valdības budžeta prognozes, ievērojot </w:t>
      </w:r>
      <w:r>
        <w:t>CSP</w:t>
      </w:r>
      <w:r w:rsidRPr="00A832D8">
        <w:t xml:space="preserve"> izmantoto EKS metodiku, tādējādi nodrošinot prognozēto rādītāju metodoloģisku atbilstību vienotajiem EKS pamatprincipiem.</w:t>
      </w:r>
    </w:p>
    <w:p w:rsidR="002F76F3" w:rsidRDefault="002F76F3" w:rsidP="002F76F3">
      <w:pPr>
        <w:spacing w:before="120"/>
        <w:rPr>
          <w:sz w:val="23"/>
          <w:szCs w:val="23"/>
        </w:rPr>
      </w:pPr>
      <w:r>
        <w:t xml:space="preserve">Finanšu ministrija, veidojot vispārējās valdības budžeta bilances prognozes, veic pieklasificēto valsts un pašvaldību komersantu aptauju. Aptaujās </w:t>
      </w:r>
      <w:r>
        <w:rPr>
          <w:sz w:val="23"/>
          <w:szCs w:val="23"/>
        </w:rPr>
        <w:t>tiek apkopota informācija par visu vispārējās valdības sektorā ietilpstošo valsts un pēc apgrozījuma lielāko pašvaldību komersantu plānoto saimniecisko darbību. Apkopotā informācija ļauj Finanšu ministrijai aprēķināt šo komersantu saimnieciskās darbības rezultāta ietekmi uz vispārējās valdības budžeta bilanci.</w:t>
      </w:r>
    </w:p>
    <w:p w:rsidR="001952BA" w:rsidRDefault="001952BA">
      <w:pPr>
        <w:spacing w:after="0"/>
        <w:ind w:firstLine="0"/>
        <w:jc w:val="left"/>
        <w:rPr>
          <w:b/>
          <w:color w:val="000000" w:themeColor="text1"/>
          <w:sz w:val="28"/>
        </w:rPr>
      </w:pPr>
    </w:p>
    <w:p w:rsidR="001952BA" w:rsidRDefault="001952BA" w:rsidP="001952BA">
      <w:pPr>
        <w:pStyle w:val="Heading2"/>
        <w:numPr>
          <w:ilvl w:val="1"/>
          <w:numId w:val="17"/>
        </w:numPr>
        <w:spacing w:before="240" w:after="240"/>
        <w:ind w:left="1077"/>
        <w:jc w:val="center"/>
        <w:rPr>
          <w:rFonts w:ascii="Times New Roman" w:hAnsi="Times New Roman" w:cs="Times New Roman"/>
          <w:b/>
          <w:color w:val="auto"/>
          <w:sz w:val="36"/>
          <w:szCs w:val="36"/>
        </w:rPr>
      </w:pPr>
      <w:r w:rsidRPr="00A832D8">
        <w:rPr>
          <w:rFonts w:ascii="Times New Roman" w:hAnsi="Times New Roman" w:cs="Times New Roman"/>
          <w:b/>
          <w:color w:val="auto"/>
          <w:sz w:val="36"/>
          <w:szCs w:val="36"/>
        </w:rPr>
        <w:lastRenderedPageBreak/>
        <w:t xml:space="preserve">Vispārējās valdības budžeta </w:t>
      </w:r>
      <w:r>
        <w:rPr>
          <w:rFonts w:ascii="Times New Roman" w:hAnsi="Times New Roman" w:cs="Times New Roman"/>
          <w:b/>
          <w:color w:val="auto"/>
          <w:sz w:val="36"/>
          <w:szCs w:val="36"/>
        </w:rPr>
        <w:t>bilance</w:t>
      </w:r>
    </w:p>
    <w:p w:rsidR="00434853" w:rsidRPr="00434853" w:rsidRDefault="00434853" w:rsidP="00434853">
      <w:pPr>
        <w:rPr>
          <w:iCs/>
          <w:noProof/>
        </w:rPr>
      </w:pPr>
      <w:r>
        <w:t>Atbilstoši Fiskālās disciplīnas likumam (FDL) Latvijas fiskālās politika tāpat</w:t>
      </w:r>
      <w:r w:rsidRPr="00B72063">
        <w:t xml:space="preserve"> kā iepriekšējos gados, </w:t>
      </w:r>
      <w:r>
        <w:t>tiek veidota, nodrošinot</w:t>
      </w:r>
      <w:r w:rsidRPr="00B72063">
        <w:t xml:space="preserve"> ekonomiskajā ciklā sabalansēta budžeta nosacījum</w:t>
      </w:r>
      <w:r>
        <w:t>u</w:t>
      </w:r>
      <w:r w:rsidRPr="00B72063">
        <w:t xml:space="preserve"> jeb nosacījum</w:t>
      </w:r>
      <w:r>
        <w:t>u</w:t>
      </w:r>
      <w:r w:rsidRPr="00B72063">
        <w:t>, ka vispārējās valdības budžeta strukturālais deficīts ilgtermiņā (VTM) nedrīkst pārsniegt 0,5% no IKP.</w:t>
      </w:r>
      <w:r w:rsidRPr="00434853">
        <w:rPr>
          <w:iCs/>
        </w:rPr>
        <w:t xml:space="preserve"> Vispārējās valdības budžeta strukturālās bilances mērķu noteikšanā tiek piemērota vairāku pakāpju metode un tiem ir vienlaicīgi jānodrošina atbilstība gan nacionālā līmeņa fiskālajiem nosacījumiem (bilances nosacījums, izdevumu pieauguma nosacījums un izdevumu </w:t>
      </w:r>
      <w:r w:rsidRPr="00434853">
        <w:rPr>
          <w:iCs/>
          <w:noProof/>
        </w:rPr>
        <w:t xml:space="preserve">pārmantojamības nosacījums), kas definēti FDL, gan arī atbilstība ES Stabilitātes un izaugsmes pakta (SIP) fiskālajiem nosacījumiem. </w:t>
      </w:r>
    </w:p>
    <w:p w:rsidR="00434853" w:rsidRDefault="00434853" w:rsidP="00434853">
      <w:r w:rsidRPr="00341DFD">
        <w:t>Ņemot vērā pieļaujam</w:t>
      </w:r>
      <w:r>
        <w:t>o</w:t>
      </w:r>
      <w:r w:rsidRPr="00341DFD">
        <w:t xml:space="preserve"> </w:t>
      </w:r>
      <w:r>
        <w:t xml:space="preserve">deficīta </w:t>
      </w:r>
      <w:r w:rsidRPr="00341DFD">
        <w:t>atkāp</w:t>
      </w:r>
      <w:r>
        <w:t>i</w:t>
      </w:r>
      <w:r w:rsidRPr="00341DFD">
        <w:t xml:space="preserve"> </w:t>
      </w:r>
      <w:r>
        <w:t>veselības</w:t>
      </w:r>
      <w:r w:rsidRPr="00341DFD">
        <w:t xml:space="preserve"> reform</w:t>
      </w:r>
      <w:r>
        <w:t>as īstenošanai vēl tikai 2019. gadā</w:t>
      </w:r>
      <w:r w:rsidRPr="00341DFD">
        <w:t xml:space="preserve">, </w:t>
      </w:r>
      <w:r w:rsidRPr="00B8343C">
        <w:t xml:space="preserve">vispārējās valdības budžeta strukturālā </w:t>
      </w:r>
      <w:r w:rsidRPr="00341DFD">
        <w:t xml:space="preserve">deficīta mērķis 2019.gadā tika noteikts 0,55% no IKP, </w:t>
      </w:r>
      <w:r>
        <w:t xml:space="preserve">savukārt </w:t>
      </w:r>
      <w:r w:rsidRPr="00341DFD">
        <w:t>2020.gadā 0,2</w:t>
      </w:r>
      <w:r>
        <w:t>0</w:t>
      </w:r>
      <w:r w:rsidRPr="00341DFD">
        <w:t>% no IKP un 2021.gadā 0,5</w:t>
      </w:r>
      <w:r>
        <w:t>0</w:t>
      </w:r>
      <w:r w:rsidRPr="00341DFD">
        <w:t xml:space="preserve">% no IKP. </w:t>
      </w:r>
    </w:p>
    <w:p w:rsidR="00434853" w:rsidRDefault="00434853" w:rsidP="00434853">
      <w:r w:rsidRPr="00341DFD">
        <w:t>Balstoties uz notei</w:t>
      </w:r>
      <w:r>
        <w:t>kto strukturālās budžeta bilances mērķi un</w:t>
      </w:r>
      <w:r w:rsidRPr="00341DFD">
        <w:t xml:space="preserve"> ņemot vērā bilances ciklisko komponenti</w:t>
      </w:r>
      <w:r>
        <w:t xml:space="preserve"> un vienreizējo pasākumu (</w:t>
      </w:r>
      <w:r w:rsidRPr="00434853">
        <w:rPr>
          <w:i/>
          <w:noProof/>
          <w:lang w:val="en-US"/>
        </w:rPr>
        <w:t>one-off</w:t>
      </w:r>
      <w:r w:rsidRPr="00434853">
        <w:rPr>
          <w:noProof/>
          <w:lang w:val="en-US"/>
        </w:rPr>
        <w:t>)</w:t>
      </w:r>
      <w:r>
        <w:t xml:space="preserve"> ietekmi</w:t>
      </w:r>
      <w:r>
        <w:rPr>
          <w:rStyle w:val="FootnoteReference"/>
        </w:rPr>
        <w:footnoteReference w:id="4"/>
      </w:r>
      <w:r>
        <w:t xml:space="preserve">, tika aprēķināts nominālās </w:t>
      </w:r>
      <w:r w:rsidRPr="00341DFD">
        <w:t>visp</w:t>
      </w:r>
      <w:r>
        <w:t>ārējās valdības budžeta bilances mērķis</w:t>
      </w:r>
      <w:r w:rsidRPr="00341DFD">
        <w:t>. 2019.gad</w:t>
      </w:r>
      <w:r>
        <w:t>ā</w:t>
      </w:r>
      <w:r w:rsidRPr="00341DFD">
        <w:t xml:space="preserve"> </w:t>
      </w:r>
      <w:r>
        <w:t>vispārējās valdības budžeta deficīts, kas izriet no strukturālās budžeta deficīta mērķa,</w:t>
      </w:r>
      <w:r w:rsidRPr="00341DFD">
        <w:t xml:space="preserve"> ir 0,64% no IKP, 2020.gadā 0,25% n</w:t>
      </w:r>
      <w:r>
        <w:t>o IKP un 2021.gadā 0,38% no IKP.</w:t>
      </w:r>
    </w:p>
    <w:p w:rsidR="00434853" w:rsidRPr="00434853" w:rsidRDefault="00434853" w:rsidP="00434853">
      <w:r>
        <w:t>Piemērojot vispārējās valdības budžeta deficītam, kas izriet no strukturālā budžeta deficīta mērķa, fiskālā nodrošinājuma rezervi 0,1% no IKP apmērā, vispārējās valdības budžetā 2019. gadā ir pieļaujams deficīts 0,5% no IKP un šādā apmērā tas arī tiek prognozēts (skat. 2.2. attēlu).</w:t>
      </w:r>
    </w:p>
    <w:p w:rsidR="001952BA" w:rsidRDefault="00AB7FBE" w:rsidP="001952BA">
      <w:pPr>
        <w:ind w:firstLine="0"/>
        <w:jc w:val="center"/>
      </w:pPr>
      <w:r>
        <w:rPr>
          <w:noProof/>
          <w:lang w:eastAsia="lv-LV"/>
        </w:rPr>
        <w:drawing>
          <wp:inline distT="0" distB="0" distL="0" distR="0" wp14:anchorId="66571613">
            <wp:extent cx="5429250" cy="34817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0217" cy="3482381"/>
                    </a:xfrm>
                    <a:prstGeom prst="rect">
                      <a:avLst/>
                    </a:prstGeom>
                    <a:noFill/>
                  </pic:spPr>
                </pic:pic>
              </a:graphicData>
            </a:graphic>
          </wp:inline>
        </w:drawing>
      </w:r>
      <w:bookmarkStart w:id="2" w:name="_GoBack"/>
      <w:bookmarkEnd w:id="2"/>
    </w:p>
    <w:p w:rsidR="001952BA" w:rsidRPr="00EA1C0F" w:rsidRDefault="001952BA" w:rsidP="001952BA">
      <w:pPr>
        <w:ind w:firstLine="0"/>
        <w:jc w:val="center"/>
        <w:rPr>
          <w:b/>
          <w:i/>
          <w:szCs w:val="24"/>
        </w:rPr>
      </w:pPr>
      <w:r w:rsidRPr="00EA1C0F">
        <w:rPr>
          <w:b/>
          <w:i/>
          <w:szCs w:val="24"/>
        </w:rPr>
        <w:t>2.2. att. Vispārējās valdības budžeta bilance, % no IKP</w:t>
      </w:r>
    </w:p>
    <w:p w:rsidR="00434853" w:rsidRDefault="00434853" w:rsidP="00434853">
      <w:pPr>
        <w:spacing w:after="0"/>
        <w:ind w:firstLine="720"/>
        <w:rPr>
          <w:color w:val="000000" w:themeColor="text1"/>
          <w:szCs w:val="24"/>
        </w:rPr>
      </w:pPr>
      <w:r w:rsidRPr="00EA1C0F">
        <w:rPr>
          <w:color w:val="000000" w:themeColor="text1"/>
          <w:szCs w:val="24"/>
        </w:rPr>
        <w:lastRenderedPageBreak/>
        <w:t xml:space="preserve">Ņemot vērā </w:t>
      </w:r>
      <w:r w:rsidR="00EA1C0F" w:rsidRPr="00EA1C0F">
        <w:rPr>
          <w:i/>
          <w:noProof/>
          <w:color w:val="000000" w:themeColor="text1"/>
          <w:szCs w:val="24"/>
        </w:rPr>
        <w:t>Eurostat</w:t>
      </w:r>
      <w:r w:rsidR="00EA1C0F" w:rsidRPr="00EA1C0F">
        <w:rPr>
          <w:color w:val="000000" w:themeColor="text1"/>
          <w:szCs w:val="24"/>
        </w:rPr>
        <w:t xml:space="preserve"> 2019.gada 23.aprīļa Vispārējās valdības budžeta deficīta un parāda notifikācijas datus par 2018.gadu</w:t>
      </w:r>
      <w:r w:rsidRPr="00EA1C0F">
        <w:rPr>
          <w:color w:val="000000" w:themeColor="text1"/>
          <w:szCs w:val="24"/>
        </w:rPr>
        <w:t xml:space="preserve">, vispārējās valdības budžeta deficīts </w:t>
      </w:r>
      <w:r w:rsidRPr="00EA1C0F">
        <w:rPr>
          <w:b/>
          <w:color w:val="000000" w:themeColor="text1"/>
          <w:szCs w:val="24"/>
        </w:rPr>
        <w:t>2018.gadā</w:t>
      </w:r>
      <w:r w:rsidRPr="00EA1C0F">
        <w:rPr>
          <w:color w:val="000000" w:themeColor="text1"/>
          <w:szCs w:val="24"/>
        </w:rPr>
        <w:t xml:space="preserve"> bija </w:t>
      </w:r>
      <w:r w:rsidR="00EA1C0F" w:rsidRPr="00EA1C0F">
        <w:rPr>
          <w:color w:val="000000" w:themeColor="text1"/>
          <w:szCs w:val="24"/>
        </w:rPr>
        <w:t>1,0</w:t>
      </w:r>
      <w:r w:rsidRPr="00EA1C0F">
        <w:rPr>
          <w:color w:val="000000" w:themeColor="text1"/>
          <w:szCs w:val="24"/>
        </w:rPr>
        <w:t xml:space="preserve">% no IKP. Novērtētais deficīts </w:t>
      </w:r>
      <w:r w:rsidR="00EA1C0F" w:rsidRPr="00EA1C0F">
        <w:rPr>
          <w:color w:val="000000" w:themeColor="text1"/>
          <w:szCs w:val="24"/>
        </w:rPr>
        <w:t>atbilst</w:t>
      </w:r>
      <w:r w:rsidRPr="00EA1C0F">
        <w:rPr>
          <w:color w:val="000000" w:themeColor="text1"/>
          <w:szCs w:val="24"/>
        </w:rPr>
        <w:t xml:space="preserve"> likumā “Par vidējā termiņa budžeta ietvaru 2018., 2019. un 2020.gadam” noteikta</w:t>
      </w:r>
      <w:r w:rsidR="00EA1C0F" w:rsidRPr="00EA1C0F">
        <w:rPr>
          <w:color w:val="000000" w:themeColor="text1"/>
          <w:szCs w:val="24"/>
        </w:rPr>
        <w:t>jam</w:t>
      </w:r>
      <w:r w:rsidRPr="00EA1C0F">
        <w:rPr>
          <w:color w:val="000000" w:themeColor="text1"/>
          <w:szCs w:val="24"/>
        </w:rPr>
        <w:t xml:space="preserve"> vispārējās valdības budžeta deficīt</w:t>
      </w:r>
      <w:r w:rsidR="00EA1C0F" w:rsidRPr="00EA1C0F">
        <w:rPr>
          <w:color w:val="000000" w:themeColor="text1"/>
          <w:szCs w:val="24"/>
        </w:rPr>
        <w:t>a līmenim</w:t>
      </w:r>
      <w:r w:rsidRPr="00EA1C0F">
        <w:rPr>
          <w:color w:val="000000" w:themeColor="text1"/>
          <w:szCs w:val="24"/>
        </w:rPr>
        <w:t xml:space="preserve">. </w:t>
      </w:r>
    </w:p>
    <w:p w:rsidR="001952BA" w:rsidRDefault="001952BA" w:rsidP="001952BA">
      <w:pPr>
        <w:keepNext/>
        <w:spacing w:before="240"/>
        <w:ind w:firstLine="0"/>
        <w:jc w:val="center"/>
        <w:rPr>
          <w:b/>
          <w:i/>
          <w:szCs w:val="24"/>
        </w:rPr>
      </w:pPr>
      <w:r w:rsidRPr="00F621BD">
        <w:rPr>
          <w:b/>
          <w:i/>
          <w:szCs w:val="24"/>
        </w:rPr>
        <w:t>2.</w:t>
      </w:r>
      <w:r w:rsidR="008C71C1">
        <w:rPr>
          <w:b/>
          <w:i/>
          <w:szCs w:val="24"/>
        </w:rPr>
        <w:t>2</w:t>
      </w:r>
      <w:r w:rsidRPr="00F621BD">
        <w:rPr>
          <w:b/>
          <w:i/>
          <w:szCs w:val="24"/>
        </w:rPr>
        <w:t>. tabula. Vispārējās valdības budžeta un konsolidētā kopbudžeta bilance 2015.</w:t>
      </w:r>
      <w:r w:rsidRPr="00F621BD">
        <w:rPr>
          <w:b/>
          <w:i/>
          <w:szCs w:val="24"/>
        </w:rPr>
        <w:noBreakHyphen/>
        <w:t xml:space="preserve">2021.gadā, milj. </w:t>
      </w:r>
      <w:r w:rsidRPr="00F621BD">
        <w:rPr>
          <w:b/>
          <w:i/>
          <w:noProof/>
          <w:szCs w:val="24"/>
        </w:rPr>
        <w:t>euro</w:t>
      </w:r>
      <w:r w:rsidRPr="00F621BD">
        <w:rPr>
          <w:b/>
          <w:i/>
          <w:szCs w:val="24"/>
        </w:rPr>
        <w:t xml:space="preserve"> un % no IKP</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756"/>
        <w:gridCol w:w="756"/>
        <w:gridCol w:w="756"/>
        <w:gridCol w:w="846"/>
        <w:gridCol w:w="846"/>
        <w:gridCol w:w="846"/>
        <w:gridCol w:w="846"/>
      </w:tblGrid>
      <w:tr w:rsidR="00434853" w:rsidRPr="0035459B" w:rsidTr="00F24DCA">
        <w:trPr>
          <w:trHeight w:val="20"/>
          <w:jc w:val="center"/>
        </w:trPr>
        <w:tc>
          <w:tcPr>
            <w:tcW w:w="0" w:type="auto"/>
            <w:shd w:val="clear" w:color="auto" w:fill="auto"/>
            <w:noWrap/>
            <w:vAlign w:val="center"/>
            <w:hideMark/>
          </w:tcPr>
          <w:p w:rsidR="00434853" w:rsidRPr="007B0F0A" w:rsidRDefault="00434853" w:rsidP="00F24DCA">
            <w:pPr>
              <w:spacing w:after="0"/>
              <w:ind w:firstLine="0"/>
              <w:contextualSpacing/>
              <w:jc w:val="left"/>
              <w:rPr>
                <w:color w:val="000000"/>
                <w:sz w:val="18"/>
                <w:szCs w:val="18"/>
                <w:lang w:eastAsia="lv-LV"/>
              </w:rPr>
            </w:pPr>
            <w:r w:rsidRPr="007B0F0A">
              <w:rPr>
                <w:color w:val="000000"/>
                <w:sz w:val="18"/>
                <w:szCs w:val="18"/>
                <w:lang w:eastAsia="lv-LV"/>
              </w:rPr>
              <w:t> </w:t>
            </w:r>
          </w:p>
        </w:tc>
        <w:tc>
          <w:tcPr>
            <w:tcW w:w="0" w:type="auto"/>
            <w:shd w:val="clear" w:color="auto" w:fill="auto"/>
            <w:noWrap/>
            <w:vAlign w:val="center"/>
            <w:hideMark/>
          </w:tcPr>
          <w:p w:rsidR="00434853" w:rsidRPr="007B0F0A" w:rsidRDefault="00434853" w:rsidP="00F24DCA">
            <w:pPr>
              <w:spacing w:after="0"/>
              <w:ind w:firstLine="0"/>
              <w:contextualSpacing/>
              <w:jc w:val="center"/>
              <w:rPr>
                <w:b/>
                <w:bCs/>
                <w:color w:val="000000"/>
                <w:sz w:val="18"/>
                <w:szCs w:val="18"/>
                <w:lang w:eastAsia="lv-LV"/>
              </w:rPr>
            </w:pPr>
            <w:r w:rsidRPr="007B0F0A">
              <w:rPr>
                <w:b/>
                <w:bCs/>
                <w:color w:val="000000"/>
                <w:sz w:val="18"/>
                <w:szCs w:val="18"/>
                <w:lang w:eastAsia="lv-LV"/>
              </w:rPr>
              <w:t>2015</w:t>
            </w:r>
          </w:p>
        </w:tc>
        <w:tc>
          <w:tcPr>
            <w:tcW w:w="0" w:type="auto"/>
            <w:shd w:val="clear" w:color="auto" w:fill="auto"/>
            <w:noWrap/>
            <w:vAlign w:val="center"/>
            <w:hideMark/>
          </w:tcPr>
          <w:p w:rsidR="00434853" w:rsidRPr="007B0F0A" w:rsidRDefault="00434853" w:rsidP="00F24DCA">
            <w:pPr>
              <w:spacing w:after="0"/>
              <w:ind w:firstLine="0"/>
              <w:contextualSpacing/>
              <w:jc w:val="center"/>
              <w:rPr>
                <w:b/>
                <w:bCs/>
                <w:color w:val="000000"/>
                <w:sz w:val="18"/>
                <w:szCs w:val="18"/>
                <w:lang w:eastAsia="lv-LV"/>
              </w:rPr>
            </w:pPr>
            <w:r w:rsidRPr="007B0F0A">
              <w:rPr>
                <w:b/>
                <w:bCs/>
                <w:color w:val="000000"/>
                <w:sz w:val="18"/>
                <w:szCs w:val="18"/>
                <w:lang w:eastAsia="lv-LV"/>
              </w:rPr>
              <w:t>2016</w:t>
            </w:r>
          </w:p>
        </w:tc>
        <w:tc>
          <w:tcPr>
            <w:tcW w:w="0" w:type="auto"/>
            <w:shd w:val="clear" w:color="auto" w:fill="auto"/>
            <w:noWrap/>
            <w:vAlign w:val="center"/>
            <w:hideMark/>
          </w:tcPr>
          <w:p w:rsidR="00434853" w:rsidRPr="007B0F0A" w:rsidRDefault="00434853" w:rsidP="00F24DCA">
            <w:pPr>
              <w:spacing w:after="0"/>
              <w:ind w:firstLine="0"/>
              <w:contextualSpacing/>
              <w:jc w:val="center"/>
              <w:rPr>
                <w:b/>
                <w:bCs/>
                <w:color w:val="000000"/>
                <w:sz w:val="18"/>
                <w:szCs w:val="18"/>
                <w:lang w:eastAsia="lv-LV"/>
              </w:rPr>
            </w:pPr>
            <w:r w:rsidRPr="007B0F0A">
              <w:rPr>
                <w:b/>
                <w:bCs/>
                <w:color w:val="000000"/>
                <w:sz w:val="18"/>
                <w:szCs w:val="18"/>
                <w:lang w:eastAsia="lv-LV"/>
              </w:rPr>
              <w:t>2017</w:t>
            </w:r>
          </w:p>
        </w:tc>
        <w:tc>
          <w:tcPr>
            <w:tcW w:w="0" w:type="auto"/>
            <w:shd w:val="clear" w:color="auto" w:fill="auto"/>
            <w:noWrap/>
            <w:vAlign w:val="center"/>
            <w:hideMark/>
          </w:tcPr>
          <w:p w:rsidR="00434853" w:rsidRPr="007B0F0A" w:rsidRDefault="00434853" w:rsidP="00F24DCA">
            <w:pPr>
              <w:spacing w:after="0"/>
              <w:ind w:firstLine="0"/>
              <w:contextualSpacing/>
              <w:jc w:val="center"/>
              <w:rPr>
                <w:b/>
                <w:bCs/>
                <w:color w:val="000000"/>
                <w:sz w:val="18"/>
                <w:szCs w:val="18"/>
                <w:lang w:eastAsia="lv-LV"/>
              </w:rPr>
            </w:pPr>
            <w:r w:rsidRPr="007B0F0A">
              <w:rPr>
                <w:b/>
                <w:bCs/>
                <w:color w:val="000000"/>
                <w:sz w:val="18"/>
                <w:szCs w:val="18"/>
                <w:lang w:eastAsia="lv-LV"/>
              </w:rPr>
              <w:t>2018</w:t>
            </w:r>
          </w:p>
        </w:tc>
        <w:tc>
          <w:tcPr>
            <w:tcW w:w="0" w:type="auto"/>
            <w:shd w:val="clear" w:color="auto" w:fill="auto"/>
            <w:noWrap/>
            <w:vAlign w:val="center"/>
            <w:hideMark/>
          </w:tcPr>
          <w:p w:rsidR="00434853" w:rsidRPr="007B0F0A" w:rsidRDefault="00434853" w:rsidP="00F24DCA">
            <w:pPr>
              <w:spacing w:after="0"/>
              <w:ind w:firstLine="0"/>
              <w:contextualSpacing/>
              <w:jc w:val="center"/>
              <w:rPr>
                <w:b/>
                <w:bCs/>
                <w:color w:val="000000"/>
                <w:sz w:val="18"/>
                <w:szCs w:val="18"/>
                <w:lang w:eastAsia="lv-LV"/>
              </w:rPr>
            </w:pPr>
            <w:r w:rsidRPr="007B0F0A">
              <w:rPr>
                <w:b/>
                <w:bCs/>
                <w:color w:val="000000"/>
                <w:sz w:val="18"/>
                <w:szCs w:val="18"/>
                <w:lang w:eastAsia="lv-LV"/>
              </w:rPr>
              <w:t>2019</w:t>
            </w:r>
          </w:p>
        </w:tc>
        <w:tc>
          <w:tcPr>
            <w:tcW w:w="0" w:type="auto"/>
            <w:shd w:val="clear" w:color="auto" w:fill="auto"/>
            <w:noWrap/>
            <w:vAlign w:val="center"/>
            <w:hideMark/>
          </w:tcPr>
          <w:p w:rsidR="00434853" w:rsidRPr="007B0F0A" w:rsidRDefault="00434853" w:rsidP="00F24DCA">
            <w:pPr>
              <w:spacing w:after="0"/>
              <w:ind w:firstLine="0"/>
              <w:contextualSpacing/>
              <w:jc w:val="center"/>
              <w:rPr>
                <w:b/>
                <w:bCs/>
                <w:color w:val="000000"/>
                <w:sz w:val="18"/>
                <w:szCs w:val="18"/>
                <w:lang w:eastAsia="lv-LV"/>
              </w:rPr>
            </w:pPr>
            <w:r w:rsidRPr="007B0F0A">
              <w:rPr>
                <w:b/>
                <w:bCs/>
                <w:color w:val="000000"/>
                <w:sz w:val="18"/>
                <w:szCs w:val="18"/>
                <w:lang w:eastAsia="lv-LV"/>
              </w:rPr>
              <w:t>2020</w:t>
            </w:r>
          </w:p>
        </w:tc>
        <w:tc>
          <w:tcPr>
            <w:tcW w:w="0" w:type="auto"/>
            <w:shd w:val="clear" w:color="auto" w:fill="auto"/>
            <w:noWrap/>
            <w:vAlign w:val="center"/>
            <w:hideMark/>
          </w:tcPr>
          <w:p w:rsidR="00434853" w:rsidRPr="007B0F0A" w:rsidRDefault="00434853" w:rsidP="00F24DCA">
            <w:pPr>
              <w:spacing w:after="0"/>
              <w:ind w:firstLine="0"/>
              <w:contextualSpacing/>
              <w:jc w:val="center"/>
              <w:rPr>
                <w:b/>
                <w:bCs/>
                <w:color w:val="000000"/>
                <w:sz w:val="18"/>
                <w:szCs w:val="18"/>
                <w:lang w:eastAsia="lv-LV"/>
              </w:rPr>
            </w:pPr>
            <w:r w:rsidRPr="007B0F0A">
              <w:rPr>
                <w:b/>
                <w:bCs/>
                <w:color w:val="000000"/>
                <w:sz w:val="18"/>
                <w:szCs w:val="18"/>
                <w:lang w:eastAsia="lv-LV"/>
              </w:rPr>
              <w:t>2021</w:t>
            </w:r>
          </w:p>
        </w:tc>
      </w:tr>
      <w:tr w:rsidR="00812001" w:rsidRPr="0035459B" w:rsidTr="008D6000">
        <w:trPr>
          <w:trHeight w:val="20"/>
          <w:jc w:val="center"/>
        </w:trPr>
        <w:tc>
          <w:tcPr>
            <w:tcW w:w="0" w:type="auto"/>
            <w:shd w:val="clear" w:color="auto" w:fill="auto"/>
            <w:noWrap/>
            <w:vAlign w:val="center"/>
            <w:hideMark/>
          </w:tcPr>
          <w:p w:rsidR="00812001" w:rsidRPr="007B0F0A" w:rsidRDefault="00812001" w:rsidP="00F24DCA">
            <w:pPr>
              <w:spacing w:after="0"/>
              <w:ind w:firstLine="0"/>
              <w:contextualSpacing/>
              <w:jc w:val="left"/>
              <w:rPr>
                <w:b/>
                <w:bCs/>
                <w:color w:val="000000"/>
                <w:sz w:val="18"/>
                <w:szCs w:val="18"/>
                <w:lang w:eastAsia="lv-LV"/>
              </w:rPr>
            </w:pPr>
            <w:r w:rsidRPr="007B0F0A">
              <w:rPr>
                <w:b/>
                <w:bCs/>
                <w:color w:val="000000"/>
                <w:sz w:val="18"/>
                <w:szCs w:val="18"/>
                <w:lang w:eastAsia="lv-LV"/>
              </w:rPr>
              <w:t> </w:t>
            </w:r>
          </w:p>
        </w:tc>
        <w:tc>
          <w:tcPr>
            <w:tcW w:w="0" w:type="auto"/>
            <w:gridSpan w:val="4"/>
            <w:shd w:val="clear" w:color="auto" w:fill="auto"/>
            <w:noWrap/>
            <w:vAlign w:val="center"/>
            <w:hideMark/>
          </w:tcPr>
          <w:p w:rsidR="00812001" w:rsidRPr="00812001" w:rsidRDefault="00AB7FBE" w:rsidP="00A259BA">
            <w:pPr>
              <w:spacing w:after="0"/>
              <w:ind w:firstLine="0"/>
              <w:contextualSpacing/>
              <w:jc w:val="center"/>
              <w:rPr>
                <w:color w:val="000000"/>
                <w:sz w:val="18"/>
                <w:szCs w:val="18"/>
                <w:lang w:eastAsia="lv-LV"/>
              </w:rPr>
            </w:pPr>
            <w:r>
              <w:rPr>
                <w:color w:val="000000"/>
                <w:sz w:val="18"/>
                <w:szCs w:val="18"/>
                <w:lang w:eastAsia="lv-LV"/>
              </w:rPr>
              <w:t>Fakts</w:t>
            </w:r>
          </w:p>
        </w:tc>
        <w:tc>
          <w:tcPr>
            <w:tcW w:w="0" w:type="auto"/>
            <w:gridSpan w:val="3"/>
            <w:shd w:val="clear" w:color="auto" w:fill="auto"/>
            <w:vAlign w:val="center"/>
            <w:hideMark/>
          </w:tcPr>
          <w:p w:rsidR="00812001" w:rsidRPr="007B0F0A" w:rsidRDefault="00812001" w:rsidP="00F24DCA">
            <w:pPr>
              <w:spacing w:after="0"/>
              <w:ind w:firstLine="0"/>
              <w:contextualSpacing/>
              <w:jc w:val="center"/>
              <w:rPr>
                <w:color w:val="000000"/>
                <w:sz w:val="18"/>
                <w:szCs w:val="18"/>
                <w:lang w:eastAsia="lv-LV"/>
              </w:rPr>
            </w:pPr>
            <w:r w:rsidRPr="007B0F0A">
              <w:rPr>
                <w:color w:val="000000"/>
                <w:sz w:val="18"/>
                <w:szCs w:val="18"/>
                <w:lang w:eastAsia="lv-LV"/>
              </w:rPr>
              <w:t>Prognoze</w:t>
            </w:r>
          </w:p>
        </w:tc>
      </w:tr>
      <w:tr w:rsidR="00434853" w:rsidRPr="0035459B" w:rsidTr="00F24DCA">
        <w:trPr>
          <w:trHeight w:val="20"/>
          <w:jc w:val="center"/>
        </w:trPr>
        <w:tc>
          <w:tcPr>
            <w:tcW w:w="0" w:type="auto"/>
            <w:shd w:val="clear" w:color="000000" w:fill="B8CCE4"/>
            <w:vAlign w:val="center"/>
            <w:hideMark/>
          </w:tcPr>
          <w:p w:rsidR="00434853" w:rsidRPr="007B0F0A" w:rsidRDefault="00434853" w:rsidP="00F24DCA">
            <w:pPr>
              <w:spacing w:after="0"/>
              <w:ind w:firstLine="0"/>
              <w:contextualSpacing/>
              <w:jc w:val="left"/>
              <w:rPr>
                <w:b/>
                <w:bCs/>
                <w:color w:val="000000"/>
                <w:sz w:val="18"/>
                <w:szCs w:val="18"/>
                <w:lang w:eastAsia="lv-LV"/>
              </w:rPr>
            </w:pPr>
            <w:r w:rsidRPr="007B0F0A">
              <w:rPr>
                <w:b/>
                <w:bCs/>
                <w:color w:val="000000"/>
                <w:sz w:val="18"/>
                <w:szCs w:val="18"/>
                <w:lang w:eastAsia="lv-LV"/>
              </w:rPr>
              <w:t>Vispārējās valdības budžeta bilance, % no IKP</w:t>
            </w:r>
          </w:p>
        </w:tc>
        <w:tc>
          <w:tcPr>
            <w:tcW w:w="0" w:type="auto"/>
            <w:shd w:val="clear" w:color="000000" w:fill="B8CCE4"/>
            <w:noWrap/>
            <w:vAlign w:val="center"/>
            <w:hideMark/>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-1,4</w:t>
            </w:r>
          </w:p>
        </w:tc>
        <w:tc>
          <w:tcPr>
            <w:tcW w:w="0" w:type="auto"/>
            <w:shd w:val="clear" w:color="000000" w:fill="B8CCE4"/>
            <w:noWrap/>
            <w:vAlign w:val="center"/>
            <w:hideMark/>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0,1</w:t>
            </w:r>
          </w:p>
        </w:tc>
        <w:tc>
          <w:tcPr>
            <w:tcW w:w="0" w:type="auto"/>
            <w:shd w:val="clear" w:color="000000" w:fill="B8CCE4"/>
            <w:noWrap/>
            <w:vAlign w:val="center"/>
            <w:hideMark/>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-0,6</w:t>
            </w:r>
          </w:p>
        </w:tc>
        <w:tc>
          <w:tcPr>
            <w:tcW w:w="0" w:type="auto"/>
            <w:shd w:val="clear" w:color="000000" w:fill="B8CCE4"/>
            <w:noWrap/>
            <w:vAlign w:val="center"/>
            <w:hideMark/>
          </w:tcPr>
          <w:p w:rsidR="00434853" w:rsidRPr="00812001" w:rsidRDefault="00434853" w:rsidP="00812001">
            <w:pPr>
              <w:spacing w:after="0"/>
              <w:ind w:firstLine="0"/>
              <w:contextualSpacing/>
              <w:jc w:val="right"/>
              <w:rPr>
                <w:b/>
                <w:bCs/>
                <w:color w:val="000000"/>
                <w:sz w:val="18"/>
                <w:szCs w:val="18"/>
                <w:lang w:eastAsia="lv-LV"/>
              </w:rPr>
            </w:pPr>
            <w:r w:rsidRPr="00812001">
              <w:rPr>
                <w:b/>
                <w:bCs/>
                <w:color w:val="000000"/>
                <w:sz w:val="18"/>
                <w:szCs w:val="18"/>
                <w:lang w:eastAsia="lv-LV"/>
              </w:rPr>
              <w:t>-</w:t>
            </w:r>
            <w:r w:rsidR="00812001" w:rsidRPr="00812001">
              <w:rPr>
                <w:b/>
                <w:bCs/>
                <w:color w:val="000000"/>
                <w:sz w:val="18"/>
                <w:szCs w:val="18"/>
                <w:lang w:eastAsia="lv-LV"/>
              </w:rPr>
              <w:t>1</w:t>
            </w:r>
            <w:r w:rsidRPr="00812001">
              <w:rPr>
                <w:b/>
                <w:bCs/>
                <w:color w:val="000000"/>
                <w:sz w:val="18"/>
                <w:szCs w:val="18"/>
                <w:lang w:eastAsia="lv-LV"/>
              </w:rPr>
              <w:t>,</w:t>
            </w:r>
            <w:r w:rsidR="00812001" w:rsidRPr="00812001">
              <w:rPr>
                <w:b/>
                <w:bCs/>
                <w:color w:val="000000"/>
                <w:sz w:val="18"/>
                <w:szCs w:val="18"/>
                <w:lang w:eastAsia="lv-LV"/>
              </w:rPr>
              <w:t>0</w:t>
            </w:r>
          </w:p>
        </w:tc>
        <w:tc>
          <w:tcPr>
            <w:tcW w:w="0" w:type="auto"/>
            <w:shd w:val="clear" w:color="000000" w:fill="B8CCE4"/>
            <w:noWrap/>
            <w:vAlign w:val="center"/>
            <w:hideMark/>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-0,5</w:t>
            </w:r>
          </w:p>
        </w:tc>
        <w:tc>
          <w:tcPr>
            <w:tcW w:w="0" w:type="auto"/>
            <w:shd w:val="clear" w:color="000000" w:fill="B8CCE4"/>
            <w:noWrap/>
            <w:vAlign w:val="center"/>
            <w:hideMark/>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-0,4</w:t>
            </w:r>
          </w:p>
        </w:tc>
        <w:tc>
          <w:tcPr>
            <w:tcW w:w="0" w:type="auto"/>
            <w:shd w:val="clear" w:color="000000" w:fill="B8CCE4"/>
            <w:noWrap/>
            <w:vAlign w:val="center"/>
            <w:hideMark/>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-0,3</w:t>
            </w:r>
          </w:p>
        </w:tc>
      </w:tr>
      <w:tr w:rsidR="00434853" w:rsidRPr="0035459B" w:rsidTr="00F24DCA">
        <w:trPr>
          <w:trHeight w:val="20"/>
          <w:jc w:val="center"/>
        </w:trPr>
        <w:tc>
          <w:tcPr>
            <w:tcW w:w="0" w:type="auto"/>
            <w:shd w:val="clear" w:color="000000" w:fill="B8CCE4"/>
            <w:vAlign w:val="center"/>
            <w:hideMark/>
          </w:tcPr>
          <w:p w:rsidR="00434853" w:rsidRPr="007B0F0A" w:rsidRDefault="00434853" w:rsidP="00F24DCA">
            <w:pPr>
              <w:spacing w:after="0"/>
              <w:ind w:firstLine="0"/>
              <w:contextualSpacing/>
              <w:jc w:val="left"/>
              <w:rPr>
                <w:b/>
                <w:bCs/>
                <w:color w:val="000000"/>
                <w:sz w:val="18"/>
                <w:szCs w:val="18"/>
                <w:lang w:eastAsia="lv-LV"/>
              </w:rPr>
            </w:pPr>
            <w:r w:rsidRPr="007B0F0A">
              <w:rPr>
                <w:b/>
                <w:bCs/>
                <w:color w:val="000000"/>
                <w:sz w:val="18"/>
                <w:szCs w:val="18"/>
                <w:lang w:eastAsia="lv-LV"/>
              </w:rPr>
              <w:t>Vispārējās valdības budžeta bilance</w:t>
            </w:r>
          </w:p>
        </w:tc>
        <w:tc>
          <w:tcPr>
            <w:tcW w:w="0" w:type="auto"/>
            <w:shd w:val="clear" w:color="000000" w:fill="B8CCE4"/>
            <w:noWrap/>
            <w:vAlign w:val="center"/>
            <w:hideMark/>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-331,4</w:t>
            </w:r>
          </w:p>
        </w:tc>
        <w:tc>
          <w:tcPr>
            <w:tcW w:w="0" w:type="auto"/>
            <w:shd w:val="clear" w:color="000000" w:fill="B8CCE4"/>
            <w:noWrap/>
            <w:vAlign w:val="center"/>
            <w:hideMark/>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16,2</w:t>
            </w:r>
          </w:p>
        </w:tc>
        <w:tc>
          <w:tcPr>
            <w:tcW w:w="0" w:type="auto"/>
            <w:shd w:val="clear" w:color="000000" w:fill="B8CCE4"/>
            <w:noWrap/>
            <w:vAlign w:val="center"/>
            <w:hideMark/>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-155,7</w:t>
            </w:r>
          </w:p>
        </w:tc>
        <w:tc>
          <w:tcPr>
            <w:tcW w:w="0" w:type="auto"/>
            <w:shd w:val="clear" w:color="000000" w:fill="B8CCE4"/>
            <w:noWrap/>
            <w:vAlign w:val="center"/>
            <w:hideMark/>
          </w:tcPr>
          <w:p w:rsidR="00434853" w:rsidRPr="00812001" w:rsidRDefault="00434853" w:rsidP="00812001">
            <w:pPr>
              <w:spacing w:after="0"/>
              <w:ind w:firstLine="0"/>
              <w:contextualSpacing/>
              <w:jc w:val="right"/>
              <w:rPr>
                <w:b/>
                <w:bCs/>
                <w:color w:val="000000"/>
                <w:sz w:val="18"/>
                <w:szCs w:val="18"/>
                <w:lang w:eastAsia="lv-LV"/>
              </w:rPr>
            </w:pPr>
            <w:r w:rsidRPr="00812001">
              <w:rPr>
                <w:b/>
                <w:bCs/>
                <w:color w:val="000000"/>
                <w:sz w:val="18"/>
                <w:szCs w:val="18"/>
                <w:lang w:eastAsia="lv-LV"/>
              </w:rPr>
              <w:t>-</w:t>
            </w:r>
            <w:r w:rsidR="00812001" w:rsidRPr="00812001">
              <w:rPr>
                <w:b/>
                <w:bCs/>
                <w:color w:val="000000"/>
                <w:sz w:val="18"/>
                <w:szCs w:val="18"/>
                <w:lang w:eastAsia="lv-LV"/>
              </w:rPr>
              <w:t>295,4</w:t>
            </w:r>
          </w:p>
        </w:tc>
        <w:tc>
          <w:tcPr>
            <w:tcW w:w="0" w:type="auto"/>
            <w:shd w:val="clear" w:color="000000" w:fill="B8CCE4"/>
            <w:noWrap/>
            <w:vAlign w:val="center"/>
            <w:hideMark/>
          </w:tcPr>
          <w:p w:rsidR="00434853" w:rsidRPr="00F45402" w:rsidRDefault="00434853" w:rsidP="00F24DCA">
            <w:pPr>
              <w:spacing w:after="0"/>
              <w:ind w:firstLine="0"/>
              <w:contextualSpacing/>
              <w:jc w:val="right"/>
              <w:rPr>
                <w:b/>
                <w:bCs/>
                <w:color w:val="000000"/>
                <w:sz w:val="18"/>
                <w:szCs w:val="18"/>
                <w:lang w:eastAsia="lv-LV"/>
              </w:rPr>
            </w:pPr>
            <w:r w:rsidRPr="00F45402">
              <w:rPr>
                <w:b/>
                <w:bCs/>
                <w:color w:val="000000"/>
                <w:sz w:val="18"/>
                <w:szCs w:val="18"/>
                <w:lang w:eastAsia="lv-LV"/>
              </w:rPr>
              <w:t>-168,6</w:t>
            </w:r>
          </w:p>
        </w:tc>
        <w:tc>
          <w:tcPr>
            <w:tcW w:w="0" w:type="auto"/>
            <w:shd w:val="clear" w:color="000000" w:fill="B8CCE4"/>
            <w:noWrap/>
            <w:vAlign w:val="center"/>
            <w:hideMark/>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-115,6</w:t>
            </w:r>
          </w:p>
        </w:tc>
        <w:tc>
          <w:tcPr>
            <w:tcW w:w="0" w:type="auto"/>
            <w:shd w:val="clear" w:color="000000" w:fill="B8CCE4"/>
            <w:noWrap/>
            <w:vAlign w:val="center"/>
            <w:hideMark/>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-109,2</w:t>
            </w:r>
          </w:p>
        </w:tc>
      </w:tr>
      <w:tr w:rsidR="00434853" w:rsidRPr="0035459B" w:rsidTr="00F24DCA">
        <w:trPr>
          <w:trHeight w:val="20"/>
          <w:jc w:val="center"/>
        </w:trPr>
        <w:tc>
          <w:tcPr>
            <w:tcW w:w="0" w:type="auto"/>
            <w:shd w:val="clear" w:color="auto" w:fill="FDE9D9" w:themeFill="accent6" w:themeFillTint="33"/>
            <w:vAlign w:val="center"/>
          </w:tcPr>
          <w:p w:rsidR="00434853" w:rsidRPr="007B0F0A" w:rsidRDefault="00434853" w:rsidP="00F24DCA">
            <w:pPr>
              <w:spacing w:after="0"/>
              <w:ind w:firstLine="0"/>
              <w:contextualSpacing/>
              <w:jc w:val="left"/>
              <w:rPr>
                <w:b/>
                <w:bCs/>
                <w:color w:val="000000"/>
                <w:sz w:val="18"/>
                <w:szCs w:val="18"/>
                <w:lang w:eastAsia="lv-LV"/>
              </w:rPr>
            </w:pPr>
            <w:r w:rsidRPr="007B0F0A">
              <w:rPr>
                <w:b/>
                <w:bCs/>
                <w:color w:val="000000"/>
                <w:sz w:val="18"/>
                <w:szCs w:val="18"/>
                <w:lang w:eastAsia="lv-LV"/>
              </w:rPr>
              <w:t xml:space="preserve">     Centrālā valdība</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-447,4</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-15,4</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-196,8</w:t>
            </w:r>
          </w:p>
        </w:tc>
        <w:tc>
          <w:tcPr>
            <w:tcW w:w="0" w:type="auto"/>
            <w:shd w:val="clear" w:color="auto" w:fill="FDE9D9" w:themeFill="accent6" w:themeFillTint="33"/>
            <w:noWrap/>
            <w:vAlign w:val="center"/>
          </w:tcPr>
          <w:p w:rsidR="00434853" w:rsidRPr="00812001" w:rsidRDefault="00434853" w:rsidP="00812001">
            <w:pPr>
              <w:spacing w:after="0"/>
              <w:ind w:firstLine="0"/>
              <w:contextualSpacing/>
              <w:jc w:val="right"/>
              <w:rPr>
                <w:b/>
                <w:bCs/>
                <w:color w:val="000000"/>
                <w:sz w:val="18"/>
                <w:szCs w:val="18"/>
                <w:lang w:eastAsia="lv-LV"/>
              </w:rPr>
            </w:pPr>
            <w:r w:rsidRPr="00812001">
              <w:rPr>
                <w:b/>
                <w:bCs/>
                <w:color w:val="000000"/>
                <w:sz w:val="18"/>
                <w:szCs w:val="18"/>
                <w:lang w:eastAsia="lv-LV"/>
              </w:rPr>
              <w:t>-</w:t>
            </w:r>
            <w:r w:rsidR="00812001" w:rsidRPr="00812001">
              <w:rPr>
                <w:b/>
                <w:bCs/>
                <w:color w:val="000000"/>
                <w:sz w:val="18"/>
                <w:szCs w:val="18"/>
                <w:lang w:eastAsia="lv-LV"/>
              </w:rPr>
              <w:t>319,6</w:t>
            </w:r>
          </w:p>
        </w:tc>
        <w:tc>
          <w:tcPr>
            <w:tcW w:w="0" w:type="auto"/>
            <w:shd w:val="clear" w:color="auto" w:fill="FDE9D9" w:themeFill="accent6" w:themeFillTint="33"/>
            <w:noWrap/>
            <w:vAlign w:val="center"/>
          </w:tcPr>
          <w:p w:rsidR="00434853" w:rsidRPr="00F45402" w:rsidRDefault="00434853" w:rsidP="00F24DCA">
            <w:pPr>
              <w:spacing w:after="0"/>
              <w:ind w:firstLine="0"/>
              <w:contextualSpacing/>
              <w:jc w:val="right"/>
              <w:rPr>
                <w:b/>
                <w:bCs/>
                <w:color w:val="000000"/>
                <w:sz w:val="18"/>
                <w:szCs w:val="18"/>
                <w:lang w:eastAsia="lv-LV"/>
              </w:rPr>
            </w:pPr>
            <w:r w:rsidRPr="00F45402">
              <w:rPr>
                <w:b/>
                <w:bCs/>
                <w:color w:val="000000"/>
                <w:sz w:val="18"/>
                <w:szCs w:val="18"/>
                <w:lang w:eastAsia="lv-LV"/>
              </w:rPr>
              <w:t>-298,1</w:t>
            </w:r>
          </w:p>
        </w:tc>
        <w:tc>
          <w:tcPr>
            <w:tcW w:w="0" w:type="auto"/>
            <w:shd w:val="clear" w:color="auto" w:fill="FDE9D9" w:themeFill="accent6" w:themeFillTint="33"/>
            <w:noWrap/>
            <w:vAlign w:val="center"/>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-227,8</w:t>
            </w:r>
          </w:p>
        </w:tc>
        <w:tc>
          <w:tcPr>
            <w:tcW w:w="0" w:type="auto"/>
            <w:shd w:val="clear" w:color="auto" w:fill="FDE9D9" w:themeFill="accent6" w:themeFillTint="33"/>
            <w:noWrap/>
            <w:vAlign w:val="center"/>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-240,6</w:t>
            </w:r>
          </w:p>
        </w:tc>
      </w:tr>
      <w:tr w:rsidR="00434853" w:rsidRPr="0035459B" w:rsidTr="00F24DCA">
        <w:trPr>
          <w:trHeight w:val="20"/>
          <w:jc w:val="center"/>
        </w:trPr>
        <w:tc>
          <w:tcPr>
            <w:tcW w:w="0" w:type="auto"/>
            <w:shd w:val="clear" w:color="auto" w:fill="FDE9D9" w:themeFill="accent6" w:themeFillTint="33"/>
            <w:vAlign w:val="center"/>
          </w:tcPr>
          <w:p w:rsidR="00434853" w:rsidRPr="007B0F0A" w:rsidRDefault="00434853" w:rsidP="00F24DCA">
            <w:pPr>
              <w:spacing w:after="0"/>
              <w:ind w:firstLine="0"/>
              <w:contextualSpacing/>
              <w:jc w:val="right"/>
              <w:rPr>
                <w:bCs/>
                <w:i/>
                <w:color w:val="000000"/>
                <w:sz w:val="18"/>
                <w:szCs w:val="18"/>
                <w:lang w:eastAsia="lv-LV"/>
              </w:rPr>
            </w:pPr>
            <w:r w:rsidRPr="007B0F0A">
              <w:rPr>
                <w:bCs/>
                <w:i/>
                <w:color w:val="000000"/>
                <w:sz w:val="18"/>
                <w:szCs w:val="18"/>
                <w:lang w:eastAsia="lv-LV"/>
              </w:rPr>
              <w:t>t.sk. komersanti</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Cs/>
                <w:color w:val="000000"/>
                <w:sz w:val="18"/>
                <w:szCs w:val="18"/>
                <w:lang w:eastAsia="lv-LV"/>
              </w:rPr>
            </w:pPr>
            <w:r w:rsidRPr="00812001">
              <w:rPr>
                <w:bCs/>
                <w:color w:val="000000"/>
                <w:sz w:val="18"/>
                <w:szCs w:val="18"/>
                <w:lang w:eastAsia="lv-LV"/>
              </w:rPr>
              <w:t>-51,1</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Cs/>
                <w:color w:val="000000"/>
                <w:sz w:val="18"/>
                <w:szCs w:val="18"/>
                <w:lang w:eastAsia="lv-LV"/>
              </w:rPr>
            </w:pPr>
            <w:r w:rsidRPr="00812001">
              <w:rPr>
                <w:bCs/>
                <w:color w:val="000000"/>
                <w:sz w:val="18"/>
                <w:szCs w:val="18"/>
                <w:lang w:eastAsia="lv-LV"/>
              </w:rPr>
              <w:t>-5,9</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Cs/>
                <w:color w:val="000000"/>
                <w:sz w:val="18"/>
                <w:szCs w:val="18"/>
                <w:lang w:eastAsia="lv-LV"/>
              </w:rPr>
            </w:pPr>
            <w:r w:rsidRPr="00812001">
              <w:rPr>
                <w:bCs/>
                <w:color w:val="000000"/>
                <w:sz w:val="18"/>
                <w:szCs w:val="18"/>
                <w:lang w:eastAsia="lv-LV"/>
              </w:rPr>
              <w:t>-134,4</w:t>
            </w:r>
          </w:p>
        </w:tc>
        <w:tc>
          <w:tcPr>
            <w:tcW w:w="0" w:type="auto"/>
            <w:shd w:val="clear" w:color="auto" w:fill="FDE9D9" w:themeFill="accent6" w:themeFillTint="33"/>
            <w:noWrap/>
            <w:vAlign w:val="center"/>
          </w:tcPr>
          <w:p w:rsidR="00434853" w:rsidRPr="00812001" w:rsidRDefault="00812001" w:rsidP="00F24DCA">
            <w:pPr>
              <w:spacing w:after="0"/>
              <w:ind w:firstLine="0"/>
              <w:contextualSpacing/>
              <w:jc w:val="right"/>
              <w:rPr>
                <w:bCs/>
                <w:color w:val="000000"/>
                <w:sz w:val="18"/>
                <w:szCs w:val="18"/>
                <w:lang w:eastAsia="lv-LV"/>
              </w:rPr>
            </w:pPr>
            <w:r w:rsidRPr="00812001">
              <w:rPr>
                <w:bCs/>
                <w:color w:val="000000"/>
                <w:sz w:val="18"/>
                <w:szCs w:val="18"/>
                <w:lang w:eastAsia="lv-LV"/>
              </w:rPr>
              <w:t>-41,3</w:t>
            </w:r>
          </w:p>
        </w:tc>
        <w:tc>
          <w:tcPr>
            <w:tcW w:w="0" w:type="auto"/>
            <w:shd w:val="clear" w:color="auto" w:fill="FDE9D9" w:themeFill="accent6" w:themeFillTint="33"/>
            <w:noWrap/>
            <w:vAlign w:val="center"/>
          </w:tcPr>
          <w:p w:rsidR="00434853" w:rsidRPr="00F45402" w:rsidRDefault="00434853" w:rsidP="00F24DCA">
            <w:pPr>
              <w:spacing w:after="0"/>
              <w:ind w:firstLine="0"/>
              <w:contextualSpacing/>
              <w:jc w:val="right"/>
              <w:rPr>
                <w:bCs/>
                <w:color w:val="000000"/>
                <w:sz w:val="18"/>
                <w:szCs w:val="18"/>
                <w:lang w:eastAsia="lv-LV"/>
              </w:rPr>
            </w:pPr>
            <w:r w:rsidRPr="00F45402">
              <w:rPr>
                <w:bCs/>
                <w:color w:val="000000"/>
                <w:sz w:val="18"/>
                <w:szCs w:val="18"/>
                <w:lang w:eastAsia="lv-LV"/>
              </w:rPr>
              <w:t>-14,7</w:t>
            </w:r>
          </w:p>
        </w:tc>
        <w:tc>
          <w:tcPr>
            <w:tcW w:w="0" w:type="auto"/>
            <w:shd w:val="clear" w:color="auto" w:fill="FDE9D9" w:themeFill="accent6" w:themeFillTint="33"/>
            <w:noWrap/>
            <w:vAlign w:val="center"/>
          </w:tcPr>
          <w:p w:rsidR="00434853" w:rsidRPr="007B0F0A" w:rsidRDefault="00434853" w:rsidP="00F24DCA">
            <w:pPr>
              <w:spacing w:after="0"/>
              <w:ind w:firstLine="0"/>
              <w:contextualSpacing/>
              <w:jc w:val="right"/>
              <w:rPr>
                <w:bCs/>
                <w:color w:val="000000"/>
                <w:sz w:val="18"/>
                <w:szCs w:val="18"/>
                <w:lang w:eastAsia="lv-LV"/>
              </w:rPr>
            </w:pPr>
            <w:r w:rsidRPr="007B0F0A">
              <w:rPr>
                <w:bCs/>
                <w:color w:val="000000"/>
                <w:sz w:val="18"/>
                <w:szCs w:val="18"/>
                <w:lang w:eastAsia="lv-LV"/>
              </w:rPr>
              <w:t>-46,2</w:t>
            </w:r>
          </w:p>
        </w:tc>
        <w:tc>
          <w:tcPr>
            <w:tcW w:w="0" w:type="auto"/>
            <w:shd w:val="clear" w:color="auto" w:fill="FDE9D9" w:themeFill="accent6" w:themeFillTint="33"/>
            <w:noWrap/>
            <w:vAlign w:val="center"/>
          </w:tcPr>
          <w:p w:rsidR="00434853" w:rsidRPr="007B0F0A" w:rsidRDefault="00434853" w:rsidP="00F24DCA">
            <w:pPr>
              <w:spacing w:after="0"/>
              <w:ind w:firstLine="0"/>
              <w:contextualSpacing/>
              <w:jc w:val="right"/>
              <w:rPr>
                <w:bCs/>
                <w:color w:val="000000"/>
                <w:sz w:val="18"/>
                <w:szCs w:val="18"/>
                <w:lang w:eastAsia="lv-LV"/>
              </w:rPr>
            </w:pPr>
            <w:r w:rsidRPr="007B0F0A">
              <w:rPr>
                <w:bCs/>
                <w:color w:val="000000"/>
                <w:sz w:val="18"/>
                <w:szCs w:val="18"/>
                <w:lang w:eastAsia="lv-LV"/>
              </w:rPr>
              <w:t>-98,8</w:t>
            </w:r>
          </w:p>
        </w:tc>
      </w:tr>
      <w:tr w:rsidR="00434853" w:rsidRPr="0035459B" w:rsidTr="00F24DCA">
        <w:trPr>
          <w:trHeight w:val="20"/>
          <w:jc w:val="center"/>
        </w:trPr>
        <w:tc>
          <w:tcPr>
            <w:tcW w:w="0" w:type="auto"/>
            <w:shd w:val="clear" w:color="auto" w:fill="FDE9D9" w:themeFill="accent6" w:themeFillTint="33"/>
            <w:vAlign w:val="center"/>
          </w:tcPr>
          <w:p w:rsidR="00434853" w:rsidRPr="007B0F0A" w:rsidRDefault="00434853" w:rsidP="00F24DCA">
            <w:pPr>
              <w:spacing w:after="0"/>
              <w:ind w:firstLine="0"/>
              <w:contextualSpacing/>
              <w:jc w:val="left"/>
              <w:rPr>
                <w:b/>
                <w:bCs/>
                <w:color w:val="000000"/>
                <w:sz w:val="18"/>
                <w:szCs w:val="18"/>
                <w:lang w:eastAsia="lv-LV"/>
              </w:rPr>
            </w:pPr>
            <w:r w:rsidRPr="007B0F0A">
              <w:rPr>
                <w:b/>
                <w:bCs/>
                <w:color w:val="000000"/>
                <w:sz w:val="18"/>
                <w:szCs w:val="18"/>
                <w:lang w:eastAsia="lv-LV"/>
              </w:rPr>
              <w:t xml:space="preserve">     Vietējā valdība</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79,5</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56,2</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-49,4</w:t>
            </w:r>
          </w:p>
        </w:tc>
        <w:tc>
          <w:tcPr>
            <w:tcW w:w="0" w:type="auto"/>
            <w:shd w:val="clear" w:color="auto" w:fill="FDE9D9" w:themeFill="accent6" w:themeFillTint="33"/>
            <w:noWrap/>
            <w:vAlign w:val="center"/>
          </w:tcPr>
          <w:p w:rsidR="00434853" w:rsidRPr="00812001" w:rsidRDefault="00434853" w:rsidP="00812001">
            <w:pPr>
              <w:spacing w:after="0"/>
              <w:ind w:firstLine="0"/>
              <w:contextualSpacing/>
              <w:jc w:val="right"/>
              <w:rPr>
                <w:b/>
                <w:bCs/>
                <w:color w:val="000000"/>
                <w:sz w:val="18"/>
                <w:szCs w:val="18"/>
                <w:lang w:eastAsia="lv-LV"/>
              </w:rPr>
            </w:pPr>
            <w:r w:rsidRPr="00812001">
              <w:rPr>
                <w:b/>
                <w:bCs/>
                <w:color w:val="000000"/>
                <w:sz w:val="18"/>
                <w:szCs w:val="18"/>
                <w:lang w:eastAsia="lv-LV"/>
              </w:rPr>
              <w:t>-</w:t>
            </w:r>
            <w:r w:rsidR="00812001" w:rsidRPr="00812001">
              <w:rPr>
                <w:b/>
                <w:bCs/>
                <w:color w:val="000000"/>
                <w:sz w:val="18"/>
                <w:szCs w:val="18"/>
                <w:lang w:eastAsia="lv-LV"/>
              </w:rPr>
              <w:t>214,2</w:t>
            </w:r>
          </w:p>
        </w:tc>
        <w:tc>
          <w:tcPr>
            <w:tcW w:w="0" w:type="auto"/>
            <w:shd w:val="clear" w:color="auto" w:fill="FDE9D9" w:themeFill="accent6" w:themeFillTint="33"/>
            <w:noWrap/>
            <w:vAlign w:val="center"/>
          </w:tcPr>
          <w:p w:rsidR="00434853" w:rsidRPr="00F45402" w:rsidRDefault="00434853" w:rsidP="00F24DCA">
            <w:pPr>
              <w:spacing w:after="0"/>
              <w:ind w:firstLine="0"/>
              <w:contextualSpacing/>
              <w:jc w:val="right"/>
              <w:rPr>
                <w:b/>
                <w:bCs/>
                <w:color w:val="000000"/>
                <w:sz w:val="18"/>
                <w:szCs w:val="18"/>
                <w:lang w:eastAsia="lv-LV"/>
              </w:rPr>
            </w:pPr>
            <w:r w:rsidRPr="00F45402">
              <w:rPr>
                <w:b/>
                <w:bCs/>
                <w:color w:val="000000"/>
                <w:sz w:val="18"/>
                <w:szCs w:val="18"/>
                <w:lang w:eastAsia="lv-LV"/>
              </w:rPr>
              <w:t>-79,9</w:t>
            </w:r>
          </w:p>
        </w:tc>
        <w:tc>
          <w:tcPr>
            <w:tcW w:w="0" w:type="auto"/>
            <w:shd w:val="clear" w:color="auto" w:fill="FDE9D9" w:themeFill="accent6" w:themeFillTint="33"/>
            <w:noWrap/>
            <w:vAlign w:val="center"/>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-27,6</w:t>
            </w:r>
          </w:p>
        </w:tc>
        <w:tc>
          <w:tcPr>
            <w:tcW w:w="0" w:type="auto"/>
            <w:shd w:val="clear" w:color="auto" w:fill="FDE9D9" w:themeFill="accent6" w:themeFillTint="33"/>
            <w:noWrap/>
            <w:vAlign w:val="center"/>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3,8</w:t>
            </w:r>
          </w:p>
        </w:tc>
      </w:tr>
      <w:tr w:rsidR="00434853" w:rsidRPr="0035459B" w:rsidTr="00F24DCA">
        <w:trPr>
          <w:trHeight w:val="20"/>
          <w:jc w:val="center"/>
        </w:trPr>
        <w:tc>
          <w:tcPr>
            <w:tcW w:w="0" w:type="auto"/>
            <w:shd w:val="clear" w:color="auto" w:fill="FDE9D9" w:themeFill="accent6" w:themeFillTint="33"/>
            <w:vAlign w:val="center"/>
          </w:tcPr>
          <w:p w:rsidR="00434853" w:rsidRPr="007B0F0A" w:rsidRDefault="00434853" w:rsidP="00F24DCA">
            <w:pPr>
              <w:spacing w:after="0"/>
              <w:ind w:firstLine="0"/>
              <w:contextualSpacing/>
              <w:jc w:val="right"/>
              <w:rPr>
                <w:b/>
                <w:bCs/>
                <w:color w:val="000000"/>
                <w:sz w:val="18"/>
                <w:szCs w:val="18"/>
                <w:lang w:eastAsia="lv-LV"/>
              </w:rPr>
            </w:pPr>
            <w:r w:rsidRPr="007B0F0A">
              <w:rPr>
                <w:bCs/>
                <w:i/>
                <w:color w:val="000000"/>
                <w:sz w:val="18"/>
                <w:szCs w:val="18"/>
                <w:lang w:eastAsia="lv-LV"/>
              </w:rPr>
              <w:t>t.sk. komersanti</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Cs/>
                <w:color w:val="000000"/>
                <w:sz w:val="18"/>
                <w:szCs w:val="18"/>
                <w:lang w:eastAsia="lv-LV"/>
              </w:rPr>
            </w:pPr>
            <w:r w:rsidRPr="00812001">
              <w:rPr>
                <w:bCs/>
                <w:color w:val="000000"/>
                <w:sz w:val="18"/>
                <w:szCs w:val="18"/>
                <w:lang w:eastAsia="lv-LV"/>
              </w:rPr>
              <w:t>11,9</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Cs/>
                <w:color w:val="000000"/>
                <w:sz w:val="18"/>
                <w:szCs w:val="18"/>
                <w:lang w:eastAsia="lv-LV"/>
              </w:rPr>
            </w:pPr>
            <w:r w:rsidRPr="00812001">
              <w:rPr>
                <w:bCs/>
                <w:color w:val="000000"/>
                <w:sz w:val="18"/>
                <w:szCs w:val="18"/>
                <w:lang w:eastAsia="lv-LV"/>
              </w:rPr>
              <w:t>1,7</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Cs/>
                <w:color w:val="000000"/>
                <w:sz w:val="18"/>
                <w:szCs w:val="18"/>
                <w:lang w:eastAsia="lv-LV"/>
              </w:rPr>
            </w:pPr>
            <w:r w:rsidRPr="00812001">
              <w:rPr>
                <w:bCs/>
                <w:color w:val="000000"/>
                <w:sz w:val="18"/>
                <w:szCs w:val="18"/>
                <w:lang w:eastAsia="lv-LV"/>
              </w:rPr>
              <w:t>2,6</w:t>
            </w:r>
          </w:p>
        </w:tc>
        <w:tc>
          <w:tcPr>
            <w:tcW w:w="0" w:type="auto"/>
            <w:shd w:val="clear" w:color="auto" w:fill="FDE9D9" w:themeFill="accent6" w:themeFillTint="33"/>
            <w:noWrap/>
            <w:vAlign w:val="center"/>
          </w:tcPr>
          <w:p w:rsidR="00434853" w:rsidRPr="00812001" w:rsidRDefault="00812001" w:rsidP="00F24DCA">
            <w:pPr>
              <w:spacing w:after="0"/>
              <w:ind w:firstLine="0"/>
              <w:contextualSpacing/>
              <w:jc w:val="right"/>
              <w:rPr>
                <w:bCs/>
                <w:color w:val="000000"/>
                <w:sz w:val="18"/>
                <w:szCs w:val="18"/>
                <w:lang w:eastAsia="lv-LV"/>
              </w:rPr>
            </w:pPr>
            <w:r w:rsidRPr="00812001">
              <w:rPr>
                <w:bCs/>
                <w:color w:val="000000"/>
                <w:sz w:val="18"/>
                <w:szCs w:val="18"/>
                <w:lang w:eastAsia="lv-LV"/>
              </w:rPr>
              <w:t>-9,4</w:t>
            </w:r>
          </w:p>
        </w:tc>
        <w:tc>
          <w:tcPr>
            <w:tcW w:w="0" w:type="auto"/>
            <w:shd w:val="clear" w:color="auto" w:fill="FDE9D9" w:themeFill="accent6" w:themeFillTint="33"/>
            <w:noWrap/>
            <w:vAlign w:val="center"/>
          </w:tcPr>
          <w:p w:rsidR="00434853" w:rsidRPr="00F45402" w:rsidRDefault="00434853" w:rsidP="00F24DCA">
            <w:pPr>
              <w:spacing w:after="0"/>
              <w:ind w:firstLine="0"/>
              <w:contextualSpacing/>
              <w:jc w:val="right"/>
              <w:rPr>
                <w:bCs/>
                <w:color w:val="000000"/>
                <w:sz w:val="18"/>
                <w:szCs w:val="18"/>
                <w:lang w:eastAsia="lv-LV"/>
              </w:rPr>
            </w:pPr>
            <w:r w:rsidRPr="00F45402">
              <w:rPr>
                <w:bCs/>
                <w:color w:val="000000"/>
                <w:sz w:val="18"/>
                <w:szCs w:val="18"/>
                <w:lang w:eastAsia="lv-LV"/>
              </w:rPr>
              <w:t>1,8</w:t>
            </w:r>
          </w:p>
        </w:tc>
        <w:tc>
          <w:tcPr>
            <w:tcW w:w="0" w:type="auto"/>
            <w:shd w:val="clear" w:color="auto" w:fill="FDE9D9" w:themeFill="accent6" w:themeFillTint="33"/>
            <w:noWrap/>
            <w:vAlign w:val="center"/>
          </w:tcPr>
          <w:p w:rsidR="00434853" w:rsidRPr="007B0F0A" w:rsidRDefault="00434853" w:rsidP="00F24DCA">
            <w:pPr>
              <w:spacing w:after="0"/>
              <w:ind w:firstLine="0"/>
              <w:contextualSpacing/>
              <w:jc w:val="right"/>
              <w:rPr>
                <w:bCs/>
                <w:color w:val="000000"/>
                <w:sz w:val="18"/>
                <w:szCs w:val="18"/>
                <w:lang w:eastAsia="lv-LV"/>
              </w:rPr>
            </w:pPr>
            <w:r w:rsidRPr="007B0F0A">
              <w:rPr>
                <w:bCs/>
                <w:color w:val="000000"/>
                <w:sz w:val="18"/>
                <w:szCs w:val="18"/>
                <w:lang w:eastAsia="lv-LV"/>
              </w:rPr>
              <w:t>2,5</w:t>
            </w:r>
          </w:p>
        </w:tc>
        <w:tc>
          <w:tcPr>
            <w:tcW w:w="0" w:type="auto"/>
            <w:shd w:val="clear" w:color="auto" w:fill="FDE9D9" w:themeFill="accent6" w:themeFillTint="33"/>
            <w:noWrap/>
            <w:vAlign w:val="center"/>
          </w:tcPr>
          <w:p w:rsidR="00434853" w:rsidRPr="007B0F0A" w:rsidRDefault="00434853" w:rsidP="00F24DCA">
            <w:pPr>
              <w:spacing w:after="0"/>
              <w:ind w:firstLine="0"/>
              <w:contextualSpacing/>
              <w:jc w:val="right"/>
              <w:rPr>
                <w:bCs/>
                <w:color w:val="000000"/>
                <w:sz w:val="18"/>
                <w:szCs w:val="18"/>
                <w:lang w:eastAsia="lv-LV"/>
              </w:rPr>
            </w:pPr>
            <w:r w:rsidRPr="007B0F0A">
              <w:rPr>
                <w:bCs/>
                <w:color w:val="000000"/>
                <w:sz w:val="18"/>
                <w:szCs w:val="18"/>
                <w:lang w:eastAsia="lv-LV"/>
              </w:rPr>
              <w:t>2,7</w:t>
            </w:r>
          </w:p>
        </w:tc>
      </w:tr>
      <w:tr w:rsidR="00434853" w:rsidRPr="0035459B" w:rsidTr="00F24DCA">
        <w:trPr>
          <w:trHeight w:val="20"/>
          <w:jc w:val="center"/>
        </w:trPr>
        <w:tc>
          <w:tcPr>
            <w:tcW w:w="0" w:type="auto"/>
            <w:shd w:val="clear" w:color="auto" w:fill="FDE9D9" w:themeFill="accent6" w:themeFillTint="33"/>
            <w:vAlign w:val="center"/>
          </w:tcPr>
          <w:p w:rsidR="00434853" w:rsidRPr="007B0F0A" w:rsidRDefault="00434853" w:rsidP="00F24DCA">
            <w:pPr>
              <w:spacing w:after="0"/>
              <w:ind w:firstLine="0"/>
              <w:contextualSpacing/>
              <w:jc w:val="left"/>
              <w:rPr>
                <w:b/>
                <w:bCs/>
                <w:color w:val="000000"/>
                <w:sz w:val="18"/>
                <w:szCs w:val="18"/>
                <w:lang w:eastAsia="lv-LV"/>
              </w:rPr>
            </w:pPr>
            <w:r w:rsidRPr="007B0F0A">
              <w:rPr>
                <w:b/>
                <w:bCs/>
                <w:color w:val="000000"/>
                <w:sz w:val="18"/>
                <w:szCs w:val="18"/>
                <w:lang w:eastAsia="lv-LV"/>
              </w:rPr>
              <w:t xml:space="preserve">     Sociālās nodrošināšanas fondi</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36,4</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-24,6</w:t>
            </w:r>
          </w:p>
        </w:tc>
        <w:tc>
          <w:tcPr>
            <w:tcW w:w="0" w:type="auto"/>
            <w:shd w:val="clear" w:color="auto" w:fill="FDE9D9" w:themeFill="accent6" w:themeFillTint="33"/>
            <w:noWrap/>
            <w:vAlign w:val="center"/>
          </w:tcPr>
          <w:p w:rsidR="00434853" w:rsidRPr="00812001" w:rsidRDefault="00434853" w:rsidP="00F24DCA">
            <w:pPr>
              <w:spacing w:after="0"/>
              <w:ind w:firstLine="0"/>
              <w:contextualSpacing/>
              <w:jc w:val="right"/>
              <w:rPr>
                <w:b/>
                <w:bCs/>
                <w:color w:val="000000"/>
                <w:sz w:val="18"/>
                <w:szCs w:val="18"/>
                <w:lang w:eastAsia="lv-LV"/>
              </w:rPr>
            </w:pPr>
            <w:r w:rsidRPr="00812001">
              <w:rPr>
                <w:b/>
                <w:bCs/>
                <w:color w:val="000000"/>
                <w:sz w:val="18"/>
                <w:szCs w:val="18"/>
                <w:lang w:eastAsia="lv-LV"/>
              </w:rPr>
              <w:t>90,5</w:t>
            </w:r>
          </w:p>
        </w:tc>
        <w:tc>
          <w:tcPr>
            <w:tcW w:w="0" w:type="auto"/>
            <w:shd w:val="clear" w:color="auto" w:fill="FDE9D9" w:themeFill="accent6" w:themeFillTint="33"/>
            <w:noWrap/>
            <w:vAlign w:val="center"/>
          </w:tcPr>
          <w:p w:rsidR="00434853" w:rsidRPr="00812001" w:rsidRDefault="00812001" w:rsidP="00F24DCA">
            <w:pPr>
              <w:spacing w:after="0"/>
              <w:ind w:firstLine="0"/>
              <w:contextualSpacing/>
              <w:jc w:val="right"/>
              <w:rPr>
                <w:b/>
                <w:bCs/>
                <w:color w:val="000000"/>
                <w:sz w:val="18"/>
                <w:szCs w:val="18"/>
                <w:lang w:eastAsia="lv-LV"/>
              </w:rPr>
            </w:pPr>
            <w:r w:rsidRPr="00812001">
              <w:rPr>
                <w:b/>
                <w:bCs/>
                <w:color w:val="000000"/>
                <w:sz w:val="18"/>
                <w:szCs w:val="18"/>
                <w:lang w:eastAsia="lv-LV"/>
              </w:rPr>
              <w:t>238,4</w:t>
            </w:r>
          </w:p>
        </w:tc>
        <w:tc>
          <w:tcPr>
            <w:tcW w:w="0" w:type="auto"/>
            <w:shd w:val="clear" w:color="auto" w:fill="FDE9D9" w:themeFill="accent6" w:themeFillTint="33"/>
            <w:noWrap/>
            <w:vAlign w:val="center"/>
          </w:tcPr>
          <w:p w:rsidR="00434853" w:rsidRPr="00F45402" w:rsidRDefault="00434853" w:rsidP="00F24DCA">
            <w:pPr>
              <w:spacing w:after="0"/>
              <w:ind w:firstLine="0"/>
              <w:contextualSpacing/>
              <w:jc w:val="right"/>
              <w:rPr>
                <w:b/>
                <w:bCs/>
                <w:color w:val="000000"/>
                <w:sz w:val="18"/>
                <w:szCs w:val="18"/>
                <w:lang w:eastAsia="lv-LV"/>
              </w:rPr>
            </w:pPr>
            <w:r w:rsidRPr="00F45402">
              <w:rPr>
                <w:b/>
                <w:bCs/>
                <w:color w:val="000000"/>
                <w:sz w:val="18"/>
                <w:szCs w:val="18"/>
                <w:lang w:eastAsia="lv-LV"/>
              </w:rPr>
              <w:t>209,3</w:t>
            </w:r>
          </w:p>
        </w:tc>
        <w:tc>
          <w:tcPr>
            <w:tcW w:w="0" w:type="auto"/>
            <w:shd w:val="clear" w:color="auto" w:fill="FDE9D9" w:themeFill="accent6" w:themeFillTint="33"/>
            <w:noWrap/>
            <w:vAlign w:val="center"/>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139,8</w:t>
            </w:r>
          </w:p>
        </w:tc>
        <w:tc>
          <w:tcPr>
            <w:tcW w:w="0" w:type="auto"/>
            <w:shd w:val="clear" w:color="auto" w:fill="FDE9D9" w:themeFill="accent6" w:themeFillTint="33"/>
            <w:noWrap/>
            <w:vAlign w:val="center"/>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127,7</w:t>
            </w:r>
          </w:p>
        </w:tc>
      </w:tr>
      <w:tr w:rsidR="00434853" w:rsidRPr="0035459B" w:rsidTr="00F24DCA">
        <w:trPr>
          <w:trHeight w:val="20"/>
          <w:jc w:val="center"/>
        </w:trPr>
        <w:tc>
          <w:tcPr>
            <w:tcW w:w="0" w:type="auto"/>
            <w:shd w:val="clear" w:color="000000" w:fill="DCE6F1"/>
            <w:noWrap/>
            <w:vAlign w:val="center"/>
            <w:hideMark/>
          </w:tcPr>
          <w:p w:rsidR="00434853" w:rsidRPr="007B0F0A" w:rsidRDefault="00434853" w:rsidP="00F24DCA">
            <w:pPr>
              <w:spacing w:after="0"/>
              <w:ind w:firstLine="0"/>
              <w:contextualSpacing/>
              <w:jc w:val="left"/>
              <w:rPr>
                <w:color w:val="000000"/>
                <w:sz w:val="18"/>
                <w:szCs w:val="18"/>
                <w:lang w:eastAsia="lv-LV"/>
              </w:rPr>
            </w:pPr>
            <w:r w:rsidRPr="007B0F0A">
              <w:rPr>
                <w:color w:val="000000"/>
                <w:sz w:val="18"/>
                <w:szCs w:val="18"/>
                <w:lang w:eastAsia="lv-LV"/>
              </w:rPr>
              <w:t>EKS korekcijas</w:t>
            </w:r>
          </w:p>
        </w:tc>
        <w:tc>
          <w:tcPr>
            <w:tcW w:w="0" w:type="auto"/>
            <w:shd w:val="clear" w:color="000000" w:fill="DCE6F1"/>
            <w:noWrap/>
            <w:vAlign w:val="center"/>
            <w:hideMark/>
          </w:tcPr>
          <w:p w:rsidR="00434853" w:rsidRPr="00812001" w:rsidRDefault="00434853" w:rsidP="00F24DCA">
            <w:pPr>
              <w:spacing w:after="0"/>
              <w:ind w:firstLine="0"/>
              <w:contextualSpacing/>
              <w:jc w:val="right"/>
              <w:rPr>
                <w:color w:val="000000"/>
                <w:sz w:val="18"/>
                <w:szCs w:val="18"/>
                <w:lang w:eastAsia="lv-LV"/>
              </w:rPr>
            </w:pPr>
            <w:r w:rsidRPr="00812001">
              <w:rPr>
                <w:bCs/>
                <w:color w:val="000000"/>
                <w:sz w:val="18"/>
                <w:szCs w:val="18"/>
                <w:lang w:eastAsia="lv-LV"/>
              </w:rPr>
              <w:t>42,1</w:t>
            </w:r>
          </w:p>
        </w:tc>
        <w:tc>
          <w:tcPr>
            <w:tcW w:w="0" w:type="auto"/>
            <w:shd w:val="clear" w:color="000000" w:fill="DCE6F1"/>
            <w:noWrap/>
            <w:vAlign w:val="center"/>
            <w:hideMark/>
          </w:tcPr>
          <w:p w:rsidR="00434853" w:rsidRPr="00812001" w:rsidRDefault="00434853" w:rsidP="00F24DCA">
            <w:pPr>
              <w:spacing w:after="0"/>
              <w:ind w:firstLine="0"/>
              <w:contextualSpacing/>
              <w:jc w:val="right"/>
              <w:rPr>
                <w:color w:val="000000"/>
                <w:sz w:val="18"/>
                <w:szCs w:val="18"/>
                <w:lang w:eastAsia="lv-LV"/>
              </w:rPr>
            </w:pPr>
            <w:r w:rsidRPr="00812001">
              <w:rPr>
                <w:bCs/>
                <w:color w:val="000000"/>
                <w:sz w:val="18"/>
                <w:szCs w:val="18"/>
                <w:lang w:eastAsia="lv-LV"/>
              </w:rPr>
              <w:t>116,4</w:t>
            </w:r>
          </w:p>
        </w:tc>
        <w:tc>
          <w:tcPr>
            <w:tcW w:w="0" w:type="auto"/>
            <w:shd w:val="clear" w:color="000000" w:fill="DCE6F1"/>
            <w:noWrap/>
            <w:vAlign w:val="center"/>
            <w:hideMark/>
          </w:tcPr>
          <w:p w:rsidR="00434853" w:rsidRPr="00812001" w:rsidRDefault="00434853" w:rsidP="00F24DCA">
            <w:pPr>
              <w:spacing w:after="0"/>
              <w:ind w:firstLine="0"/>
              <w:contextualSpacing/>
              <w:jc w:val="right"/>
              <w:rPr>
                <w:color w:val="000000"/>
                <w:sz w:val="18"/>
                <w:szCs w:val="18"/>
                <w:lang w:eastAsia="lv-LV"/>
              </w:rPr>
            </w:pPr>
            <w:r w:rsidRPr="00812001">
              <w:rPr>
                <w:bCs/>
                <w:color w:val="000000"/>
                <w:sz w:val="18"/>
                <w:szCs w:val="18"/>
                <w:lang w:eastAsia="lv-LV"/>
              </w:rPr>
              <w:t>66,2</w:t>
            </w:r>
          </w:p>
        </w:tc>
        <w:tc>
          <w:tcPr>
            <w:tcW w:w="0" w:type="auto"/>
            <w:shd w:val="clear" w:color="000000" w:fill="DCE6F1"/>
            <w:noWrap/>
            <w:vAlign w:val="center"/>
            <w:hideMark/>
          </w:tcPr>
          <w:p w:rsidR="00434853" w:rsidRPr="00812001" w:rsidRDefault="00812001" w:rsidP="00F24DCA">
            <w:pPr>
              <w:spacing w:after="0"/>
              <w:ind w:firstLine="0"/>
              <w:contextualSpacing/>
              <w:jc w:val="right"/>
              <w:rPr>
                <w:color w:val="000000"/>
                <w:sz w:val="18"/>
                <w:szCs w:val="18"/>
                <w:lang w:eastAsia="lv-LV"/>
              </w:rPr>
            </w:pPr>
            <w:r w:rsidRPr="00812001">
              <w:rPr>
                <w:bCs/>
                <w:color w:val="000000"/>
                <w:sz w:val="18"/>
                <w:szCs w:val="18"/>
                <w:lang w:eastAsia="lv-LV"/>
              </w:rPr>
              <w:t>-80,3</w:t>
            </w:r>
          </w:p>
        </w:tc>
        <w:tc>
          <w:tcPr>
            <w:tcW w:w="0" w:type="auto"/>
            <w:shd w:val="clear" w:color="000000" w:fill="DCE6F1"/>
            <w:noWrap/>
            <w:vAlign w:val="center"/>
            <w:hideMark/>
          </w:tcPr>
          <w:p w:rsidR="00434853" w:rsidRPr="00F45402" w:rsidRDefault="00434853" w:rsidP="00F24DCA">
            <w:pPr>
              <w:spacing w:after="0"/>
              <w:ind w:firstLine="0"/>
              <w:contextualSpacing/>
              <w:jc w:val="right"/>
              <w:rPr>
                <w:color w:val="000000"/>
                <w:sz w:val="18"/>
                <w:szCs w:val="18"/>
                <w:lang w:eastAsia="lv-LV"/>
              </w:rPr>
            </w:pPr>
            <w:r w:rsidRPr="00F45402">
              <w:rPr>
                <w:bCs/>
                <w:color w:val="000000"/>
                <w:sz w:val="18"/>
                <w:szCs w:val="18"/>
                <w:lang w:eastAsia="lv-LV"/>
              </w:rPr>
              <w:t>103,1</w:t>
            </w:r>
          </w:p>
        </w:tc>
        <w:tc>
          <w:tcPr>
            <w:tcW w:w="0" w:type="auto"/>
            <w:shd w:val="clear" w:color="000000" w:fill="DCE6F1"/>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bCs/>
                <w:color w:val="000000"/>
                <w:sz w:val="18"/>
                <w:szCs w:val="18"/>
                <w:lang w:eastAsia="lv-LV"/>
              </w:rPr>
              <w:t>35,8</w:t>
            </w:r>
          </w:p>
        </w:tc>
        <w:tc>
          <w:tcPr>
            <w:tcW w:w="0" w:type="auto"/>
            <w:shd w:val="clear" w:color="000000" w:fill="DCE6F1"/>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bCs/>
                <w:color w:val="000000"/>
                <w:sz w:val="18"/>
                <w:szCs w:val="18"/>
                <w:lang w:eastAsia="lv-LV"/>
              </w:rPr>
              <w:t>339,1</w:t>
            </w:r>
          </w:p>
        </w:tc>
      </w:tr>
      <w:tr w:rsidR="00434853" w:rsidRPr="0035459B" w:rsidTr="00F24DCA">
        <w:trPr>
          <w:trHeight w:val="20"/>
          <w:jc w:val="center"/>
        </w:trPr>
        <w:tc>
          <w:tcPr>
            <w:tcW w:w="0" w:type="auto"/>
            <w:shd w:val="clear" w:color="000000" w:fill="DCE6F1"/>
            <w:vAlign w:val="center"/>
            <w:hideMark/>
          </w:tcPr>
          <w:p w:rsidR="00434853" w:rsidRPr="007B0F0A" w:rsidRDefault="00434853" w:rsidP="00A259BA">
            <w:pPr>
              <w:spacing w:after="0"/>
              <w:ind w:firstLine="0"/>
              <w:contextualSpacing/>
              <w:jc w:val="left"/>
              <w:rPr>
                <w:b/>
                <w:bCs/>
                <w:color w:val="000000"/>
                <w:sz w:val="18"/>
                <w:szCs w:val="18"/>
                <w:lang w:eastAsia="lv-LV"/>
              </w:rPr>
            </w:pPr>
            <w:r w:rsidRPr="007B0F0A">
              <w:rPr>
                <w:b/>
                <w:bCs/>
                <w:color w:val="000000"/>
                <w:sz w:val="18"/>
                <w:szCs w:val="18"/>
                <w:lang w:eastAsia="lv-LV"/>
              </w:rPr>
              <w:t>KOPBUDŽETA BILANCE</w:t>
            </w:r>
          </w:p>
        </w:tc>
        <w:tc>
          <w:tcPr>
            <w:tcW w:w="0" w:type="auto"/>
            <w:shd w:val="clear" w:color="000000" w:fill="DCE6F1"/>
            <w:noWrap/>
            <w:vAlign w:val="center"/>
            <w:hideMark/>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-373,5</w:t>
            </w:r>
          </w:p>
        </w:tc>
        <w:tc>
          <w:tcPr>
            <w:tcW w:w="0" w:type="auto"/>
            <w:shd w:val="clear" w:color="000000" w:fill="DCE6F1"/>
            <w:noWrap/>
            <w:vAlign w:val="center"/>
            <w:hideMark/>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-100,3</w:t>
            </w:r>
          </w:p>
        </w:tc>
        <w:tc>
          <w:tcPr>
            <w:tcW w:w="0" w:type="auto"/>
            <w:shd w:val="clear" w:color="000000" w:fill="DCE6F1"/>
            <w:noWrap/>
            <w:vAlign w:val="center"/>
            <w:hideMark/>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-221,9</w:t>
            </w:r>
          </w:p>
        </w:tc>
        <w:tc>
          <w:tcPr>
            <w:tcW w:w="0" w:type="auto"/>
            <w:shd w:val="clear" w:color="000000" w:fill="DCE6F1"/>
            <w:noWrap/>
            <w:vAlign w:val="center"/>
            <w:hideMark/>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-215,1</w:t>
            </w:r>
          </w:p>
        </w:tc>
        <w:tc>
          <w:tcPr>
            <w:tcW w:w="0" w:type="auto"/>
            <w:shd w:val="clear" w:color="000000" w:fill="DCE6F1"/>
            <w:noWrap/>
            <w:vAlign w:val="center"/>
            <w:hideMark/>
          </w:tcPr>
          <w:p w:rsidR="00434853" w:rsidRPr="00956824" w:rsidRDefault="00434853" w:rsidP="00F24DCA">
            <w:pPr>
              <w:spacing w:after="0"/>
              <w:ind w:firstLine="0"/>
              <w:contextualSpacing/>
              <w:jc w:val="right"/>
              <w:rPr>
                <w:b/>
                <w:bCs/>
                <w:color w:val="000000"/>
                <w:sz w:val="18"/>
                <w:szCs w:val="18"/>
                <w:lang w:eastAsia="lv-LV"/>
              </w:rPr>
            </w:pPr>
            <w:r w:rsidRPr="00956824">
              <w:rPr>
                <w:b/>
                <w:bCs/>
                <w:color w:val="000000"/>
                <w:sz w:val="18"/>
                <w:szCs w:val="18"/>
                <w:lang w:eastAsia="lv-LV"/>
              </w:rPr>
              <w:t>-271,1</w:t>
            </w:r>
          </w:p>
        </w:tc>
        <w:tc>
          <w:tcPr>
            <w:tcW w:w="0" w:type="auto"/>
            <w:shd w:val="clear" w:color="000000" w:fill="DCE6F1"/>
            <w:noWrap/>
            <w:vAlign w:val="center"/>
            <w:hideMark/>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-151,4</w:t>
            </w:r>
          </w:p>
        </w:tc>
        <w:tc>
          <w:tcPr>
            <w:tcW w:w="0" w:type="auto"/>
            <w:shd w:val="clear" w:color="000000" w:fill="DCE6F1"/>
            <w:noWrap/>
            <w:vAlign w:val="center"/>
            <w:hideMark/>
          </w:tcPr>
          <w:p w:rsidR="00434853" w:rsidRPr="007B0F0A" w:rsidRDefault="00434853" w:rsidP="00F24DCA">
            <w:pPr>
              <w:spacing w:after="0"/>
              <w:ind w:firstLine="0"/>
              <w:contextualSpacing/>
              <w:jc w:val="right"/>
              <w:rPr>
                <w:b/>
                <w:bCs/>
                <w:color w:val="000000"/>
                <w:sz w:val="18"/>
                <w:szCs w:val="18"/>
                <w:lang w:eastAsia="lv-LV"/>
              </w:rPr>
            </w:pPr>
            <w:r w:rsidRPr="007B0F0A">
              <w:rPr>
                <w:b/>
                <w:bCs/>
                <w:color w:val="000000"/>
                <w:sz w:val="18"/>
                <w:szCs w:val="18"/>
                <w:lang w:eastAsia="lv-LV"/>
              </w:rPr>
              <w:t>-448,3</w:t>
            </w:r>
          </w:p>
        </w:tc>
      </w:tr>
      <w:tr w:rsidR="00434853" w:rsidRPr="0035459B" w:rsidTr="00F24DCA">
        <w:trPr>
          <w:trHeight w:val="20"/>
          <w:jc w:val="center"/>
        </w:trPr>
        <w:tc>
          <w:tcPr>
            <w:tcW w:w="0" w:type="auto"/>
            <w:shd w:val="clear" w:color="auto" w:fill="auto"/>
            <w:noWrap/>
            <w:vAlign w:val="center"/>
            <w:hideMark/>
          </w:tcPr>
          <w:p w:rsidR="00434853" w:rsidRPr="007B0F0A" w:rsidRDefault="00434853" w:rsidP="00F24DCA">
            <w:pPr>
              <w:spacing w:after="0"/>
              <w:ind w:firstLineChars="100" w:firstLine="180"/>
              <w:contextualSpacing/>
              <w:jc w:val="left"/>
              <w:rPr>
                <w:color w:val="000000"/>
                <w:sz w:val="18"/>
                <w:szCs w:val="18"/>
                <w:lang w:eastAsia="lv-LV"/>
              </w:rPr>
            </w:pPr>
            <w:r w:rsidRPr="007B0F0A">
              <w:rPr>
                <w:color w:val="000000"/>
                <w:sz w:val="18"/>
                <w:szCs w:val="18"/>
                <w:lang w:eastAsia="lv-LV"/>
              </w:rPr>
              <w:t>Ieņēmumi</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8 814,6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9 065,2</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9 621,5</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10 882,9</w:t>
            </w:r>
          </w:p>
        </w:tc>
        <w:tc>
          <w:tcPr>
            <w:tcW w:w="0" w:type="auto"/>
            <w:shd w:val="clear" w:color="auto" w:fill="auto"/>
            <w:noWrap/>
            <w:vAlign w:val="center"/>
            <w:hideMark/>
          </w:tcPr>
          <w:p w:rsidR="00434853" w:rsidRPr="00956824" w:rsidRDefault="00434853" w:rsidP="00956824">
            <w:pPr>
              <w:spacing w:after="0"/>
              <w:ind w:firstLine="0"/>
              <w:contextualSpacing/>
              <w:jc w:val="right"/>
              <w:rPr>
                <w:color w:val="000000"/>
                <w:sz w:val="18"/>
                <w:szCs w:val="18"/>
                <w:lang w:eastAsia="lv-LV"/>
              </w:rPr>
            </w:pPr>
            <w:r w:rsidRPr="00956824">
              <w:rPr>
                <w:color w:val="000000"/>
                <w:sz w:val="18"/>
                <w:szCs w:val="18"/>
                <w:lang w:eastAsia="lv-LV"/>
              </w:rPr>
              <w:t xml:space="preserve">11 </w:t>
            </w:r>
            <w:r w:rsidR="00956824" w:rsidRPr="00956824">
              <w:rPr>
                <w:color w:val="000000"/>
                <w:sz w:val="18"/>
                <w:szCs w:val="18"/>
                <w:lang w:eastAsia="lv-LV"/>
              </w:rPr>
              <w:t>148</w:t>
            </w:r>
            <w:r w:rsidRPr="00956824">
              <w:rPr>
                <w:color w:val="000000"/>
                <w:sz w:val="18"/>
                <w:szCs w:val="18"/>
                <w:lang w:eastAsia="lv-LV"/>
              </w:rPr>
              <w:t>,</w:t>
            </w:r>
            <w:r w:rsidR="00956824" w:rsidRPr="00956824">
              <w:rPr>
                <w:color w:val="000000"/>
                <w:sz w:val="18"/>
                <w:szCs w:val="18"/>
                <w:lang w:eastAsia="lv-LV"/>
              </w:rPr>
              <w:t>7</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11 767,4</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11 937,5</w:t>
            </w:r>
          </w:p>
        </w:tc>
      </w:tr>
      <w:tr w:rsidR="00434853" w:rsidRPr="0035459B" w:rsidTr="00F24DCA">
        <w:trPr>
          <w:trHeight w:val="20"/>
          <w:jc w:val="center"/>
        </w:trPr>
        <w:tc>
          <w:tcPr>
            <w:tcW w:w="0" w:type="auto"/>
            <w:shd w:val="clear" w:color="auto" w:fill="auto"/>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Nodokļu ieņēmumi</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7 002,6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7 419,6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8 015,3</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8 657,7</w:t>
            </w:r>
          </w:p>
        </w:tc>
        <w:tc>
          <w:tcPr>
            <w:tcW w:w="0" w:type="auto"/>
            <w:shd w:val="clear" w:color="auto" w:fill="auto"/>
            <w:noWrap/>
            <w:vAlign w:val="center"/>
            <w:hideMark/>
          </w:tcPr>
          <w:p w:rsidR="00434853" w:rsidRPr="00956824" w:rsidRDefault="00434853" w:rsidP="00956824">
            <w:pPr>
              <w:spacing w:after="0"/>
              <w:ind w:firstLine="0"/>
              <w:contextualSpacing/>
              <w:jc w:val="right"/>
              <w:rPr>
                <w:color w:val="000000"/>
                <w:sz w:val="18"/>
                <w:szCs w:val="18"/>
                <w:lang w:eastAsia="lv-LV"/>
              </w:rPr>
            </w:pPr>
            <w:r w:rsidRPr="00956824">
              <w:rPr>
                <w:color w:val="000000"/>
                <w:sz w:val="18"/>
                <w:szCs w:val="18"/>
                <w:lang w:eastAsia="lv-LV"/>
              </w:rPr>
              <w:t xml:space="preserve">9 </w:t>
            </w:r>
            <w:r w:rsidR="00956824" w:rsidRPr="00956824">
              <w:rPr>
                <w:color w:val="000000"/>
                <w:sz w:val="18"/>
                <w:szCs w:val="18"/>
                <w:lang w:eastAsia="lv-LV"/>
              </w:rPr>
              <w:t>043</w:t>
            </w:r>
            <w:r w:rsidRPr="00956824">
              <w:rPr>
                <w:color w:val="000000"/>
                <w:sz w:val="18"/>
                <w:szCs w:val="18"/>
                <w:lang w:eastAsia="lv-LV"/>
              </w:rPr>
              <w:t>,</w:t>
            </w:r>
            <w:r w:rsidR="00956824" w:rsidRPr="00956824">
              <w:rPr>
                <w:color w:val="000000"/>
                <w:sz w:val="18"/>
                <w:szCs w:val="18"/>
                <w:lang w:eastAsia="lv-LV"/>
              </w:rPr>
              <w:t>7</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9 691,6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10 206,8</w:t>
            </w:r>
          </w:p>
        </w:tc>
      </w:tr>
      <w:tr w:rsidR="00434853" w:rsidRPr="0035459B" w:rsidTr="00F24DCA">
        <w:trPr>
          <w:trHeight w:val="20"/>
          <w:jc w:val="center"/>
        </w:trPr>
        <w:tc>
          <w:tcPr>
            <w:tcW w:w="0" w:type="auto"/>
            <w:shd w:val="clear" w:color="auto" w:fill="auto"/>
            <w:noWrap/>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Ne-nodokļu ieņēmumi</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498,4</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564,5</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536,5</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717,7</w:t>
            </w:r>
          </w:p>
        </w:tc>
        <w:tc>
          <w:tcPr>
            <w:tcW w:w="0" w:type="auto"/>
            <w:shd w:val="clear" w:color="auto" w:fill="auto"/>
            <w:noWrap/>
            <w:vAlign w:val="center"/>
            <w:hideMark/>
          </w:tcPr>
          <w:p w:rsidR="00434853" w:rsidRPr="00956824" w:rsidRDefault="00956824" w:rsidP="00956824">
            <w:pPr>
              <w:spacing w:after="0"/>
              <w:ind w:firstLine="0"/>
              <w:contextualSpacing/>
              <w:jc w:val="right"/>
              <w:rPr>
                <w:color w:val="000000"/>
                <w:sz w:val="18"/>
                <w:szCs w:val="18"/>
                <w:lang w:eastAsia="lv-LV"/>
              </w:rPr>
            </w:pPr>
            <w:r w:rsidRPr="00956824">
              <w:rPr>
                <w:color w:val="000000"/>
                <w:sz w:val="18"/>
                <w:szCs w:val="18"/>
                <w:lang w:eastAsia="lv-LV"/>
              </w:rPr>
              <w:t>599</w:t>
            </w:r>
            <w:r w:rsidR="00434853" w:rsidRPr="00956824">
              <w:rPr>
                <w:color w:val="000000"/>
                <w:sz w:val="18"/>
                <w:szCs w:val="18"/>
                <w:lang w:eastAsia="lv-LV"/>
              </w:rPr>
              <w:t>,</w:t>
            </w:r>
            <w:r w:rsidRPr="00956824">
              <w:rPr>
                <w:color w:val="000000"/>
                <w:sz w:val="18"/>
                <w:szCs w:val="18"/>
                <w:lang w:eastAsia="lv-LV"/>
              </w:rPr>
              <w:t>4</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531,5</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432,4</w:t>
            </w:r>
          </w:p>
        </w:tc>
      </w:tr>
      <w:tr w:rsidR="00434853" w:rsidRPr="0035459B" w:rsidTr="00F24DCA">
        <w:trPr>
          <w:trHeight w:val="20"/>
          <w:jc w:val="center"/>
        </w:trPr>
        <w:tc>
          <w:tcPr>
            <w:tcW w:w="0" w:type="auto"/>
            <w:shd w:val="clear" w:color="auto" w:fill="auto"/>
            <w:noWrap/>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Pašu ieņēmumi</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303,0</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325,9</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332,6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372,3</w:t>
            </w:r>
          </w:p>
        </w:tc>
        <w:tc>
          <w:tcPr>
            <w:tcW w:w="0" w:type="auto"/>
            <w:shd w:val="clear" w:color="auto" w:fill="auto"/>
            <w:noWrap/>
            <w:vAlign w:val="center"/>
            <w:hideMark/>
          </w:tcPr>
          <w:p w:rsidR="00434853" w:rsidRPr="00956824" w:rsidRDefault="00434853" w:rsidP="00F24DCA">
            <w:pPr>
              <w:spacing w:after="0"/>
              <w:ind w:firstLine="0"/>
              <w:contextualSpacing/>
              <w:jc w:val="right"/>
              <w:rPr>
                <w:color w:val="000000"/>
                <w:sz w:val="18"/>
                <w:szCs w:val="18"/>
                <w:lang w:eastAsia="lv-LV"/>
              </w:rPr>
            </w:pPr>
            <w:r w:rsidRPr="00956824">
              <w:rPr>
                <w:color w:val="000000"/>
                <w:sz w:val="18"/>
                <w:szCs w:val="18"/>
                <w:lang w:eastAsia="lv-LV"/>
              </w:rPr>
              <w:t>361,2</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354,6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351,6</w:t>
            </w:r>
          </w:p>
        </w:tc>
      </w:tr>
      <w:tr w:rsidR="00434853" w:rsidRPr="0035459B" w:rsidTr="00F24DCA">
        <w:trPr>
          <w:trHeight w:val="20"/>
          <w:jc w:val="center"/>
        </w:trPr>
        <w:tc>
          <w:tcPr>
            <w:tcW w:w="0" w:type="auto"/>
            <w:shd w:val="clear" w:color="auto" w:fill="auto"/>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Ārvalstu finanšu palīdzība</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1 005,7</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750,7</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729,6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1 131,2</w:t>
            </w:r>
          </w:p>
        </w:tc>
        <w:tc>
          <w:tcPr>
            <w:tcW w:w="0" w:type="auto"/>
            <w:shd w:val="clear" w:color="auto" w:fill="auto"/>
            <w:noWrap/>
            <w:vAlign w:val="center"/>
            <w:hideMark/>
          </w:tcPr>
          <w:p w:rsidR="00434853" w:rsidRPr="00956824" w:rsidRDefault="00434853" w:rsidP="00F24DCA">
            <w:pPr>
              <w:spacing w:after="0"/>
              <w:ind w:firstLine="0"/>
              <w:contextualSpacing/>
              <w:jc w:val="right"/>
              <w:rPr>
                <w:color w:val="000000"/>
                <w:sz w:val="18"/>
                <w:szCs w:val="18"/>
                <w:lang w:eastAsia="lv-LV"/>
              </w:rPr>
            </w:pPr>
            <w:r w:rsidRPr="00956824">
              <w:rPr>
                <w:color w:val="000000"/>
                <w:sz w:val="18"/>
                <w:szCs w:val="18"/>
                <w:lang w:eastAsia="lv-LV"/>
              </w:rPr>
              <w:t>1 142,2</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1 187,7</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942,7</w:t>
            </w:r>
          </w:p>
        </w:tc>
      </w:tr>
      <w:tr w:rsidR="00434853" w:rsidRPr="0035459B" w:rsidTr="00F24DCA">
        <w:trPr>
          <w:trHeight w:val="20"/>
          <w:jc w:val="center"/>
        </w:trPr>
        <w:tc>
          <w:tcPr>
            <w:tcW w:w="0" w:type="auto"/>
            <w:shd w:val="clear" w:color="auto" w:fill="auto"/>
            <w:noWrap/>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Pārējie ieņēmumi</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4,9</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4,5</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7,5</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3,9</w:t>
            </w:r>
          </w:p>
        </w:tc>
        <w:tc>
          <w:tcPr>
            <w:tcW w:w="0" w:type="auto"/>
            <w:shd w:val="clear" w:color="auto" w:fill="auto"/>
            <w:noWrap/>
            <w:vAlign w:val="center"/>
            <w:hideMark/>
          </w:tcPr>
          <w:p w:rsidR="00434853" w:rsidRPr="00956824" w:rsidRDefault="00434853" w:rsidP="00F24DCA">
            <w:pPr>
              <w:spacing w:after="0"/>
              <w:ind w:firstLine="0"/>
              <w:contextualSpacing/>
              <w:jc w:val="right"/>
              <w:rPr>
                <w:color w:val="000000"/>
                <w:sz w:val="18"/>
                <w:szCs w:val="18"/>
                <w:lang w:eastAsia="lv-LV"/>
              </w:rPr>
            </w:pPr>
            <w:r w:rsidRPr="00956824">
              <w:rPr>
                <w:color w:val="000000"/>
                <w:sz w:val="18"/>
                <w:szCs w:val="18"/>
                <w:lang w:eastAsia="lv-LV"/>
              </w:rPr>
              <w:t>2,1</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2,1</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4,1</w:t>
            </w:r>
          </w:p>
        </w:tc>
      </w:tr>
      <w:tr w:rsidR="00434853" w:rsidRPr="0035459B" w:rsidTr="00F24DCA">
        <w:trPr>
          <w:trHeight w:val="20"/>
          <w:jc w:val="center"/>
        </w:trPr>
        <w:tc>
          <w:tcPr>
            <w:tcW w:w="0" w:type="auto"/>
            <w:shd w:val="clear" w:color="auto" w:fill="auto"/>
            <w:noWrap/>
            <w:vAlign w:val="center"/>
            <w:hideMark/>
          </w:tcPr>
          <w:p w:rsidR="00434853" w:rsidRPr="007B0F0A" w:rsidRDefault="00434853" w:rsidP="00F24DCA">
            <w:pPr>
              <w:spacing w:after="0"/>
              <w:ind w:firstLineChars="100" w:firstLine="180"/>
              <w:contextualSpacing/>
              <w:jc w:val="left"/>
              <w:rPr>
                <w:color w:val="000000"/>
                <w:sz w:val="18"/>
                <w:szCs w:val="18"/>
                <w:lang w:eastAsia="lv-LV"/>
              </w:rPr>
            </w:pPr>
            <w:r w:rsidRPr="007B0F0A">
              <w:rPr>
                <w:color w:val="000000"/>
                <w:sz w:val="18"/>
                <w:szCs w:val="18"/>
                <w:lang w:eastAsia="lv-LV"/>
              </w:rPr>
              <w:t>Izdevumi</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9 188,1</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9 165,5</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9 843,4</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11 098,0</w:t>
            </w:r>
          </w:p>
        </w:tc>
        <w:tc>
          <w:tcPr>
            <w:tcW w:w="0" w:type="auto"/>
            <w:shd w:val="clear" w:color="auto" w:fill="auto"/>
            <w:noWrap/>
            <w:vAlign w:val="center"/>
            <w:hideMark/>
          </w:tcPr>
          <w:p w:rsidR="00434853" w:rsidRPr="00956824" w:rsidRDefault="00434853" w:rsidP="00956824">
            <w:pPr>
              <w:spacing w:after="0"/>
              <w:ind w:firstLine="0"/>
              <w:contextualSpacing/>
              <w:jc w:val="right"/>
              <w:rPr>
                <w:color w:val="000000"/>
                <w:sz w:val="18"/>
                <w:szCs w:val="18"/>
                <w:lang w:eastAsia="lv-LV"/>
              </w:rPr>
            </w:pPr>
            <w:r w:rsidRPr="00956824">
              <w:rPr>
                <w:color w:val="000000"/>
                <w:sz w:val="18"/>
                <w:szCs w:val="18"/>
                <w:lang w:eastAsia="lv-LV"/>
              </w:rPr>
              <w:t xml:space="preserve">11 </w:t>
            </w:r>
            <w:r w:rsidR="00956824" w:rsidRPr="00956824">
              <w:rPr>
                <w:color w:val="000000"/>
                <w:sz w:val="18"/>
                <w:szCs w:val="18"/>
                <w:lang w:eastAsia="lv-LV"/>
              </w:rPr>
              <w:t>420</w:t>
            </w:r>
            <w:r w:rsidRPr="00956824">
              <w:rPr>
                <w:color w:val="000000"/>
                <w:sz w:val="18"/>
                <w:szCs w:val="18"/>
                <w:lang w:eastAsia="lv-LV"/>
              </w:rPr>
              <w:t>,</w:t>
            </w:r>
            <w:r w:rsidR="00956824" w:rsidRPr="00956824">
              <w:rPr>
                <w:color w:val="000000"/>
                <w:sz w:val="18"/>
                <w:szCs w:val="18"/>
                <w:lang w:eastAsia="lv-LV"/>
              </w:rPr>
              <w:t>4</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11 918,8</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12 385,8</w:t>
            </w:r>
          </w:p>
        </w:tc>
      </w:tr>
      <w:tr w:rsidR="00434853" w:rsidRPr="0035459B" w:rsidTr="00F24DCA">
        <w:trPr>
          <w:trHeight w:val="20"/>
          <w:jc w:val="center"/>
        </w:trPr>
        <w:tc>
          <w:tcPr>
            <w:tcW w:w="0" w:type="auto"/>
            <w:shd w:val="clear" w:color="auto" w:fill="auto"/>
            <w:noWrap/>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Atlīdzība</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1 987,5</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2 095,8</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2 288,4</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2 452,1</w:t>
            </w:r>
          </w:p>
        </w:tc>
        <w:tc>
          <w:tcPr>
            <w:tcW w:w="0" w:type="auto"/>
            <w:shd w:val="clear" w:color="auto" w:fill="auto"/>
            <w:noWrap/>
            <w:vAlign w:val="center"/>
            <w:hideMark/>
          </w:tcPr>
          <w:p w:rsidR="00434853" w:rsidRPr="00956824" w:rsidRDefault="00434853" w:rsidP="00956824">
            <w:pPr>
              <w:spacing w:after="0"/>
              <w:ind w:firstLine="0"/>
              <w:contextualSpacing/>
              <w:jc w:val="right"/>
              <w:rPr>
                <w:color w:val="000000"/>
                <w:sz w:val="18"/>
                <w:szCs w:val="18"/>
                <w:lang w:eastAsia="lv-LV"/>
              </w:rPr>
            </w:pPr>
            <w:r w:rsidRPr="00956824">
              <w:rPr>
                <w:color w:val="000000"/>
                <w:sz w:val="18"/>
                <w:szCs w:val="18"/>
                <w:lang w:eastAsia="lv-LV"/>
              </w:rPr>
              <w:t>2 670,</w:t>
            </w:r>
            <w:r w:rsidR="00956824" w:rsidRPr="00956824">
              <w:rPr>
                <w:color w:val="000000"/>
                <w:sz w:val="18"/>
                <w:szCs w:val="18"/>
                <w:lang w:eastAsia="lv-LV"/>
              </w:rPr>
              <w:t>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2 729,6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2 762,2</w:t>
            </w:r>
          </w:p>
        </w:tc>
      </w:tr>
      <w:tr w:rsidR="00434853" w:rsidRPr="0035459B" w:rsidTr="00F24DCA">
        <w:trPr>
          <w:trHeight w:val="20"/>
          <w:jc w:val="center"/>
        </w:trPr>
        <w:tc>
          <w:tcPr>
            <w:tcW w:w="0" w:type="auto"/>
            <w:shd w:val="clear" w:color="auto" w:fill="auto"/>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Preces un pakalpojumi</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1 177,7</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1 201,1</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1 309,6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1 533,2</w:t>
            </w:r>
          </w:p>
        </w:tc>
        <w:tc>
          <w:tcPr>
            <w:tcW w:w="0" w:type="auto"/>
            <w:shd w:val="clear" w:color="auto" w:fill="auto"/>
            <w:noWrap/>
            <w:vAlign w:val="center"/>
            <w:hideMark/>
          </w:tcPr>
          <w:p w:rsidR="00434853" w:rsidRPr="00956824" w:rsidRDefault="00434853" w:rsidP="00956824">
            <w:pPr>
              <w:spacing w:after="0"/>
              <w:ind w:firstLine="0"/>
              <w:contextualSpacing/>
              <w:jc w:val="right"/>
              <w:rPr>
                <w:color w:val="000000"/>
                <w:sz w:val="18"/>
                <w:szCs w:val="18"/>
                <w:lang w:eastAsia="lv-LV"/>
              </w:rPr>
            </w:pPr>
            <w:r w:rsidRPr="00956824">
              <w:rPr>
                <w:color w:val="000000"/>
                <w:sz w:val="18"/>
                <w:szCs w:val="18"/>
                <w:lang w:eastAsia="lv-LV"/>
              </w:rPr>
              <w:t xml:space="preserve">1 </w:t>
            </w:r>
            <w:r w:rsidR="00956824" w:rsidRPr="00956824">
              <w:rPr>
                <w:color w:val="000000"/>
                <w:sz w:val="18"/>
                <w:szCs w:val="18"/>
                <w:lang w:eastAsia="lv-LV"/>
              </w:rPr>
              <w:t>463</w:t>
            </w:r>
            <w:r w:rsidRPr="00956824">
              <w:rPr>
                <w:color w:val="000000"/>
                <w:sz w:val="18"/>
                <w:szCs w:val="18"/>
                <w:lang w:eastAsia="lv-LV"/>
              </w:rPr>
              <w:t>,1</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1 446,8</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1 486,0</w:t>
            </w:r>
          </w:p>
        </w:tc>
      </w:tr>
      <w:tr w:rsidR="00434853" w:rsidRPr="0035459B" w:rsidTr="00F24DCA">
        <w:trPr>
          <w:trHeight w:val="20"/>
          <w:jc w:val="center"/>
        </w:trPr>
        <w:tc>
          <w:tcPr>
            <w:tcW w:w="0" w:type="auto"/>
            <w:shd w:val="clear" w:color="auto" w:fill="auto"/>
            <w:noWrap/>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Procentu izdevumi</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435,6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308,6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297,0</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275,7</w:t>
            </w:r>
          </w:p>
        </w:tc>
        <w:tc>
          <w:tcPr>
            <w:tcW w:w="0" w:type="auto"/>
            <w:shd w:val="clear" w:color="auto" w:fill="auto"/>
            <w:noWrap/>
            <w:vAlign w:val="center"/>
            <w:hideMark/>
          </w:tcPr>
          <w:p w:rsidR="00434853" w:rsidRPr="00956824" w:rsidRDefault="00434853" w:rsidP="00F24DCA">
            <w:pPr>
              <w:spacing w:after="0"/>
              <w:ind w:firstLine="0"/>
              <w:contextualSpacing/>
              <w:jc w:val="right"/>
              <w:rPr>
                <w:color w:val="000000"/>
                <w:sz w:val="18"/>
                <w:szCs w:val="18"/>
                <w:lang w:eastAsia="lv-LV"/>
              </w:rPr>
            </w:pPr>
            <w:r w:rsidRPr="00956824">
              <w:rPr>
                <w:color w:val="000000"/>
                <w:sz w:val="18"/>
                <w:szCs w:val="18"/>
                <w:lang w:eastAsia="lv-LV"/>
              </w:rPr>
              <w:t>264,8</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294,2</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312,4</w:t>
            </w:r>
          </w:p>
        </w:tc>
      </w:tr>
      <w:tr w:rsidR="00434853" w:rsidRPr="0035459B" w:rsidTr="00F24DCA">
        <w:trPr>
          <w:trHeight w:val="20"/>
          <w:jc w:val="center"/>
        </w:trPr>
        <w:tc>
          <w:tcPr>
            <w:tcW w:w="0" w:type="auto"/>
            <w:shd w:val="clear" w:color="auto" w:fill="auto"/>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Subsīdijas un dotācijas</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1 794,9</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1 903,5</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1 903,8</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2 276,1</w:t>
            </w:r>
          </w:p>
        </w:tc>
        <w:tc>
          <w:tcPr>
            <w:tcW w:w="0" w:type="auto"/>
            <w:shd w:val="clear" w:color="auto" w:fill="auto"/>
            <w:noWrap/>
            <w:vAlign w:val="center"/>
            <w:hideMark/>
          </w:tcPr>
          <w:p w:rsidR="00434853" w:rsidRPr="00956824" w:rsidRDefault="00434853" w:rsidP="00956824">
            <w:pPr>
              <w:spacing w:after="0"/>
              <w:ind w:firstLine="0"/>
              <w:contextualSpacing/>
              <w:jc w:val="right"/>
              <w:rPr>
                <w:color w:val="000000"/>
                <w:sz w:val="18"/>
                <w:szCs w:val="18"/>
                <w:lang w:eastAsia="lv-LV"/>
              </w:rPr>
            </w:pPr>
            <w:r w:rsidRPr="00956824">
              <w:rPr>
                <w:color w:val="000000"/>
                <w:sz w:val="18"/>
                <w:szCs w:val="18"/>
                <w:lang w:eastAsia="lv-LV"/>
              </w:rPr>
              <w:t xml:space="preserve">2 </w:t>
            </w:r>
            <w:r w:rsidR="00956824" w:rsidRPr="00956824">
              <w:rPr>
                <w:color w:val="000000"/>
                <w:sz w:val="18"/>
                <w:szCs w:val="18"/>
                <w:lang w:eastAsia="lv-LV"/>
              </w:rPr>
              <w:t>161</w:t>
            </w:r>
            <w:r w:rsidRPr="00956824">
              <w:rPr>
                <w:color w:val="000000"/>
                <w:sz w:val="18"/>
                <w:szCs w:val="18"/>
                <w:lang w:eastAsia="lv-LV"/>
              </w:rPr>
              <w:t>,</w:t>
            </w:r>
            <w:r w:rsidR="00956824" w:rsidRPr="00956824">
              <w:rPr>
                <w:color w:val="000000"/>
                <w:sz w:val="18"/>
                <w:szCs w:val="18"/>
                <w:lang w:eastAsia="lv-LV"/>
              </w:rPr>
              <w:t>1</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2 393,7</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2 660,4</w:t>
            </w:r>
          </w:p>
        </w:tc>
      </w:tr>
      <w:tr w:rsidR="00434853" w:rsidRPr="0035459B" w:rsidTr="00F24DCA">
        <w:trPr>
          <w:trHeight w:val="20"/>
          <w:jc w:val="center"/>
        </w:trPr>
        <w:tc>
          <w:tcPr>
            <w:tcW w:w="0" w:type="auto"/>
            <w:shd w:val="clear" w:color="auto" w:fill="auto"/>
            <w:noWrap/>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Sociālie pabalsti</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2 587,3</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2 701,3</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2 829,1</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3 065,8</w:t>
            </w:r>
          </w:p>
        </w:tc>
        <w:tc>
          <w:tcPr>
            <w:tcW w:w="0" w:type="auto"/>
            <w:shd w:val="clear" w:color="auto" w:fill="auto"/>
            <w:noWrap/>
            <w:vAlign w:val="center"/>
            <w:hideMark/>
          </w:tcPr>
          <w:p w:rsidR="00434853" w:rsidRPr="00956824" w:rsidRDefault="00434853" w:rsidP="00F24DCA">
            <w:pPr>
              <w:spacing w:after="0"/>
              <w:ind w:firstLine="0"/>
              <w:contextualSpacing/>
              <w:jc w:val="right"/>
              <w:rPr>
                <w:color w:val="000000"/>
                <w:sz w:val="18"/>
                <w:szCs w:val="18"/>
                <w:lang w:eastAsia="lv-LV"/>
              </w:rPr>
            </w:pPr>
            <w:r w:rsidRPr="00956824">
              <w:rPr>
                <w:color w:val="000000"/>
                <w:sz w:val="18"/>
                <w:szCs w:val="18"/>
                <w:lang w:eastAsia="lv-LV"/>
              </w:rPr>
              <w:t>3 289,5</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3 544,3</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3 729,7</w:t>
            </w:r>
          </w:p>
        </w:tc>
      </w:tr>
      <w:tr w:rsidR="00434853" w:rsidRPr="0035459B" w:rsidTr="00F24DCA">
        <w:trPr>
          <w:trHeight w:val="20"/>
          <w:jc w:val="center"/>
        </w:trPr>
        <w:tc>
          <w:tcPr>
            <w:tcW w:w="0" w:type="auto"/>
            <w:shd w:val="clear" w:color="auto" w:fill="auto"/>
            <w:noWrap/>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Kapitālie izdevumi</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919,9</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662,6</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957,1</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1 188,1</w:t>
            </w:r>
          </w:p>
        </w:tc>
        <w:tc>
          <w:tcPr>
            <w:tcW w:w="0" w:type="auto"/>
            <w:shd w:val="clear" w:color="auto" w:fill="auto"/>
            <w:noWrap/>
            <w:vAlign w:val="center"/>
            <w:hideMark/>
          </w:tcPr>
          <w:p w:rsidR="00434853" w:rsidRPr="00956824" w:rsidRDefault="00434853" w:rsidP="00956824">
            <w:pPr>
              <w:spacing w:after="0"/>
              <w:ind w:firstLine="0"/>
              <w:contextualSpacing/>
              <w:jc w:val="right"/>
              <w:rPr>
                <w:color w:val="000000"/>
                <w:sz w:val="18"/>
                <w:szCs w:val="18"/>
                <w:lang w:eastAsia="lv-LV"/>
              </w:rPr>
            </w:pPr>
            <w:r w:rsidRPr="00956824">
              <w:rPr>
                <w:color w:val="000000"/>
                <w:sz w:val="18"/>
                <w:szCs w:val="18"/>
                <w:lang w:eastAsia="lv-LV"/>
              </w:rPr>
              <w:t xml:space="preserve">1 </w:t>
            </w:r>
            <w:r w:rsidR="00956824" w:rsidRPr="00956824">
              <w:rPr>
                <w:color w:val="000000"/>
                <w:sz w:val="18"/>
                <w:szCs w:val="18"/>
                <w:lang w:eastAsia="lv-LV"/>
              </w:rPr>
              <w:t>246</w:t>
            </w:r>
            <w:r w:rsidRPr="00956824">
              <w:rPr>
                <w:color w:val="000000"/>
                <w:sz w:val="18"/>
                <w:szCs w:val="18"/>
                <w:lang w:eastAsia="lv-LV"/>
              </w:rPr>
              <w:t>,</w:t>
            </w:r>
            <w:r w:rsidR="00956824" w:rsidRPr="00956824">
              <w:rPr>
                <w:color w:val="000000"/>
                <w:sz w:val="18"/>
                <w:szCs w:val="18"/>
                <w:lang w:eastAsia="lv-LV"/>
              </w:rPr>
              <w:t>0</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1 154,1</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1 063,4</w:t>
            </w:r>
          </w:p>
        </w:tc>
      </w:tr>
      <w:tr w:rsidR="00434853" w:rsidRPr="0035459B" w:rsidTr="00F24DCA">
        <w:trPr>
          <w:trHeight w:val="20"/>
          <w:jc w:val="center"/>
        </w:trPr>
        <w:tc>
          <w:tcPr>
            <w:tcW w:w="0" w:type="auto"/>
            <w:shd w:val="clear" w:color="auto" w:fill="auto"/>
            <w:noWrap/>
            <w:vAlign w:val="center"/>
            <w:hideMark/>
          </w:tcPr>
          <w:p w:rsidR="00434853" w:rsidRPr="007B0F0A" w:rsidRDefault="00434853" w:rsidP="00F24DCA">
            <w:pPr>
              <w:spacing w:after="0"/>
              <w:ind w:firstLineChars="200" w:firstLine="360"/>
              <w:contextualSpacing/>
              <w:jc w:val="left"/>
              <w:rPr>
                <w:color w:val="000000"/>
                <w:sz w:val="18"/>
                <w:szCs w:val="18"/>
                <w:lang w:eastAsia="lv-LV"/>
              </w:rPr>
            </w:pPr>
            <w:r w:rsidRPr="007B0F0A">
              <w:rPr>
                <w:color w:val="000000"/>
                <w:sz w:val="18"/>
                <w:szCs w:val="18"/>
                <w:lang w:eastAsia="lv-LV"/>
              </w:rPr>
              <w:t>Pārējie izdevumi</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285,3</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292,5</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258,3</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307,1</w:t>
            </w:r>
          </w:p>
        </w:tc>
        <w:tc>
          <w:tcPr>
            <w:tcW w:w="0" w:type="auto"/>
            <w:shd w:val="clear" w:color="auto" w:fill="auto"/>
            <w:noWrap/>
            <w:vAlign w:val="center"/>
            <w:hideMark/>
          </w:tcPr>
          <w:p w:rsidR="00434853" w:rsidRPr="00956824" w:rsidRDefault="00434853" w:rsidP="00F24DCA">
            <w:pPr>
              <w:spacing w:after="0"/>
              <w:ind w:firstLine="0"/>
              <w:contextualSpacing/>
              <w:jc w:val="right"/>
              <w:rPr>
                <w:color w:val="000000"/>
                <w:sz w:val="18"/>
                <w:szCs w:val="18"/>
                <w:lang w:eastAsia="lv-LV"/>
              </w:rPr>
            </w:pPr>
            <w:r w:rsidRPr="00956824">
              <w:rPr>
                <w:color w:val="000000"/>
                <w:sz w:val="18"/>
                <w:szCs w:val="18"/>
                <w:lang w:eastAsia="lv-LV"/>
              </w:rPr>
              <w:t>325,4</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356,1</w:t>
            </w:r>
          </w:p>
        </w:tc>
        <w:tc>
          <w:tcPr>
            <w:tcW w:w="0" w:type="auto"/>
            <w:shd w:val="clear" w:color="auto" w:fill="auto"/>
            <w:noWrap/>
            <w:vAlign w:val="center"/>
            <w:hideMark/>
          </w:tcPr>
          <w:p w:rsidR="00434853" w:rsidRPr="007B0F0A" w:rsidRDefault="00434853" w:rsidP="00F24DCA">
            <w:pPr>
              <w:spacing w:after="0"/>
              <w:ind w:firstLine="0"/>
              <w:contextualSpacing/>
              <w:jc w:val="right"/>
              <w:rPr>
                <w:color w:val="000000"/>
                <w:sz w:val="18"/>
                <w:szCs w:val="18"/>
                <w:lang w:eastAsia="lv-LV"/>
              </w:rPr>
            </w:pPr>
            <w:r w:rsidRPr="007B0F0A">
              <w:rPr>
                <w:color w:val="000000"/>
                <w:sz w:val="18"/>
                <w:szCs w:val="18"/>
                <w:lang w:eastAsia="lv-LV"/>
              </w:rPr>
              <w:t>371,7</w:t>
            </w:r>
          </w:p>
        </w:tc>
      </w:tr>
    </w:tbl>
    <w:p w:rsidR="00434853" w:rsidRDefault="008D6000" w:rsidP="00434853">
      <w:pPr>
        <w:spacing w:before="120" w:after="0"/>
        <w:ind w:firstLine="720"/>
        <w:rPr>
          <w:color w:val="000000" w:themeColor="text1"/>
          <w:szCs w:val="24"/>
        </w:rPr>
      </w:pPr>
      <w:r w:rsidRPr="000D1731">
        <w:rPr>
          <w:color w:val="000000" w:themeColor="text1"/>
          <w:szCs w:val="24"/>
        </w:rPr>
        <w:t xml:space="preserve">Lai gan 2018.gada deficīta līmenis kopumā atbilst plānotajam, atsevišķās komponentēs bijušas novirzes no plāna. </w:t>
      </w:r>
      <w:r w:rsidR="000D1731">
        <w:rPr>
          <w:color w:val="000000" w:themeColor="text1"/>
          <w:szCs w:val="24"/>
        </w:rPr>
        <w:t>A</w:t>
      </w:r>
      <w:r w:rsidRPr="000D1731">
        <w:rPr>
          <w:color w:val="000000" w:themeColor="text1"/>
          <w:szCs w:val="24"/>
        </w:rPr>
        <w:t xml:space="preserve">ugstāki kā plānots bija </w:t>
      </w:r>
      <w:r w:rsidR="00434853" w:rsidRPr="000D1731">
        <w:rPr>
          <w:color w:val="000000" w:themeColor="text1"/>
          <w:szCs w:val="24"/>
        </w:rPr>
        <w:t>budžeta izdevum</w:t>
      </w:r>
      <w:r w:rsidRPr="000D1731">
        <w:rPr>
          <w:color w:val="000000" w:themeColor="text1"/>
          <w:szCs w:val="24"/>
        </w:rPr>
        <w:t>i</w:t>
      </w:r>
      <w:r w:rsidR="00434853" w:rsidRPr="000D1731">
        <w:rPr>
          <w:color w:val="000000" w:themeColor="text1"/>
          <w:szCs w:val="24"/>
        </w:rPr>
        <w:t xml:space="preserve"> ES fondu projektiem, tai skaitā pašvaldību budžetos</w:t>
      </w:r>
      <w:r w:rsidR="000D1731">
        <w:rPr>
          <w:color w:val="000000" w:themeColor="text1"/>
          <w:szCs w:val="24"/>
        </w:rPr>
        <w:t>. Tāpat kā sākotnēji prognozētā atsevišķu vispārējās valdības sektorā klasificēto kapitālsabiedrību darbība, kas izrādījusies negatīvāka. T</w:t>
      </w:r>
      <w:r w:rsidRPr="000D1731">
        <w:rPr>
          <w:color w:val="000000" w:themeColor="text1"/>
          <w:szCs w:val="24"/>
        </w:rPr>
        <w:t xml:space="preserve">omēr to </w:t>
      </w:r>
      <w:r w:rsidR="000D1731">
        <w:rPr>
          <w:color w:val="000000" w:themeColor="text1"/>
          <w:szCs w:val="24"/>
        </w:rPr>
        <w:t xml:space="preserve">ietekmi </w:t>
      </w:r>
      <w:r w:rsidRPr="000D1731">
        <w:rPr>
          <w:color w:val="000000" w:themeColor="text1"/>
          <w:szCs w:val="24"/>
        </w:rPr>
        <w:t xml:space="preserve">lielā mērā </w:t>
      </w:r>
      <w:r w:rsidR="000D1731">
        <w:rPr>
          <w:color w:val="000000" w:themeColor="text1"/>
          <w:szCs w:val="24"/>
        </w:rPr>
        <w:t>mazināja</w:t>
      </w:r>
      <w:r w:rsidR="00434853" w:rsidRPr="000D1731">
        <w:rPr>
          <w:color w:val="000000" w:themeColor="text1"/>
          <w:szCs w:val="24"/>
        </w:rPr>
        <w:t xml:space="preserve"> lielāki </w:t>
      </w:r>
      <w:r w:rsidRPr="000D1731">
        <w:rPr>
          <w:color w:val="000000" w:themeColor="text1"/>
          <w:szCs w:val="24"/>
        </w:rPr>
        <w:t xml:space="preserve">kā plānots </w:t>
      </w:r>
      <w:r w:rsidR="00434853" w:rsidRPr="000D1731">
        <w:rPr>
          <w:color w:val="000000" w:themeColor="text1"/>
          <w:szCs w:val="24"/>
        </w:rPr>
        <w:t>nodokļu ieņēmumi. Lielākā plāna</w:t>
      </w:r>
      <w:r w:rsidR="00434853" w:rsidRPr="000D1731">
        <w:rPr>
          <w:noProof/>
          <w:color w:val="000000" w:themeColor="text1"/>
          <w:szCs w:val="24"/>
        </w:rPr>
        <w:t xml:space="preserve"> pārpilde</w:t>
      </w:r>
      <w:r w:rsidR="00434853" w:rsidRPr="000D1731">
        <w:rPr>
          <w:color w:val="000000" w:themeColor="text1"/>
          <w:szCs w:val="24"/>
        </w:rPr>
        <w:t xml:space="preserve"> 2018.gadā bija vērojama uzņēmumu ienākuma nodokļa ieņēmumos, kas skaidrojama ar iemaksu straujāku kāpumu pēc deklarāciju datiem par 2017.gada rezultātiem. Lai gan mazākā apmērā, bet plāns tika pārsniegts arī sociālās apdrošināšanas iemaksu ieņēmumiem, pievienotās vērtības nodokļa un akcīzes nodokļa ieņēmumiem. Jāatzīmē, ka </w:t>
      </w:r>
      <w:r w:rsidR="000D1731">
        <w:rPr>
          <w:color w:val="000000" w:themeColor="text1"/>
          <w:szCs w:val="24"/>
        </w:rPr>
        <w:t xml:space="preserve">pozitīvs efekts bija vērojams </w:t>
      </w:r>
      <w:r w:rsidR="00434853" w:rsidRPr="000D1731">
        <w:rPr>
          <w:color w:val="000000" w:themeColor="text1"/>
          <w:szCs w:val="24"/>
        </w:rPr>
        <w:t>valsts speciāl</w:t>
      </w:r>
      <w:r w:rsidR="000D1731">
        <w:rPr>
          <w:color w:val="000000" w:themeColor="text1"/>
          <w:szCs w:val="24"/>
        </w:rPr>
        <w:t>aj</w:t>
      </w:r>
      <w:r w:rsidR="00434853" w:rsidRPr="000D1731">
        <w:rPr>
          <w:color w:val="000000" w:themeColor="text1"/>
          <w:szCs w:val="24"/>
        </w:rPr>
        <w:t>ā budžet</w:t>
      </w:r>
      <w:r w:rsidR="000D1731">
        <w:rPr>
          <w:color w:val="000000" w:themeColor="text1"/>
          <w:szCs w:val="24"/>
        </w:rPr>
        <w:t>ā, kur</w:t>
      </w:r>
      <w:r w:rsidR="00434853" w:rsidRPr="000D1731">
        <w:rPr>
          <w:color w:val="000000" w:themeColor="text1"/>
          <w:szCs w:val="24"/>
        </w:rPr>
        <w:t xml:space="preserve"> izdevumi </w:t>
      </w:r>
      <w:r w:rsidR="000D1731" w:rsidRPr="000D1731">
        <w:rPr>
          <w:color w:val="000000" w:themeColor="text1"/>
          <w:szCs w:val="24"/>
        </w:rPr>
        <w:t xml:space="preserve">2018. gadā </w:t>
      </w:r>
      <w:r w:rsidR="00434853" w:rsidRPr="000D1731">
        <w:rPr>
          <w:color w:val="000000" w:themeColor="text1"/>
          <w:szCs w:val="24"/>
        </w:rPr>
        <w:t>tika veikti mazākā apjomā nekā plānots, pamatā ņemot vērā to, ka faktiskais slimības, bezdarbnieka un vecāku pabalstu saņēmēju skaits bija mazāks nekā plānots.</w:t>
      </w:r>
      <w:r w:rsidR="000D1731">
        <w:rPr>
          <w:color w:val="000000" w:themeColor="text1"/>
          <w:szCs w:val="24"/>
        </w:rPr>
        <w:t xml:space="preserve"> </w:t>
      </w:r>
    </w:p>
    <w:p w:rsidR="00434853" w:rsidRDefault="00434853" w:rsidP="00434853">
      <w:pPr>
        <w:spacing w:before="120"/>
        <w:rPr>
          <w:color w:val="000000" w:themeColor="text1"/>
          <w:szCs w:val="24"/>
        </w:rPr>
      </w:pPr>
      <w:r w:rsidRPr="00F31117">
        <w:rPr>
          <w:b/>
          <w:color w:val="000000" w:themeColor="text1"/>
          <w:szCs w:val="24"/>
        </w:rPr>
        <w:t>2019.gadā</w:t>
      </w:r>
      <w:r w:rsidRPr="00F31117">
        <w:rPr>
          <w:color w:val="000000" w:themeColor="text1"/>
          <w:szCs w:val="24"/>
        </w:rPr>
        <w:t xml:space="preserve"> vispārējās valdības budžeta deficīts tiek </w:t>
      </w:r>
      <w:r>
        <w:rPr>
          <w:color w:val="000000" w:themeColor="text1"/>
          <w:szCs w:val="24"/>
        </w:rPr>
        <w:t>prognozēts</w:t>
      </w:r>
      <w:r w:rsidRPr="00F31117">
        <w:rPr>
          <w:color w:val="000000" w:themeColor="text1"/>
          <w:szCs w:val="24"/>
        </w:rPr>
        <w:t xml:space="preserve"> 0,</w:t>
      </w:r>
      <w:r>
        <w:rPr>
          <w:color w:val="000000" w:themeColor="text1"/>
          <w:szCs w:val="24"/>
        </w:rPr>
        <w:t>5</w:t>
      </w:r>
      <w:r w:rsidRPr="00F31117">
        <w:rPr>
          <w:color w:val="000000" w:themeColor="text1"/>
          <w:szCs w:val="24"/>
        </w:rPr>
        <w:t>% no IKP jeb 1</w:t>
      </w:r>
      <w:r>
        <w:rPr>
          <w:color w:val="000000" w:themeColor="text1"/>
          <w:szCs w:val="24"/>
        </w:rPr>
        <w:t>68</w:t>
      </w:r>
      <w:r w:rsidRPr="00F31117">
        <w:rPr>
          <w:color w:val="000000" w:themeColor="text1"/>
          <w:szCs w:val="24"/>
        </w:rPr>
        <w:t>,</w:t>
      </w:r>
      <w:r>
        <w:rPr>
          <w:color w:val="000000" w:themeColor="text1"/>
          <w:szCs w:val="24"/>
        </w:rPr>
        <w:t>6 </w:t>
      </w:r>
      <w:r w:rsidRPr="00F31117">
        <w:rPr>
          <w:color w:val="000000" w:themeColor="text1"/>
          <w:szCs w:val="24"/>
        </w:rPr>
        <w:t>milj. eiro</w:t>
      </w:r>
      <w:r>
        <w:rPr>
          <w:color w:val="000000" w:themeColor="text1"/>
          <w:szCs w:val="24"/>
        </w:rPr>
        <w:t xml:space="preserve">, </w:t>
      </w:r>
      <w:r w:rsidRPr="00F31117">
        <w:rPr>
          <w:b/>
          <w:color w:val="000000" w:themeColor="text1"/>
          <w:szCs w:val="24"/>
        </w:rPr>
        <w:t xml:space="preserve">2020.gadā </w:t>
      </w:r>
      <w:r w:rsidRPr="00F31117">
        <w:rPr>
          <w:color w:val="000000" w:themeColor="text1"/>
          <w:szCs w:val="24"/>
        </w:rPr>
        <w:t xml:space="preserve">vispārējās valdības budžetā tiek prognozēts deficīts 0,4% no IKP, </w:t>
      </w:r>
      <w:r>
        <w:rPr>
          <w:color w:val="000000" w:themeColor="text1"/>
          <w:szCs w:val="24"/>
        </w:rPr>
        <w:t>bet</w:t>
      </w:r>
      <w:r w:rsidRPr="00F31117">
        <w:rPr>
          <w:color w:val="000000" w:themeColor="text1"/>
          <w:szCs w:val="24"/>
        </w:rPr>
        <w:t xml:space="preserve"> </w:t>
      </w:r>
      <w:r w:rsidRPr="00F31117">
        <w:rPr>
          <w:b/>
          <w:color w:val="000000" w:themeColor="text1"/>
          <w:szCs w:val="24"/>
        </w:rPr>
        <w:t xml:space="preserve">2021.gadā </w:t>
      </w:r>
      <w:r w:rsidRPr="00F31117">
        <w:rPr>
          <w:color w:val="000000" w:themeColor="text1"/>
          <w:szCs w:val="24"/>
        </w:rPr>
        <w:t>vispārējās valdības budžetā tiek prognozēts deficīts 0,</w:t>
      </w:r>
      <w:r>
        <w:rPr>
          <w:color w:val="000000" w:themeColor="text1"/>
          <w:szCs w:val="24"/>
        </w:rPr>
        <w:t>3</w:t>
      </w:r>
      <w:r w:rsidRPr="00F31117">
        <w:rPr>
          <w:color w:val="000000" w:themeColor="text1"/>
          <w:szCs w:val="24"/>
        </w:rPr>
        <w:t>% no IKP. Vidēja termiņa vispārējās valdības budžeta prognožu pamatā ir prognozes, kas ir iekļautas Budžeta plāna projektā 2019. gadam</w:t>
      </w:r>
      <w:r>
        <w:rPr>
          <w:color w:val="000000" w:themeColor="text1"/>
          <w:szCs w:val="24"/>
        </w:rPr>
        <w:t xml:space="preserve"> un iesniegtas Eiropas Komisijai un </w:t>
      </w:r>
      <w:r>
        <w:rPr>
          <w:noProof/>
          <w:color w:val="000000" w:themeColor="text1"/>
          <w:szCs w:val="24"/>
        </w:rPr>
        <w:t xml:space="preserve">Eirogrupai </w:t>
      </w:r>
      <w:r w:rsidR="002A1516">
        <w:rPr>
          <w:noProof/>
          <w:color w:val="000000" w:themeColor="text1"/>
          <w:szCs w:val="24"/>
        </w:rPr>
        <w:t>2019</w:t>
      </w:r>
      <w:r>
        <w:rPr>
          <w:color w:val="000000" w:themeColor="text1"/>
          <w:szCs w:val="24"/>
        </w:rPr>
        <w:t xml:space="preserve">.gada </w:t>
      </w:r>
      <w:r w:rsidR="002A1516">
        <w:rPr>
          <w:color w:val="000000" w:themeColor="text1"/>
          <w:szCs w:val="24"/>
        </w:rPr>
        <w:t>19</w:t>
      </w:r>
      <w:r>
        <w:rPr>
          <w:color w:val="000000" w:themeColor="text1"/>
          <w:szCs w:val="24"/>
        </w:rPr>
        <w:t>.</w:t>
      </w:r>
      <w:r w:rsidR="002A1516">
        <w:rPr>
          <w:color w:val="000000" w:themeColor="text1"/>
          <w:szCs w:val="24"/>
        </w:rPr>
        <w:t>februārī</w:t>
      </w:r>
      <w:r>
        <w:rPr>
          <w:color w:val="000000" w:themeColor="text1"/>
          <w:szCs w:val="24"/>
        </w:rPr>
        <w:t>.</w:t>
      </w:r>
      <w:r w:rsidRPr="00F31117">
        <w:rPr>
          <w:color w:val="000000" w:themeColor="text1"/>
          <w:szCs w:val="24"/>
        </w:rPr>
        <w:t xml:space="preserve"> </w:t>
      </w:r>
      <w:r>
        <w:rPr>
          <w:color w:val="000000" w:themeColor="text1"/>
          <w:szCs w:val="24"/>
        </w:rPr>
        <w:t>Tās</w:t>
      </w:r>
      <w:r w:rsidRPr="00F31117">
        <w:rPr>
          <w:color w:val="000000" w:themeColor="text1"/>
          <w:szCs w:val="24"/>
        </w:rPr>
        <w:t xml:space="preserve"> ir</w:t>
      </w:r>
      <w:r w:rsidRPr="00F31117">
        <w:rPr>
          <w:noProof/>
          <w:color w:val="000000" w:themeColor="text1"/>
          <w:szCs w:val="24"/>
        </w:rPr>
        <w:t xml:space="preserve"> balstītas uz makroekonomiskās attīstības scenāriju,</w:t>
      </w:r>
      <w:r w:rsidRPr="00F31117">
        <w:rPr>
          <w:color w:val="000000" w:themeColor="text1"/>
          <w:szCs w:val="24"/>
        </w:rPr>
        <w:t xml:space="preserve"> kas tika sagatavots 2018. gada septembrī. Budžeta ieņēmumu un izdevumu prognozes tik</w:t>
      </w:r>
      <w:r w:rsidRPr="00577C70">
        <w:rPr>
          <w:color w:val="000000" w:themeColor="text1"/>
          <w:szCs w:val="24"/>
        </w:rPr>
        <w:t xml:space="preserve">a aktualizētas, ņemot vērā laika posmā līdz </w:t>
      </w:r>
      <w:r w:rsidR="00423A61" w:rsidRPr="00577C70">
        <w:rPr>
          <w:color w:val="000000" w:themeColor="text1"/>
          <w:szCs w:val="24"/>
        </w:rPr>
        <w:t>budžeta apstiprināšanai Saeimā</w:t>
      </w:r>
      <w:r w:rsidRPr="00577C70">
        <w:rPr>
          <w:color w:val="000000" w:themeColor="text1"/>
          <w:szCs w:val="24"/>
        </w:rPr>
        <w:t xml:space="preserve"> pieņemtos lēmumus.</w:t>
      </w:r>
    </w:p>
    <w:p w:rsidR="00314A65" w:rsidRDefault="00314A65" w:rsidP="001952BA">
      <w:pPr>
        <w:spacing w:after="0"/>
        <w:ind w:firstLine="0"/>
        <w:jc w:val="center"/>
        <w:rPr>
          <w:b/>
          <w:i/>
          <w:szCs w:val="24"/>
        </w:rPr>
      </w:pPr>
    </w:p>
    <w:p w:rsidR="00A259BA" w:rsidRDefault="00A259BA" w:rsidP="001952BA">
      <w:pPr>
        <w:spacing w:after="0"/>
        <w:ind w:firstLine="0"/>
        <w:jc w:val="center"/>
        <w:rPr>
          <w:b/>
          <w:i/>
          <w:szCs w:val="24"/>
        </w:rPr>
      </w:pPr>
    </w:p>
    <w:p w:rsidR="00A259BA" w:rsidRDefault="00A259BA" w:rsidP="001952BA">
      <w:pPr>
        <w:spacing w:after="0"/>
        <w:ind w:firstLine="0"/>
        <w:jc w:val="center"/>
        <w:rPr>
          <w:b/>
          <w:i/>
          <w:szCs w:val="24"/>
        </w:rPr>
      </w:pPr>
    </w:p>
    <w:p w:rsidR="001952BA" w:rsidRDefault="001952BA" w:rsidP="001952BA">
      <w:pPr>
        <w:spacing w:after="0"/>
        <w:ind w:firstLine="0"/>
        <w:jc w:val="center"/>
        <w:rPr>
          <w:b/>
          <w:i/>
          <w:noProof/>
          <w:szCs w:val="24"/>
        </w:rPr>
      </w:pPr>
      <w:r w:rsidRPr="00AC6850">
        <w:rPr>
          <w:b/>
          <w:i/>
          <w:szCs w:val="24"/>
        </w:rPr>
        <w:lastRenderedPageBreak/>
        <w:t>2.</w:t>
      </w:r>
      <w:r w:rsidR="008C71C1">
        <w:rPr>
          <w:b/>
          <w:i/>
          <w:szCs w:val="24"/>
        </w:rPr>
        <w:t>3</w:t>
      </w:r>
      <w:r w:rsidRPr="00AC6850">
        <w:rPr>
          <w:b/>
          <w:i/>
          <w:szCs w:val="24"/>
        </w:rPr>
        <w:t xml:space="preserve">. tabula. Valsts konsolidētā budžeta bilance 2015.-2021.gadā, milj. </w:t>
      </w:r>
      <w:r w:rsidRPr="00AC6850">
        <w:rPr>
          <w:b/>
          <w:i/>
          <w:noProof/>
          <w:szCs w:val="24"/>
        </w:rPr>
        <w:t>euro</w:t>
      </w:r>
    </w:p>
    <w:tbl>
      <w:tblPr>
        <w:tblW w:w="9209" w:type="dxa"/>
        <w:jc w:val="center"/>
        <w:tblLook w:val="04A0" w:firstRow="1" w:lastRow="0" w:firstColumn="1" w:lastColumn="0" w:noHBand="0" w:noVBand="1"/>
      </w:tblPr>
      <w:tblGrid>
        <w:gridCol w:w="2865"/>
        <w:gridCol w:w="907"/>
        <w:gridCol w:w="907"/>
        <w:gridCol w:w="906"/>
        <w:gridCol w:w="906"/>
        <w:gridCol w:w="906"/>
        <w:gridCol w:w="906"/>
        <w:gridCol w:w="906"/>
      </w:tblGrid>
      <w:tr w:rsidR="00434853" w:rsidRPr="0035459B" w:rsidTr="00F24DCA">
        <w:trPr>
          <w:trHeight w:val="70"/>
          <w:tblHeader/>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853" w:rsidRPr="00AC6850" w:rsidRDefault="00434853" w:rsidP="00F24DCA">
            <w:pPr>
              <w:spacing w:after="0"/>
              <w:ind w:firstLine="0"/>
              <w:jc w:val="left"/>
              <w:rPr>
                <w:color w:val="000000"/>
                <w:sz w:val="18"/>
                <w:szCs w:val="18"/>
                <w:lang w:eastAsia="lv-LV"/>
              </w:rPr>
            </w:pPr>
            <w:r w:rsidRPr="00AC6850">
              <w:rPr>
                <w:color w:val="000000"/>
                <w:sz w:val="18"/>
                <w:szCs w:val="18"/>
                <w:lang w:eastAsia="lv-LV"/>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C6850" w:rsidRDefault="00434853" w:rsidP="00F24DCA">
            <w:pPr>
              <w:spacing w:after="0"/>
              <w:ind w:firstLine="0"/>
              <w:jc w:val="center"/>
              <w:rPr>
                <w:b/>
                <w:bCs/>
                <w:sz w:val="18"/>
                <w:szCs w:val="18"/>
                <w:lang w:eastAsia="lv-LV"/>
              </w:rPr>
            </w:pPr>
            <w:r w:rsidRPr="00AC6850">
              <w:rPr>
                <w:b/>
                <w:bCs/>
                <w:sz w:val="18"/>
                <w:szCs w:val="18"/>
                <w:lang w:eastAsia="lv-LV"/>
              </w:rPr>
              <w:t>2015</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C6850" w:rsidRDefault="00434853" w:rsidP="00F24DCA">
            <w:pPr>
              <w:spacing w:after="0"/>
              <w:ind w:firstLine="0"/>
              <w:jc w:val="center"/>
              <w:rPr>
                <w:b/>
                <w:bCs/>
                <w:sz w:val="18"/>
                <w:szCs w:val="18"/>
                <w:lang w:eastAsia="lv-LV"/>
              </w:rPr>
            </w:pPr>
            <w:r w:rsidRPr="00AC6850">
              <w:rPr>
                <w:b/>
                <w:bCs/>
                <w:sz w:val="18"/>
                <w:szCs w:val="18"/>
                <w:lang w:eastAsia="lv-LV"/>
              </w:rPr>
              <w:t>2016</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C6850" w:rsidRDefault="00434853" w:rsidP="00F24DCA">
            <w:pPr>
              <w:spacing w:after="0"/>
              <w:ind w:firstLine="0"/>
              <w:jc w:val="center"/>
              <w:rPr>
                <w:b/>
                <w:bCs/>
                <w:sz w:val="18"/>
                <w:szCs w:val="18"/>
                <w:lang w:eastAsia="lv-LV"/>
              </w:rPr>
            </w:pPr>
            <w:r w:rsidRPr="00AC6850">
              <w:rPr>
                <w:b/>
                <w:bCs/>
                <w:sz w:val="18"/>
                <w:szCs w:val="18"/>
                <w:lang w:eastAsia="lv-LV"/>
              </w:rPr>
              <w:t>2017</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C6850" w:rsidRDefault="00434853" w:rsidP="00F24DCA">
            <w:pPr>
              <w:spacing w:after="0"/>
              <w:ind w:firstLine="0"/>
              <w:jc w:val="center"/>
              <w:rPr>
                <w:b/>
                <w:bCs/>
                <w:sz w:val="18"/>
                <w:szCs w:val="18"/>
                <w:lang w:eastAsia="lv-LV"/>
              </w:rPr>
            </w:pPr>
            <w:r w:rsidRPr="00AC6850">
              <w:rPr>
                <w:b/>
                <w:bCs/>
                <w:sz w:val="18"/>
                <w:szCs w:val="18"/>
                <w:lang w:eastAsia="lv-LV"/>
              </w:rPr>
              <w:t>2018</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C6850" w:rsidRDefault="00434853" w:rsidP="00F24DCA">
            <w:pPr>
              <w:spacing w:after="0"/>
              <w:ind w:firstLine="0"/>
              <w:jc w:val="center"/>
              <w:rPr>
                <w:b/>
                <w:bCs/>
                <w:sz w:val="18"/>
                <w:szCs w:val="18"/>
                <w:lang w:eastAsia="lv-LV"/>
              </w:rPr>
            </w:pPr>
            <w:r w:rsidRPr="00AC6850">
              <w:rPr>
                <w:b/>
                <w:bCs/>
                <w:sz w:val="18"/>
                <w:szCs w:val="18"/>
                <w:lang w:eastAsia="lv-LV"/>
              </w:rPr>
              <w:t>2019</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C6850" w:rsidRDefault="00434853" w:rsidP="00F24DCA">
            <w:pPr>
              <w:spacing w:after="0"/>
              <w:ind w:firstLine="0"/>
              <w:jc w:val="center"/>
              <w:rPr>
                <w:b/>
                <w:bCs/>
                <w:sz w:val="18"/>
                <w:szCs w:val="18"/>
                <w:lang w:eastAsia="lv-LV"/>
              </w:rPr>
            </w:pPr>
            <w:r w:rsidRPr="00AC6850">
              <w:rPr>
                <w:b/>
                <w:bCs/>
                <w:sz w:val="18"/>
                <w:szCs w:val="18"/>
                <w:lang w:eastAsia="lv-LV"/>
              </w:rPr>
              <w:t>2020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34853" w:rsidRPr="00AC6850" w:rsidRDefault="00434853" w:rsidP="00F24DCA">
            <w:pPr>
              <w:spacing w:after="0"/>
              <w:ind w:firstLine="0"/>
              <w:jc w:val="center"/>
              <w:rPr>
                <w:b/>
                <w:bCs/>
                <w:sz w:val="18"/>
                <w:szCs w:val="18"/>
                <w:lang w:eastAsia="lv-LV"/>
              </w:rPr>
            </w:pPr>
            <w:r w:rsidRPr="00AC6850">
              <w:rPr>
                <w:b/>
                <w:bCs/>
                <w:sz w:val="18"/>
                <w:szCs w:val="18"/>
                <w:lang w:eastAsia="lv-LV"/>
              </w:rPr>
              <w:t>2021</w:t>
            </w:r>
          </w:p>
        </w:tc>
      </w:tr>
      <w:tr w:rsidR="00434853" w:rsidRPr="0035459B" w:rsidTr="00F24DCA">
        <w:trPr>
          <w:trHeight w:val="70"/>
          <w:tblHeader/>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34853" w:rsidRPr="00AC6850" w:rsidRDefault="00434853" w:rsidP="00F24DCA">
            <w:pPr>
              <w:spacing w:after="0"/>
              <w:ind w:firstLine="0"/>
              <w:jc w:val="left"/>
              <w:rPr>
                <w:b/>
                <w:bCs/>
                <w:color w:val="000000"/>
                <w:sz w:val="18"/>
                <w:szCs w:val="18"/>
                <w:lang w:eastAsia="lv-LV"/>
              </w:rPr>
            </w:pPr>
            <w:r w:rsidRPr="00AC6850">
              <w:rPr>
                <w:b/>
                <w:bCs/>
                <w:color w:val="000000"/>
                <w:sz w:val="18"/>
                <w:szCs w:val="18"/>
                <w:lang w:eastAsia="lv-LV"/>
              </w:rPr>
              <w:t> </w:t>
            </w:r>
          </w:p>
        </w:tc>
        <w:tc>
          <w:tcPr>
            <w:tcW w:w="851" w:type="dxa"/>
            <w:gridSpan w:val="4"/>
            <w:tcBorders>
              <w:top w:val="single" w:sz="4" w:space="0" w:color="auto"/>
              <w:left w:val="nil"/>
              <w:bottom w:val="single" w:sz="4" w:space="0" w:color="auto"/>
              <w:right w:val="single" w:sz="4" w:space="0" w:color="auto"/>
            </w:tcBorders>
            <w:shd w:val="clear" w:color="auto" w:fill="auto"/>
            <w:noWrap/>
            <w:vAlign w:val="center"/>
            <w:hideMark/>
          </w:tcPr>
          <w:p w:rsidR="00434853" w:rsidRPr="00AC6850" w:rsidRDefault="00434853" w:rsidP="00F24DCA">
            <w:pPr>
              <w:spacing w:after="0"/>
              <w:ind w:firstLine="0"/>
              <w:jc w:val="center"/>
              <w:rPr>
                <w:sz w:val="18"/>
                <w:szCs w:val="18"/>
                <w:lang w:eastAsia="lv-LV"/>
              </w:rPr>
            </w:pPr>
            <w:r w:rsidRPr="00AC6850">
              <w:rPr>
                <w:sz w:val="18"/>
                <w:szCs w:val="18"/>
                <w:lang w:eastAsia="lv-LV"/>
              </w:rPr>
              <w:t>Fakts</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rsidR="00434853" w:rsidRPr="00AC6850" w:rsidRDefault="00434853" w:rsidP="00F24DCA">
            <w:pPr>
              <w:spacing w:after="0"/>
              <w:ind w:firstLine="0"/>
              <w:jc w:val="center"/>
              <w:rPr>
                <w:sz w:val="18"/>
                <w:szCs w:val="18"/>
                <w:lang w:eastAsia="lv-LV"/>
              </w:rPr>
            </w:pPr>
            <w:r w:rsidRPr="00AC6850">
              <w:rPr>
                <w:sz w:val="18"/>
                <w:szCs w:val="18"/>
                <w:lang w:eastAsia="lv-LV"/>
              </w:rPr>
              <w:t>Prognoze</w:t>
            </w:r>
          </w:p>
        </w:tc>
      </w:tr>
      <w:tr w:rsidR="00434853" w:rsidRPr="0035459B" w:rsidTr="00F24DCA">
        <w:trPr>
          <w:trHeight w:val="70"/>
          <w:jc w:val="center"/>
        </w:trPr>
        <w:tc>
          <w:tcPr>
            <w:tcW w:w="2689"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434853" w:rsidRPr="009E06AD" w:rsidRDefault="00434853" w:rsidP="00F24DCA">
            <w:pPr>
              <w:spacing w:after="0"/>
              <w:ind w:firstLine="0"/>
              <w:jc w:val="left"/>
              <w:rPr>
                <w:b/>
                <w:bCs/>
                <w:sz w:val="19"/>
                <w:szCs w:val="19"/>
                <w:lang w:eastAsia="lv-LV"/>
              </w:rPr>
            </w:pPr>
            <w:r w:rsidRPr="009E06AD">
              <w:rPr>
                <w:b/>
                <w:bCs/>
                <w:sz w:val="19"/>
                <w:szCs w:val="19"/>
                <w:lang w:eastAsia="lv-LV"/>
              </w:rPr>
              <w:t>VALSTS BUDŽETA BILANCE</w:t>
            </w:r>
          </w:p>
        </w:tc>
        <w:tc>
          <w:tcPr>
            <w:tcW w:w="851" w:type="dxa"/>
            <w:tcBorders>
              <w:top w:val="single" w:sz="4" w:space="0" w:color="auto"/>
              <w:left w:val="nil"/>
              <w:bottom w:val="single" w:sz="4" w:space="0" w:color="auto"/>
              <w:right w:val="single" w:sz="4" w:space="0" w:color="auto"/>
            </w:tcBorders>
            <w:shd w:val="clear" w:color="000000" w:fill="DCE6F1"/>
            <w:noWrap/>
            <w:hideMark/>
          </w:tcPr>
          <w:p w:rsidR="00434853" w:rsidRPr="009E06AD" w:rsidRDefault="00434853" w:rsidP="00F24DCA">
            <w:pPr>
              <w:spacing w:after="0"/>
              <w:ind w:firstLine="0"/>
              <w:jc w:val="right"/>
              <w:rPr>
                <w:b/>
                <w:sz w:val="18"/>
                <w:szCs w:val="18"/>
                <w:lang w:eastAsia="lv-LV"/>
              </w:rPr>
            </w:pPr>
            <w:r w:rsidRPr="009E06AD">
              <w:rPr>
                <w:b/>
                <w:sz w:val="18"/>
                <w:szCs w:val="18"/>
                <w:lang w:eastAsia="lv-LV"/>
              </w:rPr>
              <w:t>-347,3</w:t>
            </w:r>
          </w:p>
        </w:tc>
        <w:tc>
          <w:tcPr>
            <w:tcW w:w="851" w:type="dxa"/>
            <w:tcBorders>
              <w:top w:val="single" w:sz="4" w:space="0" w:color="auto"/>
              <w:left w:val="nil"/>
              <w:bottom w:val="single" w:sz="4" w:space="0" w:color="auto"/>
              <w:right w:val="single" w:sz="4" w:space="0" w:color="auto"/>
            </w:tcBorders>
            <w:shd w:val="clear" w:color="000000" w:fill="DCE6F1"/>
            <w:noWrap/>
            <w:hideMark/>
          </w:tcPr>
          <w:p w:rsidR="00434853" w:rsidRPr="009E06AD" w:rsidRDefault="00434853" w:rsidP="00F24DCA">
            <w:pPr>
              <w:spacing w:after="0"/>
              <w:ind w:firstLine="0"/>
              <w:jc w:val="right"/>
              <w:rPr>
                <w:b/>
                <w:sz w:val="18"/>
                <w:szCs w:val="18"/>
                <w:lang w:eastAsia="lv-LV"/>
              </w:rPr>
            </w:pPr>
            <w:r w:rsidRPr="009E06AD">
              <w:rPr>
                <w:b/>
                <w:sz w:val="18"/>
                <w:szCs w:val="18"/>
                <w:lang w:eastAsia="lv-LV"/>
              </w:rPr>
              <w:t>-157,6</w:t>
            </w:r>
          </w:p>
        </w:tc>
        <w:tc>
          <w:tcPr>
            <w:tcW w:w="851" w:type="dxa"/>
            <w:tcBorders>
              <w:top w:val="single" w:sz="4" w:space="0" w:color="auto"/>
              <w:left w:val="nil"/>
              <w:bottom w:val="single" w:sz="4" w:space="0" w:color="auto"/>
              <w:right w:val="single" w:sz="4" w:space="0" w:color="auto"/>
            </w:tcBorders>
            <w:shd w:val="clear" w:color="000000" w:fill="DCE6F1"/>
            <w:noWrap/>
            <w:hideMark/>
          </w:tcPr>
          <w:p w:rsidR="00434853" w:rsidRPr="009E06AD" w:rsidRDefault="00434853" w:rsidP="00F24DCA">
            <w:pPr>
              <w:spacing w:after="0"/>
              <w:ind w:firstLine="0"/>
              <w:jc w:val="right"/>
              <w:rPr>
                <w:b/>
                <w:sz w:val="18"/>
                <w:szCs w:val="18"/>
                <w:lang w:eastAsia="lv-LV"/>
              </w:rPr>
            </w:pPr>
            <w:r w:rsidRPr="009E06AD">
              <w:rPr>
                <w:b/>
                <w:sz w:val="18"/>
                <w:szCs w:val="18"/>
                <w:lang w:eastAsia="lv-LV"/>
              </w:rPr>
              <w:t>-207,7</w:t>
            </w:r>
          </w:p>
        </w:tc>
        <w:tc>
          <w:tcPr>
            <w:tcW w:w="851" w:type="dxa"/>
            <w:tcBorders>
              <w:top w:val="single" w:sz="4" w:space="0" w:color="auto"/>
              <w:left w:val="nil"/>
              <w:bottom w:val="single" w:sz="4" w:space="0" w:color="auto"/>
              <w:right w:val="single" w:sz="4" w:space="0" w:color="auto"/>
            </w:tcBorders>
            <w:shd w:val="clear" w:color="000000" w:fill="DCE6F1"/>
            <w:noWrap/>
            <w:hideMark/>
          </w:tcPr>
          <w:p w:rsidR="00434853" w:rsidRPr="009E06AD" w:rsidRDefault="00434853" w:rsidP="00F24DCA">
            <w:pPr>
              <w:spacing w:after="0"/>
              <w:ind w:firstLine="0"/>
              <w:jc w:val="right"/>
              <w:rPr>
                <w:b/>
                <w:sz w:val="18"/>
                <w:szCs w:val="18"/>
                <w:lang w:eastAsia="lv-LV"/>
              </w:rPr>
            </w:pPr>
            <w:r w:rsidRPr="009E06AD">
              <w:rPr>
                <w:b/>
                <w:sz w:val="18"/>
                <w:szCs w:val="18"/>
                <w:lang w:eastAsia="lv-LV"/>
              </w:rPr>
              <w:t>-64,6</w:t>
            </w:r>
          </w:p>
        </w:tc>
        <w:tc>
          <w:tcPr>
            <w:tcW w:w="851" w:type="dxa"/>
            <w:tcBorders>
              <w:top w:val="single" w:sz="4" w:space="0" w:color="auto"/>
              <w:left w:val="nil"/>
              <w:bottom w:val="single" w:sz="4" w:space="0" w:color="auto"/>
              <w:right w:val="single" w:sz="4" w:space="0" w:color="auto"/>
            </w:tcBorders>
            <w:shd w:val="clear" w:color="000000" w:fill="DCE6F1"/>
            <w:noWrap/>
            <w:hideMark/>
          </w:tcPr>
          <w:p w:rsidR="00434853" w:rsidRPr="00A8131D" w:rsidRDefault="00434853" w:rsidP="00F24DCA">
            <w:pPr>
              <w:spacing w:after="0"/>
              <w:ind w:firstLine="0"/>
              <w:jc w:val="right"/>
              <w:rPr>
                <w:b/>
                <w:sz w:val="18"/>
                <w:szCs w:val="18"/>
                <w:lang w:eastAsia="lv-LV"/>
              </w:rPr>
            </w:pPr>
            <w:r w:rsidRPr="00A8131D">
              <w:rPr>
                <w:b/>
                <w:sz w:val="18"/>
                <w:szCs w:val="18"/>
                <w:lang w:eastAsia="lv-LV"/>
              </w:rPr>
              <w:t>-210,3</w:t>
            </w:r>
          </w:p>
        </w:tc>
        <w:tc>
          <w:tcPr>
            <w:tcW w:w="851" w:type="dxa"/>
            <w:tcBorders>
              <w:top w:val="single" w:sz="4" w:space="0" w:color="auto"/>
              <w:left w:val="nil"/>
              <w:bottom w:val="single" w:sz="4" w:space="0" w:color="auto"/>
              <w:right w:val="single" w:sz="4" w:space="0" w:color="auto"/>
            </w:tcBorders>
            <w:shd w:val="clear" w:color="000000" w:fill="DCE6F1"/>
            <w:noWrap/>
            <w:hideMark/>
          </w:tcPr>
          <w:p w:rsidR="00434853" w:rsidRPr="003C4742" w:rsidRDefault="00434853" w:rsidP="00F24DCA">
            <w:pPr>
              <w:spacing w:after="0"/>
              <w:ind w:firstLine="0"/>
              <w:jc w:val="right"/>
              <w:rPr>
                <w:b/>
                <w:sz w:val="18"/>
                <w:szCs w:val="18"/>
                <w:lang w:eastAsia="lv-LV"/>
              </w:rPr>
            </w:pPr>
            <w:r w:rsidRPr="003C4742">
              <w:rPr>
                <w:b/>
                <w:sz w:val="18"/>
                <w:szCs w:val="18"/>
                <w:lang w:eastAsia="lv-LV"/>
              </w:rPr>
              <w:t>-121,2</w:t>
            </w:r>
          </w:p>
        </w:tc>
        <w:tc>
          <w:tcPr>
            <w:tcW w:w="851" w:type="dxa"/>
            <w:tcBorders>
              <w:top w:val="single" w:sz="4" w:space="0" w:color="auto"/>
              <w:left w:val="nil"/>
              <w:bottom w:val="single" w:sz="4" w:space="0" w:color="auto"/>
              <w:right w:val="single" w:sz="4" w:space="0" w:color="auto"/>
            </w:tcBorders>
            <w:shd w:val="clear" w:color="000000" w:fill="DCE6F1"/>
            <w:noWrap/>
            <w:hideMark/>
          </w:tcPr>
          <w:p w:rsidR="00434853" w:rsidRPr="003C4742" w:rsidRDefault="00434853" w:rsidP="00F24DCA">
            <w:pPr>
              <w:spacing w:after="0"/>
              <w:ind w:firstLine="0"/>
              <w:jc w:val="right"/>
              <w:rPr>
                <w:b/>
                <w:sz w:val="18"/>
                <w:szCs w:val="18"/>
                <w:lang w:eastAsia="lv-LV"/>
              </w:rPr>
            </w:pPr>
            <w:r w:rsidRPr="003C4742">
              <w:rPr>
                <w:b/>
                <w:sz w:val="18"/>
                <w:szCs w:val="18"/>
                <w:lang w:eastAsia="lv-LV"/>
              </w:rPr>
              <w:t>-412,2</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183" w:firstLineChars="100" w:firstLine="190"/>
              <w:jc w:val="left"/>
              <w:rPr>
                <w:sz w:val="19"/>
                <w:szCs w:val="19"/>
                <w:lang w:eastAsia="lv-LV"/>
              </w:rPr>
            </w:pPr>
            <w:r w:rsidRPr="009E06AD">
              <w:rPr>
                <w:sz w:val="19"/>
                <w:szCs w:val="19"/>
                <w:lang w:eastAsia="lv-LV"/>
              </w:rPr>
              <w:t>Ieņēmumi</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7 290,3</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7 425,2</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7 840,5</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9 060,8</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A8131D">
            <w:pPr>
              <w:spacing w:after="0"/>
              <w:ind w:firstLine="0"/>
              <w:jc w:val="right"/>
              <w:rPr>
                <w:sz w:val="18"/>
                <w:szCs w:val="18"/>
                <w:lang w:eastAsia="lv-LV"/>
              </w:rPr>
            </w:pPr>
            <w:r w:rsidRPr="00A8131D">
              <w:rPr>
                <w:sz w:val="18"/>
                <w:szCs w:val="18"/>
                <w:lang w:eastAsia="lv-LV"/>
              </w:rPr>
              <w:t xml:space="preserve">9 </w:t>
            </w:r>
            <w:r w:rsidR="00A8131D" w:rsidRPr="00A8131D">
              <w:rPr>
                <w:sz w:val="18"/>
                <w:szCs w:val="18"/>
                <w:lang w:eastAsia="lv-LV"/>
              </w:rPr>
              <w:t>315</w:t>
            </w:r>
            <w:r w:rsidRPr="00A8131D">
              <w:rPr>
                <w:sz w:val="18"/>
                <w:szCs w:val="18"/>
                <w:lang w:eastAsia="lv-LV"/>
              </w:rPr>
              <w:t>,</w:t>
            </w:r>
            <w:r w:rsidR="00A8131D" w:rsidRPr="00A8131D">
              <w:rPr>
                <w:sz w:val="18"/>
                <w:szCs w:val="18"/>
                <w:lang w:eastAsia="lv-LV"/>
              </w:rPr>
              <w:t>7</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9 935,4</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10 042,6</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Nodokļu ieņēmumi</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5 639,8</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5 950,6</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6 418,2</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7 026,0</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A8131D">
            <w:pPr>
              <w:spacing w:after="0"/>
              <w:ind w:firstLine="0"/>
              <w:jc w:val="right"/>
              <w:rPr>
                <w:sz w:val="18"/>
                <w:szCs w:val="18"/>
                <w:lang w:eastAsia="lv-LV"/>
              </w:rPr>
            </w:pPr>
            <w:r w:rsidRPr="00A8131D">
              <w:rPr>
                <w:sz w:val="18"/>
                <w:szCs w:val="18"/>
                <w:lang w:eastAsia="lv-LV"/>
              </w:rPr>
              <w:t xml:space="preserve">7 </w:t>
            </w:r>
            <w:r w:rsidR="00A8131D" w:rsidRPr="00A8131D">
              <w:rPr>
                <w:sz w:val="18"/>
                <w:szCs w:val="18"/>
                <w:lang w:eastAsia="lv-LV"/>
              </w:rPr>
              <w:t>391</w:t>
            </w:r>
            <w:r w:rsidRPr="00A8131D">
              <w:rPr>
                <w:sz w:val="18"/>
                <w:szCs w:val="18"/>
                <w:lang w:eastAsia="lv-LV"/>
              </w:rPr>
              <w:t>,</w:t>
            </w:r>
            <w:r w:rsidR="00A8131D" w:rsidRPr="00A8131D">
              <w:rPr>
                <w:sz w:val="18"/>
                <w:szCs w:val="18"/>
                <w:lang w:eastAsia="lv-LV"/>
              </w:rPr>
              <w:t>5</w:t>
            </w:r>
          </w:p>
        </w:tc>
        <w:tc>
          <w:tcPr>
            <w:tcW w:w="851" w:type="dxa"/>
            <w:tcBorders>
              <w:top w:val="nil"/>
              <w:left w:val="nil"/>
              <w:bottom w:val="single" w:sz="4" w:space="0" w:color="auto"/>
              <w:right w:val="single" w:sz="4" w:space="0" w:color="auto"/>
            </w:tcBorders>
            <w:shd w:val="clear" w:color="auto" w:fill="auto"/>
            <w:noWrap/>
            <w:hideMark/>
          </w:tcPr>
          <w:p w:rsidR="00434853" w:rsidRPr="001F374B" w:rsidRDefault="00434853" w:rsidP="00F24DCA">
            <w:pPr>
              <w:spacing w:after="0"/>
              <w:ind w:firstLine="0"/>
              <w:jc w:val="right"/>
              <w:rPr>
                <w:sz w:val="18"/>
                <w:szCs w:val="18"/>
                <w:lang w:eastAsia="lv-LV"/>
              </w:rPr>
            </w:pPr>
            <w:r w:rsidRPr="001F374B">
              <w:rPr>
                <w:sz w:val="18"/>
                <w:szCs w:val="18"/>
                <w:lang w:eastAsia="lv-LV"/>
              </w:rPr>
              <w:t>8 041,0</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8 495,5</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Ne-nodokļu ieņēmumi</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459,3</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517,7</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476,8</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657,7</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A8131D" w:rsidP="00A8131D">
            <w:pPr>
              <w:spacing w:after="0"/>
              <w:ind w:firstLine="0"/>
              <w:jc w:val="right"/>
              <w:rPr>
                <w:sz w:val="18"/>
                <w:szCs w:val="18"/>
                <w:lang w:eastAsia="lv-LV"/>
              </w:rPr>
            </w:pPr>
            <w:r w:rsidRPr="00A8131D">
              <w:rPr>
                <w:sz w:val="18"/>
                <w:szCs w:val="18"/>
                <w:lang w:eastAsia="lv-LV"/>
              </w:rPr>
              <w:t>545</w:t>
            </w:r>
            <w:r w:rsidR="00434853" w:rsidRPr="00A8131D">
              <w:rPr>
                <w:sz w:val="18"/>
                <w:szCs w:val="18"/>
                <w:lang w:eastAsia="lv-LV"/>
              </w:rPr>
              <w:t>,</w:t>
            </w:r>
            <w:r w:rsidRPr="00A8131D">
              <w:rPr>
                <w:sz w:val="18"/>
                <w:szCs w:val="18"/>
                <w:lang w:eastAsia="lv-LV"/>
              </w:rPr>
              <w:t>4</w:t>
            </w:r>
          </w:p>
        </w:tc>
        <w:tc>
          <w:tcPr>
            <w:tcW w:w="851" w:type="dxa"/>
            <w:tcBorders>
              <w:top w:val="nil"/>
              <w:left w:val="nil"/>
              <w:bottom w:val="single" w:sz="4" w:space="0" w:color="auto"/>
              <w:right w:val="single" w:sz="4" w:space="0" w:color="auto"/>
            </w:tcBorders>
            <w:shd w:val="clear" w:color="auto" w:fill="auto"/>
            <w:noWrap/>
            <w:hideMark/>
          </w:tcPr>
          <w:p w:rsidR="00434853" w:rsidRPr="001F374B" w:rsidRDefault="00434853" w:rsidP="00F24DCA">
            <w:pPr>
              <w:spacing w:after="0"/>
              <w:ind w:firstLine="0"/>
              <w:jc w:val="right"/>
              <w:rPr>
                <w:sz w:val="18"/>
                <w:szCs w:val="18"/>
                <w:lang w:eastAsia="lv-LV"/>
              </w:rPr>
            </w:pPr>
            <w:r w:rsidRPr="001F374B">
              <w:rPr>
                <w:sz w:val="18"/>
                <w:szCs w:val="18"/>
                <w:lang w:eastAsia="lv-LV"/>
              </w:rPr>
              <w:t>477,4</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378,2</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Ārvalstu finanšu palīdzība</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1 003,3</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748,8</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727,9</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1 128,9</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1 140,2</w:t>
            </w:r>
          </w:p>
        </w:tc>
        <w:tc>
          <w:tcPr>
            <w:tcW w:w="851" w:type="dxa"/>
            <w:tcBorders>
              <w:top w:val="nil"/>
              <w:left w:val="nil"/>
              <w:bottom w:val="single" w:sz="4" w:space="0" w:color="auto"/>
              <w:right w:val="single" w:sz="4" w:space="0" w:color="auto"/>
            </w:tcBorders>
            <w:shd w:val="clear" w:color="auto" w:fill="auto"/>
            <w:noWrap/>
            <w:hideMark/>
          </w:tcPr>
          <w:p w:rsidR="00434853" w:rsidRPr="001F374B" w:rsidRDefault="00434853" w:rsidP="00F24DCA">
            <w:pPr>
              <w:spacing w:after="0"/>
              <w:ind w:firstLine="0"/>
              <w:jc w:val="right"/>
              <w:rPr>
                <w:sz w:val="18"/>
                <w:szCs w:val="18"/>
                <w:lang w:eastAsia="lv-LV"/>
              </w:rPr>
            </w:pPr>
            <w:r w:rsidRPr="001F374B">
              <w:rPr>
                <w:sz w:val="18"/>
                <w:szCs w:val="18"/>
                <w:lang w:eastAsia="lv-LV"/>
              </w:rPr>
              <w:t>1 185,7</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940,7</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Pārējie ieņēmumi</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187,9</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208,1</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217,7</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248,2</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238,5</w:t>
            </w:r>
          </w:p>
        </w:tc>
        <w:tc>
          <w:tcPr>
            <w:tcW w:w="851" w:type="dxa"/>
            <w:tcBorders>
              <w:top w:val="nil"/>
              <w:left w:val="nil"/>
              <w:bottom w:val="single" w:sz="4" w:space="0" w:color="auto"/>
              <w:right w:val="single" w:sz="4" w:space="0" w:color="auto"/>
            </w:tcBorders>
            <w:shd w:val="clear" w:color="auto" w:fill="auto"/>
            <w:noWrap/>
            <w:hideMark/>
          </w:tcPr>
          <w:p w:rsidR="00434853" w:rsidRPr="001F374B" w:rsidRDefault="00434853" w:rsidP="00F24DCA">
            <w:pPr>
              <w:spacing w:after="0"/>
              <w:ind w:firstLine="0"/>
              <w:jc w:val="right"/>
              <w:rPr>
                <w:sz w:val="18"/>
                <w:szCs w:val="18"/>
                <w:lang w:eastAsia="lv-LV"/>
              </w:rPr>
            </w:pPr>
            <w:r w:rsidRPr="001F374B">
              <w:rPr>
                <w:sz w:val="18"/>
                <w:szCs w:val="18"/>
                <w:lang w:eastAsia="lv-LV"/>
              </w:rPr>
              <w:t>231,3</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228,3</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183" w:firstLineChars="100" w:firstLine="190"/>
              <w:jc w:val="left"/>
              <w:rPr>
                <w:sz w:val="19"/>
                <w:szCs w:val="19"/>
                <w:lang w:eastAsia="lv-LV"/>
              </w:rPr>
            </w:pPr>
            <w:r w:rsidRPr="009E06AD">
              <w:rPr>
                <w:sz w:val="19"/>
                <w:szCs w:val="19"/>
                <w:lang w:eastAsia="lv-LV"/>
              </w:rPr>
              <w:t>Izdevumi</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7 637,6</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7 582,8</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8 048,2</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9 125,3</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A8131D">
            <w:pPr>
              <w:spacing w:after="0"/>
              <w:ind w:firstLine="0"/>
              <w:jc w:val="right"/>
              <w:rPr>
                <w:sz w:val="18"/>
                <w:szCs w:val="18"/>
                <w:lang w:eastAsia="lv-LV"/>
              </w:rPr>
            </w:pPr>
            <w:r w:rsidRPr="00A8131D">
              <w:rPr>
                <w:sz w:val="18"/>
                <w:szCs w:val="18"/>
                <w:lang w:eastAsia="lv-LV"/>
              </w:rPr>
              <w:t>9 </w:t>
            </w:r>
            <w:r w:rsidR="00A8131D" w:rsidRPr="00A8131D">
              <w:rPr>
                <w:sz w:val="18"/>
                <w:szCs w:val="18"/>
                <w:lang w:eastAsia="lv-LV"/>
              </w:rPr>
              <w:t>526</w:t>
            </w:r>
            <w:r w:rsidRPr="00A8131D">
              <w:rPr>
                <w:sz w:val="18"/>
                <w:szCs w:val="18"/>
                <w:lang w:eastAsia="lv-LV"/>
              </w:rPr>
              <w:t>,</w:t>
            </w:r>
            <w:r w:rsidR="00A8131D" w:rsidRPr="00A8131D">
              <w:rPr>
                <w:sz w:val="18"/>
                <w:szCs w:val="18"/>
                <w:lang w:eastAsia="lv-LV"/>
              </w:rPr>
              <w:t>0</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10 056,5</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10 454,8</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Uzturēšanas izdevumi</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7 032,4</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7 197,1</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7 494,1</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8 397,4</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8131D" w:rsidRDefault="00434853" w:rsidP="00A8131D">
            <w:pPr>
              <w:spacing w:after="0"/>
              <w:ind w:firstLine="0"/>
              <w:jc w:val="right"/>
              <w:rPr>
                <w:sz w:val="18"/>
                <w:szCs w:val="18"/>
                <w:lang w:eastAsia="lv-LV"/>
              </w:rPr>
            </w:pPr>
            <w:r w:rsidRPr="00A8131D">
              <w:rPr>
                <w:sz w:val="18"/>
                <w:szCs w:val="18"/>
                <w:lang w:eastAsia="lv-LV"/>
              </w:rPr>
              <w:t>8 </w:t>
            </w:r>
            <w:r w:rsidR="00A8131D" w:rsidRPr="00A8131D">
              <w:rPr>
                <w:sz w:val="18"/>
                <w:szCs w:val="18"/>
                <w:lang w:eastAsia="lv-LV"/>
              </w:rPr>
              <w:t>766</w:t>
            </w:r>
            <w:r w:rsidRPr="00A8131D">
              <w:rPr>
                <w:sz w:val="18"/>
                <w:szCs w:val="18"/>
                <w:lang w:eastAsia="lv-LV"/>
              </w:rPr>
              <w:t>,</w:t>
            </w:r>
            <w:r w:rsidR="00A8131D" w:rsidRPr="00A8131D">
              <w:rPr>
                <w:sz w:val="18"/>
                <w:szCs w:val="18"/>
                <w:lang w:eastAsia="lv-LV"/>
              </w:rPr>
              <w:t>0</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9 419,9</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9 903,2</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Kapitālie izdevumi</w:t>
            </w:r>
          </w:p>
        </w:tc>
        <w:tc>
          <w:tcPr>
            <w:tcW w:w="851" w:type="dxa"/>
            <w:tcBorders>
              <w:top w:val="nil"/>
              <w:left w:val="single" w:sz="4" w:space="0" w:color="auto"/>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605,2</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385,7</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554,2</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727,9</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A8131D" w:rsidP="00A8131D">
            <w:pPr>
              <w:spacing w:after="0"/>
              <w:ind w:firstLine="0"/>
              <w:jc w:val="right"/>
              <w:rPr>
                <w:sz w:val="18"/>
                <w:szCs w:val="18"/>
                <w:lang w:eastAsia="lv-LV"/>
              </w:rPr>
            </w:pPr>
            <w:r w:rsidRPr="00A8131D">
              <w:rPr>
                <w:sz w:val="18"/>
                <w:szCs w:val="18"/>
                <w:lang w:eastAsia="lv-LV"/>
              </w:rPr>
              <w:t>760</w:t>
            </w:r>
            <w:r w:rsidR="00434853" w:rsidRPr="00A8131D">
              <w:rPr>
                <w:sz w:val="18"/>
                <w:szCs w:val="18"/>
                <w:lang w:eastAsia="lv-LV"/>
              </w:rPr>
              <w:t>,</w:t>
            </w:r>
            <w:r w:rsidRPr="00A8131D">
              <w:rPr>
                <w:sz w:val="18"/>
                <w:szCs w:val="18"/>
                <w:lang w:eastAsia="lv-LV"/>
              </w:rPr>
              <w:t>0</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636,6</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551,5</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434853" w:rsidRPr="009E06AD" w:rsidRDefault="00434853" w:rsidP="00F24DCA">
            <w:pPr>
              <w:spacing w:after="0"/>
              <w:ind w:firstLine="0"/>
              <w:jc w:val="left"/>
              <w:rPr>
                <w:b/>
                <w:bCs/>
                <w:i/>
                <w:iCs/>
                <w:sz w:val="19"/>
                <w:szCs w:val="19"/>
                <w:lang w:eastAsia="lv-LV"/>
              </w:rPr>
            </w:pPr>
            <w:r w:rsidRPr="009E06AD">
              <w:rPr>
                <w:b/>
                <w:bCs/>
                <w:i/>
                <w:iCs/>
                <w:sz w:val="19"/>
                <w:szCs w:val="19"/>
                <w:lang w:eastAsia="lv-LV"/>
              </w:rPr>
              <w:t>VALSTS PAMATBUDŽETA BILANCE</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b/>
                <w:i/>
                <w:sz w:val="18"/>
                <w:szCs w:val="18"/>
                <w:lang w:eastAsia="lv-LV"/>
              </w:rPr>
            </w:pPr>
            <w:r w:rsidRPr="009E06AD">
              <w:rPr>
                <w:b/>
                <w:i/>
                <w:sz w:val="18"/>
                <w:szCs w:val="18"/>
                <w:lang w:eastAsia="lv-LV"/>
              </w:rPr>
              <w:t>-386,3</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b/>
                <w:i/>
                <w:sz w:val="18"/>
                <w:szCs w:val="18"/>
                <w:lang w:eastAsia="lv-LV"/>
              </w:rPr>
            </w:pPr>
            <w:r w:rsidRPr="009E06AD">
              <w:rPr>
                <w:b/>
                <w:i/>
                <w:sz w:val="18"/>
                <w:szCs w:val="18"/>
                <w:lang w:eastAsia="lv-LV"/>
              </w:rPr>
              <w:t>-239,0</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b/>
                <w:i/>
                <w:sz w:val="18"/>
                <w:szCs w:val="18"/>
                <w:lang w:eastAsia="lv-LV"/>
              </w:rPr>
            </w:pPr>
            <w:r w:rsidRPr="009E06AD">
              <w:rPr>
                <w:b/>
                <w:i/>
                <w:sz w:val="18"/>
                <w:szCs w:val="18"/>
                <w:lang w:eastAsia="lv-LV"/>
              </w:rPr>
              <w:t>-357,0</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b/>
                <w:i/>
                <w:sz w:val="18"/>
                <w:szCs w:val="18"/>
                <w:lang w:eastAsia="lv-LV"/>
              </w:rPr>
            </w:pPr>
            <w:r w:rsidRPr="009E06AD">
              <w:rPr>
                <w:b/>
                <w:i/>
                <w:sz w:val="18"/>
                <w:szCs w:val="18"/>
                <w:lang w:eastAsia="lv-LV"/>
              </w:rPr>
              <w:t>-302,1</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b/>
                <w:i/>
                <w:sz w:val="18"/>
                <w:szCs w:val="18"/>
                <w:lang w:eastAsia="lv-LV"/>
              </w:rPr>
            </w:pPr>
            <w:r w:rsidRPr="00A8131D">
              <w:rPr>
                <w:b/>
                <w:i/>
                <w:sz w:val="18"/>
                <w:szCs w:val="18"/>
                <w:lang w:eastAsia="lv-LV"/>
              </w:rPr>
              <w:t>-438,3</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b/>
                <w:i/>
                <w:sz w:val="18"/>
                <w:szCs w:val="18"/>
                <w:lang w:eastAsia="lv-LV"/>
              </w:rPr>
            </w:pPr>
            <w:r w:rsidRPr="003C4742">
              <w:rPr>
                <w:b/>
                <w:i/>
                <w:sz w:val="18"/>
                <w:szCs w:val="18"/>
                <w:lang w:eastAsia="lv-LV"/>
              </w:rPr>
              <w:t>-262,2</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b/>
                <w:i/>
                <w:sz w:val="18"/>
                <w:szCs w:val="18"/>
                <w:lang w:eastAsia="lv-LV"/>
              </w:rPr>
            </w:pPr>
            <w:r w:rsidRPr="003C4742">
              <w:rPr>
                <w:b/>
                <w:i/>
                <w:sz w:val="18"/>
                <w:szCs w:val="18"/>
                <w:lang w:eastAsia="lv-LV"/>
              </w:rPr>
              <w:t>-531,7</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183" w:firstLineChars="100" w:firstLine="190"/>
              <w:jc w:val="left"/>
              <w:rPr>
                <w:sz w:val="19"/>
                <w:szCs w:val="19"/>
                <w:lang w:eastAsia="lv-LV"/>
              </w:rPr>
            </w:pPr>
            <w:r w:rsidRPr="009E06AD">
              <w:rPr>
                <w:sz w:val="19"/>
                <w:szCs w:val="19"/>
                <w:lang w:eastAsia="lv-LV"/>
              </w:rPr>
              <w:t>Ieņēmumi</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5 093,1</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5 161,5</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5 387,7</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6 324,3</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A8131D">
            <w:pPr>
              <w:spacing w:after="0"/>
              <w:ind w:firstLine="0"/>
              <w:jc w:val="right"/>
              <w:rPr>
                <w:sz w:val="18"/>
                <w:szCs w:val="18"/>
                <w:lang w:eastAsia="lv-LV"/>
              </w:rPr>
            </w:pPr>
            <w:r w:rsidRPr="00A8131D">
              <w:rPr>
                <w:sz w:val="18"/>
                <w:szCs w:val="18"/>
                <w:lang w:eastAsia="lv-LV"/>
              </w:rPr>
              <w:t>6 </w:t>
            </w:r>
            <w:r w:rsidR="00A8131D" w:rsidRPr="00A8131D">
              <w:rPr>
                <w:sz w:val="18"/>
                <w:szCs w:val="18"/>
                <w:lang w:eastAsia="lv-LV"/>
              </w:rPr>
              <w:t>386</w:t>
            </w:r>
            <w:r w:rsidRPr="00A8131D">
              <w:rPr>
                <w:sz w:val="18"/>
                <w:szCs w:val="18"/>
                <w:lang w:eastAsia="lv-LV"/>
              </w:rPr>
              <w:t>,</w:t>
            </w:r>
            <w:r w:rsidR="00A8131D" w:rsidRPr="00A8131D">
              <w:rPr>
                <w:sz w:val="18"/>
                <w:szCs w:val="18"/>
                <w:lang w:eastAsia="lv-LV"/>
              </w:rPr>
              <w:t>6</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6 830,8</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6 764,5</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Nodokļu ieņēmumi</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3 591,1</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3 845,7</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4 161,2</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4 482,7</w:t>
            </w:r>
          </w:p>
        </w:tc>
        <w:tc>
          <w:tcPr>
            <w:tcW w:w="851" w:type="dxa"/>
            <w:tcBorders>
              <w:top w:val="single" w:sz="4" w:space="0" w:color="auto"/>
              <w:left w:val="nil"/>
              <w:bottom w:val="single" w:sz="4" w:space="0" w:color="auto"/>
              <w:right w:val="single" w:sz="4" w:space="0" w:color="auto"/>
            </w:tcBorders>
            <w:shd w:val="clear" w:color="auto" w:fill="auto"/>
            <w:noWrap/>
          </w:tcPr>
          <w:p w:rsidR="00434853" w:rsidRPr="00A8131D" w:rsidRDefault="00434853" w:rsidP="00A8131D">
            <w:pPr>
              <w:spacing w:after="0"/>
              <w:ind w:firstLine="0"/>
              <w:jc w:val="right"/>
              <w:rPr>
                <w:sz w:val="18"/>
                <w:szCs w:val="18"/>
                <w:lang w:eastAsia="lv-LV"/>
              </w:rPr>
            </w:pPr>
            <w:r w:rsidRPr="00A8131D">
              <w:rPr>
                <w:sz w:val="18"/>
                <w:szCs w:val="18"/>
                <w:lang w:eastAsia="lv-LV"/>
              </w:rPr>
              <w:t>4 </w:t>
            </w:r>
            <w:r w:rsidR="00A8131D" w:rsidRPr="00A8131D">
              <w:rPr>
                <w:sz w:val="18"/>
                <w:szCs w:val="18"/>
                <w:lang w:eastAsia="lv-LV"/>
              </w:rPr>
              <w:t>664</w:t>
            </w:r>
            <w:r w:rsidRPr="00A8131D">
              <w:rPr>
                <w:sz w:val="18"/>
                <w:szCs w:val="18"/>
                <w:lang w:eastAsia="lv-LV"/>
              </w:rPr>
              <w:t>,</w:t>
            </w:r>
            <w:r w:rsidR="00A8131D" w:rsidRPr="00A8131D">
              <w:rPr>
                <w:sz w:val="18"/>
                <w:szCs w:val="18"/>
                <w:lang w:eastAsia="lv-LV"/>
              </w:rPr>
              <w:t>4</w:t>
            </w:r>
          </w:p>
        </w:tc>
        <w:tc>
          <w:tcPr>
            <w:tcW w:w="851" w:type="dxa"/>
            <w:tcBorders>
              <w:top w:val="single" w:sz="4" w:space="0" w:color="auto"/>
              <w:left w:val="nil"/>
              <w:bottom w:val="single" w:sz="4" w:space="0" w:color="auto"/>
              <w:right w:val="single" w:sz="4" w:space="0" w:color="auto"/>
            </w:tcBorders>
            <w:shd w:val="clear" w:color="auto" w:fill="auto"/>
            <w:noWrap/>
          </w:tcPr>
          <w:p w:rsidR="00434853" w:rsidRPr="003C4742" w:rsidRDefault="00434853" w:rsidP="00F24DCA">
            <w:pPr>
              <w:spacing w:after="0"/>
              <w:ind w:firstLine="0"/>
              <w:jc w:val="right"/>
              <w:rPr>
                <w:sz w:val="18"/>
                <w:szCs w:val="18"/>
                <w:lang w:eastAsia="lv-LV"/>
              </w:rPr>
            </w:pPr>
            <w:r w:rsidRPr="003C4742">
              <w:rPr>
                <w:sz w:val="18"/>
                <w:szCs w:val="18"/>
                <w:lang w:eastAsia="lv-LV"/>
              </w:rPr>
              <w:t>5 140,8</w:t>
            </w:r>
          </w:p>
        </w:tc>
        <w:tc>
          <w:tcPr>
            <w:tcW w:w="851" w:type="dxa"/>
            <w:tcBorders>
              <w:top w:val="single" w:sz="4" w:space="0" w:color="auto"/>
              <w:left w:val="nil"/>
              <w:bottom w:val="single" w:sz="4" w:space="0" w:color="auto"/>
              <w:right w:val="single" w:sz="4" w:space="0" w:color="auto"/>
            </w:tcBorders>
            <w:shd w:val="clear" w:color="auto" w:fill="auto"/>
            <w:noWrap/>
          </w:tcPr>
          <w:p w:rsidR="00434853" w:rsidRPr="003C4742" w:rsidRDefault="00434853" w:rsidP="00F24DCA">
            <w:pPr>
              <w:spacing w:after="0"/>
              <w:ind w:firstLine="0"/>
              <w:jc w:val="right"/>
              <w:rPr>
                <w:sz w:val="18"/>
                <w:szCs w:val="18"/>
                <w:lang w:eastAsia="lv-LV"/>
              </w:rPr>
            </w:pPr>
            <w:r w:rsidRPr="003C4742">
              <w:rPr>
                <w:sz w:val="18"/>
                <w:szCs w:val="18"/>
                <w:lang w:eastAsia="lv-LV"/>
              </w:rPr>
              <w:t>5 424,4</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Ne-nodokļu ieņēmumi</w:t>
            </w:r>
          </w:p>
        </w:tc>
        <w:tc>
          <w:tcPr>
            <w:tcW w:w="851" w:type="dxa"/>
            <w:tcBorders>
              <w:top w:val="nil"/>
              <w:left w:val="single" w:sz="4" w:space="0" w:color="auto"/>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424,1</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474,0</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418,8</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611,2</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A8131D" w:rsidP="00F24DCA">
            <w:pPr>
              <w:spacing w:after="0"/>
              <w:ind w:firstLine="0"/>
              <w:jc w:val="right"/>
              <w:rPr>
                <w:sz w:val="18"/>
                <w:szCs w:val="18"/>
                <w:lang w:eastAsia="lv-LV"/>
              </w:rPr>
            </w:pPr>
            <w:r w:rsidRPr="00A8131D">
              <w:rPr>
                <w:sz w:val="18"/>
                <w:szCs w:val="18"/>
                <w:lang w:eastAsia="lv-LV"/>
              </w:rPr>
              <w:t>483</w:t>
            </w:r>
            <w:r w:rsidR="00434853" w:rsidRPr="00A8131D">
              <w:rPr>
                <w:sz w:val="18"/>
                <w:szCs w:val="18"/>
                <w:lang w:eastAsia="lv-LV"/>
              </w:rPr>
              <w:t>,9</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421,2</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324,6</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Ārvalstu finanšu palīdzība</w:t>
            </w:r>
          </w:p>
        </w:tc>
        <w:tc>
          <w:tcPr>
            <w:tcW w:w="851" w:type="dxa"/>
            <w:tcBorders>
              <w:top w:val="nil"/>
              <w:left w:val="single" w:sz="4" w:space="0" w:color="auto"/>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991,7</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743,1</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711,3</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1 109,3</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1 125,2</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1 170,7</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925,7</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Pārējie ieņēmumi</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86,1</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98,8</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96,5</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121,1</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113,0</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98,3</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89,8</w:t>
            </w:r>
          </w:p>
        </w:tc>
      </w:tr>
      <w:tr w:rsidR="00434853" w:rsidRPr="0035459B" w:rsidTr="00F24DCA">
        <w:trPr>
          <w:trHeight w:val="97"/>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183" w:firstLineChars="100" w:firstLine="190"/>
              <w:jc w:val="left"/>
              <w:rPr>
                <w:sz w:val="19"/>
                <w:szCs w:val="19"/>
                <w:lang w:eastAsia="lv-LV"/>
              </w:rPr>
            </w:pPr>
            <w:r w:rsidRPr="009E06AD">
              <w:rPr>
                <w:sz w:val="19"/>
                <w:szCs w:val="19"/>
                <w:lang w:eastAsia="lv-LV"/>
              </w:rPr>
              <w:t>Izdevumi</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5 479,4</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5 400,5</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5 744,6</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6 626,5</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A8131D">
            <w:pPr>
              <w:spacing w:after="0"/>
              <w:ind w:firstLine="0"/>
              <w:jc w:val="right"/>
              <w:rPr>
                <w:sz w:val="18"/>
                <w:szCs w:val="18"/>
                <w:lang w:eastAsia="lv-LV"/>
              </w:rPr>
            </w:pPr>
            <w:r w:rsidRPr="00A8131D">
              <w:rPr>
                <w:sz w:val="18"/>
                <w:szCs w:val="18"/>
                <w:lang w:eastAsia="lv-LV"/>
              </w:rPr>
              <w:t>6 </w:t>
            </w:r>
            <w:r w:rsidR="00A8131D" w:rsidRPr="00A8131D">
              <w:rPr>
                <w:sz w:val="18"/>
                <w:szCs w:val="18"/>
                <w:lang w:eastAsia="lv-LV"/>
              </w:rPr>
              <w:t>824</w:t>
            </w:r>
            <w:r w:rsidRPr="00A8131D">
              <w:rPr>
                <w:sz w:val="18"/>
                <w:szCs w:val="18"/>
                <w:lang w:eastAsia="lv-LV"/>
              </w:rPr>
              <w:t>,8</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7 093,0</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7 296,3</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Uzturēšanas izdevumi</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4 949,3</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5 020,3</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5 206,9</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5 915,9</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8131D" w:rsidRDefault="00434853" w:rsidP="00A8131D">
            <w:pPr>
              <w:spacing w:after="0"/>
              <w:ind w:firstLine="0"/>
              <w:jc w:val="right"/>
              <w:rPr>
                <w:sz w:val="18"/>
                <w:szCs w:val="18"/>
                <w:lang w:eastAsia="lv-LV"/>
              </w:rPr>
            </w:pPr>
            <w:r w:rsidRPr="00A8131D">
              <w:rPr>
                <w:sz w:val="18"/>
                <w:szCs w:val="18"/>
                <w:lang w:eastAsia="lv-LV"/>
              </w:rPr>
              <w:t xml:space="preserve">6 </w:t>
            </w:r>
            <w:r w:rsidR="00A8131D" w:rsidRPr="00A8131D">
              <w:rPr>
                <w:sz w:val="18"/>
                <w:szCs w:val="18"/>
                <w:lang w:eastAsia="lv-LV"/>
              </w:rPr>
              <w:t>108</w:t>
            </w:r>
            <w:r w:rsidRPr="00A8131D">
              <w:rPr>
                <w:sz w:val="18"/>
                <w:szCs w:val="18"/>
                <w:lang w:eastAsia="lv-LV"/>
              </w:rPr>
              <w:t>,</w:t>
            </w:r>
            <w:r w:rsidR="00A8131D" w:rsidRPr="00A8131D">
              <w:rPr>
                <w:sz w:val="18"/>
                <w:szCs w:val="18"/>
                <w:lang w:eastAsia="lv-LV"/>
              </w:rPr>
              <w:t>2</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6 516,0</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6 780,7</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E06AD" w:rsidRDefault="00434853" w:rsidP="00F24DCA">
            <w:pPr>
              <w:spacing w:after="0"/>
              <w:ind w:left="-239" w:firstLineChars="200" w:firstLine="380"/>
              <w:rPr>
                <w:sz w:val="19"/>
                <w:szCs w:val="19"/>
                <w:lang w:eastAsia="lv-LV"/>
              </w:rPr>
            </w:pPr>
            <w:r w:rsidRPr="009E06AD">
              <w:rPr>
                <w:sz w:val="19"/>
                <w:szCs w:val="19"/>
                <w:lang w:eastAsia="lv-LV"/>
              </w:rPr>
              <w:t>Kapitālie izdevumi</w:t>
            </w:r>
          </w:p>
        </w:tc>
        <w:tc>
          <w:tcPr>
            <w:tcW w:w="851" w:type="dxa"/>
            <w:tcBorders>
              <w:top w:val="nil"/>
              <w:left w:val="single" w:sz="4" w:space="0" w:color="auto"/>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530,1</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380,2</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537,8</w:t>
            </w:r>
          </w:p>
        </w:tc>
        <w:tc>
          <w:tcPr>
            <w:tcW w:w="851" w:type="dxa"/>
            <w:tcBorders>
              <w:top w:val="nil"/>
              <w:left w:val="nil"/>
              <w:bottom w:val="single" w:sz="4" w:space="0" w:color="auto"/>
              <w:right w:val="single" w:sz="4" w:space="0" w:color="auto"/>
            </w:tcBorders>
            <w:shd w:val="clear" w:color="auto" w:fill="auto"/>
            <w:noWrap/>
            <w:hideMark/>
          </w:tcPr>
          <w:p w:rsidR="00434853" w:rsidRPr="009E06AD" w:rsidRDefault="00434853" w:rsidP="00F24DCA">
            <w:pPr>
              <w:spacing w:after="0"/>
              <w:ind w:firstLine="0"/>
              <w:jc w:val="right"/>
              <w:rPr>
                <w:sz w:val="18"/>
                <w:szCs w:val="18"/>
                <w:lang w:eastAsia="lv-LV"/>
              </w:rPr>
            </w:pPr>
            <w:r w:rsidRPr="009E06AD">
              <w:rPr>
                <w:sz w:val="18"/>
                <w:szCs w:val="18"/>
                <w:lang w:eastAsia="lv-LV"/>
              </w:rPr>
              <w:t>710,6</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A8131D" w:rsidP="00F24DCA">
            <w:pPr>
              <w:spacing w:after="0"/>
              <w:ind w:firstLine="0"/>
              <w:jc w:val="right"/>
              <w:rPr>
                <w:sz w:val="18"/>
                <w:szCs w:val="18"/>
                <w:lang w:eastAsia="lv-LV"/>
              </w:rPr>
            </w:pPr>
            <w:r w:rsidRPr="00A8131D">
              <w:rPr>
                <w:sz w:val="18"/>
                <w:szCs w:val="18"/>
                <w:lang w:eastAsia="lv-LV"/>
              </w:rPr>
              <w:t>716,6</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577,0</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515,5</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434853" w:rsidRPr="009A3DAD" w:rsidRDefault="00434853" w:rsidP="00F24DCA">
            <w:pPr>
              <w:spacing w:after="0"/>
              <w:ind w:firstLine="0"/>
              <w:jc w:val="left"/>
              <w:rPr>
                <w:b/>
                <w:bCs/>
                <w:i/>
                <w:iCs/>
                <w:sz w:val="19"/>
                <w:szCs w:val="19"/>
                <w:lang w:eastAsia="lv-LV"/>
              </w:rPr>
            </w:pPr>
            <w:r w:rsidRPr="009A3DAD">
              <w:rPr>
                <w:b/>
                <w:bCs/>
                <w:i/>
                <w:iCs/>
                <w:sz w:val="19"/>
                <w:szCs w:val="19"/>
                <w:lang w:eastAsia="lv-LV"/>
              </w:rPr>
              <w:t>VALSTS SPECIĀLĀ BUDŽETA BILANCE</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b/>
                <w:i/>
                <w:sz w:val="18"/>
                <w:szCs w:val="18"/>
                <w:lang w:eastAsia="lv-LV"/>
              </w:rPr>
            </w:pPr>
            <w:r w:rsidRPr="009A3DAD">
              <w:rPr>
                <w:b/>
                <w:i/>
                <w:sz w:val="18"/>
                <w:szCs w:val="18"/>
                <w:lang w:eastAsia="lv-LV"/>
              </w:rPr>
              <w:t>91,1</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b/>
                <w:i/>
                <w:sz w:val="18"/>
                <w:szCs w:val="18"/>
                <w:lang w:eastAsia="lv-LV"/>
              </w:rPr>
            </w:pPr>
            <w:r w:rsidRPr="009A3DAD">
              <w:rPr>
                <w:b/>
                <w:i/>
                <w:sz w:val="18"/>
                <w:szCs w:val="18"/>
                <w:lang w:eastAsia="lv-LV"/>
              </w:rPr>
              <w:t>47,8</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b/>
                <w:i/>
                <w:sz w:val="18"/>
                <w:szCs w:val="18"/>
                <w:lang w:eastAsia="lv-LV"/>
              </w:rPr>
            </w:pPr>
            <w:r w:rsidRPr="009A3DAD">
              <w:rPr>
                <w:b/>
                <w:i/>
                <w:sz w:val="18"/>
                <w:szCs w:val="18"/>
                <w:lang w:eastAsia="lv-LV"/>
              </w:rPr>
              <w:t>113,8</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b/>
                <w:i/>
                <w:sz w:val="18"/>
                <w:szCs w:val="18"/>
                <w:lang w:eastAsia="lv-LV"/>
              </w:rPr>
            </w:pPr>
            <w:r w:rsidRPr="009A3DAD">
              <w:rPr>
                <w:b/>
                <w:i/>
                <w:sz w:val="18"/>
                <w:szCs w:val="18"/>
                <w:lang w:eastAsia="lv-LV"/>
              </w:rPr>
              <w:t>202,2</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b/>
                <w:i/>
                <w:sz w:val="18"/>
                <w:szCs w:val="18"/>
                <w:lang w:eastAsia="lv-LV"/>
              </w:rPr>
            </w:pPr>
            <w:r w:rsidRPr="00A8131D">
              <w:rPr>
                <w:b/>
                <w:i/>
                <w:sz w:val="18"/>
                <w:szCs w:val="18"/>
                <w:lang w:eastAsia="lv-LV"/>
              </w:rPr>
              <w:t>223,8</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b/>
                <w:i/>
                <w:sz w:val="18"/>
                <w:szCs w:val="18"/>
                <w:lang w:eastAsia="lv-LV"/>
              </w:rPr>
            </w:pPr>
            <w:r w:rsidRPr="003C4742">
              <w:rPr>
                <w:b/>
                <w:i/>
                <w:sz w:val="18"/>
                <w:szCs w:val="18"/>
                <w:lang w:eastAsia="lv-LV"/>
              </w:rPr>
              <w:t>150,8</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b/>
                <w:i/>
                <w:sz w:val="18"/>
                <w:szCs w:val="18"/>
                <w:lang w:eastAsia="lv-LV"/>
              </w:rPr>
            </w:pPr>
            <w:r w:rsidRPr="003C4742">
              <w:rPr>
                <w:b/>
                <w:i/>
                <w:sz w:val="18"/>
                <w:szCs w:val="18"/>
                <w:lang w:eastAsia="lv-LV"/>
              </w:rPr>
              <w:t>135,5</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A3DAD" w:rsidRDefault="00434853" w:rsidP="00F24DCA">
            <w:pPr>
              <w:spacing w:after="0"/>
              <w:ind w:left="-183" w:firstLineChars="100" w:firstLine="190"/>
              <w:jc w:val="left"/>
              <w:rPr>
                <w:sz w:val="19"/>
                <w:szCs w:val="19"/>
                <w:lang w:eastAsia="lv-LV"/>
              </w:rPr>
            </w:pPr>
            <w:r w:rsidRPr="009A3DAD">
              <w:rPr>
                <w:sz w:val="19"/>
                <w:szCs w:val="19"/>
                <w:lang w:eastAsia="lv-LV"/>
              </w:rPr>
              <w:t>Ieņēmumi</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2 294,2</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2 338,6</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2 504,2</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2 782,3</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2 989,5</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3 158,1</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3 324,6</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A3DAD" w:rsidRDefault="00434853" w:rsidP="00F24DCA">
            <w:pPr>
              <w:spacing w:after="0"/>
              <w:ind w:left="-239" w:firstLineChars="200" w:firstLine="380"/>
              <w:rPr>
                <w:sz w:val="19"/>
                <w:szCs w:val="19"/>
                <w:lang w:eastAsia="lv-LV"/>
              </w:rPr>
            </w:pPr>
            <w:r w:rsidRPr="009A3DAD">
              <w:rPr>
                <w:sz w:val="19"/>
                <w:szCs w:val="19"/>
                <w:lang w:eastAsia="lv-LV"/>
              </w:rPr>
              <w:t>Nodokļu ieņēmumi</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2 048,7</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2 104,9</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2 257,0</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2 543,2</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2 727,1</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2 900,2</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3 071,1</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A3DAD" w:rsidRDefault="00434853" w:rsidP="00F24DCA">
            <w:pPr>
              <w:spacing w:after="0"/>
              <w:ind w:left="-239" w:firstLineChars="200" w:firstLine="380"/>
              <w:rPr>
                <w:sz w:val="19"/>
                <w:szCs w:val="19"/>
                <w:lang w:eastAsia="lv-LV"/>
              </w:rPr>
            </w:pPr>
            <w:r w:rsidRPr="009A3DAD">
              <w:rPr>
                <w:sz w:val="19"/>
                <w:szCs w:val="19"/>
                <w:lang w:eastAsia="lv-LV"/>
              </w:rPr>
              <w:t>Pārējie ieņēmumi</w:t>
            </w:r>
          </w:p>
        </w:tc>
        <w:tc>
          <w:tcPr>
            <w:tcW w:w="851" w:type="dxa"/>
            <w:tcBorders>
              <w:top w:val="nil"/>
              <w:left w:val="single" w:sz="4" w:space="0" w:color="auto"/>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245,5</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233,7</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247,2</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239,1</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262,4</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257,8</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253,5</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A3DAD" w:rsidRDefault="00434853" w:rsidP="00F24DCA">
            <w:pPr>
              <w:spacing w:after="0"/>
              <w:ind w:left="-183" w:firstLineChars="100" w:firstLine="190"/>
              <w:jc w:val="left"/>
              <w:rPr>
                <w:sz w:val="19"/>
                <w:szCs w:val="19"/>
                <w:lang w:eastAsia="lv-LV"/>
              </w:rPr>
            </w:pPr>
            <w:r w:rsidRPr="009A3DAD">
              <w:rPr>
                <w:sz w:val="19"/>
                <w:szCs w:val="19"/>
                <w:lang w:eastAsia="lv-LV"/>
              </w:rPr>
              <w:t>Izdevumi</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2 203,1</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2 290,8</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2 390,4</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2 580,1</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2 765,7</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3 007,3</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3 189,1</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A3DAD" w:rsidRDefault="00434853" w:rsidP="00F24DCA">
            <w:pPr>
              <w:spacing w:after="0"/>
              <w:ind w:left="-239" w:firstLineChars="200" w:firstLine="380"/>
              <w:rPr>
                <w:sz w:val="19"/>
                <w:szCs w:val="19"/>
                <w:lang w:eastAsia="lv-LV"/>
              </w:rPr>
            </w:pPr>
            <w:r w:rsidRPr="009A3DAD">
              <w:rPr>
                <w:sz w:val="19"/>
                <w:szCs w:val="19"/>
                <w:lang w:eastAsia="lv-LV"/>
              </w:rPr>
              <w:t>Uzturēšanas izdevumi</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2 202,2</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2 289,6</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2 388,9</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2 578,1</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2 764,6</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3 006,3</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3 188,1</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A3DAD" w:rsidRDefault="00434853" w:rsidP="00F24DCA">
            <w:pPr>
              <w:spacing w:after="0"/>
              <w:ind w:left="-239" w:firstLineChars="200" w:firstLine="380"/>
              <w:rPr>
                <w:sz w:val="19"/>
                <w:szCs w:val="19"/>
                <w:lang w:eastAsia="lv-LV"/>
              </w:rPr>
            </w:pPr>
            <w:r w:rsidRPr="009A3DAD">
              <w:rPr>
                <w:sz w:val="19"/>
                <w:szCs w:val="19"/>
                <w:lang w:eastAsia="lv-LV"/>
              </w:rPr>
              <w:t>Kapitālie izdevumi</w:t>
            </w:r>
          </w:p>
        </w:tc>
        <w:tc>
          <w:tcPr>
            <w:tcW w:w="851" w:type="dxa"/>
            <w:tcBorders>
              <w:top w:val="nil"/>
              <w:left w:val="single" w:sz="4" w:space="0" w:color="auto"/>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0,9</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1,2</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1,5</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1,8</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1,1</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1,0</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0,9</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434853" w:rsidRPr="009A3DAD" w:rsidRDefault="00434853" w:rsidP="00F24DCA">
            <w:pPr>
              <w:spacing w:after="0"/>
              <w:ind w:firstLine="0"/>
              <w:jc w:val="left"/>
              <w:rPr>
                <w:b/>
                <w:bCs/>
                <w:i/>
                <w:iCs/>
                <w:sz w:val="19"/>
                <w:szCs w:val="19"/>
                <w:lang w:eastAsia="lv-LV"/>
              </w:rPr>
            </w:pPr>
            <w:r w:rsidRPr="009A3DAD">
              <w:rPr>
                <w:b/>
                <w:bCs/>
                <w:i/>
                <w:iCs/>
                <w:sz w:val="19"/>
                <w:szCs w:val="19"/>
                <w:lang w:eastAsia="lv-LV"/>
              </w:rPr>
              <w:t>ATVAS. PUBL. PERS. BUDŽETA BILANCE</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b/>
                <w:i/>
                <w:sz w:val="18"/>
                <w:szCs w:val="18"/>
                <w:lang w:eastAsia="lv-LV"/>
              </w:rPr>
            </w:pPr>
            <w:r w:rsidRPr="009A3DAD">
              <w:rPr>
                <w:b/>
                <w:i/>
                <w:sz w:val="18"/>
                <w:szCs w:val="18"/>
                <w:lang w:eastAsia="lv-LV"/>
              </w:rPr>
              <w:t>-51,8</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b/>
                <w:i/>
                <w:sz w:val="18"/>
                <w:szCs w:val="18"/>
                <w:lang w:eastAsia="lv-LV"/>
              </w:rPr>
            </w:pPr>
            <w:r w:rsidRPr="009A3DAD">
              <w:rPr>
                <w:b/>
                <w:i/>
                <w:sz w:val="18"/>
                <w:szCs w:val="18"/>
                <w:lang w:eastAsia="lv-LV"/>
              </w:rPr>
              <w:t>33,7</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b/>
                <w:i/>
                <w:sz w:val="18"/>
                <w:szCs w:val="18"/>
                <w:lang w:eastAsia="lv-LV"/>
              </w:rPr>
            </w:pPr>
            <w:r w:rsidRPr="009A3DAD">
              <w:rPr>
                <w:b/>
                <w:i/>
                <w:sz w:val="18"/>
                <w:szCs w:val="18"/>
                <w:lang w:eastAsia="lv-LV"/>
              </w:rPr>
              <w:t>35,6</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b/>
                <w:i/>
                <w:sz w:val="18"/>
                <w:szCs w:val="18"/>
                <w:lang w:eastAsia="lv-LV"/>
              </w:rPr>
            </w:pPr>
            <w:r w:rsidRPr="009A3DAD">
              <w:rPr>
                <w:b/>
                <w:i/>
                <w:sz w:val="18"/>
                <w:szCs w:val="18"/>
                <w:lang w:eastAsia="lv-LV"/>
              </w:rPr>
              <w:t>35,2</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b/>
                <w:i/>
                <w:sz w:val="18"/>
                <w:szCs w:val="18"/>
                <w:lang w:eastAsia="lv-LV"/>
              </w:rPr>
            </w:pPr>
            <w:r w:rsidRPr="00A8131D">
              <w:rPr>
                <w:b/>
                <w:i/>
                <w:sz w:val="18"/>
                <w:szCs w:val="18"/>
                <w:lang w:eastAsia="lv-LV"/>
              </w:rPr>
              <w:t>4,2</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b/>
                <w:i/>
                <w:sz w:val="18"/>
                <w:szCs w:val="18"/>
                <w:lang w:eastAsia="lv-LV"/>
              </w:rPr>
            </w:pPr>
            <w:r w:rsidRPr="003C4742">
              <w:rPr>
                <w:b/>
                <w:i/>
                <w:sz w:val="18"/>
                <w:szCs w:val="18"/>
                <w:lang w:eastAsia="lv-LV"/>
              </w:rPr>
              <w:t>-9,7</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b/>
                <w:i/>
                <w:sz w:val="18"/>
                <w:szCs w:val="18"/>
                <w:lang w:eastAsia="lv-LV"/>
              </w:rPr>
            </w:pPr>
            <w:r w:rsidRPr="003C4742">
              <w:rPr>
                <w:b/>
                <w:i/>
                <w:sz w:val="18"/>
                <w:szCs w:val="18"/>
                <w:lang w:eastAsia="lv-LV"/>
              </w:rPr>
              <w:t>-16,0</w:t>
            </w:r>
          </w:p>
        </w:tc>
      </w:tr>
      <w:tr w:rsidR="00434853" w:rsidRPr="0035459B" w:rsidTr="00F24DCA">
        <w:trPr>
          <w:trHeight w:val="7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434853" w:rsidRPr="009A3DAD" w:rsidRDefault="00434853" w:rsidP="00F24DCA">
            <w:pPr>
              <w:spacing w:after="0"/>
              <w:ind w:left="-183" w:firstLineChars="100" w:firstLine="190"/>
              <w:jc w:val="left"/>
              <w:rPr>
                <w:sz w:val="19"/>
                <w:szCs w:val="19"/>
                <w:lang w:eastAsia="lv-LV"/>
              </w:rPr>
            </w:pPr>
            <w:r w:rsidRPr="009A3DAD">
              <w:rPr>
                <w:sz w:val="19"/>
                <w:szCs w:val="19"/>
                <w:lang w:eastAsia="lv-LV"/>
              </w:rPr>
              <w:t>Ieņēmumi</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330,7</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315,5</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362,8</w:t>
            </w:r>
          </w:p>
        </w:tc>
        <w:tc>
          <w:tcPr>
            <w:tcW w:w="851" w:type="dxa"/>
            <w:tcBorders>
              <w:top w:val="nil"/>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433,5</w:t>
            </w:r>
          </w:p>
        </w:tc>
        <w:tc>
          <w:tcPr>
            <w:tcW w:w="851" w:type="dxa"/>
            <w:tcBorders>
              <w:top w:val="nil"/>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430,4</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422,6</w:t>
            </w:r>
          </w:p>
        </w:tc>
        <w:tc>
          <w:tcPr>
            <w:tcW w:w="851" w:type="dxa"/>
            <w:tcBorders>
              <w:top w:val="nil"/>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393,2</w:t>
            </w:r>
          </w:p>
        </w:tc>
      </w:tr>
      <w:tr w:rsidR="00434853" w:rsidRPr="0035459B" w:rsidTr="00F24DCA">
        <w:trPr>
          <w:trHeight w:val="7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4853" w:rsidRPr="009A3DAD" w:rsidRDefault="00434853" w:rsidP="00F24DCA">
            <w:pPr>
              <w:spacing w:after="0"/>
              <w:ind w:left="-183" w:firstLineChars="100" w:firstLine="190"/>
              <w:jc w:val="left"/>
              <w:rPr>
                <w:sz w:val="19"/>
                <w:szCs w:val="19"/>
                <w:lang w:eastAsia="lv-LV"/>
              </w:rPr>
            </w:pPr>
            <w:r w:rsidRPr="009A3DAD">
              <w:rPr>
                <w:sz w:val="19"/>
                <w:szCs w:val="19"/>
                <w:lang w:eastAsia="lv-LV"/>
              </w:rPr>
              <w:t>Izdevumi</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382,5</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281,8</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327,1</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9A3DAD" w:rsidRDefault="00434853" w:rsidP="00F24DCA">
            <w:pPr>
              <w:spacing w:after="0"/>
              <w:ind w:firstLine="0"/>
              <w:jc w:val="right"/>
              <w:rPr>
                <w:sz w:val="18"/>
                <w:szCs w:val="18"/>
                <w:lang w:eastAsia="lv-LV"/>
              </w:rPr>
            </w:pPr>
            <w:r w:rsidRPr="009A3DAD">
              <w:rPr>
                <w:sz w:val="18"/>
                <w:szCs w:val="18"/>
                <w:lang w:eastAsia="lv-LV"/>
              </w:rPr>
              <w:t>398,3</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A8131D" w:rsidRDefault="00434853" w:rsidP="00F24DCA">
            <w:pPr>
              <w:spacing w:after="0"/>
              <w:ind w:firstLine="0"/>
              <w:jc w:val="right"/>
              <w:rPr>
                <w:sz w:val="18"/>
                <w:szCs w:val="18"/>
                <w:lang w:eastAsia="lv-LV"/>
              </w:rPr>
            </w:pPr>
            <w:r w:rsidRPr="00A8131D">
              <w:rPr>
                <w:sz w:val="18"/>
                <w:szCs w:val="18"/>
                <w:lang w:eastAsia="lv-LV"/>
              </w:rPr>
              <w:t>426,3</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432,3</w:t>
            </w:r>
          </w:p>
        </w:tc>
        <w:tc>
          <w:tcPr>
            <w:tcW w:w="851" w:type="dxa"/>
            <w:tcBorders>
              <w:top w:val="single" w:sz="4" w:space="0" w:color="auto"/>
              <w:left w:val="nil"/>
              <w:bottom w:val="single" w:sz="4" w:space="0" w:color="auto"/>
              <w:right w:val="single" w:sz="4" w:space="0" w:color="auto"/>
            </w:tcBorders>
            <w:shd w:val="clear" w:color="auto" w:fill="auto"/>
            <w:noWrap/>
            <w:hideMark/>
          </w:tcPr>
          <w:p w:rsidR="00434853" w:rsidRPr="003C4742" w:rsidRDefault="00434853" w:rsidP="00F24DCA">
            <w:pPr>
              <w:spacing w:after="0"/>
              <w:ind w:firstLine="0"/>
              <w:jc w:val="right"/>
              <w:rPr>
                <w:sz w:val="18"/>
                <w:szCs w:val="18"/>
                <w:lang w:eastAsia="lv-LV"/>
              </w:rPr>
            </w:pPr>
            <w:r w:rsidRPr="003C4742">
              <w:rPr>
                <w:sz w:val="18"/>
                <w:szCs w:val="18"/>
                <w:lang w:eastAsia="lv-LV"/>
              </w:rPr>
              <w:t>409,2</w:t>
            </w:r>
          </w:p>
        </w:tc>
      </w:tr>
    </w:tbl>
    <w:p w:rsidR="00434853" w:rsidRPr="00AC6850" w:rsidRDefault="00434853" w:rsidP="001952BA">
      <w:pPr>
        <w:spacing w:after="0"/>
        <w:ind w:firstLine="0"/>
        <w:jc w:val="center"/>
        <w:rPr>
          <w:b/>
          <w:i/>
          <w:szCs w:val="24"/>
        </w:rPr>
      </w:pPr>
    </w:p>
    <w:p w:rsidR="001952BA" w:rsidRDefault="001952BA" w:rsidP="001952BA">
      <w:pPr>
        <w:spacing w:before="120"/>
      </w:pPr>
      <w:r>
        <w:rPr>
          <w:b/>
        </w:rPr>
        <w:t>Valsts pamatbudžets</w:t>
      </w:r>
    </w:p>
    <w:p w:rsidR="00434853" w:rsidRPr="001E07F9" w:rsidRDefault="00434853" w:rsidP="00434853">
      <w:pPr>
        <w:spacing w:before="120"/>
        <w:rPr>
          <w:noProof/>
        </w:rPr>
      </w:pPr>
      <w:r w:rsidRPr="00C11B46">
        <w:t xml:space="preserve">Ekonomiskā izaugsme, ēnu ekonomikas ierobežošanas pasākumi, ārvalstu finanšu palīdzības ieņēmumu plūsma, kā arī valdības pieņemtie lēmumi ir galvenie faktori, kas ietekmē ieņēmumu palielināšanos valsts pamatbudžetā. 2018.gads bija raksturīgs ar aktīvu ES fondu investīciju </w:t>
      </w:r>
      <w:r>
        <w:t>izlietojumu,</w:t>
      </w:r>
      <w:r w:rsidRPr="00C11B46">
        <w:t xml:space="preserve"> labiem nodokļu un </w:t>
      </w:r>
      <w:r w:rsidRPr="00C11B46">
        <w:rPr>
          <w:noProof/>
        </w:rPr>
        <w:t>nenodokļu ieņēmumiem</w:t>
      </w:r>
      <w:r>
        <w:rPr>
          <w:noProof/>
        </w:rPr>
        <w:t>, kā arī finansējuma palielinājumu veselības nozarei</w:t>
      </w:r>
      <w:r w:rsidRPr="00C11B46">
        <w:rPr>
          <w:noProof/>
        </w:rPr>
        <w:t>. 2018.gadā pamatbudžetā bija vērojams gan ļoti nozīmīgs ieņēmumu, gan arī izdevumu pieaugums</w:t>
      </w:r>
      <w:r>
        <w:rPr>
          <w:noProof/>
        </w:rPr>
        <w:t>. Izdevumu apjoms kopumā bija lielāks un 2018.gadā valsts pamatbudžetā izveidojās 302,1 milj. eiro deficīts</w:t>
      </w:r>
      <w:r w:rsidRPr="00C11B46">
        <w:rPr>
          <w:noProof/>
        </w:rPr>
        <w:t>. Kopš 2018.</w:t>
      </w:r>
      <w:r w:rsidRPr="001E07F9">
        <w:rPr>
          <w:noProof/>
        </w:rPr>
        <w:t xml:space="preserve">gada fiskālās situācijas attīstību lielā mērā ietekmē nodokļu reformas ietvaros pieņemtie lēmumi. UIN 0% likme nesadalītai peļņai un 20% nodokļa piemērošana pie dividenžu sadales, IIN </w:t>
      </w:r>
      <w:r w:rsidR="002A1516">
        <w:rPr>
          <w:noProof/>
        </w:rPr>
        <w:t>difenecēšana</w:t>
      </w:r>
      <w:r w:rsidR="002A1516" w:rsidRPr="001E07F9">
        <w:rPr>
          <w:noProof/>
        </w:rPr>
        <w:t xml:space="preserve"> </w:t>
      </w:r>
      <w:r w:rsidRPr="001E07F9">
        <w:rPr>
          <w:noProof/>
        </w:rPr>
        <w:t xml:space="preserve">2018.gadā algota darba ienākumiem, citu ienākuma veidu nodokļu likmju vienādošana, kā arī minimālās darba algas paaugstināšana no 380 </w:t>
      </w:r>
      <w:r w:rsidRPr="001E07F9">
        <w:rPr>
          <w:i/>
          <w:noProof/>
        </w:rPr>
        <w:t>euro</w:t>
      </w:r>
      <w:r w:rsidRPr="001E07F9">
        <w:rPr>
          <w:noProof/>
        </w:rPr>
        <w:t xml:space="preserve"> uz 430 </w:t>
      </w:r>
      <w:r w:rsidRPr="001E07F9">
        <w:rPr>
          <w:i/>
          <w:noProof/>
        </w:rPr>
        <w:t>euro</w:t>
      </w:r>
      <w:r w:rsidRPr="001E07F9">
        <w:rPr>
          <w:noProof/>
        </w:rPr>
        <w:t xml:space="preserve"> 2018. gadā. Tāpat pakāpeniski tiek palielināts neapliekamais minimums, atvieglojumi par apgādībā esošo personu un neapliekamais minimums pensionāriem. </w:t>
      </w:r>
    </w:p>
    <w:p w:rsidR="00434853" w:rsidRPr="001E07F9" w:rsidRDefault="00434853" w:rsidP="00434853">
      <w:r w:rsidRPr="001E07F9">
        <w:rPr>
          <w:noProof/>
        </w:rPr>
        <w:t xml:space="preserve">2019.gadā valsts pamatbudžetā sagaidāms mērenāks ieņēmumu un izdevumu pieaugums. </w:t>
      </w:r>
      <w:r w:rsidRPr="00577C70">
        <w:rPr>
          <w:noProof/>
          <w:lang w:eastAsia="lv-LV"/>
        </w:rPr>
        <w:t>Nodokļu ieņēmumi 2019.gadā tiek prognozēti par 4,</w:t>
      </w:r>
      <w:r w:rsidR="000403B5" w:rsidRPr="00577C70">
        <w:rPr>
          <w:noProof/>
          <w:lang w:eastAsia="lv-LV"/>
        </w:rPr>
        <w:t>1</w:t>
      </w:r>
      <w:r w:rsidRPr="00577C70">
        <w:rPr>
          <w:noProof/>
          <w:lang w:eastAsia="lv-LV"/>
        </w:rPr>
        <w:t>% augstāki kā 2018.gadā.</w:t>
      </w:r>
      <w:r w:rsidRPr="001E07F9">
        <w:rPr>
          <w:noProof/>
          <w:lang w:eastAsia="lv-LV"/>
        </w:rPr>
        <w:t xml:space="preserve"> Nodokļu ieņēmumu pieauguma apmērs vidējā termiņā ir svārstīgs gadu griezumā, ko nosaka plašās izmaiņas likumdošanā saistībā ar </w:t>
      </w:r>
      <w:r w:rsidRPr="001E07F9">
        <w:rPr>
          <w:noProof/>
          <w:szCs w:val="28"/>
          <w:lang w:eastAsia="lv-LV"/>
        </w:rPr>
        <w:t xml:space="preserve">apstiprinātajiem </w:t>
      </w:r>
      <w:r w:rsidRPr="001E07F9">
        <w:rPr>
          <w:noProof/>
          <w:lang w:eastAsia="lv-LV"/>
        </w:rPr>
        <w:t xml:space="preserve">nodokļu reformas pasākumiem. Jāatzīmē, ka UIN avansa maksājumu atcelšana būtiski ietekmēs UIN ieņēmumu apjomu 2019.gadā, tiem, salīdzinot ar 2018.gada UIN ieņēmumu apjomu, sarūkot par trešdaļu. </w:t>
      </w:r>
      <w:r w:rsidRPr="001E07F9">
        <w:rPr>
          <w:noProof/>
        </w:rPr>
        <w:t xml:space="preserve">Mazāki </w:t>
      </w:r>
      <w:r w:rsidRPr="001E07F9">
        <w:rPr>
          <w:noProof/>
        </w:rPr>
        <w:lastRenderedPageBreak/>
        <w:t>kā 2018.gadā sagaidāmi nenodokļu ieņēmumi, kas skaidrojams ar to, ka 2018.gadā tika saņemti vairāki vienreizēji nenodokļu ieņēmumi, kuri 2019.gad</w:t>
      </w:r>
      <w:r w:rsidRPr="001E07F9">
        <w:t xml:space="preserve">a budžetā netiek plānoti. </w:t>
      </w:r>
    </w:p>
    <w:p w:rsidR="00434853" w:rsidRPr="001E07F9" w:rsidRDefault="00434853" w:rsidP="00434853">
      <w:r w:rsidRPr="001E07F9">
        <w:t>Ārvalstu finanšu palīdzības (ĀFP) ieņēmumi ir otra lielākā valsts pamatbudžeta ieņēmumu pozīcija. Pēc relatīvi zemāka ieņēmumu līmeņa 2016. un 2017.gadā, kas skaidrojams ar iepriekšējā 2007.-2013.gada ES fondu plānošanas perioda noslēgumu un jaunā 2014.</w:t>
      </w:r>
      <w:r w:rsidRPr="001E07F9">
        <w:noBreakHyphen/>
        <w:t>2020.gada plānošanas perioda sākumu, 2018.gadā bija vērojams straujāks ĀFP ieņēmumu palielinājums. 2019.gadā sagaidāms, ka ĀFP ieņēmumi būs tikai nedaudz augstāki kā 2018.gadā.</w:t>
      </w:r>
    </w:p>
    <w:p w:rsidR="00434853" w:rsidRPr="001E07F9" w:rsidRDefault="00434853" w:rsidP="00434853">
      <w:pPr>
        <w:rPr>
          <w:noProof/>
          <w:color w:val="000000" w:themeColor="text1"/>
          <w:szCs w:val="24"/>
        </w:rPr>
      </w:pPr>
      <w:r w:rsidRPr="00577C70">
        <w:t xml:space="preserve">Tiek prognozēts, ka valsts pamatbudžetā izdevumi 2019.gadā palielināsies par </w:t>
      </w:r>
      <w:r w:rsidR="000403B5" w:rsidRPr="00577C70">
        <w:t>3</w:t>
      </w:r>
      <w:r w:rsidRPr="00577C70">
        <w:t>,</w:t>
      </w:r>
      <w:r w:rsidR="000403B5" w:rsidRPr="00577C70">
        <w:t>0</w:t>
      </w:r>
      <w:r w:rsidRPr="00577C70">
        <w:t>%, salīdzinot 2018.gadu.</w:t>
      </w:r>
      <w:r w:rsidRPr="001E07F9">
        <w:t xml:space="preserve"> Galvenokārt izdevumu pieaugumu sek</w:t>
      </w:r>
      <w:r>
        <w:t>mē atalgojuma celšana mediķiem,</w:t>
      </w:r>
      <w:r w:rsidRPr="001E07F9">
        <w:t xml:space="preserve"> kā arī </w:t>
      </w:r>
      <w:r w:rsidRPr="001E07F9">
        <w:rPr>
          <w:noProof/>
        </w:rPr>
        <w:t xml:space="preserve">atlīdzībai iekšlietu un tieslietu resoros. Savukārt, nodrošinot izdevumu līmeni aizsardzībai 2% no IKP apmērā, augstāki kā 2018.gadā valsts pamatbudžetā tiek plānoti kapitālie izdevumi. Pozitīvu efektu sniedz samazinājums procentu izdevumos. </w:t>
      </w:r>
      <w:r w:rsidRPr="001E07F9">
        <w:rPr>
          <w:noProof/>
          <w:color w:val="000000" w:themeColor="text1"/>
          <w:szCs w:val="24"/>
        </w:rPr>
        <w:t>Procentu izdevumi 2019.gadā samazināsies, ņemot vērā 2018. gadā veikto aizņemšanos, pārfinansējot iepriekš uzņemtās valsts parāda saistības ar zemākām procentu likmēm, kā arī aktualizējot vidējā termiņā plānotos aizņemšanās pasākumus finanšu tirgos.</w:t>
      </w:r>
    </w:p>
    <w:p w:rsidR="00434853" w:rsidRPr="001E07F9" w:rsidRDefault="00434853" w:rsidP="00434853">
      <w:r w:rsidRPr="001E07F9">
        <w:rPr>
          <w:noProof/>
          <w:color w:val="000000" w:themeColor="text1"/>
          <w:szCs w:val="24"/>
        </w:rPr>
        <w:t xml:space="preserve">Veselības nozares finansējuma palielinājums no 2018.gada lielā mērā tiek segts no </w:t>
      </w:r>
      <w:r w:rsidRPr="001E07F9">
        <w:t>nozarei novirz</w:t>
      </w:r>
      <w:r>
        <w:t>ītājiem VSAOI ieņēmumiem, par 1 </w:t>
      </w:r>
      <w:r w:rsidRPr="001E07F9">
        <w:t>procentpunktu palielinot VSAOI likmi. 2019.gadā pamatbudžetā tiks saņemti ieņēmumi 97,8 milj. eiro apmērā, kas tiks pārdalīti no VSAOI ieņēmumiem. Jāatzīmē, ka resursi izdevumu segšanai tiek meklēti</w:t>
      </w:r>
      <w:r>
        <w:t>,</w:t>
      </w:r>
      <w:r w:rsidRPr="001E07F9">
        <w:t xml:space="preserve"> arī veicot izdevumu pārskatīšanu. Tās rezultātā tika iegūti resursi jauno politikas iniciatīvu un citu prioritāro pasākumu īstenošanai, gan pārdalot resursus kopējām prioritātēm, gan pašiem resoriem, izmantojot iekšējos resursus savu prioritāšu finansēšanai. ES fondu investīcijām tiek prognozēta intensīva apguve, tomēr bez būtiska pie</w:t>
      </w:r>
      <w:r>
        <w:t>auguma, salīdzinot ar 2018.gadu.</w:t>
      </w:r>
    </w:p>
    <w:p w:rsidR="001952BA" w:rsidRPr="00B6000C" w:rsidRDefault="001952BA" w:rsidP="001952BA">
      <w:pPr>
        <w:rPr>
          <w:color w:val="000000" w:themeColor="text1"/>
        </w:rPr>
      </w:pPr>
      <w:r w:rsidRPr="00B6000C">
        <w:rPr>
          <w:b/>
          <w:color w:val="000000" w:themeColor="text1"/>
        </w:rPr>
        <w:t>Valsts speciālais budžets</w:t>
      </w:r>
    </w:p>
    <w:p w:rsidR="00434853" w:rsidRPr="006677A0" w:rsidRDefault="00434853" w:rsidP="00434853">
      <w:pPr>
        <w:rPr>
          <w:color w:val="000000" w:themeColor="text1"/>
        </w:rPr>
      </w:pPr>
      <w:r w:rsidRPr="00B6000C">
        <w:rPr>
          <w:color w:val="000000" w:themeColor="text1"/>
        </w:rPr>
        <w:t xml:space="preserve">Valsts speciālajā budžetā kopš 2014.gada katru gadu veidojas pārpalikums un pārpalikums speciālajā budžetā tiek prognozēts arī 2019.gadā un vidējā termiņā. 2018.gadā Latvijā bija vērojams vēsturiski augsts </w:t>
      </w:r>
      <w:r w:rsidRPr="00FB3474">
        <w:rPr>
          <w:color w:val="000000" w:themeColor="text1"/>
        </w:rPr>
        <w:t xml:space="preserve">nodarbinātības līmenis un </w:t>
      </w:r>
      <w:r>
        <w:rPr>
          <w:color w:val="000000" w:themeColor="text1"/>
        </w:rPr>
        <w:t>būtisks</w:t>
      </w:r>
      <w:r w:rsidRPr="00FB3474">
        <w:rPr>
          <w:color w:val="000000" w:themeColor="text1"/>
        </w:rPr>
        <w:t xml:space="preserve"> vidējā</w:t>
      </w:r>
      <w:r>
        <w:rPr>
          <w:color w:val="000000" w:themeColor="text1"/>
        </w:rPr>
        <w:t>s</w:t>
      </w:r>
      <w:r w:rsidRPr="00FB3474">
        <w:rPr>
          <w:color w:val="000000" w:themeColor="text1"/>
        </w:rPr>
        <w:t xml:space="preserve"> darba samaksa</w:t>
      </w:r>
      <w:r>
        <w:rPr>
          <w:color w:val="000000" w:themeColor="text1"/>
        </w:rPr>
        <w:t>s pieaugums</w:t>
      </w:r>
      <w:r w:rsidRPr="00FB3474">
        <w:rPr>
          <w:color w:val="000000" w:themeColor="text1"/>
        </w:rPr>
        <w:t>, t</w:t>
      </w:r>
      <w:r>
        <w:rPr>
          <w:color w:val="000000" w:themeColor="text1"/>
        </w:rPr>
        <w:t>ai skaitā</w:t>
      </w:r>
      <w:r w:rsidRPr="00FB3474">
        <w:rPr>
          <w:color w:val="000000" w:themeColor="text1"/>
        </w:rPr>
        <w:t xml:space="preserve"> palielinoties minimālajai darba samaksai, tādējādi speciālā budžeta ieņēmumi 2018.gadā p</w:t>
      </w:r>
      <w:r>
        <w:rPr>
          <w:color w:val="000000" w:themeColor="text1"/>
        </w:rPr>
        <w:t>ieauga</w:t>
      </w:r>
      <w:r w:rsidRPr="00FB3474">
        <w:rPr>
          <w:color w:val="000000" w:themeColor="text1"/>
        </w:rPr>
        <w:t xml:space="preserve"> par 11,1%. </w:t>
      </w:r>
      <w:r>
        <w:rPr>
          <w:color w:val="000000" w:themeColor="text1"/>
        </w:rPr>
        <w:t>I</w:t>
      </w:r>
      <w:r w:rsidRPr="00FB3474">
        <w:rPr>
          <w:color w:val="000000" w:themeColor="text1"/>
        </w:rPr>
        <w:t xml:space="preserve">evērojami </w:t>
      </w:r>
      <w:r>
        <w:rPr>
          <w:color w:val="000000" w:themeColor="text1"/>
        </w:rPr>
        <w:t xml:space="preserve">pieauga </w:t>
      </w:r>
      <w:r w:rsidRPr="00FB3474">
        <w:rPr>
          <w:color w:val="000000" w:themeColor="text1"/>
        </w:rPr>
        <w:t>arī izdevumi sociālaj</w:t>
      </w:r>
      <w:r>
        <w:rPr>
          <w:color w:val="000000" w:themeColor="text1"/>
        </w:rPr>
        <w:t>iem</w:t>
      </w:r>
      <w:r w:rsidRPr="00FB3474">
        <w:rPr>
          <w:color w:val="000000" w:themeColor="text1"/>
        </w:rPr>
        <w:t xml:space="preserve"> </w:t>
      </w:r>
      <w:r>
        <w:rPr>
          <w:color w:val="000000" w:themeColor="text1"/>
        </w:rPr>
        <w:t>pabalstiem</w:t>
      </w:r>
      <w:r w:rsidRPr="00FB3474">
        <w:rPr>
          <w:color w:val="000000" w:themeColor="text1"/>
        </w:rPr>
        <w:t xml:space="preserve"> (2018.gadā </w:t>
      </w:r>
      <w:r>
        <w:rPr>
          <w:color w:val="000000" w:themeColor="text1"/>
        </w:rPr>
        <w:t xml:space="preserve">par </w:t>
      </w:r>
      <w:r w:rsidRPr="00FB3474">
        <w:rPr>
          <w:color w:val="000000" w:themeColor="text1"/>
        </w:rPr>
        <w:t xml:space="preserve">7,9%). </w:t>
      </w:r>
      <w:r>
        <w:rPr>
          <w:color w:val="000000" w:themeColor="text1"/>
        </w:rPr>
        <w:t xml:space="preserve">Kopumā </w:t>
      </w:r>
      <w:r w:rsidRPr="00FB3474">
        <w:rPr>
          <w:color w:val="000000" w:themeColor="text1"/>
        </w:rPr>
        <w:t>2018.gadā speciālā budžeta ieņēmumi palielinājās straujāk kā izdevumi un budžetā izveidojās 202,2 milj. eiro pārpalikums.</w:t>
      </w:r>
      <w:r w:rsidRPr="006677A0">
        <w:rPr>
          <w:color w:val="000000" w:themeColor="text1"/>
        </w:rPr>
        <w:t xml:space="preserve"> </w:t>
      </w:r>
    </w:p>
    <w:p w:rsidR="00434853" w:rsidRPr="004D5F81" w:rsidRDefault="00434853" w:rsidP="00434853">
      <w:pPr>
        <w:rPr>
          <w:color w:val="000000" w:themeColor="text1"/>
        </w:rPr>
      </w:pPr>
      <w:r w:rsidRPr="006677A0">
        <w:rPr>
          <w:color w:val="000000" w:themeColor="text1"/>
        </w:rPr>
        <w:t xml:space="preserve">Paredzams, ka 2019.gadā pārpalikuma apmērs speciālajā budžetā vēl palielināsies, bet vidējā termiņā tā apmērs samazināsies, ko ietekmēs arvien pieaugošie izdevumi pensijām un pārējiem sociālajiem pabalstiem. Valsts speciālā budžeta ieņēmumi, ko pamatā veido sociālās apdrošināšanas iemaksas, turpinās uzrādīt pieaugumu. </w:t>
      </w:r>
      <w:r>
        <w:rPr>
          <w:color w:val="000000" w:themeColor="text1"/>
        </w:rPr>
        <w:t>Tomēr lielāks p</w:t>
      </w:r>
      <w:r w:rsidRPr="006677A0">
        <w:rPr>
          <w:color w:val="000000" w:themeColor="text1"/>
        </w:rPr>
        <w:t xml:space="preserve">ieaugums, ņemot vērā vidējās darba samaksas kāpumu, prognozētās izmaiņas pensiju un pabalstu saņēmēju skaitā, kā </w:t>
      </w:r>
      <w:r w:rsidRPr="004D5F81">
        <w:rPr>
          <w:color w:val="000000" w:themeColor="text1"/>
        </w:rPr>
        <w:t>arī izmaksāto pensiju un pabalstu vidējā apmērā, sagaidāms izdevumos.</w:t>
      </w:r>
    </w:p>
    <w:p w:rsidR="00434853" w:rsidRDefault="00434853" w:rsidP="00434853">
      <w:pPr>
        <w:rPr>
          <w:noProof/>
          <w:color w:val="000000" w:themeColor="text1"/>
        </w:rPr>
      </w:pPr>
      <w:r>
        <w:rPr>
          <w:noProof/>
          <w:color w:val="000000" w:themeColor="text1"/>
          <w:szCs w:val="24"/>
        </w:rPr>
        <w:t xml:space="preserve">Prognozējot izdevumus pensijām un sociālajiem pabalstiem vidējā termiņā, </w:t>
      </w:r>
      <w:r w:rsidRPr="004D5F81">
        <w:rPr>
          <w:noProof/>
          <w:color w:val="000000" w:themeColor="text1"/>
          <w:szCs w:val="24"/>
        </w:rPr>
        <w:t xml:space="preserve">ir ņemtas vērā </w:t>
      </w:r>
      <w:r>
        <w:rPr>
          <w:noProof/>
          <w:color w:val="000000" w:themeColor="text1"/>
          <w:szCs w:val="24"/>
        </w:rPr>
        <w:t xml:space="preserve">spēkā esošās </w:t>
      </w:r>
      <w:r w:rsidRPr="004D5F81">
        <w:rPr>
          <w:noProof/>
          <w:color w:val="000000" w:themeColor="text1"/>
          <w:szCs w:val="24"/>
        </w:rPr>
        <w:t>izmaiņas likumdošanā</w:t>
      </w:r>
      <w:r>
        <w:rPr>
          <w:noProof/>
          <w:color w:val="000000" w:themeColor="text1"/>
          <w:szCs w:val="24"/>
        </w:rPr>
        <w:t xml:space="preserve">, kas tika apstiprinātas 2018. gadā un </w:t>
      </w:r>
      <w:r w:rsidRPr="004D5F81">
        <w:rPr>
          <w:noProof/>
          <w:color w:val="000000" w:themeColor="text1"/>
          <w:szCs w:val="24"/>
        </w:rPr>
        <w:t>iepriekš</w:t>
      </w:r>
      <w:r>
        <w:rPr>
          <w:noProof/>
          <w:color w:val="000000" w:themeColor="text1"/>
          <w:szCs w:val="24"/>
        </w:rPr>
        <w:t>ējos gados</w:t>
      </w:r>
      <w:r w:rsidRPr="004D5F81">
        <w:rPr>
          <w:noProof/>
          <w:color w:val="000000" w:themeColor="text1"/>
          <w:szCs w:val="24"/>
        </w:rPr>
        <w:t>.</w:t>
      </w:r>
      <w:r>
        <w:rPr>
          <w:noProof/>
          <w:color w:val="000000" w:themeColor="text1"/>
        </w:rPr>
        <w:t xml:space="preserve"> </w:t>
      </w:r>
    </w:p>
    <w:p w:rsidR="00434853" w:rsidRPr="00F653D4" w:rsidRDefault="00434853" w:rsidP="00434853">
      <w:pPr>
        <w:pStyle w:val="ListParagraph"/>
        <w:numPr>
          <w:ilvl w:val="0"/>
          <w:numId w:val="25"/>
        </w:numPr>
        <w:ind w:left="1134" w:hanging="425"/>
        <w:contextualSpacing w:val="0"/>
        <w:rPr>
          <w:noProof/>
          <w:color w:val="000000" w:themeColor="text1"/>
        </w:rPr>
      </w:pPr>
      <w:r>
        <w:t>No 2014. </w:t>
      </w:r>
      <w:r w:rsidRPr="004D5F81">
        <w:t>gada pakāpeniski</w:t>
      </w:r>
      <w:r>
        <w:t xml:space="preserve"> palielinās </w:t>
      </w:r>
      <w:r w:rsidRPr="004D5F81">
        <w:t xml:space="preserve">pensionēšanās vecums </w:t>
      </w:r>
      <w:r>
        <w:t>– ik gadu par trim</w:t>
      </w:r>
      <w:r w:rsidRPr="004D5F81">
        <w:t xml:space="preserve"> mēnešiem, līdz 2025. gadā tiks sasniegts 65 gadu vecums. Tiesības</w:t>
      </w:r>
      <w:r>
        <w:t xml:space="preserve"> uz valsts vecuma pensiju 2019. </w:t>
      </w:r>
      <w:r w:rsidRPr="004D5F81">
        <w:t>gadā būs personām, kura</w:t>
      </w:r>
      <w:r>
        <w:t>s sasniegušas 63 gadu un 6 </w:t>
      </w:r>
      <w:r w:rsidRPr="004D5F81">
        <w:t>mēnešu vecumu. Personām, kuru apdroši</w:t>
      </w:r>
      <w:r>
        <w:t xml:space="preserve">nāšanas stāžs nav mazāks par </w:t>
      </w:r>
      <w:r w:rsidRPr="00F653D4">
        <w:t>30 gadiem, ir tiesības pensionēties priekšlaicīgi – divus gadus pirms vispārējā pensionēšanās vecuma sasniegšanas, tātad 2019.</w:t>
      </w:r>
      <w:r>
        <w:t> </w:t>
      </w:r>
      <w:r w:rsidRPr="00F653D4">
        <w:t xml:space="preserve">gadā </w:t>
      </w:r>
      <w:r w:rsidRPr="00F653D4">
        <w:rPr>
          <w:noProof/>
          <w:color w:val="000000" w:themeColor="text1"/>
        </w:rPr>
        <w:t>pensionēties priekšlaicīgi var personas, kuras sasniegušas 61 gadu un 6 mēnešu vecumu</w:t>
      </w:r>
      <w:r w:rsidRPr="00F653D4">
        <w:t>;</w:t>
      </w:r>
    </w:p>
    <w:p w:rsidR="00434853" w:rsidRDefault="00434853" w:rsidP="00434853">
      <w:pPr>
        <w:pStyle w:val="ListParagraph"/>
        <w:numPr>
          <w:ilvl w:val="0"/>
          <w:numId w:val="25"/>
        </w:numPr>
        <w:ind w:left="1134" w:hanging="425"/>
        <w:contextualSpacing w:val="0"/>
        <w:rPr>
          <w:noProof/>
          <w:color w:val="000000" w:themeColor="text1"/>
        </w:rPr>
      </w:pPr>
      <w:r>
        <w:rPr>
          <w:noProof/>
          <w:color w:val="000000" w:themeColor="text1"/>
        </w:rPr>
        <w:lastRenderedPageBreak/>
        <w:t xml:space="preserve">No </w:t>
      </w:r>
      <w:r w:rsidRPr="00177095">
        <w:rPr>
          <w:color w:val="000000" w:themeColor="text1"/>
        </w:rPr>
        <w:t>2017.gada</w:t>
      </w:r>
      <w:r>
        <w:rPr>
          <w:color w:val="000000" w:themeColor="text1"/>
        </w:rPr>
        <w:t xml:space="preserve"> </w:t>
      </w:r>
      <w:r w:rsidRPr="00177095">
        <w:rPr>
          <w:color w:val="000000" w:themeColor="text1"/>
        </w:rPr>
        <w:t>ir pagarināts kvalifikācijas periodu tiesību noteikšanai uz bezdarbnieka pabalstu no 9 mēnešiem 12 m</w:t>
      </w:r>
      <w:r>
        <w:rPr>
          <w:color w:val="000000" w:themeColor="text1"/>
        </w:rPr>
        <w:t>ēnešu periodā uz 12 mēnešiem 16 </w:t>
      </w:r>
      <w:r w:rsidRPr="00177095">
        <w:rPr>
          <w:color w:val="000000" w:themeColor="text1"/>
        </w:rPr>
        <w:t>mēnešu periodā, ieviešot kvalifikācijas periodu tiesību noteikšanai uz slimības pabalstu, kā arī citas izmaiņas, lai ierobežotu bezdarbnieku un slimības pabalstu izmaksu kārtības sistem</w:t>
      </w:r>
      <w:r>
        <w:rPr>
          <w:color w:val="000000" w:themeColor="text1"/>
        </w:rPr>
        <w:t>ātisku negodprātīgu izmantošanu;</w:t>
      </w:r>
    </w:p>
    <w:p w:rsidR="00434853" w:rsidRPr="00095C49" w:rsidRDefault="00434853" w:rsidP="00434853">
      <w:pPr>
        <w:pStyle w:val="ListParagraph"/>
        <w:numPr>
          <w:ilvl w:val="0"/>
          <w:numId w:val="25"/>
        </w:numPr>
        <w:ind w:left="1134" w:hanging="425"/>
        <w:contextualSpacing w:val="0"/>
        <w:rPr>
          <w:noProof/>
          <w:color w:val="000000" w:themeColor="text1"/>
        </w:rPr>
      </w:pPr>
      <w:r w:rsidRPr="004D5F81">
        <w:t>No 2018.</w:t>
      </w:r>
      <w:r>
        <w:t> </w:t>
      </w:r>
      <w:r w:rsidRPr="004D5F81">
        <w:t xml:space="preserve">gada personām, kuru apdrošināšanas stāžs ir mazāks par 15 gadiem un kurām nav tiesību uz valsts vecuma pensiju, saskaņā ar Valsts sociālo pabalstu likumu, sasniedzot noteikto pensionēšanās vecumu, tiek piešķirts un no valsts pamatbudžeta līdzekļiem izmaksāts valsts </w:t>
      </w:r>
      <w:r>
        <w:t>sociālā nodrošinājuma pabalsts;</w:t>
      </w:r>
      <w:r w:rsidRPr="00177095">
        <w:rPr>
          <w:noProof/>
          <w:color w:val="000000" w:themeColor="text1"/>
          <w:szCs w:val="24"/>
        </w:rPr>
        <w:t xml:space="preserve"> </w:t>
      </w:r>
    </w:p>
    <w:p w:rsidR="00434853" w:rsidRPr="00095C49" w:rsidRDefault="00434853" w:rsidP="00434853">
      <w:pPr>
        <w:pStyle w:val="ListParagraph"/>
        <w:numPr>
          <w:ilvl w:val="0"/>
          <w:numId w:val="25"/>
        </w:numPr>
        <w:ind w:left="1134" w:hanging="425"/>
        <w:contextualSpacing w:val="0"/>
        <w:rPr>
          <w:noProof/>
          <w:color w:val="000000" w:themeColor="text1"/>
        </w:rPr>
      </w:pPr>
      <w:r w:rsidRPr="00F653D4">
        <w:t>2018.</w:t>
      </w:r>
      <w:r>
        <w:t> </w:t>
      </w:r>
      <w:r w:rsidRPr="00F653D4">
        <w:t>gada 1.</w:t>
      </w:r>
      <w:r>
        <w:t> </w:t>
      </w:r>
      <w:r w:rsidRPr="00F653D4">
        <w:t>oktobrī tika pārskatītas (indeksētas) vecuma, invaliditātes, izdienas, apgādnieka zaudējuma pensijas un apdrošināšanas atlīdzības, kuras piešķirtas (pārrēķinātas) līdz 2018.</w:t>
      </w:r>
      <w:r>
        <w:t> </w:t>
      </w:r>
      <w:r w:rsidRPr="00F653D4">
        <w:t>gada 30.</w:t>
      </w:r>
      <w:r>
        <w:t> </w:t>
      </w:r>
      <w:r w:rsidRPr="00F653D4">
        <w:t>septembrim un kuru apmērs nepā</w:t>
      </w:r>
      <w:r>
        <w:t>rsniedz 382 </w:t>
      </w:r>
      <w:r w:rsidRPr="00F653D4">
        <w:t xml:space="preserve">eiro, bet tām pensijām un apdrošināšanas atlīdzībām, kuru apmērs pārsniedz 382 eiro, indeksē tikai tās daļu – 382 </w:t>
      </w:r>
      <w:r w:rsidRPr="00095C49">
        <w:t>eiro</w:t>
      </w:r>
      <w:r>
        <w:t xml:space="preserve">. </w:t>
      </w:r>
      <w:r w:rsidRPr="00095C49">
        <w:t xml:space="preserve">Vienlaikus indeksa aprēķina formulā, kuru veido </w:t>
      </w:r>
      <w:r>
        <w:t>faktiskais patēriņa cenu indekss</w:t>
      </w:r>
      <w:r w:rsidRPr="00095C49">
        <w:t xml:space="preserve"> un </w:t>
      </w:r>
      <w:r w:rsidRPr="004D5F81">
        <w:t>apdrošināšanas iemaksu algu sum</w:t>
      </w:r>
      <w:r>
        <w:t>mas reālā pieauguma</w:t>
      </w:r>
      <w:r w:rsidRPr="00095C49">
        <w:t xml:space="preserve"> procen</w:t>
      </w:r>
      <w:r>
        <w:t>ti, ņemtas vērā šādas izmaiņas. Ja personas apdrošināšanas</w:t>
      </w:r>
      <w:r w:rsidRPr="00095C49">
        <w:t xml:space="preserve"> stāžs ir no 30 līdz 39 gadiem, tad aprēķina formulā tiek ņemti 60% algas pieauguma (iepriekš 50%), savukārt, ja </w:t>
      </w:r>
      <w:r>
        <w:t>apdrošināšanas</w:t>
      </w:r>
      <w:r w:rsidRPr="00095C49">
        <w:t xml:space="preserve"> stāžs ir 40 un vairāk darba gadi, tad 70% no reālā algu pieauguma (iepriekš 50%)</w:t>
      </w:r>
      <w:r>
        <w:t>;</w:t>
      </w:r>
    </w:p>
    <w:p w:rsidR="00434853" w:rsidRPr="004D5183" w:rsidRDefault="00434853" w:rsidP="00434853">
      <w:pPr>
        <w:pStyle w:val="ListParagraph"/>
        <w:numPr>
          <w:ilvl w:val="0"/>
          <w:numId w:val="25"/>
        </w:numPr>
        <w:ind w:left="1134" w:hanging="425"/>
        <w:contextualSpacing w:val="0"/>
        <w:rPr>
          <w:noProof/>
          <w:color w:val="000000" w:themeColor="text1"/>
        </w:rPr>
      </w:pPr>
      <w:r>
        <w:t>No</w:t>
      </w:r>
      <w:r w:rsidRPr="004D5F81">
        <w:t xml:space="preserve"> 2019. gada 1. oktobra vecuma pensijām, kas aprēķinātas par 45 un vairāk gadu apdrošināšanas stāžu, pensiju indeksācijā piemēros faktisko patēriņa cenu indeksu un 80</w:t>
      </w:r>
      <w:r>
        <w:t>%</w:t>
      </w:r>
      <w:r w:rsidRPr="004D5F81">
        <w:t xml:space="preserve"> (</w:t>
      </w:r>
      <w:r>
        <w:t xml:space="preserve">iepriekš </w:t>
      </w:r>
      <w:r w:rsidRPr="004D5F81">
        <w:t>70</w:t>
      </w:r>
      <w:r>
        <w:t>%</w:t>
      </w:r>
      <w:r w:rsidRPr="004D5F81">
        <w:t>) no apdrošināšanas iemaksu algu sum</w:t>
      </w:r>
      <w:r>
        <w:t>mas reālā pieauguma procentiem;</w:t>
      </w:r>
    </w:p>
    <w:p w:rsidR="00434853" w:rsidRPr="00D83FB1" w:rsidRDefault="00434853" w:rsidP="00434853">
      <w:pPr>
        <w:pStyle w:val="ListParagraph"/>
        <w:numPr>
          <w:ilvl w:val="0"/>
          <w:numId w:val="25"/>
        </w:numPr>
        <w:ind w:left="1134" w:hanging="425"/>
        <w:contextualSpacing w:val="0"/>
        <w:rPr>
          <w:noProof/>
          <w:color w:val="000000" w:themeColor="text1"/>
        </w:rPr>
      </w:pPr>
      <w:r>
        <w:t>No</w:t>
      </w:r>
      <w:r w:rsidRPr="004D5F81">
        <w:t xml:space="preserve"> 2019. gada 1. oktobra </w:t>
      </w:r>
      <w:r>
        <w:t>p</w:t>
      </w:r>
      <w:r w:rsidRPr="004D5F81">
        <w:t>iemaksas apmēru par vienu apdrošināšanas stā</w:t>
      </w:r>
      <w:r>
        <w:t>ža gadu, kas uzkrāts līdz 1995. gada 31. </w:t>
      </w:r>
      <w:r w:rsidRPr="004D5F81">
        <w:t>decembrim (</w:t>
      </w:r>
      <w:r w:rsidRPr="00F653D4">
        <w:t>1,50 eiro</w:t>
      </w:r>
      <w:r w:rsidRPr="004D5F81">
        <w:t xml:space="preserve"> pens</w:t>
      </w:r>
      <w:r>
        <w:t>ijām, kas piešķirtas līdz 1996. </w:t>
      </w:r>
      <w:r w:rsidRPr="004D5F81">
        <w:t xml:space="preserve">gadam, un </w:t>
      </w:r>
      <w:r>
        <w:t>1 eiro</w:t>
      </w:r>
      <w:r w:rsidRPr="004D5F81">
        <w:t xml:space="preserve"> pe</w:t>
      </w:r>
      <w:r>
        <w:t>nsijām, kas piešķirtas no 1997. </w:t>
      </w:r>
      <w:r w:rsidRPr="004D5F81">
        <w:t>gada), pārskatīs, ņemot vērā faktisko patēriņa cenu indeksu un 50</w:t>
      </w:r>
      <w:r>
        <w:t xml:space="preserve">% </w:t>
      </w:r>
      <w:r w:rsidRPr="004D5F81">
        <w:t>no apdrošināšanas iemaksu algu su</w:t>
      </w:r>
      <w:r>
        <w:t>mmas reālā pieauguma procentiem;</w:t>
      </w:r>
    </w:p>
    <w:p w:rsidR="00434853" w:rsidRPr="00883764" w:rsidRDefault="00434853" w:rsidP="00434853">
      <w:pPr>
        <w:pStyle w:val="ListParagraph"/>
        <w:numPr>
          <w:ilvl w:val="0"/>
          <w:numId w:val="25"/>
        </w:numPr>
        <w:ind w:left="1134" w:hanging="425"/>
        <w:contextualSpacing w:val="0"/>
        <w:rPr>
          <w:noProof/>
          <w:color w:val="000000" w:themeColor="text1"/>
        </w:rPr>
      </w:pPr>
      <w:r>
        <w:t xml:space="preserve">No 2019. gada </w:t>
      </w:r>
      <w:r w:rsidRPr="006F203A">
        <w:t xml:space="preserve">pensijas saņēmēja nāves gadījumā pārdzīvojušajam laulātajam, kurš ir Latvijas Republikas vecuma, invaliditātes, izdienas vai speciālās valsts </w:t>
      </w:r>
      <w:r>
        <w:t xml:space="preserve">pensijas saņēmējs, piešķir pabalstu </w:t>
      </w:r>
      <w:r w:rsidRPr="006F203A">
        <w:t>50</w:t>
      </w:r>
      <w:r>
        <w:t>%</w:t>
      </w:r>
      <w:r w:rsidRPr="006F203A">
        <w:t xml:space="preserve"> apmērā no mirušajam laulātajam piešķirtās pensijas</w:t>
      </w:r>
      <w:r>
        <w:t xml:space="preserve"> </w:t>
      </w:r>
      <w:r w:rsidRPr="006F203A">
        <w:t xml:space="preserve">(ieskaitot </w:t>
      </w:r>
      <w:r w:rsidRPr="00F653D4">
        <w:t xml:space="preserve">piemaksu pie pensijas par apdrošināšanas stāžu, kas uzkrāts līdz 1995. gada 31. decembrim), un </w:t>
      </w:r>
      <w:r>
        <w:t xml:space="preserve">ir </w:t>
      </w:r>
      <w:r w:rsidRPr="00F653D4">
        <w:t xml:space="preserve">tiesības saņemt pabalstu </w:t>
      </w:r>
      <w:r>
        <w:t>12 </w:t>
      </w:r>
      <w:r w:rsidRPr="00F653D4">
        <w:t>mēnešus no pensijas saņēmēja nāves dienas;</w:t>
      </w:r>
      <w:r>
        <w:t xml:space="preserve"> </w:t>
      </w:r>
    </w:p>
    <w:p w:rsidR="00434853" w:rsidRPr="00177095" w:rsidRDefault="00434853" w:rsidP="00434853">
      <w:pPr>
        <w:pStyle w:val="ListParagraph"/>
        <w:numPr>
          <w:ilvl w:val="0"/>
          <w:numId w:val="25"/>
        </w:numPr>
        <w:ind w:left="1134" w:hanging="425"/>
        <w:contextualSpacing w:val="0"/>
        <w:rPr>
          <w:noProof/>
          <w:color w:val="000000" w:themeColor="text1"/>
        </w:rPr>
      </w:pPr>
      <w:r>
        <w:rPr>
          <w:noProof/>
          <w:color w:val="000000" w:themeColor="text1"/>
          <w:szCs w:val="24"/>
        </w:rPr>
        <w:t>Budžeta prognozēs</w:t>
      </w:r>
      <w:r w:rsidRPr="00177095">
        <w:rPr>
          <w:noProof/>
          <w:color w:val="000000" w:themeColor="text1"/>
          <w:szCs w:val="24"/>
        </w:rPr>
        <w:t xml:space="preserve"> ņemti vērā 2018. gada 11. oktobrī Saeimā pieņemtie grozījumi Valsts fondēto pensiju likumā attiecībā uz fondēto pensiju mantošanu, kam 2020. un 2021. gadā ir pozitīva ietekme uz valsts speciālā budžeta sociālās apdrošināšanas iemaksu ieņēmumiem, taču vienlaikus ir negatīva ietekme uz valsts speciālā budžeta nenodokļu ieņēmumiem un valsts pamatbudžeta izdevumiem.</w:t>
      </w:r>
    </w:p>
    <w:p w:rsidR="001952BA" w:rsidRDefault="001952BA" w:rsidP="001952BA">
      <w:pPr>
        <w:rPr>
          <w:b/>
          <w:color w:val="000000" w:themeColor="text1"/>
        </w:rPr>
      </w:pPr>
      <w:r w:rsidRPr="000D4DE2">
        <w:rPr>
          <w:b/>
          <w:color w:val="000000" w:themeColor="text1"/>
        </w:rPr>
        <w:t>Atvasināto publisko personu</w:t>
      </w:r>
      <w:r>
        <w:rPr>
          <w:b/>
          <w:color w:val="000000" w:themeColor="text1"/>
        </w:rPr>
        <w:t xml:space="preserve"> (APP)</w:t>
      </w:r>
      <w:r w:rsidRPr="000D4DE2">
        <w:rPr>
          <w:b/>
          <w:color w:val="000000" w:themeColor="text1"/>
        </w:rPr>
        <w:t xml:space="preserve"> budžet</w:t>
      </w:r>
      <w:r>
        <w:rPr>
          <w:b/>
          <w:color w:val="000000" w:themeColor="text1"/>
        </w:rPr>
        <w:t>s</w:t>
      </w:r>
    </w:p>
    <w:p w:rsidR="001952BA" w:rsidRPr="00343EB0" w:rsidRDefault="00434853" w:rsidP="00343EB0">
      <w:r>
        <w:rPr>
          <w:color w:val="000000" w:themeColor="text1"/>
        </w:rPr>
        <w:t>APP budžetā 2018. gadā izveidojās pārpalikums, kura apmērs bija 35,2 milj. eiro, aptuveni 2017. gada līmenī. Arī</w:t>
      </w:r>
      <w:r w:rsidRPr="000D4DE2">
        <w:rPr>
          <w:color w:val="000000" w:themeColor="text1"/>
        </w:rPr>
        <w:t xml:space="preserve"> 2019.</w:t>
      </w:r>
      <w:r>
        <w:rPr>
          <w:color w:val="000000" w:themeColor="text1"/>
        </w:rPr>
        <w:t> </w:t>
      </w:r>
      <w:r w:rsidRPr="000D4DE2">
        <w:rPr>
          <w:color w:val="000000" w:themeColor="text1"/>
        </w:rPr>
        <w:t xml:space="preserve">gadā </w:t>
      </w:r>
      <w:r>
        <w:rPr>
          <w:color w:val="000000" w:themeColor="text1"/>
        </w:rPr>
        <w:t xml:space="preserve">APP budžetā </w:t>
      </w:r>
      <w:r w:rsidRPr="000D4DE2">
        <w:rPr>
          <w:color w:val="000000" w:themeColor="text1"/>
        </w:rPr>
        <w:t xml:space="preserve">tiek prognozēts pārpalikums. </w:t>
      </w:r>
      <w:r>
        <w:rPr>
          <w:color w:val="000000" w:themeColor="text1"/>
        </w:rPr>
        <w:t>APP</w:t>
      </w:r>
      <w:r w:rsidRPr="000D4DE2">
        <w:rPr>
          <w:color w:val="000000" w:themeColor="text1"/>
        </w:rPr>
        <w:t xml:space="preserve"> budžeta bilanci lielā mērā </w:t>
      </w:r>
      <w:r w:rsidRPr="000D4DE2">
        <w:rPr>
          <w:noProof/>
          <w:color w:val="000000" w:themeColor="text1"/>
        </w:rPr>
        <w:t xml:space="preserve">ietekmē transferti no pamatbudžeta ES fondu projektu īstenošanai. ES fondu plānošanas perioda sākumā transfertu apjoms ir lielāks, jo ietver arī avansa maksājumus, tādējādi </w:t>
      </w:r>
      <w:r>
        <w:rPr>
          <w:noProof/>
          <w:color w:val="000000" w:themeColor="text1"/>
        </w:rPr>
        <w:t>APP budžetā palielinās</w:t>
      </w:r>
      <w:r>
        <w:rPr>
          <w:color w:val="000000" w:themeColor="text1"/>
        </w:rPr>
        <w:t xml:space="preserve"> ieņēmumi</w:t>
      </w:r>
      <w:r w:rsidRPr="000D4DE2">
        <w:rPr>
          <w:color w:val="000000" w:themeColor="text1"/>
        </w:rPr>
        <w:t xml:space="preserve"> un</w:t>
      </w:r>
      <w:r>
        <w:rPr>
          <w:color w:val="000000" w:themeColor="text1"/>
        </w:rPr>
        <w:t xml:space="preserve"> veidojas pārpalikums</w:t>
      </w:r>
      <w:r w:rsidRPr="000D4DE2">
        <w:rPr>
          <w:color w:val="000000" w:themeColor="text1"/>
        </w:rPr>
        <w:t>, tomēr ES fondu plānošanas periodam noslēdzoties, kad tiek pabeigti lielāki infrastruktūras projekti universitātēs un zinātniskajos institūtos, palielinās izdevumi,</w:t>
      </w:r>
      <w:r>
        <w:rPr>
          <w:color w:val="000000" w:themeColor="text1"/>
        </w:rPr>
        <w:t xml:space="preserve"> kas veicina deficīta veidošanos, kā, piemēram, 2015. gadā</w:t>
      </w:r>
      <w:r w:rsidRPr="000D4DE2">
        <w:rPr>
          <w:color w:val="000000" w:themeColor="text1"/>
        </w:rPr>
        <w:t>.</w:t>
      </w:r>
      <w:r>
        <w:rPr>
          <w:color w:val="000000" w:themeColor="text1"/>
        </w:rPr>
        <w:t xml:space="preserve"> Līdz ar to vidējā termiņā APP budžetā tiek prognozēts deficīts.</w:t>
      </w:r>
    </w:p>
    <w:p w:rsidR="001952BA" w:rsidRDefault="001952BA" w:rsidP="001952BA">
      <w:pPr>
        <w:spacing w:before="120"/>
        <w:ind w:firstLine="720"/>
      </w:pPr>
      <w:r w:rsidRPr="00582314">
        <w:rPr>
          <w:b/>
        </w:rPr>
        <w:lastRenderedPageBreak/>
        <w:t>Pašvaldību budžets</w:t>
      </w:r>
      <w:r w:rsidRPr="00582314">
        <w:t xml:space="preserve"> </w:t>
      </w:r>
    </w:p>
    <w:p w:rsidR="00434853" w:rsidRDefault="00434853" w:rsidP="00434853">
      <w:pPr>
        <w:spacing w:before="120"/>
        <w:ind w:firstLine="720"/>
      </w:pPr>
      <w:r w:rsidRPr="00582314">
        <w:t>2018.</w:t>
      </w:r>
      <w:r>
        <w:t> </w:t>
      </w:r>
      <w:r w:rsidRPr="00582314">
        <w:t>gadā pašvaldību budžetā izveidojies deficīts 150,5 milj. eiro apmērā, ievērojami augstākā līmenī kā 2017.</w:t>
      </w:r>
      <w:r>
        <w:t> </w:t>
      </w:r>
      <w:r w:rsidRPr="00582314">
        <w:t>gadā (-14,</w:t>
      </w:r>
      <w:r>
        <w:t>2</w:t>
      </w:r>
      <w:r w:rsidRPr="00582314">
        <w:t xml:space="preserve"> milj. eiro). Augsto deficīta līmeni skaidro straujais kapitālo izdevumu pieaugums, ko ietekmēja aktīva ES fondu investīciju apgūšana. Izdevumi</w:t>
      </w:r>
      <w:r>
        <w:t xml:space="preserve"> </w:t>
      </w:r>
      <w:r w:rsidRPr="00582314">
        <w:t xml:space="preserve">ES fondu </w:t>
      </w:r>
      <w:r>
        <w:t>projektu īstenošanai</w:t>
      </w:r>
      <w:r w:rsidRPr="00582314">
        <w:t>, salīdzinot ar 2017.gadu</w:t>
      </w:r>
      <w:r>
        <w:t>,</w:t>
      </w:r>
      <w:r w:rsidRPr="00582314">
        <w:t xml:space="preserve"> pieauguši par 169,9 milj. eiro jeb vairāk kā 2</w:t>
      </w:r>
      <w:r>
        <w:t> </w:t>
      </w:r>
      <w:r w:rsidRPr="00582314">
        <w:t>reizes. Izdevumu straujāku palielinājumu pašvaldību budžetā ietekmēja arī minimālās algas celšana 2018.</w:t>
      </w:r>
      <w:r>
        <w:t> </w:t>
      </w:r>
      <w:r w:rsidRPr="00582314">
        <w:t>gadā, tāpat arī atlīdzības palielināšana pedagogiem.</w:t>
      </w:r>
      <w:r>
        <w:t xml:space="preserve"> Kopumā izdevumi pašvaldību budžetā bija būtiski augstāki kā plānots, pamatā dēļ kapitālo izdevumu kāpuma, tiem sasniedzot vēsturiski augstāko līmeni.</w:t>
      </w:r>
    </w:p>
    <w:p w:rsidR="001952BA" w:rsidRDefault="001952BA" w:rsidP="001952BA">
      <w:pPr>
        <w:keepNext/>
        <w:ind w:firstLine="0"/>
        <w:jc w:val="center"/>
        <w:rPr>
          <w:b/>
          <w:i/>
          <w:noProof/>
          <w:szCs w:val="24"/>
        </w:rPr>
      </w:pPr>
      <w:r w:rsidRPr="00A770B1">
        <w:rPr>
          <w:b/>
          <w:i/>
          <w:szCs w:val="24"/>
        </w:rPr>
        <w:t>2.</w:t>
      </w:r>
      <w:r w:rsidR="008C71C1">
        <w:rPr>
          <w:b/>
          <w:i/>
          <w:szCs w:val="24"/>
        </w:rPr>
        <w:t>4</w:t>
      </w:r>
      <w:r w:rsidRPr="00A770B1">
        <w:rPr>
          <w:b/>
          <w:i/>
          <w:szCs w:val="24"/>
        </w:rPr>
        <w:t xml:space="preserve">. tabula. Pašvaldību konsolidētā budžeta bilance 2015.-2021.gadā, milj. </w:t>
      </w:r>
      <w:r w:rsidRPr="00A770B1">
        <w:rPr>
          <w:b/>
          <w:i/>
          <w:noProof/>
          <w:szCs w:val="24"/>
        </w:rPr>
        <w:t>euro</w:t>
      </w:r>
    </w:p>
    <w:tbl>
      <w:tblPr>
        <w:tblW w:w="9067" w:type="dxa"/>
        <w:jc w:val="center"/>
        <w:tblLook w:val="04A0" w:firstRow="1" w:lastRow="0" w:firstColumn="1" w:lastColumn="0" w:noHBand="0" w:noVBand="1"/>
      </w:tblPr>
      <w:tblGrid>
        <w:gridCol w:w="2823"/>
        <w:gridCol w:w="892"/>
        <w:gridCol w:w="892"/>
        <w:gridCol w:w="892"/>
        <w:gridCol w:w="892"/>
        <w:gridCol w:w="892"/>
        <w:gridCol w:w="892"/>
        <w:gridCol w:w="892"/>
      </w:tblGrid>
      <w:tr w:rsidR="00434853" w:rsidRPr="0035459B" w:rsidTr="00434853">
        <w:trPr>
          <w:trHeight w:val="244"/>
          <w:jc w:val="center"/>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853" w:rsidRPr="007B0F0A" w:rsidRDefault="00434853" w:rsidP="00F24DCA">
            <w:pPr>
              <w:spacing w:after="0"/>
              <w:ind w:firstLine="0"/>
              <w:jc w:val="left"/>
              <w:rPr>
                <w:color w:val="000000"/>
                <w:sz w:val="18"/>
                <w:szCs w:val="18"/>
                <w:lang w:eastAsia="lv-LV"/>
              </w:rPr>
            </w:pPr>
            <w:r w:rsidRPr="007B0F0A">
              <w:rPr>
                <w:color w:val="000000"/>
                <w:sz w:val="18"/>
                <w:szCs w:val="18"/>
                <w:lang w:eastAsia="lv-LV"/>
              </w:rPr>
              <w:t> </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2015</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2016</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2017</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2018</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2019</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2020</w:t>
            </w:r>
          </w:p>
        </w:tc>
        <w:tc>
          <w:tcPr>
            <w:tcW w:w="892" w:type="dxa"/>
            <w:tcBorders>
              <w:top w:val="single" w:sz="4" w:space="0" w:color="auto"/>
              <w:left w:val="nil"/>
              <w:bottom w:val="single" w:sz="4" w:space="0" w:color="auto"/>
              <w:right w:val="single" w:sz="4" w:space="0" w:color="auto"/>
            </w:tcBorders>
            <w:shd w:val="clear" w:color="auto" w:fill="auto"/>
            <w:noWrap/>
            <w:vAlign w:val="center"/>
            <w:hideMark/>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2021</w:t>
            </w:r>
          </w:p>
        </w:tc>
      </w:tr>
      <w:tr w:rsidR="00434853" w:rsidRPr="0035459B" w:rsidTr="00434853">
        <w:trPr>
          <w:trHeight w:val="7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434853" w:rsidRPr="007B0F0A" w:rsidRDefault="00434853" w:rsidP="00F24DCA">
            <w:pPr>
              <w:spacing w:after="0"/>
              <w:ind w:firstLine="0"/>
              <w:jc w:val="left"/>
              <w:rPr>
                <w:b/>
                <w:bCs/>
                <w:color w:val="000000"/>
                <w:sz w:val="18"/>
                <w:szCs w:val="18"/>
                <w:lang w:eastAsia="lv-LV"/>
              </w:rPr>
            </w:pPr>
            <w:r w:rsidRPr="007B0F0A">
              <w:rPr>
                <w:b/>
                <w:bCs/>
                <w:color w:val="000000"/>
                <w:sz w:val="18"/>
                <w:szCs w:val="18"/>
                <w:lang w:eastAsia="lv-LV"/>
              </w:rPr>
              <w:t> </w:t>
            </w:r>
          </w:p>
        </w:tc>
        <w:tc>
          <w:tcPr>
            <w:tcW w:w="3568" w:type="dxa"/>
            <w:gridSpan w:val="4"/>
            <w:tcBorders>
              <w:top w:val="single" w:sz="4" w:space="0" w:color="auto"/>
              <w:left w:val="nil"/>
              <w:bottom w:val="single" w:sz="4" w:space="0" w:color="auto"/>
              <w:right w:val="single" w:sz="4" w:space="0" w:color="auto"/>
            </w:tcBorders>
            <w:shd w:val="clear" w:color="auto" w:fill="auto"/>
            <w:noWrap/>
            <w:vAlign w:val="center"/>
            <w:hideMark/>
          </w:tcPr>
          <w:p w:rsidR="00434853" w:rsidRPr="007B0F0A" w:rsidRDefault="00434853" w:rsidP="00F24DCA">
            <w:pPr>
              <w:spacing w:after="0"/>
              <w:ind w:firstLine="0"/>
              <w:jc w:val="center"/>
              <w:rPr>
                <w:sz w:val="18"/>
                <w:szCs w:val="18"/>
                <w:lang w:eastAsia="lv-LV"/>
              </w:rPr>
            </w:pPr>
            <w:r w:rsidRPr="007B0F0A">
              <w:rPr>
                <w:sz w:val="18"/>
                <w:szCs w:val="18"/>
                <w:lang w:eastAsia="lv-LV"/>
              </w:rPr>
              <w:t>Fakts</w:t>
            </w:r>
          </w:p>
        </w:tc>
        <w:tc>
          <w:tcPr>
            <w:tcW w:w="2676" w:type="dxa"/>
            <w:gridSpan w:val="3"/>
            <w:tcBorders>
              <w:top w:val="single" w:sz="4" w:space="0" w:color="auto"/>
              <w:left w:val="nil"/>
              <w:bottom w:val="single" w:sz="4" w:space="0" w:color="auto"/>
              <w:right w:val="single" w:sz="4" w:space="0" w:color="auto"/>
            </w:tcBorders>
            <w:shd w:val="clear" w:color="auto" w:fill="auto"/>
            <w:vAlign w:val="center"/>
          </w:tcPr>
          <w:p w:rsidR="00434853" w:rsidRPr="007B0F0A" w:rsidRDefault="00434853" w:rsidP="00F24DCA">
            <w:pPr>
              <w:spacing w:after="0"/>
              <w:ind w:firstLine="0"/>
              <w:jc w:val="center"/>
              <w:rPr>
                <w:sz w:val="18"/>
                <w:szCs w:val="18"/>
                <w:lang w:eastAsia="lv-LV"/>
              </w:rPr>
            </w:pPr>
            <w:r w:rsidRPr="007B0F0A">
              <w:rPr>
                <w:sz w:val="18"/>
                <w:szCs w:val="18"/>
                <w:lang w:eastAsia="lv-LV"/>
              </w:rPr>
              <w:t>Prognoze</w:t>
            </w:r>
          </w:p>
        </w:tc>
      </w:tr>
      <w:tr w:rsidR="00434853" w:rsidRPr="0035459B" w:rsidTr="00434853">
        <w:trPr>
          <w:trHeight w:val="165"/>
          <w:jc w:val="center"/>
        </w:trPr>
        <w:tc>
          <w:tcPr>
            <w:tcW w:w="2823"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434853" w:rsidRPr="007B0F0A" w:rsidRDefault="00434853" w:rsidP="00F24DCA">
            <w:pPr>
              <w:spacing w:after="0"/>
              <w:ind w:firstLine="0"/>
              <w:jc w:val="left"/>
              <w:rPr>
                <w:b/>
                <w:bCs/>
                <w:sz w:val="18"/>
                <w:szCs w:val="18"/>
                <w:lang w:eastAsia="lv-LV"/>
              </w:rPr>
            </w:pPr>
            <w:r w:rsidRPr="007B0F0A">
              <w:rPr>
                <w:b/>
                <w:bCs/>
                <w:sz w:val="18"/>
                <w:szCs w:val="18"/>
                <w:lang w:eastAsia="lv-LV"/>
              </w:rPr>
              <w:t>PAŠVALDĪBU BUDŽETA BILANCE</w:t>
            </w:r>
          </w:p>
        </w:tc>
        <w:tc>
          <w:tcPr>
            <w:tcW w:w="892" w:type="dxa"/>
            <w:tcBorders>
              <w:top w:val="single" w:sz="4" w:space="0" w:color="auto"/>
              <w:left w:val="nil"/>
              <w:bottom w:val="single" w:sz="4" w:space="0" w:color="auto"/>
              <w:right w:val="single" w:sz="4" w:space="0" w:color="auto"/>
            </w:tcBorders>
            <w:shd w:val="clear" w:color="000000" w:fill="DCE6F1"/>
            <w:noWrap/>
            <w:hideMark/>
          </w:tcPr>
          <w:p w:rsidR="00434853" w:rsidRPr="007B0F0A" w:rsidRDefault="00434853" w:rsidP="00F24DCA">
            <w:pPr>
              <w:spacing w:after="0"/>
              <w:ind w:firstLine="0"/>
              <w:jc w:val="right"/>
              <w:rPr>
                <w:b/>
                <w:sz w:val="18"/>
                <w:szCs w:val="18"/>
                <w:lang w:eastAsia="lv-LV"/>
              </w:rPr>
            </w:pPr>
            <w:r w:rsidRPr="007B0F0A">
              <w:rPr>
                <w:b/>
                <w:sz w:val="18"/>
                <w:szCs w:val="18"/>
                <w:lang w:eastAsia="lv-LV"/>
              </w:rPr>
              <w:t>-26,2</w:t>
            </w:r>
          </w:p>
        </w:tc>
        <w:tc>
          <w:tcPr>
            <w:tcW w:w="892" w:type="dxa"/>
            <w:tcBorders>
              <w:top w:val="single" w:sz="4" w:space="0" w:color="auto"/>
              <w:left w:val="nil"/>
              <w:bottom w:val="single" w:sz="4" w:space="0" w:color="auto"/>
              <w:right w:val="single" w:sz="4" w:space="0" w:color="auto"/>
            </w:tcBorders>
            <w:shd w:val="clear" w:color="000000" w:fill="DCE6F1"/>
            <w:noWrap/>
            <w:hideMark/>
          </w:tcPr>
          <w:p w:rsidR="00434853" w:rsidRPr="007B0F0A" w:rsidRDefault="00434853" w:rsidP="00F24DCA">
            <w:pPr>
              <w:spacing w:after="0"/>
              <w:ind w:firstLine="0"/>
              <w:jc w:val="right"/>
              <w:rPr>
                <w:b/>
                <w:sz w:val="18"/>
                <w:szCs w:val="18"/>
                <w:lang w:eastAsia="lv-LV"/>
              </w:rPr>
            </w:pPr>
            <w:r w:rsidRPr="007B0F0A">
              <w:rPr>
                <w:b/>
                <w:sz w:val="18"/>
                <w:szCs w:val="18"/>
                <w:lang w:eastAsia="lv-LV"/>
              </w:rPr>
              <w:t>57,4</w:t>
            </w:r>
          </w:p>
        </w:tc>
        <w:tc>
          <w:tcPr>
            <w:tcW w:w="892" w:type="dxa"/>
            <w:tcBorders>
              <w:top w:val="single" w:sz="4" w:space="0" w:color="auto"/>
              <w:left w:val="nil"/>
              <w:bottom w:val="single" w:sz="4" w:space="0" w:color="auto"/>
              <w:right w:val="single" w:sz="4" w:space="0" w:color="auto"/>
            </w:tcBorders>
            <w:shd w:val="clear" w:color="000000" w:fill="DCE6F1"/>
            <w:noWrap/>
            <w:hideMark/>
          </w:tcPr>
          <w:p w:rsidR="00434853" w:rsidRPr="007B0F0A" w:rsidRDefault="00434853" w:rsidP="00F24DCA">
            <w:pPr>
              <w:spacing w:after="0"/>
              <w:ind w:firstLine="0"/>
              <w:jc w:val="right"/>
              <w:rPr>
                <w:b/>
                <w:sz w:val="18"/>
                <w:szCs w:val="18"/>
                <w:lang w:eastAsia="lv-LV"/>
              </w:rPr>
            </w:pPr>
            <w:r w:rsidRPr="007B0F0A">
              <w:rPr>
                <w:b/>
                <w:sz w:val="18"/>
                <w:szCs w:val="18"/>
                <w:lang w:eastAsia="lv-LV"/>
              </w:rPr>
              <w:t>-14,2</w:t>
            </w:r>
          </w:p>
        </w:tc>
        <w:tc>
          <w:tcPr>
            <w:tcW w:w="892" w:type="dxa"/>
            <w:tcBorders>
              <w:top w:val="single" w:sz="4" w:space="0" w:color="auto"/>
              <w:left w:val="nil"/>
              <w:bottom w:val="single" w:sz="4" w:space="0" w:color="auto"/>
              <w:right w:val="single" w:sz="4" w:space="0" w:color="auto"/>
            </w:tcBorders>
            <w:shd w:val="clear" w:color="000000" w:fill="DCE6F1"/>
            <w:noWrap/>
            <w:hideMark/>
          </w:tcPr>
          <w:p w:rsidR="00434853" w:rsidRPr="007B0F0A" w:rsidRDefault="00434853" w:rsidP="00F24DCA">
            <w:pPr>
              <w:spacing w:after="0"/>
              <w:ind w:firstLine="0"/>
              <w:jc w:val="right"/>
              <w:rPr>
                <w:b/>
                <w:sz w:val="18"/>
                <w:szCs w:val="18"/>
                <w:lang w:eastAsia="lv-LV"/>
              </w:rPr>
            </w:pPr>
            <w:r w:rsidRPr="007B0F0A">
              <w:rPr>
                <w:b/>
                <w:sz w:val="18"/>
                <w:szCs w:val="18"/>
                <w:lang w:eastAsia="lv-LV"/>
              </w:rPr>
              <w:t>-150,5</w:t>
            </w:r>
          </w:p>
        </w:tc>
        <w:tc>
          <w:tcPr>
            <w:tcW w:w="892" w:type="dxa"/>
            <w:tcBorders>
              <w:top w:val="single" w:sz="4" w:space="0" w:color="auto"/>
              <w:left w:val="nil"/>
              <w:bottom w:val="single" w:sz="4" w:space="0" w:color="auto"/>
              <w:right w:val="single" w:sz="4" w:space="0" w:color="auto"/>
            </w:tcBorders>
            <w:shd w:val="clear" w:color="000000" w:fill="DCE6F1"/>
            <w:noWrap/>
            <w:hideMark/>
          </w:tcPr>
          <w:p w:rsidR="00434853" w:rsidRPr="007B0F0A" w:rsidRDefault="00434853" w:rsidP="00F24DCA">
            <w:pPr>
              <w:spacing w:after="0"/>
              <w:ind w:firstLine="0"/>
              <w:jc w:val="right"/>
              <w:rPr>
                <w:b/>
                <w:sz w:val="18"/>
                <w:szCs w:val="18"/>
                <w:lang w:eastAsia="lv-LV"/>
              </w:rPr>
            </w:pPr>
            <w:r w:rsidRPr="007B0F0A">
              <w:rPr>
                <w:b/>
                <w:sz w:val="18"/>
                <w:szCs w:val="18"/>
                <w:lang w:eastAsia="lv-LV"/>
              </w:rPr>
              <w:t>-61,4</w:t>
            </w:r>
          </w:p>
        </w:tc>
        <w:tc>
          <w:tcPr>
            <w:tcW w:w="892" w:type="dxa"/>
            <w:tcBorders>
              <w:top w:val="single" w:sz="4" w:space="0" w:color="auto"/>
              <w:left w:val="nil"/>
              <w:bottom w:val="single" w:sz="4" w:space="0" w:color="auto"/>
              <w:right w:val="single" w:sz="4" w:space="0" w:color="auto"/>
            </w:tcBorders>
            <w:shd w:val="clear" w:color="000000" w:fill="DCE6F1"/>
            <w:noWrap/>
            <w:hideMark/>
          </w:tcPr>
          <w:p w:rsidR="00434853" w:rsidRPr="007B0F0A" w:rsidRDefault="00434853" w:rsidP="00F24DCA">
            <w:pPr>
              <w:spacing w:after="0"/>
              <w:ind w:firstLine="0"/>
              <w:jc w:val="right"/>
              <w:rPr>
                <w:b/>
                <w:sz w:val="18"/>
                <w:szCs w:val="18"/>
                <w:lang w:eastAsia="lv-LV"/>
              </w:rPr>
            </w:pPr>
            <w:r w:rsidRPr="007B0F0A">
              <w:rPr>
                <w:b/>
                <w:sz w:val="18"/>
                <w:szCs w:val="18"/>
                <w:lang w:eastAsia="lv-LV"/>
              </w:rPr>
              <w:t>-30,3</w:t>
            </w:r>
          </w:p>
        </w:tc>
        <w:tc>
          <w:tcPr>
            <w:tcW w:w="892" w:type="dxa"/>
            <w:tcBorders>
              <w:top w:val="single" w:sz="4" w:space="0" w:color="auto"/>
              <w:left w:val="nil"/>
              <w:bottom w:val="single" w:sz="4" w:space="0" w:color="auto"/>
              <w:right w:val="single" w:sz="4" w:space="0" w:color="auto"/>
            </w:tcBorders>
            <w:shd w:val="clear" w:color="000000" w:fill="DCE6F1"/>
            <w:noWrap/>
            <w:hideMark/>
          </w:tcPr>
          <w:p w:rsidR="00434853" w:rsidRPr="007B0F0A" w:rsidRDefault="00434853" w:rsidP="00F24DCA">
            <w:pPr>
              <w:spacing w:after="0"/>
              <w:ind w:firstLine="0"/>
              <w:jc w:val="right"/>
              <w:rPr>
                <w:b/>
                <w:sz w:val="18"/>
                <w:szCs w:val="18"/>
                <w:lang w:eastAsia="lv-LV"/>
              </w:rPr>
            </w:pPr>
            <w:r w:rsidRPr="007B0F0A">
              <w:rPr>
                <w:b/>
                <w:sz w:val="18"/>
                <w:szCs w:val="18"/>
                <w:lang w:eastAsia="lv-LV"/>
              </w:rPr>
              <w:t>-36,1</w:t>
            </w:r>
          </w:p>
        </w:tc>
      </w:tr>
      <w:tr w:rsidR="00434853" w:rsidRPr="0035459B" w:rsidTr="00434853">
        <w:trPr>
          <w:trHeight w:val="64"/>
          <w:jc w:val="center"/>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25" w:firstLineChars="100" w:firstLine="180"/>
              <w:rPr>
                <w:sz w:val="18"/>
                <w:szCs w:val="18"/>
                <w:lang w:eastAsia="lv-LV"/>
              </w:rPr>
            </w:pPr>
            <w:r w:rsidRPr="007B0F0A">
              <w:rPr>
                <w:sz w:val="18"/>
                <w:szCs w:val="18"/>
                <w:lang w:eastAsia="lv-LV"/>
              </w:rPr>
              <w:t>Ieņēmumi</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2 140,1</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2 202,9</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2 461,2</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2 646,1</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4553A0" w:rsidRDefault="00434853" w:rsidP="004553A0">
            <w:pPr>
              <w:spacing w:after="0"/>
              <w:ind w:firstLine="0"/>
              <w:jc w:val="right"/>
              <w:rPr>
                <w:sz w:val="18"/>
                <w:szCs w:val="18"/>
                <w:lang w:eastAsia="lv-LV"/>
              </w:rPr>
            </w:pPr>
            <w:r w:rsidRPr="004553A0">
              <w:rPr>
                <w:sz w:val="18"/>
                <w:szCs w:val="18"/>
                <w:lang w:eastAsia="lv-LV"/>
              </w:rPr>
              <w:t>2 766,</w:t>
            </w:r>
            <w:r w:rsidR="004553A0" w:rsidRPr="004553A0">
              <w:rPr>
                <w:sz w:val="18"/>
                <w:szCs w:val="18"/>
                <w:lang w:eastAsia="lv-LV"/>
              </w:rPr>
              <w:t>5</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2 852,6</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2 874,2</w:t>
            </w:r>
          </w:p>
        </w:tc>
      </w:tr>
      <w:tr w:rsidR="00434853" w:rsidRPr="0035459B" w:rsidTr="00434853">
        <w:trPr>
          <w:trHeight w:val="70"/>
          <w:jc w:val="center"/>
        </w:trPr>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Nodokļu ieņēmumi</w:t>
            </w:r>
          </w:p>
        </w:tc>
        <w:tc>
          <w:tcPr>
            <w:tcW w:w="892" w:type="dxa"/>
            <w:tcBorders>
              <w:top w:val="single" w:sz="4" w:space="0" w:color="auto"/>
              <w:left w:val="single" w:sz="4" w:space="0" w:color="auto"/>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1 362,8</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 xml:space="preserve">1 469,0  </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 xml:space="preserve">1 597,1  </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1 631,8</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4553A0" w:rsidRDefault="00434853" w:rsidP="00F24DCA">
            <w:pPr>
              <w:spacing w:after="0"/>
              <w:ind w:firstLine="0"/>
              <w:jc w:val="right"/>
              <w:rPr>
                <w:sz w:val="18"/>
                <w:szCs w:val="18"/>
                <w:lang w:eastAsia="lv-LV"/>
              </w:rPr>
            </w:pPr>
            <w:r w:rsidRPr="004553A0">
              <w:rPr>
                <w:sz w:val="18"/>
                <w:szCs w:val="18"/>
                <w:lang w:eastAsia="lv-LV"/>
              </w:rPr>
              <w:t>1 652,1</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1 650,6</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1 711,3</w:t>
            </w:r>
          </w:p>
        </w:tc>
      </w:tr>
      <w:tr w:rsidR="00434853" w:rsidRPr="0035459B" w:rsidTr="00434853">
        <w:trPr>
          <w:trHeight w:val="77"/>
          <w:jc w:val="center"/>
        </w:trPr>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39" w:firstLineChars="200" w:firstLine="360"/>
              <w:rPr>
                <w:sz w:val="18"/>
                <w:szCs w:val="18"/>
                <w:lang w:eastAsia="lv-LV"/>
              </w:rPr>
            </w:pPr>
            <w:r w:rsidRPr="007B0F0A">
              <w:rPr>
                <w:noProof/>
                <w:sz w:val="18"/>
                <w:szCs w:val="18"/>
                <w:lang w:eastAsia="lv-LV"/>
              </w:rPr>
              <w:t xml:space="preserve">Transferts </w:t>
            </w:r>
            <w:r w:rsidRPr="007B0F0A">
              <w:rPr>
                <w:sz w:val="18"/>
                <w:szCs w:val="18"/>
                <w:lang w:eastAsia="lv-LV"/>
              </w:rPr>
              <w:t>no valsts budžeta</w:t>
            </w:r>
          </w:p>
        </w:tc>
        <w:tc>
          <w:tcPr>
            <w:tcW w:w="892" w:type="dxa"/>
            <w:tcBorders>
              <w:top w:val="nil"/>
              <w:left w:val="single" w:sz="4" w:space="0" w:color="auto"/>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603,5</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555,6</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673,5</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819,7</w:t>
            </w:r>
          </w:p>
        </w:tc>
        <w:tc>
          <w:tcPr>
            <w:tcW w:w="892" w:type="dxa"/>
            <w:tcBorders>
              <w:top w:val="nil"/>
              <w:left w:val="nil"/>
              <w:bottom w:val="single" w:sz="4" w:space="0" w:color="auto"/>
              <w:right w:val="single" w:sz="4" w:space="0" w:color="auto"/>
            </w:tcBorders>
            <w:shd w:val="clear" w:color="auto" w:fill="auto"/>
            <w:noWrap/>
            <w:hideMark/>
          </w:tcPr>
          <w:p w:rsidR="00434853" w:rsidRPr="004553A0" w:rsidRDefault="00434853" w:rsidP="004553A0">
            <w:pPr>
              <w:spacing w:after="0"/>
              <w:ind w:firstLine="0"/>
              <w:jc w:val="right"/>
              <w:rPr>
                <w:sz w:val="18"/>
                <w:szCs w:val="18"/>
                <w:lang w:eastAsia="lv-LV"/>
              </w:rPr>
            </w:pPr>
            <w:r w:rsidRPr="004553A0">
              <w:rPr>
                <w:sz w:val="18"/>
                <w:szCs w:val="18"/>
                <w:lang w:eastAsia="lv-LV"/>
              </w:rPr>
              <w:t>929,</w:t>
            </w:r>
            <w:r w:rsidR="004553A0" w:rsidRPr="004553A0">
              <w:rPr>
                <w:sz w:val="18"/>
                <w:szCs w:val="18"/>
                <w:lang w:eastAsia="lv-LV"/>
              </w:rPr>
              <w:t>8</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1 017,1</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976,1</w:t>
            </w:r>
          </w:p>
        </w:tc>
      </w:tr>
      <w:tr w:rsidR="00434853" w:rsidRPr="0035459B" w:rsidTr="00434853">
        <w:trPr>
          <w:trHeight w:val="70"/>
          <w:jc w:val="center"/>
        </w:trPr>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Pārējie ieņēmumi</w:t>
            </w:r>
          </w:p>
        </w:tc>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434853" w:rsidRPr="007B0F0A" w:rsidRDefault="00434853" w:rsidP="00F24DCA">
            <w:pPr>
              <w:spacing w:after="0"/>
              <w:ind w:firstLine="0"/>
              <w:jc w:val="right"/>
              <w:rPr>
                <w:sz w:val="18"/>
                <w:szCs w:val="18"/>
                <w:lang w:eastAsia="lv-LV"/>
              </w:rPr>
            </w:pPr>
            <w:r w:rsidRPr="007B0F0A">
              <w:rPr>
                <w:sz w:val="18"/>
                <w:szCs w:val="18"/>
                <w:lang w:eastAsia="lv-LV"/>
              </w:rPr>
              <w:t>173,8</w:t>
            </w:r>
          </w:p>
        </w:tc>
        <w:tc>
          <w:tcPr>
            <w:tcW w:w="892" w:type="dxa"/>
            <w:tcBorders>
              <w:top w:val="nil"/>
              <w:left w:val="nil"/>
              <w:bottom w:val="single" w:sz="4" w:space="0" w:color="auto"/>
              <w:right w:val="single" w:sz="4" w:space="0" w:color="auto"/>
            </w:tcBorders>
            <w:shd w:val="clear" w:color="auto" w:fill="auto"/>
            <w:noWrap/>
            <w:vAlign w:val="bottom"/>
            <w:hideMark/>
          </w:tcPr>
          <w:p w:rsidR="00434853" w:rsidRPr="007B0F0A" w:rsidRDefault="00434853" w:rsidP="00F24DCA">
            <w:pPr>
              <w:spacing w:after="0"/>
              <w:ind w:firstLine="0"/>
              <w:jc w:val="right"/>
              <w:rPr>
                <w:sz w:val="18"/>
                <w:szCs w:val="18"/>
                <w:lang w:eastAsia="lv-LV"/>
              </w:rPr>
            </w:pPr>
            <w:r w:rsidRPr="007B0F0A">
              <w:rPr>
                <w:sz w:val="18"/>
                <w:szCs w:val="18"/>
                <w:lang w:eastAsia="lv-LV"/>
              </w:rPr>
              <w:t>178,3</w:t>
            </w:r>
          </w:p>
        </w:tc>
        <w:tc>
          <w:tcPr>
            <w:tcW w:w="892" w:type="dxa"/>
            <w:tcBorders>
              <w:top w:val="nil"/>
              <w:left w:val="nil"/>
              <w:bottom w:val="single" w:sz="4" w:space="0" w:color="auto"/>
              <w:right w:val="single" w:sz="4" w:space="0" w:color="auto"/>
            </w:tcBorders>
            <w:shd w:val="clear" w:color="auto" w:fill="auto"/>
            <w:noWrap/>
            <w:vAlign w:val="bottom"/>
            <w:hideMark/>
          </w:tcPr>
          <w:p w:rsidR="00434853" w:rsidRPr="007B0F0A" w:rsidRDefault="00434853" w:rsidP="00F24DCA">
            <w:pPr>
              <w:spacing w:after="0"/>
              <w:ind w:firstLine="0"/>
              <w:jc w:val="right"/>
              <w:rPr>
                <w:sz w:val="18"/>
                <w:szCs w:val="18"/>
                <w:lang w:eastAsia="lv-LV"/>
              </w:rPr>
            </w:pPr>
            <w:r w:rsidRPr="007B0F0A">
              <w:rPr>
                <w:sz w:val="18"/>
                <w:szCs w:val="18"/>
                <w:lang w:eastAsia="lv-LV"/>
              </w:rPr>
              <w:t>190,6</w:t>
            </w:r>
          </w:p>
        </w:tc>
        <w:tc>
          <w:tcPr>
            <w:tcW w:w="892" w:type="dxa"/>
            <w:tcBorders>
              <w:top w:val="nil"/>
              <w:left w:val="nil"/>
              <w:bottom w:val="single" w:sz="4" w:space="0" w:color="auto"/>
              <w:right w:val="single" w:sz="4" w:space="0" w:color="auto"/>
            </w:tcBorders>
            <w:shd w:val="clear" w:color="auto" w:fill="auto"/>
            <w:noWrap/>
            <w:vAlign w:val="bottom"/>
            <w:hideMark/>
          </w:tcPr>
          <w:p w:rsidR="00434853" w:rsidRPr="007B0F0A" w:rsidRDefault="00434853" w:rsidP="00F24DCA">
            <w:pPr>
              <w:spacing w:after="0"/>
              <w:ind w:firstLine="0"/>
              <w:jc w:val="right"/>
              <w:rPr>
                <w:sz w:val="18"/>
                <w:szCs w:val="18"/>
                <w:lang w:eastAsia="lv-LV"/>
              </w:rPr>
            </w:pPr>
            <w:r w:rsidRPr="007B0F0A">
              <w:rPr>
                <w:sz w:val="18"/>
                <w:szCs w:val="18"/>
                <w:lang w:eastAsia="lv-LV"/>
              </w:rPr>
              <w:t>194,7</w:t>
            </w:r>
          </w:p>
        </w:tc>
        <w:tc>
          <w:tcPr>
            <w:tcW w:w="892" w:type="dxa"/>
            <w:tcBorders>
              <w:top w:val="nil"/>
              <w:left w:val="nil"/>
              <w:bottom w:val="single" w:sz="4" w:space="0" w:color="auto"/>
              <w:right w:val="single" w:sz="4" w:space="0" w:color="auto"/>
            </w:tcBorders>
            <w:shd w:val="clear" w:color="auto" w:fill="auto"/>
            <w:noWrap/>
            <w:hideMark/>
          </w:tcPr>
          <w:p w:rsidR="00434853" w:rsidRPr="004553A0" w:rsidRDefault="00434853" w:rsidP="00F24DCA">
            <w:pPr>
              <w:spacing w:after="0"/>
              <w:ind w:firstLine="0"/>
              <w:jc w:val="right"/>
              <w:rPr>
                <w:sz w:val="18"/>
                <w:szCs w:val="18"/>
                <w:lang w:eastAsia="lv-LV"/>
              </w:rPr>
            </w:pPr>
            <w:r w:rsidRPr="004553A0">
              <w:rPr>
                <w:sz w:val="18"/>
                <w:szCs w:val="18"/>
                <w:lang w:eastAsia="lv-LV"/>
              </w:rPr>
              <w:t>184,6</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184,9</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186,9</w:t>
            </w:r>
          </w:p>
        </w:tc>
      </w:tr>
      <w:tr w:rsidR="00434853" w:rsidRPr="0035459B" w:rsidTr="00434853">
        <w:trPr>
          <w:trHeight w:val="64"/>
          <w:jc w:val="center"/>
        </w:trPr>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25" w:firstLineChars="100" w:firstLine="180"/>
              <w:rPr>
                <w:sz w:val="18"/>
                <w:szCs w:val="18"/>
                <w:lang w:eastAsia="lv-LV"/>
              </w:rPr>
            </w:pPr>
            <w:r w:rsidRPr="007B0F0A">
              <w:rPr>
                <w:sz w:val="18"/>
                <w:szCs w:val="18"/>
                <w:lang w:eastAsia="lv-LV"/>
              </w:rPr>
              <w:t>Izdevumi</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2 166,3</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2 145,6</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2 475,4</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2 796,7</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4553A0" w:rsidRDefault="00434853" w:rsidP="004553A0">
            <w:pPr>
              <w:spacing w:after="0"/>
              <w:ind w:firstLine="0"/>
              <w:jc w:val="right"/>
              <w:rPr>
                <w:sz w:val="18"/>
                <w:szCs w:val="18"/>
                <w:lang w:eastAsia="lv-LV"/>
              </w:rPr>
            </w:pPr>
            <w:r w:rsidRPr="004553A0">
              <w:rPr>
                <w:sz w:val="18"/>
                <w:szCs w:val="18"/>
                <w:lang w:eastAsia="lv-LV"/>
              </w:rPr>
              <w:t xml:space="preserve">2 </w:t>
            </w:r>
            <w:r w:rsidR="004553A0" w:rsidRPr="004553A0">
              <w:rPr>
                <w:sz w:val="18"/>
                <w:szCs w:val="18"/>
                <w:lang w:eastAsia="lv-LV"/>
              </w:rPr>
              <w:t>827</w:t>
            </w:r>
            <w:r w:rsidRPr="004553A0">
              <w:rPr>
                <w:sz w:val="18"/>
                <w:szCs w:val="18"/>
                <w:lang w:eastAsia="lv-LV"/>
              </w:rPr>
              <w:t>,</w:t>
            </w:r>
            <w:r w:rsidR="004553A0" w:rsidRPr="004553A0">
              <w:rPr>
                <w:sz w:val="18"/>
                <w:szCs w:val="18"/>
                <w:lang w:eastAsia="lv-LV"/>
              </w:rPr>
              <w:t>9</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2 882,8</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2 910,3</w:t>
            </w:r>
          </w:p>
        </w:tc>
      </w:tr>
      <w:tr w:rsidR="00434853" w:rsidRPr="0035459B" w:rsidTr="00434853">
        <w:trPr>
          <w:trHeight w:val="70"/>
          <w:jc w:val="center"/>
        </w:trPr>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Uzturēšanas izdevumi</w:t>
            </w:r>
          </w:p>
        </w:tc>
        <w:tc>
          <w:tcPr>
            <w:tcW w:w="892" w:type="dxa"/>
            <w:tcBorders>
              <w:top w:val="single" w:sz="4" w:space="0" w:color="auto"/>
              <w:left w:val="single" w:sz="4" w:space="0" w:color="auto"/>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1 771,6</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1 835,9</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1 964,0</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2 129,3</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4553A0" w:rsidRDefault="00434853" w:rsidP="004553A0">
            <w:pPr>
              <w:spacing w:after="0"/>
              <w:ind w:firstLine="0"/>
              <w:jc w:val="right"/>
              <w:rPr>
                <w:sz w:val="18"/>
                <w:szCs w:val="18"/>
                <w:lang w:eastAsia="lv-LV"/>
              </w:rPr>
            </w:pPr>
            <w:r w:rsidRPr="004553A0">
              <w:rPr>
                <w:sz w:val="18"/>
                <w:szCs w:val="18"/>
                <w:lang w:eastAsia="lv-LV"/>
              </w:rPr>
              <w:t>2 </w:t>
            </w:r>
            <w:r w:rsidR="004553A0" w:rsidRPr="004553A0">
              <w:rPr>
                <w:sz w:val="18"/>
                <w:szCs w:val="18"/>
                <w:lang w:eastAsia="lv-LV"/>
              </w:rPr>
              <w:t>208</w:t>
            </w:r>
            <w:r w:rsidRPr="004553A0">
              <w:rPr>
                <w:sz w:val="18"/>
                <w:szCs w:val="18"/>
                <w:lang w:eastAsia="lv-LV"/>
              </w:rPr>
              <w:t>,</w:t>
            </w:r>
            <w:r w:rsidR="004553A0" w:rsidRPr="004553A0">
              <w:rPr>
                <w:sz w:val="18"/>
                <w:szCs w:val="18"/>
                <w:lang w:eastAsia="lv-LV"/>
              </w:rPr>
              <w:t>9</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2 297,4</w:t>
            </w:r>
          </w:p>
        </w:tc>
        <w:tc>
          <w:tcPr>
            <w:tcW w:w="892" w:type="dxa"/>
            <w:tcBorders>
              <w:top w:val="single" w:sz="4" w:space="0" w:color="auto"/>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2 347,9</w:t>
            </w:r>
          </w:p>
        </w:tc>
      </w:tr>
      <w:tr w:rsidR="00434853" w:rsidRPr="0035459B" w:rsidTr="00434853">
        <w:trPr>
          <w:trHeight w:val="70"/>
          <w:jc w:val="center"/>
        </w:trPr>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Kapitālie izdevumi</w:t>
            </w:r>
          </w:p>
        </w:tc>
        <w:tc>
          <w:tcPr>
            <w:tcW w:w="892" w:type="dxa"/>
            <w:tcBorders>
              <w:top w:val="nil"/>
              <w:left w:val="single" w:sz="4" w:space="0" w:color="auto"/>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394,7</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309,6</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511,4</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667,3</w:t>
            </w:r>
          </w:p>
        </w:tc>
        <w:tc>
          <w:tcPr>
            <w:tcW w:w="892" w:type="dxa"/>
            <w:tcBorders>
              <w:top w:val="nil"/>
              <w:left w:val="nil"/>
              <w:bottom w:val="single" w:sz="4" w:space="0" w:color="auto"/>
              <w:right w:val="single" w:sz="4" w:space="0" w:color="auto"/>
            </w:tcBorders>
            <w:shd w:val="clear" w:color="auto" w:fill="auto"/>
            <w:noWrap/>
            <w:hideMark/>
          </w:tcPr>
          <w:p w:rsidR="00434853" w:rsidRPr="004553A0" w:rsidRDefault="00434853" w:rsidP="00F24DCA">
            <w:pPr>
              <w:spacing w:after="0"/>
              <w:ind w:firstLine="0"/>
              <w:jc w:val="right"/>
              <w:rPr>
                <w:sz w:val="18"/>
                <w:szCs w:val="18"/>
                <w:lang w:eastAsia="lv-LV"/>
              </w:rPr>
            </w:pPr>
            <w:r w:rsidRPr="004553A0">
              <w:rPr>
                <w:sz w:val="18"/>
                <w:szCs w:val="18"/>
                <w:lang w:eastAsia="lv-LV"/>
              </w:rPr>
              <w:t>619,0</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585,4</w:t>
            </w:r>
          </w:p>
        </w:tc>
        <w:tc>
          <w:tcPr>
            <w:tcW w:w="892" w:type="dxa"/>
            <w:tcBorders>
              <w:top w:val="nil"/>
              <w:left w:val="nil"/>
              <w:bottom w:val="single" w:sz="4" w:space="0" w:color="auto"/>
              <w:right w:val="single" w:sz="4" w:space="0" w:color="auto"/>
            </w:tcBorders>
            <w:shd w:val="clear" w:color="auto" w:fill="auto"/>
            <w:noWrap/>
            <w:hideMark/>
          </w:tcPr>
          <w:p w:rsidR="00434853" w:rsidRPr="007B0F0A" w:rsidRDefault="00434853" w:rsidP="00F24DCA">
            <w:pPr>
              <w:spacing w:after="0"/>
              <w:ind w:firstLine="0"/>
              <w:jc w:val="right"/>
              <w:rPr>
                <w:sz w:val="18"/>
                <w:szCs w:val="18"/>
                <w:lang w:eastAsia="lv-LV"/>
              </w:rPr>
            </w:pPr>
            <w:r w:rsidRPr="007B0F0A">
              <w:rPr>
                <w:sz w:val="18"/>
                <w:szCs w:val="18"/>
                <w:lang w:eastAsia="lv-LV"/>
              </w:rPr>
              <w:t>562,4</w:t>
            </w:r>
          </w:p>
        </w:tc>
      </w:tr>
    </w:tbl>
    <w:p w:rsidR="00434853" w:rsidRPr="0035459B" w:rsidRDefault="00434853" w:rsidP="00434853">
      <w:pPr>
        <w:spacing w:before="120"/>
        <w:rPr>
          <w:highlight w:val="yellow"/>
        </w:rPr>
      </w:pPr>
      <w:r w:rsidRPr="00FF6968">
        <w:t>2019.</w:t>
      </w:r>
      <w:r>
        <w:t> </w:t>
      </w:r>
      <w:r w:rsidRPr="00FF6968">
        <w:t xml:space="preserve">gadā tiek prognozēts, ka pašvaldību budžetā veidosies </w:t>
      </w:r>
      <w:r>
        <w:t>61,4 </w:t>
      </w:r>
      <w:r w:rsidRPr="00FF6968">
        <w:t xml:space="preserve">milj. eiro deficīts. </w:t>
      </w:r>
      <w:r>
        <w:t>Ņemot vērā neapliekamā minimuma un atvieglojumu par apgādājamajiem palielināšanu 2019. gadā, nodokļu ieņēmumi pašvaldību budžetā pieaugs mēreni un būs aptuveni 2018. gada līmenī.</w:t>
      </w:r>
      <w:r w:rsidRPr="00FF6968">
        <w:t xml:space="preserve"> Deficīta zemāku apmēru </w:t>
      </w:r>
      <w:r w:rsidRPr="00DC4E85">
        <w:t>kā 2018.</w:t>
      </w:r>
      <w:r>
        <w:t> </w:t>
      </w:r>
      <w:r w:rsidRPr="00DC4E85">
        <w:t xml:space="preserve">gadā nodrošinās straujāks centrālās valdības </w:t>
      </w:r>
      <w:r w:rsidRPr="00DC4E85">
        <w:rPr>
          <w:noProof/>
        </w:rPr>
        <w:t xml:space="preserve">transfertu </w:t>
      </w:r>
      <w:r w:rsidRPr="00DC4E85">
        <w:t>apjoma palielinājums, tai skaitā kompensācija no valsts pamatbudžeta par nodokļu reformas efektu uz iedzīvotāju ienākuma nodokļa ieņēmumiem.</w:t>
      </w:r>
      <w:r>
        <w:t xml:space="preserve"> </w:t>
      </w:r>
      <w:r w:rsidRPr="00DC4E85">
        <w:t>2019.</w:t>
      </w:r>
      <w:r>
        <w:t> </w:t>
      </w:r>
      <w:r w:rsidRPr="00DC4E85">
        <w:t>gadā, tāpat kā 2018.</w:t>
      </w:r>
      <w:r>
        <w:t> </w:t>
      </w:r>
      <w:r w:rsidRPr="00DC4E85">
        <w:t xml:space="preserve">gadā, pašvaldību kopējie nodokļu ieņēmumi tiks garantēti 19,6% apmērā no kopbudžeta nodokļu ieņēmumiem (izņemot 1% sociālās apdrošināšanas iemaksas veselības sistēmas finansēšanai). </w:t>
      </w:r>
    </w:p>
    <w:p w:rsidR="00434853" w:rsidRPr="0066210E" w:rsidRDefault="00434853" w:rsidP="00434853">
      <w:r w:rsidRPr="005934EB">
        <w:t>Atbilstoši prognozēm 2019.</w:t>
      </w:r>
      <w:r>
        <w:t> </w:t>
      </w:r>
      <w:r w:rsidRPr="005934EB">
        <w:t>gadā un vidējā termiņā turpinās pieaugt izdevumi atlīdzībai. Savukārt izdevumi sociālajiem pabalstiem, precēm un pakalpojumiem, kā arī subsīdijām un dotācijām lielākoties būs bez ievērojamām pārmaiņām, aptuveni 2018.</w:t>
      </w:r>
      <w:r>
        <w:t> </w:t>
      </w:r>
      <w:r w:rsidRPr="005934EB">
        <w:t xml:space="preserve">gada līmenī. </w:t>
      </w:r>
      <w:r>
        <w:t>Kapitālo izdevumu augstais līmenis 2018. gadā nozīmē, ka ES fondu 2014.-2020.gada plānošanas perioda vidus posms ir sasniegts un turpmākajos gados pašvaldību budžetā sagaidāms kapitālo izdevumu samazinājums.</w:t>
      </w:r>
    </w:p>
    <w:p w:rsidR="001952BA" w:rsidRDefault="001952BA" w:rsidP="00D20C53">
      <w:pPr>
        <w:rPr>
          <w:b/>
          <w:color w:val="000000" w:themeColor="text1"/>
          <w:sz w:val="28"/>
        </w:rPr>
      </w:pPr>
    </w:p>
    <w:p w:rsidR="001952BA" w:rsidRPr="001952BA" w:rsidRDefault="001952BA" w:rsidP="001952BA">
      <w:pPr>
        <w:pStyle w:val="Heading2"/>
        <w:numPr>
          <w:ilvl w:val="1"/>
          <w:numId w:val="17"/>
        </w:numPr>
        <w:spacing w:before="240" w:after="240"/>
        <w:ind w:left="0" w:firstLine="0"/>
        <w:jc w:val="center"/>
        <w:rPr>
          <w:rFonts w:ascii="Times New Roman" w:hAnsi="Times New Roman" w:cs="Times New Roman"/>
          <w:b/>
          <w:color w:val="auto"/>
          <w:sz w:val="36"/>
          <w:szCs w:val="36"/>
        </w:rPr>
      </w:pPr>
      <w:proofErr w:type="spellStart"/>
      <w:r>
        <w:rPr>
          <w:rFonts w:ascii="Times New Roman" w:hAnsi="Times New Roman" w:cs="Times New Roman"/>
          <w:b/>
          <w:color w:val="auto"/>
          <w:sz w:val="36"/>
          <w:szCs w:val="36"/>
        </w:rPr>
        <w:t>Diskrecionāro</w:t>
      </w:r>
      <w:proofErr w:type="spellEnd"/>
      <w:r>
        <w:rPr>
          <w:rFonts w:ascii="Times New Roman" w:hAnsi="Times New Roman" w:cs="Times New Roman"/>
          <w:b/>
          <w:color w:val="auto"/>
          <w:sz w:val="36"/>
          <w:szCs w:val="36"/>
        </w:rPr>
        <w:t xml:space="preserve"> politikas lēmumu ietekme uz publisko finanšu ilgtermiņa stabilitāti </w:t>
      </w:r>
    </w:p>
    <w:p w:rsidR="00D440B5" w:rsidRPr="00F70898" w:rsidRDefault="00D440B5" w:rsidP="00D440B5">
      <w:pPr>
        <w:ind w:firstLine="720"/>
        <w:rPr>
          <w:color w:val="000000" w:themeColor="text1"/>
        </w:rPr>
      </w:pPr>
      <w:r w:rsidRPr="00F70898">
        <w:rPr>
          <w:color w:val="000000" w:themeColor="text1"/>
        </w:rPr>
        <w:t>Saskaņā ar Fiskālās disciplīnas likumu</w:t>
      </w:r>
      <w:r>
        <w:rPr>
          <w:color w:val="000000" w:themeColor="text1"/>
        </w:rPr>
        <w:t>,</w:t>
      </w:r>
      <w:r w:rsidRPr="00F70898">
        <w:rPr>
          <w:color w:val="000000" w:themeColor="text1"/>
        </w:rPr>
        <w:t xml:space="preserve"> fiskālās politikas īstenošanā tiek ievērots ilgtspējīgas fiskālās politikas princips </w:t>
      </w:r>
      <w:r w:rsidRPr="00F70898">
        <w:rPr>
          <w:rFonts w:eastAsia="Calibri"/>
          <w:color w:val="000000" w:themeColor="text1"/>
        </w:rPr>
        <w:t>–</w:t>
      </w:r>
      <w:r w:rsidRPr="00F70898">
        <w:rPr>
          <w:color w:val="000000" w:themeColor="text1"/>
        </w:rPr>
        <w:t xml:space="preserve"> fiskālās politikas mērķis ir nodrošināt, lai vispārējās valdības parāda apjoms neuzliek nesamērīgu slogu ekonomikai, bet veicina tās attīstību ilgtermiņā. Savukārt saskaņā ar Padomes 2011.gada 8.novembra Direktīva</w:t>
      </w:r>
      <w:r>
        <w:rPr>
          <w:color w:val="000000" w:themeColor="text1"/>
        </w:rPr>
        <w:t>s</w:t>
      </w:r>
      <w:r w:rsidRPr="00F70898">
        <w:rPr>
          <w:color w:val="000000" w:themeColor="text1"/>
        </w:rPr>
        <w:t xml:space="preserve"> 2011/85/ES pa</w:t>
      </w:r>
      <w:r>
        <w:rPr>
          <w:color w:val="000000" w:themeColor="text1"/>
        </w:rPr>
        <w:t xml:space="preserve">r </w:t>
      </w:r>
      <w:r w:rsidRPr="00F70898">
        <w:rPr>
          <w:color w:val="000000" w:themeColor="text1"/>
        </w:rPr>
        <w:t>prasībām dalībvalstu budžeta struktūrām 9.panta otrā punkta d) apakšpunktu</w:t>
      </w:r>
      <w:r>
        <w:rPr>
          <w:color w:val="000000" w:themeColor="text1"/>
        </w:rPr>
        <w:t>, dalībvalstīm</w:t>
      </w:r>
      <w:r w:rsidRPr="00F70898">
        <w:rPr>
          <w:color w:val="000000" w:themeColor="text1"/>
        </w:rPr>
        <w:t xml:space="preserve"> </w:t>
      </w:r>
      <w:r>
        <w:rPr>
          <w:color w:val="000000" w:themeColor="text1"/>
        </w:rPr>
        <w:t>ir</w:t>
      </w:r>
      <w:r w:rsidRPr="00F70898">
        <w:rPr>
          <w:color w:val="000000" w:themeColor="text1"/>
        </w:rPr>
        <w:t xml:space="preserve"> jāveic </w:t>
      </w:r>
      <w:proofErr w:type="spellStart"/>
      <w:r w:rsidRPr="00F70898">
        <w:rPr>
          <w:color w:val="000000" w:themeColor="text1"/>
        </w:rPr>
        <w:t>izvērtējum</w:t>
      </w:r>
      <w:r>
        <w:rPr>
          <w:color w:val="000000" w:themeColor="text1"/>
        </w:rPr>
        <w:t>s</w:t>
      </w:r>
      <w:proofErr w:type="spellEnd"/>
      <w:r w:rsidRPr="00F70898">
        <w:rPr>
          <w:color w:val="000000" w:themeColor="text1"/>
        </w:rPr>
        <w:t xml:space="preserve"> </w:t>
      </w:r>
      <w:r>
        <w:rPr>
          <w:color w:val="000000" w:themeColor="text1"/>
        </w:rPr>
        <w:t>par to</w:t>
      </w:r>
      <w:r w:rsidRPr="00F70898">
        <w:rPr>
          <w:color w:val="000000" w:themeColor="text1"/>
        </w:rPr>
        <w:t>, kā paredzēt</w:t>
      </w:r>
      <w:r>
        <w:rPr>
          <w:color w:val="000000" w:themeColor="text1"/>
        </w:rPr>
        <w:t>ie</w:t>
      </w:r>
      <w:r w:rsidRPr="00F70898">
        <w:rPr>
          <w:color w:val="000000" w:themeColor="text1"/>
        </w:rPr>
        <w:t xml:space="preserve"> politika</w:t>
      </w:r>
      <w:r>
        <w:rPr>
          <w:color w:val="000000" w:themeColor="text1"/>
        </w:rPr>
        <w:t>s lēmumi</w:t>
      </w:r>
      <w:r w:rsidRPr="00F70898">
        <w:rPr>
          <w:color w:val="000000" w:themeColor="text1"/>
        </w:rPr>
        <w:t>, ņemot vērā t</w:t>
      </w:r>
      <w:r>
        <w:rPr>
          <w:color w:val="000000" w:themeColor="text1"/>
        </w:rPr>
        <w:t>o</w:t>
      </w:r>
      <w:r w:rsidRPr="00F70898">
        <w:rPr>
          <w:color w:val="000000" w:themeColor="text1"/>
        </w:rPr>
        <w:t xml:space="preserve"> tiešu ilgtermiņa ietekmi uz vispārējās valdības finansēm, varētu iespaidot publisko finanšu ilgtermiņa stabilitāti. Līdz ar to šajā sadaļā ir sniegts ilgtermiņa ilgtspējas novērtējums valdības un Saeimas pieņemtajiem </w:t>
      </w:r>
      <w:proofErr w:type="spellStart"/>
      <w:r w:rsidRPr="00F70898">
        <w:rPr>
          <w:color w:val="000000" w:themeColor="text1"/>
        </w:rPr>
        <w:lastRenderedPageBreak/>
        <w:t>diskrecionārajiem</w:t>
      </w:r>
      <w:proofErr w:type="spellEnd"/>
      <w:r w:rsidRPr="00F70898">
        <w:rPr>
          <w:color w:val="000000" w:themeColor="text1"/>
        </w:rPr>
        <w:t xml:space="preserve"> lēmumiem, izvērtējot vai jauno politikas pasākumu tiešā ietekme nerada </w:t>
      </w:r>
      <w:r>
        <w:rPr>
          <w:color w:val="000000" w:themeColor="text1"/>
        </w:rPr>
        <w:t>riskus</w:t>
      </w:r>
      <w:r w:rsidRPr="00F70898">
        <w:rPr>
          <w:color w:val="000000" w:themeColor="text1"/>
        </w:rPr>
        <w:t xml:space="preserve"> publisko finanšu ilgtermiņa stabilitātei.</w:t>
      </w:r>
    </w:p>
    <w:p w:rsidR="00D440B5" w:rsidRPr="00F70898" w:rsidRDefault="00D440B5" w:rsidP="00D440B5">
      <w:pPr>
        <w:spacing w:line="0" w:lineRule="atLeast"/>
        <w:ind w:firstLine="720"/>
        <w:rPr>
          <w:color w:val="000000" w:themeColor="text1"/>
        </w:rPr>
      </w:pPr>
      <w:proofErr w:type="spellStart"/>
      <w:r>
        <w:rPr>
          <w:color w:val="000000" w:themeColor="text1"/>
        </w:rPr>
        <w:t>Izvērtējums</w:t>
      </w:r>
      <w:proofErr w:type="spellEnd"/>
      <w:r>
        <w:rPr>
          <w:color w:val="000000" w:themeColor="text1"/>
        </w:rPr>
        <w:t xml:space="preserve"> tiek veikts par 2019. gadu</w:t>
      </w:r>
      <w:r w:rsidRPr="00F70898">
        <w:rPr>
          <w:color w:val="000000" w:themeColor="text1"/>
        </w:rPr>
        <w:t>, kā atskaites punktu izmantojot 2017.gadā apstiprināt</w:t>
      </w:r>
      <w:r>
        <w:rPr>
          <w:color w:val="000000" w:themeColor="text1"/>
        </w:rPr>
        <w:t>o</w:t>
      </w:r>
      <w:r w:rsidRPr="00F70898">
        <w:rPr>
          <w:color w:val="000000" w:themeColor="text1"/>
        </w:rPr>
        <w:t xml:space="preserve"> un pašlaik spēkā esoš</w:t>
      </w:r>
      <w:r>
        <w:rPr>
          <w:color w:val="000000" w:themeColor="text1"/>
        </w:rPr>
        <w:t>o</w:t>
      </w:r>
      <w:r w:rsidRPr="00F70898">
        <w:rPr>
          <w:color w:val="000000" w:themeColor="text1"/>
        </w:rPr>
        <w:t xml:space="preserve"> likum</w:t>
      </w:r>
      <w:r>
        <w:rPr>
          <w:color w:val="000000" w:themeColor="text1"/>
        </w:rPr>
        <w:t>u</w:t>
      </w:r>
      <w:r w:rsidRPr="00F70898">
        <w:rPr>
          <w:color w:val="000000" w:themeColor="text1"/>
        </w:rPr>
        <w:t xml:space="preserve"> “Par vidēja termiņa budžeta ietvaru 2018., 2019. un 2020.gadam”</w:t>
      </w:r>
      <w:r>
        <w:rPr>
          <w:color w:val="000000" w:themeColor="text1"/>
        </w:rPr>
        <w:t>.</w:t>
      </w:r>
      <w:r w:rsidRPr="00F70898">
        <w:rPr>
          <w:color w:val="000000" w:themeColor="text1"/>
        </w:rPr>
        <w:t xml:space="preserve"> Analizē tiek ietverti politikas pasākumi, kas ir pieņemti pēc minētā likuma apstiprināšanas, t.i. 2018.gada laikā pieņemtie politikas pasākumi, kam ir ietekme uz 2019.gadu un turpmākajiem gadiem, kā arī valdības lēmumi, kas pieņemti izstrādājot likumprojektu “Par valsts budžetu 2019.gadam”</w:t>
      </w:r>
      <w:r>
        <w:rPr>
          <w:rStyle w:val="FootnoteReference"/>
          <w:color w:val="000000" w:themeColor="text1"/>
        </w:rPr>
        <w:footnoteReference w:id="5"/>
      </w:r>
      <w:r w:rsidRPr="00F70898">
        <w:rPr>
          <w:color w:val="000000" w:themeColor="text1"/>
        </w:rPr>
        <w:t>.</w:t>
      </w:r>
    </w:p>
    <w:p w:rsidR="00D440B5" w:rsidRPr="00F70898" w:rsidRDefault="00D440B5" w:rsidP="00D440B5">
      <w:pPr>
        <w:spacing w:line="0" w:lineRule="atLeast"/>
        <w:ind w:firstLine="720"/>
        <w:rPr>
          <w:color w:val="000000" w:themeColor="text1"/>
        </w:rPr>
      </w:pPr>
      <w:r>
        <w:rPr>
          <w:color w:val="000000" w:themeColor="text1"/>
        </w:rPr>
        <w:t>A</w:t>
      </w:r>
      <w:r w:rsidRPr="00F70898">
        <w:rPr>
          <w:color w:val="000000" w:themeColor="text1"/>
        </w:rPr>
        <w:t>nalizēti tiek tikai tādi valdības pieņemtie politikas pasākumi, kam ir tieša negatīva ietekme uz vispārējās valdības budžeta bilanci, proti, ieņēmumus samazinoši pasākumi un izdevumus palielinoši pasākumi. Politikas pasākumi, kam ir tieša pozitīva ietekme uz vispārējās valdības budžeta bilanci, netiek izvērtēti.</w:t>
      </w:r>
    </w:p>
    <w:p w:rsidR="00D440B5" w:rsidRPr="00F70898" w:rsidRDefault="00D440B5" w:rsidP="00D440B5">
      <w:pPr>
        <w:spacing w:line="0" w:lineRule="atLeast"/>
        <w:ind w:firstLine="720"/>
        <w:rPr>
          <w:color w:val="000000" w:themeColor="text1"/>
        </w:rPr>
      </w:pPr>
      <w:r w:rsidRPr="00F70898">
        <w:rPr>
          <w:color w:val="000000" w:themeColor="text1"/>
        </w:rPr>
        <w:t xml:space="preserve">Tāpat jāatzīmē, ka ilgtermiņa ietekme </w:t>
      </w:r>
      <w:r>
        <w:rPr>
          <w:color w:val="000000" w:themeColor="text1"/>
        </w:rPr>
        <w:t>ir tikai</w:t>
      </w:r>
      <w:r w:rsidRPr="00F70898">
        <w:rPr>
          <w:color w:val="000000" w:themeColor="text1"/>
        </w:rPr>
        <w:t xml:space="preserve"> tādiem pasākumiem, kam ir bāzes efekts uz turpmākajiem gadiem. Līdz ar t</w:t>
      </w:r>
      <w:r>
        <w:rPr>
          <w:color w:val="000000" w:themeColor="text1"/>
        </w:rPr>
        <w:t>o netiek analizēti</w:t>
      </w:r>
      <w:r w:rsidRPr="00F70898">
        <w:rPr>
          <w:color w:val="000000" w:themeColor="text1"/>
        </w:rPr>
        <w:t xml:space="preserve"> pasākumi, kam ir vienreizējs raksturs.</w:t>
      </w:r>
      <w:r>
        <w:rPr>
          <w:color w:val="000000" w:themeColor="text1"/>
        </w:rPr>
        <w:t xml:space="preserve"> Ja </w:t>
      </w:r>
      <w:r w:rsidRPr="00F70898">
        <w:rPr>
          <w:color w:val="000000" w:themeColor="text1"/>
        </w:rPr>
        <w:t>politikas pasākums</w:t>
      </w:r>
      <w:r>
        <w:rPr>
          <w:color w:val="000000" w:themeColor="text1"/>
        </w:rPr>
        <w:t xml:space="preserve"> ir</w:t>
      </w:r>
      <w:r w:rsidRPr="00F70898">
        <w:rPr>
          <w:color w:val="000000" w:themeColor="text1"/>
        </w:rPr>
        <w:t xml:space="preserve"> ar bāzes efektu</w:t>
      </w:r>
      <w:r>
        <w:rPr>
          <w:color w:val="000000" w:themeColor="text1"/>
        </w:rPr>
        <w:t xml:space="preserve">, kam fiskālās ietekmes apmērs nominālā izteiksmē ir pamatā laikā nemainīgs, politikas pasākums nerada draudus ilgtermiņa publisko finanšu stabilitātei, jo </w:t>
      </w:r>
      <w:r w:rsidRPr="00F70898">
        <w:rPr>
          <w:color w:val="000000" w:themeColor="text1"/>
        </w:rPr>
        <w:t>pie augoša</w:t>
      </w:r>
      <w:r>
        <w:rPr>
          <w:color w:val="000000" w:themeColor="text1"/>
        </w:rPr>
        <w:t xml:space="preserve"> reālā IKP</w:t>
      </w:r>
      <w:r w:rsidRPr="00F70898">
        <w:rPr>
          <w:color w:val="000000" w:themeColor="text1"/>
        </w:rPr>
        <w:t xml:space="preserve"> </w:t>
      </w:r>
      <w:r>
        <w:rPr>
          <w:color w:val="000000" w:themeColor="text1"/>
        </w:rPr>
        <w:t>un cenu līmeņa pieauguma, politikas pasākuma tiešā fiskālā ietekme procentos pret IKP laikā samazinās. Attiecīgi k</w:t>
      </w:r>
      <w:r w:rsidRPr="00F70898">
        <w:rPr>
          <w:color w:val="000000" w:themeColor="text1"/>
        </w:rPr>
        <w:t xml:space="preserve">ritērijs tam, vai jaunā politikas prioritāte </w:t>
      </w:r>
      <w:r>
        <w:rPr>
          <w:color w:val="000000" w:themeColor="text1"/>
        </w:rPr>
        <w:t>rada riskus</w:t>
      </w:r>
      <w:r w:rsidRPr="00F70898">
        <w:rPr>
          <w:color w:val="000000" w:themeColor="text1"/>
        </w:rPr>
        <w:t xml:space="preserve"> publisko finanšu ilgtspēj</w:t>
      </w:r>
      <w:r>
        <w:rPr>
          <w:color w:val="000000" w:themeColor="text1"/>
        </w:rPr>
        <w:t>ai,</w:t>
      </w:r>
      <w:r w:rsidRPr="00F70898">
        <w:rPr>
          <w:color w:val="000000" w:themeColor="text1"/>
        </w:rPr>
        <w:t xml:space="preserve"> ir pieņemtā politikas pasākuma fiskālās ietekmes pret IKP, dinamik</w:t>
      </w:r>
      <w:r>
        <w:rPr>
          <w:color w:val="000000" w:themeColor="text1"/>
        </w:rPr>
        <w:t>ai</w:t>
      </w:r>
      <w:r w:rsidRPr="00F70898">
        <w:rPr>
          <w:color w:val="000000" w:themeColor="text1"/>
        </w:rPr>
        <w:t>.</w:t>
      </w:r>
    </w:p>
    <w:p w:rsidR="00D440B5" w:rsidRPr="00F70898" w:rsidRDefault="00D440B5" w:rsidP="00D440B5">
      <w:pPr>
        <w:spacing w:line="0" w:lineRule="atLeast"/>
        <w:ind w:firstLine="720"/>
        <w:rPr>
          <w:color w:val="000000" w:themeColor="text1"/>
        </w:rPr>
      </w:pPr>
    </w:p>
    <w:p w:rsidR="00D440B5" w:rsidRPr="00B35CE9" w:rsidRDefault="00D440B5" w:rsidP="00D440B5">
      <w:pPr>
        <w:spacing w:line="0" w:lineRule="atLeast"/>
        <w:jc w:val="center"/>
        <w:rPr>
          <w:b/>
          <w:i/>
          <w:color w:val="000000" w:themeColor="text1"/>
        </w:rPr>
      </w:pPr>
      <w:r w:rsidRPr="008C71C1">
        <w:rPr>
          <w:b/>
          <w:i/>
          <w:color w:val="000000" w:themeColor="text1"/>
        </w:rPr>
        <w:t>2.</w:t>
      </w:r>
      <w:r w:rsidR="008C71C1" w:rsidRPr="008C71C1">
        <w:rPr>
          <w:b/>
          <w:i/>
          <w:color w:val="000000" w:themeColor="text1"/>
        </w:rPr>
        <w:t>5</w:t>
      </w:r>
      <w:r w:rsidRPr="008C71C1">
        <w:rPr>
          <w:b/>
          <w:i/>
          <w:color w:val="000000" w:themeColor="text1"/>
        </w:rPr>
        <w:t>.</w:t>
      </w:r>
      <w:r w:rsidRPr="00B35CE9">
        <w:rPr>
          <w:b/>
          <w:i/>
          <w:color w:val="000000" w:themeColor="text1"/>
        </w:rPr>
        <w:t xml:space="preserve">tabula. Valdības pieņemtie politikas </w:t>
      </w:r>
      <w:r w:rsidRPr="00643DCD">
        <w:rPr>
          <w:b/>
          <w:i/>
          <w:color w:val="000000" w:themeColor="text1"/>
        </w:rPr>
        <w:t>pasākumi (ar ietekmi virs 0,01% no</w:t>
      </w:r>
      <w:r w:rsidRPr="00B35CE9">
        <w:rPr>
          <w:b/>
          <w:i/>
          <w:color w:val="000000" w:themeColor="text1"/>
        </w:rPr>
        <w:t xml:space="preserve"> IKP)</w:t>
      </w:r>
      <w:r>
        <w:rPr>
          <w:rStyle w:val="FootnoteReference"/>
          <w:b/>
          <w:i/>
          <w:color w:val="000000" w:themeColor="text1"/>
        </w:rPr>
        <w:footnoteReference w:id="6"/>
      </w:r>
      <w:r w:rsidRPr="00B35CE9">
        <w:rPr>
          <w:b/>
          <w:i/>
          <w:color w:val="000000" w:themeColor="text1"/>
        </w:rPr>
        <w:t xml:space="preserve">, milj. </w:t>
      </w:r>
      <w:proofErr w:type="spellStart"/>
      <w:r w:rsidRPr="00B35CE9">
        <w:rPr>
          <w:b/>
          <w:i/>
          <w:color w:val="000000" w:themeColor="text1"/>
        </w:rPr>
        <w:t>euro</w:t>
      </w:r>
      <w:proofErr w:type="spellEnd"/>
      <w:r>
        <w:rPr>
          <w:b/>
          <w:i/>
          <w:color w:val="000000" w:themeColor="text1"/>
        </w:rPr>
        <w:t xml:space="preserve">, kuriem ilgtermiņā nav paliekošas ietekmes uz budžeta bāzi, vai arī ietekme uz budžeta bāzi ir nemainīga </w:t>
      </w:r>
    </w:p>
    <w:tbl>
      <w:tblPr>
        <w:tblW w:w="90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006"/>
        <w:gridCol w:w="1126"/>
        <w:gridCol w:w="1658"/>
      </w:tblGrid>
      <w:tr w:rsidR="00306BF2" w:rsidRPr="00F70898" w:rsidTr="00306BF2">
        <w:trPr>
          <w:trHeight w:val="898"/>
          <w:jc w:val="right"/>
        </w:trPr>
        <w:tc>
          <w:tcPr>
            <w:tcW w:w="1271" w:type="dxa"/>
            <w:shd w:val="clear" w:color="auto" w:fill="auto"/>
            <w:noWrap/>
            <w:vAlign w:val="center"/>
            <w:hideMark/>
          </w:tcPr>
          <w:p w:rsidR="00306BF2" w:rsidRPr="00F70898" w:rsidRDefault="00306BF2" w:rsidP="00306BF2">
            <w:pPr>
              <w:spacing w:after="0"/>
              <w:ind w:firstLine="0"/>
              <w:jc w:val="center"/>
              <w:rPr>
                <w:b/>
                <w:color w:val="000000" w:themeColor="text1"/>
                <w:sz w:val="18"/>
                <w:szCs w:val="18"/>
                <w:lang w:eastAsia="lv-LV"/>
              </w:rPr>
            </w:pPr>
            <w:r w:rsidRPr="00F70898">
              <w:rPr>
                <w:b/>
                <w:color w:val="000000" w:themeColor="text1"/>
                <w:sz w:val="18"/>
                <w:szCs w:val="18"/>
                <w:lang w:eastAsia="lv-LV"/>
              </w:rPr>
              <w:t>Ministrija</w:t>
            </w:r>
          </w:p>
        </w:tc>
        <w:tc>
          <w:tcPr>
            <w:tcW w:w="5006" w:type="dxa"/>
            <w:shd w:val="clear" w:color="auto" w:fill="auto"/>
            <w:noWrap/>
            <w:vAlign w:val="center"/>
            <w:hideMark/>
          </w:tcPr>
          <w:p w:rsidR="00306BF2" w:rsidRPr="00F70898" w:rsidRDefault="00306BF2" w:rsidP="00306BF2">
            <w:pPr>
              <w:spacing w:after="0"/>
              <w:jc w:val="center"/>
              <w:rPr>
                <w:b/>
                <w:bCs/>
                <w:color w:val="000000" w:themeColor="text1"/>
                <w:sz w:val="18"/>
                <w:szCs w:val="18"/>
                <w:lang w:eastAsia="lv-LV"/>
              </w:rPr>
            </w:pPr>
            <w:r w:rsidRPr="00F70898">
              <w:rPr>
                <w:b/>
                <w:bCs/>
                <w:color w:val="000000" w:themeColor="text1"/>
                <w:sz w:val="18"/>
                <w:szCs w:val="18"/>
                <w:lang w:eastAsia="lv-LV"/>
              </w:rPr>
              <w:t>Pasākumu saraksts</w:t>
            </w:r>
          </w:p>
        </w:tc>
        <w:tc>
          <w:tcPr>
            <w:tcW w:w="1126" w:type="dxa"/>
            <w:shd w:val="clear" w:color="auto" w:fill="auto"/>
            <w:noWrap/>
            <w:vAlign w:val="center"/>
            <w:hideMark/>
          </w:tcPr>
          <w:p w:rsidR="00306BF2" w:rsidRPr="00F70898" w:rsidRDefault="00306BF2" w:rsidP="00306BF2">
            <w:pPr>
              <w:spacing w:after="0"/>
              <w:ind w:firstLine="0"/>
              <w:rPr>
                <w:b/>
                <w:bCs/>
                <w:color w:val="000000" w:themeColor="text1"/>
                <w:sz w:val="18"/>
                <w:szCs w:val="18"/>
                <w:lang w:eastAsia="lv-LV"/>
              </w:rPr>
            </w:pPr>
            <w:r w:rsidRPr="00F70898">
              <w:rPr>
                <w:b/>
                <w:bCs/>
                <w:color w:val="000000" w:themeColor="text1"/>
                <w:sz w:val="18"/>
                <w:szCs w:val="18"/>
                <w:lang w:eastAsia="lv-LV"/>
              </w:rPr>
              <w:t>Ietekme uz 2019</w:t>
            </w:r>
            <w:r>
              <w:rPr>
                <w:b/>
                <w:bCs/>
                <w:color w:val="000000" w:themeColor="text1"/>
                <w:sz w:val="18"/>
                <w:szCs w:val="18"/>
                <w:lang w:eastAsia="lv-LV"/>
              </w:rPr>
              <w:t>.gadu</w:t>
            </w:r>
          </w:p>
        </w:tc>
        <w:tc>
          <w:tcPr>
            <w:tcW w:w="1658" w:type="dxa"/>
            <w:vAlign w:val="center"/>
          </w:tcPr>
          <w:p w:rsidR="00306BF2" w:rsidRPr="00F70898" w:rsidRDefault="00306BF2" w:rsidP="00306BF2">
            <w:pPr>
              <w:spacing w:after="0"/>
              <w:ind w:firstLine="0"/>
              <w:jc w:val="center"/>
              <w:rPr>
                <w:b/>
                <w:bCs/>
                <w:color w:val="000000" w:themeColor="text1"/>
                <w:sz w:val="18"/>
                <w:szCs w:val="18"/>
                <w:lang w:eastAsia="lv-LV"/>
              </w:rPr>
            </w:pPr>
            <w:r>
              <w:rPr>
                <w:b/>
                <w:bCs/>
                <w:color w:val="000000" w:themeColor="text1"/>
                <w:sz w:val="18"/>
                <w:szCs w:val="18"/>
                <w:lang w:eastAsia="lv-LV"/>
              </w:rPr>
              <w:t>Ietekme uz budžeta bāzi ilgtermiņā</w:t>
            </w:r>
          </w:p>
        </w:tc>
      </w:tr>
      <w:tr w:rsidR="00306BF2" w:rsidRPr="00F70898" w:rsidTr="00306BF2">
        <w:trPr>
          <w:trHeight w:val="424"/>
          <w:jc w:val="right"/>
        </w:trPr>
        <w:tc>
          <w:tcPr>
            <w:tcW w:w="1271" w:type="dxa"/>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sidRPr="00F70898">
              <w:rPr>
                <w:color w:val="000000" w:themeColor="text1"/>
                <w:sz w:val="18"/>
                <w:szCs w:val="18"/>
                <w:lang w:eastAsia="lv-LV"/>
              </w:rPr>
              <w:t>Aizsardzības ministrija</w:t>
            </w: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Palielināts finansējums būvniecības projektu īstenošanai</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1,9</w:t>
            </w:r>
          </w:p>
        </w:tc>
        <w:tc>
          <w:tcPr>
            <w:tcW w:w="1658" w:type="dxa"/>
            <w:vAlign w:val="bottom"/>
          </w:tcPr>
          <w:p w:rsidR="00306BF2" w:rsidRPr="007C7486" w:rsidRDefault="00306BF2" w:rsidP="00306BF2">
            <w:pPr>
              <w:spacing w:after="0"/>
              <w:ind w:firstLine="0"/>
              <w:jc w:val="center"/>
              <w:rPr>
                <w:color w:val="000000" w:themeColor="text1"/>
                <w:sz w:val="18"/>
                <w:szCs w:val="18"/>
                <w:lang w:eastAsia="lv-LV"/>
              </w:rPr>
            </w:pPr>
            <w:r w:rsidRPr="007C7486">
              <w:rPr>
                <w:color w:val="000000" w:themeColor="text1"/>
                <w:sz w:val="18"/>
                <w:szCs w:val="18"/>
                <w:lang w:eastAsia="lv-LV"/>
              </w:rPr>
              <w:t>Nav</w:t>
            </w:r>
          </w:p>
        </w:tc>
      </w:tr>
      <w:tr w:rsidR="00306BF2" w:rsidRPr="00F70898" w:rsidTr="00306BF2">
        <w:trPr>
          <w:trHeight w:val="20"/>
          <w:jc w:val="right"/>
        </w:trPr>
        <w:tc>
          <w:tcPr>
            <w:tcW w:w="1271" w:type="dxa"/>
            <w:vMerge w:val="restart"/>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sidRPr="00F70898">
              <w:rPr>
                <w:color w:val="000000" w:themeColor="text1"/>
                <w:sz w:val="18"/>
                <w:szCs w:val="18"/>
                <w:lang w:eastAsia="lv-LV"/>
              </w:rPr>
              <w:t>Finanšu ministrija</w:t>
            </w: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Palielināti izdevumi atbilstoši MK 08.11.2018 rīkojumam Nr.597-s</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0,5</w:t>
            </w:r>
          </w:p>
        </w:tc>
        <w:tc>
          <w:tcPr>
            <w:tcW w:w="1658" w:type="dxa"/>
            <w:vAlign w:val="bottom"/>
          </w:tcPr>
          <w:p w:rsidR="00306BF2" w:rsidRPr="00F70898" w:rsidRDefault="00306BF2" w:rsidP="00306BF2">
            <w:pPr>
              <w:spacing w:after="0"/>
              <w:ind w:firstLine="0"/>
              <w:jc w:val="center"/>
              <w:rPr>
                <w:color w:val="000000" w:themeColor="text1"/>
                <w:sz w:val="18"/>
                <w:szCs w:val="18"/>
                <w:lang w:eastAsia="lv-LV"/>
              </w:rPr>
            </w:pPr>
            <w:r>
              <w:rPr>
                <w:color w:val="000000" w:themeColor="text1"/>
                <w:sz w:val="18"/>
                <w:szCs w:val="18"/>
                <w:lang w:eastAsia="lv-LV"/>
              </w:rPr>
              <w:t>Nav</w:t>
            </w:r>
          </w:p>
        </w:tc>
      </w:tr>
      <w:tr w:rsidR="00306BF2" w:rsidRPr="00F70898"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Palielināts finansējums prioritārā pasākuma "Pasākumu plāna noziedzīgi iegūtu līdzekļu legalizācijas un terorisma finansēšanas novēršanai laika periodam līdz 2019.gada 31.decembrim īstenošana" īstenošanai</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2,8</w:t>
            </w:r>
          </w:p>
        </w:tc>
        <w:tc>
          <w:tcPr>
            <w:tcW w:w="1658" w:type="dxa"/>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F70898"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Tehniski precizējumi (t.sk. palielināti izdevumi ERAF avansa, starpposma un noslēguma maksājumiem, palielināti izdevumi KF tehniskās palīdzības projektu īstenošanai)</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55,4</w:t>
            </w:r>
          </w:p>
        </w:tc>
        <w:tc>
          <w:tcPr>
            <w:tcW w:w="1658" w:type="dxa"/>
            <w:vAlign w:val="bottom"/>
          </w:tcPr>
          <w:p w:rsidR="00306BF2" w:rsidRPr="00F70898" w:rsidRDefault="00306BF2" w:rsidP="00306BF2">
            <w:pPr>
              <w:spacing w:after="0"/>
              <w:ind w:firstLine="0"/>
              <w:jc w:val="center"/>
              <w:rPr>
                <w:color w:val="000000" w:themeColor="text1"/>
                <w:sz w:val="18"/>
                <w:szCs w:val="18"/>
                <w:lang w:eastAsia="lv-LV"/>
              </w:rPr>
            </w:pPr>
            <w:r>
              <w:rPr>
                <w:color w:val="000000" w:themeColor="text1"/>
                <w:sz w:val="18"/>
                <w:szCs w:val="18"/>
                <w:lang w:eastAsia="lv-LV"/>
              </w:rPr>
              <w:t>Nav</w:t>
            </w:r>
          </w:p>
        </w:tc>
      </w:tr>
      <w:tr w:rsidR="00306BF2" w:rsidRPr="00643DCD" w:rsidTr="00306BF2">
        <w:trPr>
          <w:trHeight w:val="20"/>
          <w:jc w:val="right"/>
        </w:trPr>
        <w:tc>
          <w:tcPr>
            <w:tcW w:w="1271" w:type="dxa"/>
            <w:vMerge w:val="restart"/>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proofErr w:type="spellStart"/>
            <w:r w:rsidRPr="00F70898">
              <w:rPr>
                <w:color w:val="000000" w:themeColor="text1"/>
                <w:sz w:val="18"/>
                <w:szCs w:val="18"/>
                <w:lang w:eastAsia="lv-LV"/>
              </w:rPr>
              <w:t>Iekšlietu</w:t>
            </w:r>
            <w:proofErr w:type="spellEnd"/>
            <w:r w:rsidRPr="00F70898">
              <w:rPr>
                <w:color w:val="000000" w:themeColor="text1"/>
                <w:sz w:val="18"/>
                <w:szCs w:val="18"/>
                <w:lang w:eastAsia="lv-LV"/>
              </w:rPr>
              <w:t xml:space="preserve"> ministrija</w:t>
            </w:r>
          </w:p>
        </w:tc>
        <w:tc>
          <w:tcPr>
            <w:tcW w:w="5006" w:type="dxa"/>
            <w:shd w:val="clear" w:color="auto" w:fill="auto"/>
            <w:vAlign w:val="bottom"/>
            <w:hideMark/>
          </w:tcPr>
          <w:p w:rsidR="00306BF2" w:rsidRPr="00643DCD" w:rsidRDefault="00306BF2" w:rsidP="00F24DCA">
            <w:pPr>
              <w:spacing w:after="0"/>
              <w:jc w:val="right"/>
              <w:rPr>
                <w:i/>
                <w:iCs/>
                <w:color w:val="000000" w:themeColor="text1"/>
                <w:sz w:val="18"/>
                <w:szCs w:val="18"/>
                <w:lang w:eastAsia="lv-LV"/>
              </w:rPr>
            </w:pPr>
            <w:r w:rsidRPr="00643DCD">
              <w:rPr>
                <w:i/>
                <w:iCs/>
                <w:color w:val="000000" w:themeColor="text1"/>
                <w:sz w:val="18"/>
                <w:szCs w:val="18"/>
                <w:lang w:eastAsia="lv-LV"/>
              </w:rPr>
              <w:t>Izdevumu palielinājums, lai nodrošinātu pabalsta izmaksu amatpersonām ar speciālajām dienesta pakāpēm pēc katriem pieciem nepārtrauktas izdienas gadiem</w:t>
            </w:r>
          </w:p>
        </w:tc>
        <w:tc>
          <w:tcPr>
            <w:tcW w:w="1126" w:type="dxa"/>
            <w:shd w:val="clear" w:color="auto" w:fill="auto"/>
            <w:noWrap/>
            <w:vAlign w:val="bottom"/>
            <w:hideMark/>
          </w:tcPr>
          <w:p w:rsidR="00306BF2" w:rsidRPr="00643DCD" w:rsidRDefault="00306BF2" w:rsidP="00306BF2">
            <w:pPr>
              <w:spacing w:after="0"/>
              <w:ind w:firstLine="0"/>
              <w:jc w:val="right"/>
              <w:rPr>
                <w:color w:val="000000" w:themeColor="text1"/>
                <w:sz w:val="18"/>
                <w:szCs w:val="18"/>
                <w:lang w:eastAsia="lv-LV"/>
              </w:rPr>
            </w:pPr>
            <w:r w:rsidRPr="00643DCD">
              <w:rPr>
                <w:color w:val="000000" w:themeColor="text1"/>
                <w:sz w:val="18"/>
                <w:szCs w:val="18"/>
                <w:lang w:eastAsia="lv-LV"/>
              </w:rPr>
              <w:t>35,6</w:t>
            </w:r>
          </w:p>
        </w:tc>
        <w:tc>
          <w:tcPr>
            <w:tcW w:w="1658" w:type="dxa"/>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Izdevumu palielinājums, lai nodrošinātu prioritārā pasākuma "Pasākumu plāna noziedzīgi iegūtu līdzekļu legalizācijas un terorisma finansēšanas novēršanai laika periodam līdz 2019.gada 31.decembrim īstenošana" īstenošanu</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3,8</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Tehniski precizējumi (t.sk. palielināti izdevumi projekta "ABC vārtu uzstādīšana Starptautiskajā lidostā "Rīga"" īstenošanai un citu ES politikas instrumentu finansēšanai)</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6,9</w:t>
            </w:r>
          </w:p>
        </w:tc>
        <w:tc>
          <w:tcPr>
            <w:tcW w:w="1658" w:type="dxa"/>
            <w:shd w:val="clear" w:color="auto" w:fill="auto"/>
            <w:vAlign w:val="bottom"/>
          </w:tcPr>
          <w:p w:rsidR="00306BF2" w:rsidRPr="00951D47" w:rsidRDefault="007C7486" w:rsidP="00306BF2">
            <w:pPr>
              <w:spacing w:after="0"/>
              <w:ind w:firstLine="0"/>
              <w:jc w:val="center"/>
              <w:rPr>
                <w:color w:val="000000" w:themeColor="text1"/>
                <w:sz w:val="18"/>
                <w:szCs w:val="18"/>
                <w:lang w:eastAsia="lv-LV"/>
              </w:rPr>
            </w:pPr>
            <w:r>
              <w:rPr>
                <w:color w:val="000000" w:themeColor="text1"/>
                <w:sz w:val="18"/>
                <w:szCs w:val="18"/>
                <w:lang w:eastAsia="lv-LV"/>
              </w:rPr>
              <w:t>Nav</w:t>
            </w:r>
          </w:p>
        </w:tc>
      </w:tr>
      <w:tr w:rsidR="00306BF2" w:rsidRPr="00951D47" w:rsidTr="00306BF2">
        <w:trPr>
          <w:trHeight w:val="458"/>
          <w:jc w:val="right"/>
        </w:trPr>
        <w:tc>
          <w:tcPr>
            <w:tcW w:w="1271" w:type="dxa"/>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sidRPr="00F70898">
              <w:rPr>
                <w:color w:val="000000" w:themeColor="text1"/>
                <w:sz w:val="18"/>
                <w:szCs w:val="18"/>
                <w:lang w:eastAsia="lv-LV"/>
              </w:rPr>
              <w:t>Izglītības un zinātnes ministrija</w:t>
            </w: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 xml:space="preserve">Tehniski precizējumi(t.sk. palielināti izdevumi ES programmas </w:t>
            </w:r>
            <w:proofErr w:type="spellStart"/>
            <w:r w:rsidRPr="00F70898">
              <w:rPr>
                <w:i/>
                <w:iCs/>
                <w:color w:val="000000" w:themeColor="text1"/>
                <w:sz w:val="18"/>
                <w:szCs w:val="18"/>
                <w:lang w:eastAsia="lv-LV"/>
              </w:rPr>
              <w:t>Erasmus</w:t>
            </w:r>
            <w:proofErr w:type="spellEnd"/>
            <w:r w:rsidRPr="00F70898">
              <w:rPr>
                <w:i/>
                <w:iCs/>
                <w:color w:val="000000" w:themeColor="text1"/>
                <w:sz w:val="18"/>
                <w:szCs w:val="18"/>
                <w:lang w:eastAsia="lv-LV"/>
              </w:rPr>
              <w:t>+ projektu īstenošanas nodrošināšanai)</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13,8</w:t>
            </w:r>
          </w:p>
        </w:tc>
        <w:tc>
          <w:tcPr>
            <w:tcW w:w="1658" w:type="dxa"/>
            <w:shd w:val="clear" w:color="auto" w:fill="auto"/>
            <w:vAlign w:val="bottom"/>
          </w:tcPr>
          <w:p w:rsidR="00306BF2" w:rsidRPr="00951D47" w:rsidRDefault="007C7486" w:rsidP="00306BF2">
            <w:pPr>
              <w:spacing w:after="0"/>
              <w:ind w:firstLine="0"/>
              <w:jc w:val="center"/>
              <w:rPr>
                <w:color w:val="000000" w:themeColor="text1"/>
                <w:sz w:val="18"/>
                <w:szCs w:val="18"/>
                <w:lang w:eastAsia="lv-LV"/>
              </w:rPr>
            </w:pPr>
            <w:r>
              <w:rPr>
                <w:color w:val="000000" w:themeColor="text1"/>
                <w:sz w:val="18"/>
                <w:szCs w:val="18"/>
                <w:lang w:eastAsia="lv-LV"/>
              </w:rPr>
              <w:t>Nav</w:t>
            </w:r>
          </w:p>
        </w:tc>
      </w:tr>
      <w:tr w:rsidR="00306BF2" w:rsidRPr="00951D47" w:rsidTr="00306BF2">
        <w:trPr>
          <w:trHeight w:val="414"/>
          <w:jc w:val="right"/>
        </w:trPr>
        <w:tc>
          <w:tcPr>
            <w:tcW w:w="1271" w:type="dxa"/>
            <w:vMerge w:val="restart"/>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sidRPr="00F70898">
              <w:rPr>
                <w:color w:val="000000" w:themeColor="text1"/>
                <w:sz w:val="18"/>
                <w:szCs w:val="18"/>
                <w:lang w:eastAsia="lv-LV"/>
              </w:rPr>
              <w:lastRenderedPageBreak/>
              <w:t>Zemkopības ministrija</w:t>
            </w:r>
          </w:p>
        </w:tc>
        <w:tc>
          <w:tcPr>
            <w:tcW w:w="5006" w:type="dxa"/>
            <w:shd w:val="clear" w:color="auto" w:fill="auto"/>
            <w:vAlign w:val="bottom"/>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Āfrikas cūku mēra uzraudzības un apkarošanas programmas īstenošana un Pārtikas un veterinārā dienesta kapacitātes nodrošināšana</w:t>
            </w:r>
          </w:p>
        </w:tc>
        <w:tc>
          <w:tcPr>
            <w:tcW w:w="1126" w:type="dxa"/>
            <w:shd w:val="clear" w:color="auto" w:fill="auto"/>
            <w:noWrap/>
            <w:vAlign w:val="bottom"/>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0,5</w:t>
            </w:r>
          </w:p>
        </w:tc>
        <w:tc>
          <w:tcPr>
            <w:tcW w:w="1658" w:type="dxa"/>
            <w:shd w:val="clear" w:color="auto" w:fill="auto"/>
            <w:vAlign w:val="bottom"/>
          </w:tcPr>
          <w:p w:rsidR="00306BF2" w:rsidRPr="00951D47" w:rsidRDefault="007C7486" w:rsidP="00306BF2">
            <w:pPr>
              <w:spacing w:after="0"/>
              <w:ind w:firstLine="0"/>
              <w:jc w:val="center"/>
              <w:rPr>
                <w:color w:val="000000" w:themeColor="text1"/>
                <w:sz w:val="18"/>
                <w:szCs w:val="18"/>
                <w:lang w:eastAsia="lv-LV"/>
              </w:rPr>
            </w:pPr>
            <w:r>
              <w:rPr>
                <w:color w:val="000000" w:themeColor="text1"/>
                <w:sz w:val="18"/>
                <w:szCs w:val="18"/>
                <w:lang w:eastAsia="lv-LV"/>
              </w:rPr>
              <w:t>Nav</w:t>
            </w:r>
          </w:p>
        </w:tc>
      </w:tr>
      <w:tr w:rsidR="00306BF2" w:rsidRPr="00951D47"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Tehniski precizējumi (t.sk. palielināti izdevumi citu ES politiku instrumentu projektu un pasākumu īstenošanai (piem. Solidaritātes fonda programmas par 2017. gada spēcīgo lietavu un to izraisīto plūdu radīto seku novēršanai))</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22,5</w:t>
            </w:r>
          </w:p>
        </w:tc>
        <w:tc>
          <w:tcPr>
            <w:tcW w:w="1658" w:type="dxa"/>
            <w:shd w:val="clear" w:color="auto" w:fill="auto"/>
            <w:vAlign w:val="bottom"/>
          </w:tcPr>
          <w:p w:rsidR="00306BF2" w:rsidRPr="00951D47" w:rsidRDefault="007C7486" w:rsidP="00306BF2">
            <w:pPr>
              <w:spacing w:after="0"/>
              <w:ind w:firstLine="0"/>
              <w:jc w:val="center"/>
              <w:rPr>
                <w:color w:val="000000" w:themeColor="text1"/>
                <w:sz w:val="18"/>
                <w:szCs w:val="18"/>
                <w:lang w:eastAsia="lv-LV"/>
              </w:rPr>
            </w:pPr>
            <w:r>
              <w:rPr>
                <w:color w:val="000000" w:themeColor="text1"/>
                <w:sz w:val="18"/>
                <w:szCs w:val="18"/>
                <w:lang w:eastAsia="lv-LV"/>
              </w:rPr>
              <w:t>Nav</w:t>
            </w:r>
          </w:p>
        </w:tc>
      </w:tr>
      <w:tr w:rsidR="00306BF2" w:rsidRPr="00951D47" w:rsidTr="00306BF2">
        <w:trPr>
          <w:trHeight w:val="20"/>
          <w:jc w:val="right"/>
        </w:trPr>
        <w:tc>
          <w:tcPr>
            <w:tcW w:w="1271" w:type="dxa"/>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sidRPr="00F70898">
              <w:rPr>
                <w:color w:val="000000" w:themeColor="text1"/>
                <w:sz w:val="18"/>
                <w:szCs w:val="18"/>
                <w:lang w:eastAsia="lv-LV"/>
              </w:rPr>
              <w:t>Satiksmes ministrija</w:t>
            </w: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Tehniski precizējumi (t.sk. palielināti izdevumi citu ES politiku instrumentu projektu un pasākumu īstenošanai)</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7,1</w:t>
            </w:r>
          </w:p>
        </w:tc>
        <w:tc>
          <w:tcPr>
            <w:tcW w:w="1658" w:type="dxa"/>
            <w:shd w:val="clear" w:color="auto" w:fill="auto"/>
            <w:vAlign w:val="bottom"/>
          </w:tcPr>
          <w:p w:rsidR="00306BF2" w:rsidRPr="00951D47" w:rsidRDefault="007C7486" w:rsidP="00306BF2">
            <w:pPr>
              <w:spacing w:after="0"/>
              <w:ind w:firstLine="0"/>
              <w:jc w:val="center"/>
              <w:rPr>
                <w:bCs/>
                <w:i/>
                <w:color w:val="000000" w:themeColor="text1"/>
                <w:sz w:val="18"/>
                <w:szCs w:val="18"/>
                <w:lang w:eastAsia="lv-LV"/>
              </w:rPr>
            </w:pPr>
            <w:r>
              <w:rPr>
                <w:color w:val="000000" w:themeColor="text1"/>
                <w:sz w:val="18"/>
                <w:szCs w:val="18"/>
                <w:lang w:eastAsia="lv-LV"/>
              </w:rPr>
              <w:t>Nav</w:t>
            </w:r>
          </w:p>
        </w:tc>
      </w:tr>
      <w:tr w:rsidR="00306BF2" w:rsidRPr="00951D47" w:rsidTr="00306BF2">
        <w:trPr>
          <w:trHeight w:val="20"/>
          <w:jc w:val="right"/>
        </w:trPr>
        <w:tc>
          <w:tcPr>
            <w:tcW w:w="1271" w:type="dxa"/>
            <w:vMerge w:val="restart"/>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sidRPr="00F70898">
              <w:rPr>
                <w:color w:val="000000" w:themeColor="text1"/>
                <w:sz w:val="18"/>
                <w:szCs w:val="18"/>
                <w:lang w:eastAsia="lv-LV"/>
              </w:rPr>
              <w:t>Tieslietu ministrija</w:t>
            </w: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Palielināti izdevumi, lai nodrošinātu tiesnešu atalgojuma palielināšanu</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4,2</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6B3C23"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6B3C23" w:rsidRDefault="00306BF2" w:rsidP="00F24DCA">
            <w:pPr>
              <w:spacing w:after="0"/>
              <w:jc w:val="right"/>
              <w:rPr>
                <w:i/>
                <w:iCs/>
                <w:color w:val="000000" w:themeColor="text1"/>
                <w:sz w:val="18"/>
                <w:szCs w:val="18"/>
                <w:lang w:eastAsia="lv-LV"/>
              </w:rPr>
            </w:pPr>
            <w:r w:rsidRPr="006B3C23">
              <w:rPr>
                <w:i/>
                <w:iCs/>
                <w:color w:val="000000" w:themeColor="text1"/>
                <w:sz w:val="18"/>
                <w:szCs w:val="18"/>
                <w:lang w:eastAsia="lv-LV"/>
              </w:rPr>
              <w:t>Palielināti izdevumi saskaņā ar Ministru kabineta rīkojuma Nr.572-s 3.punktu</w:t>
            </w:r>
          </w:p>
        </w:tc>
        <w:tc>
          <w:tcPr>
            <w:tcW w:w="1126" w:type="dxa"/>
            <w:shd w:val="clear" w:color="auto" w:fill="auto"/>
            <w:noWrap/>
            <w:vAlign w:val="bottom"/>
            <w:hideMark/>
          </w:tcPr>
          <w:p w:rsidR="00306BF2" w:rsidRPr="006B3C23" w:rsidRDefault="00306BF2" w:rsidP="00306BF2">
            <w:pPr>
              <w:spacing w:after="0"/>
              <w:ind w:firstLine="0"/>
              <w:jc w:val="right"/>
              <w:rPr>
                <w:color w:val="000000" w:themeColor="text1"/>
                <w:sz w:val="18"/>
                <w:szCs w:val="18"/>
                <w:lang w:eastAsia="lv-LV"/>
              </w:rPr>
            </w:pPr>
            <w:r w:rsidRPr="006B3C23">
              <w:rPr>
                <w:color w:val="000000" w:themeColor="text1"/>
                <w:sz w:val="18"/>
                <w:szCs w:val="18"/>
                <w:lang w:eastAsia="lv-LV"/>
              </w:rPr>
              <w:t>2,4</w:t>
            </w:r>
          </w:p>
        </w:tc>
        <w:tc>
          <w:tcPr>
            <w:tcW w:w="1658" w:type="dxa"/>
            <w:shd w:val="clear" w:color="auto" w:fill="auto"/>
            <w:vAlign w:val="bottom"/>
          </w:tcPr>
          <w:p w:rsidR="00306BF2" w:rsidRPr="006B3C23" w:rsidRDefault="007C7486" w:rsidP="00306BF2">
            <w:pPr>
              <w:spacing w:after="0"/>
              <w:ind w:firstLine="0"/>
              <w:jc w:val="center"/>
              <w:rPr>
                <w:color w:val="000000" w:themeColor="text1"/>
                <w:sz w:val="18"/>
                <w:szCs w:val="18"/>
                <w:lang w:eastAsia="lv-LV"/>
              </w:rPr>
            </w:pPr>
            <w:r>
              <w:rPr>
                <w:color w:val="000000" w:themeColor="text1"/>
                <w:sz w:val="18"/>
                <w:szCs w:val="18"/>
                <w:lang w:eastAsia="lv-LV"/>
              </w:rPr>
              <w:t>Nav</w:t>
            </w:r>
          </w:p>
        </w:tc>
      </w:tr>
      <w:tr w:rsidR="00306BF2" w:rsidRPr="00643DCD"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643DCD" w:rsidRDefault="00306BF2" w:rsidP="00F24DCA">
            <w:pPr>
              <w:spacing w:after="0"/>
              <w:jc w:val="right"/>
              <w:rPr>
                <w:i/>
                <w:iCs/>
                <w:color w:val="000000" w:themeColor="text1"/>
                <w:sz w:val="18"/>
                <w:szCs w:val="18"/>
                <w:lang w:eastAsia="lv-LV"/>
              </w:rPr>
            </w:pPr>
            <w:r w:rsidRPr="00643DCD">
              <w:rPr>
                <w:i/>
                <w:iCs/>
                <w:color w:val="000000" w:themeColor="text1"/>
                <w:sz w:val="18"/>
                <w:szCs w:val="18"/>
                <w:lang w:eastAsia="lv-LV"/>
              </w:rPr>
              <w:t>Palielināti izdevumi, lai nodrošinātu izdienas pabalstu izmaksu Ieslodzījuma vietu pārvaldes amatpersonām ar speciālo dienesta pakāpi pēc katriem pieciem nepārtrauktas izdienas gadiem</w:t>
            </w:r>
          </w:p>
        </w:tc>
        <w:tc>
          <w:tcPr>
            <w:tcW w:w="1126" w:type="dxa"/>
            <w:shd w:val="clear" w:color="auto" w:fill="auto"/>
            <w:noWrap/>
            <w:vAlign w:val="bottom"/>
            <w:hideMark/>
          </w:tcPr>
          <w:p w:rsidR="00306BF2" w:rsidRPr="00643DCD" w:rsidRDefault="00306BF2" w:rsidP="00306BF2">
            <w:pPr>
              <w:spacing w:after="0"/>
              <w:ind w:firstLine="0"/>
              <w:jc w:val="right"/>
              <w:rPr>
                <w:color w:val="000000" w:themeColor="text1"/>
                <w:sz w:val="18"/>
                <w:szCs w:val="18"/>
                <w:lang w:eastAsia="lv-LV"/>
              </w:rPr>
            </w:pPr>
            <w:r w:rsidRPr="00643DCD">
              <w:rPr>
                <w:color w:val="000000" w:themeColor="text1"/>
                <w:sz w:val="18"/>
                <w:szCs w:val="18"/>
                <w:lang w:eastAsia="lv-LV"/>
              </w:rPr>
              <w:t>5,7</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414"/>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Papildu finansējums, lai nodrošinātu valsts garantēto uzturlīdzekļu izmaksu no Uzturlīdzekļu garantiju fonda</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7,9</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 xml:space="preserve">Tehniski precizējumi (t.sk. palielināti izdevumi, lai nodrošinātu valsts garantēto uzturlīdzekļu izmaksu no Uzturlīdzekļu garantiju fonda) </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6,2</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20"/>
          <w:jc w:val="right"/>
        </w:trPr>
        <w:tc>
          <w:tcPr>
            <w:tcW w:w="1271" w:type="dxa"/>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Pr>
                <w:color w:val="000000" w:themeColor="text1"/>
                <w:sz w:val="18"/>
                <w:szCs w:val="18"/>
                <w:lang w:eastAsia="lv-LV"/>
              </w:rPr>
              <w:t>VARAM</w:t>
            </w: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Tehniski precizējumi (t.sk. finansējuma pārrobežu sadarbības programmu darbības nodrošināšanai, projektiem un pasākumiem)</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14,1</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Nav</w:t>
            </w:r>
          </w:p>
        </w:tc>
      </w:tr>
      <w:tr w:rsidR="00306BF2" w:rsidRPr="00951D47" w:rsidTr="00306BF2">
        <w:trPr>
          <w:trHeight w:val="20"/>
          <w:jc w:val="right"/>
        </w:trPr>
        <w:tc>
          <w:tcPr>
            <w:tcW w:w="1271" w:type="dxa"/>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sidRPr="00F70898">
              <w:rPr>
                <w:color w:val="000000" w:themeColor="text1"/>
                <w:sz w:val="18"/>
                <w:szCs w:val="18"/>
                <w:lang w:eastAsia="lv-LV"/>
              </w:rPr>
              <w:t>Kultūras ministrija</w:t>
            </w: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 xml:space="preserve">Tehniski precizējumi (t.sk. finansējuma palielinājums ERAF projektu "Infrastruktūras modernizācija", "Infrastruktūras attīstība", "Kultūras mantojuma satura </w:t>
            </w:r>
            <w:proofErr w:type="spellStart"/>
            <w:r w:rsidRPr="00F70898">
              <w:rPr>
                <w:i/>
                <w:iCs/>
                <w:color w:val="000000" w:themeColor="text1"/>
                <w:sz w:val="18"/>
                <w:szCs w:val="18"/>
                <w:lang w:eastAsia="lv-LV"/>
              </w:rPr>
              <w:t>digitalizācija</w:t>
            </w:r>
            <w:proofErr w:type="spellEnd"/>
            <w:r w:rsidRPr="00F70898">
              <w:rPr>
                <w:i/>
                <w:iCs/>
                <w:color w:val="000000" w:themeColor="text1"/>
                <w:sz w:val="18"/>
                <w:szCs w:val="18"/>
                <w:lang w:eastAsia="lv-LV"/>
              </w:rPr>
              <w:t>" un "Profesionālās kultūrizglītības mācību vides modernizēšana" īstenošanai)</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5,1</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Nav</w:t>
            </w:r>
          </w:p>
        </w:tc>
      </w:tr>
      <w:tr w:rsidR="00306BF2" w:rsidRPr="00951D47" w:rsidTr="00306BF2">
        <w:trPr>
          <w:trHeight w:val="20"/>
          <w:jc w:val="right"/>
        </w:trPr>
        <w:tc>
          <w:tcPr>
            <w:tcW w:w="1271" w:type="dxa"/>
            <w:vMerge w:val="restart"/>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sidRPr="00F70898">
              <w:rPr>
                <w:color w:val="000000" w:themeColor="text1"/>
                <w:sz w:val="18"/>
                <w:szCs w:val="18"/>
                <w:lang w:eastAsia="lv-LV"/>
              </w:rPr>
              <w:t>Veselības ministrija</w:t>
            </w: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 xml:space="preserve">Palielināti izdevumi, lai nodrošinātu e-veselības sistēmas darbību </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1,9</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Palielināti izdevumi, lai nodrošinātu darba samaksas palielināšanu pārējam personālam, kas nav ārstniecības personas, saistībā ar valsts apmaksāto veselības aprūpes pakalpojumu sniegšanu</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9,7</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 xml:space="preserve">Palielināti izdevumi, lai nodrošinātu darba samaksas palielināšanu ārstniecības personām, tai skaitā saistībā ar pagarinātā normālā darba laika atcelšanu </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3,6</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 xml:space="preserve">Palielināti izdevumi, lai nodrošinātu ārstniecības personu zemāko mēnešalgas likmes palielināšanu </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62,7</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818"/>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 xml:space="preserve">Palielināti izdevumi, lai nodrošinātu darba samaksas palielināšanu Neatliekamās medicīniskās palīdzības dienestā strādājošām ārstniecības personām un neatliekamās medicīniskās palīdzības brigādes operatīvā medicīniskā transportlīdzekļa vadītājiem </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8,0</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20"/>
          <w:jc w:val="right"/>
        </w:trPr>
        <w:tc>
          <w:tcPr>
            <w:tcW w:w="1271" w:type="dxa"/>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sidRPr="00F70898">
              <w:rPr>
                <w:color w:val="000000" w:themeColor="text1"/>
                <w:sz w:val="18"/>
                <w:szCs w:val="18"/>
                <w:lang w:eastAsia="lv-LV"/>
              </w:rPr>
              <w:t>Prokuratūra</w:t>
            </w: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Palielināti izdevumi prokuroru atalgojuma nodrošināšanai</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4,6</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414"/>
          <w:jc w:val="right"/>
        </w:trPr>
        <w:tc>
          <w:tcPr>
            <w:tcW w:w="1271" w:type="dxa"/>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sidRPr="00F70898">
              <w:rPr>
                <w:color w:val="000000" w:themeColor="text1"/>
                <w:sz w:val="18"/>
                <w:szCs w:val="18"/>
                <w:lang w:eastAsia="lv-LV"/>
              </w:rPr>
              <w:t>Dotācija pašvaldībām</w:t>
            </w:r>
          </w:p>
        </w:tc>
        <w:tc>
          <w:tcPr>
            <w:tcW w:w="5006" w:type="dxa"/>
            <w:shd w:val="clear" w:color="auto" w:fill="auto"/>
            <w:vAlign w:val="bottom"/>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Tehniskie precizējumi</w:t>
            </w:r>
          </w:p>
        </w:tc>
        <w:tc>
          <w:tcPr>
            <w:tcW w:w="1126" w:type="dxa"/>
            <w:shd w:val="clear" w:color="auto" w:fill="auto"/>
            <w:noWrap/>
            <w:vAlign w:val="bottom"/>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-3,4</w:t>
            </w:r>
          </w:p>
        </w:tc>
        <w:tc>
          <w:tcPr>
            <w:tcW w:w="1658" w:type="dxa"/>
            <w:shd w:val="clear" w:color="auto" w:fill="auto"/>
            <w:vAlign w:val="bottom"/>
          </w:tcPr>
          <w:p w:rsidR="00306BF2" w:rsidRPr="007C7486" w:rsidRDefault="007C7486" w:rsidP="00306BF2">
            <w:pPr>
              <w:spacing w:after="0"/>
              <w:ind w:firstLine="0"/>
              <w:jc w:val="center"/>
              <w:rPr>
                <w:color w:val="000000" w:themeColor="text1"/>
                <w:sz w:val="18"/>
                <w:szCs w:val="18"/>
                <w:lang w:eastAsia="lv-LV"/>
              </w:rPr>
            </w:pPr>
            <w:r>
              <w:rPr>
                <w:color w:val="000000" w:themeColor="text1"/>
                <w:sz w:val="18"/>
                <w:szCs w:val="18"/>
                <w:lang w:eastAsia="lv-LV"/>
              </w:rPr>
              <w:t>Nav</w:t>
            </w:r>
          </w:p>
        </w:tc>
      </w:tr>
      <w:tr w:rsidR="00306BF2" w:rsidRPr="00951D47" w:rsidTr="00306BF2">
        <w:trPr>
          <w:trHeight w:val="20"/>
          <w:jc w:val="right"/>
        </w:trPr>
        <w:tc>
          <w:tcPr>
            <w:tcW w:w="1271" w:type="dxa"/>
            <w:vMerge w:val="restart"/>
            <w:shd w:val="clear" w:color="auto" w:fill="auto"/>
            <w:vAlign w:val="center"/>
            <w:hideMark/>
          </w:tcPr>
          <w:p w:rsidR="00306BF2" w:rsidRPr="00F70898" w:rsidRDefault="00306BF2" w:rsidP="00306BF2">
            <w:pPr>
              <w:spacing w:after="0"/>
              <w:ind w:firstLine="0"/>
              <w:jc w:val="center"/>
              <w:rPr>
                <w:color w:val="000000" w:themeColor="text1"/>
                <w:sz w:val="18"/>
                <w:szCs w:val="18"/>
                <w:lang w:eastAsia="lv-LV"/>
              </w:rPr>
            </w:pPr>
            <w:r w:rsidRPr="00F70898">
              <w:rPr>
                <w:color w:val="000000" w:themeColor="text1"/>
                <w:sz w:val="18"/>
                <w:szCs w:val="18"/>
                <w:lang w:eastAsia="lv-LV"/>
              </w:rPr>
              <w:t>Labklājības ministrija</w:t>
            </w: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Palielināti resursi un izdevumi, lai nodrošinātu prioritārā pasākuma “Īpašas kopšanas pabalsta bērniem un pieaugušajiem ar invaliditāti kopš bērnības pilnveidošana” īstenošanu</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2,7</w:t>
            </w:r>
          </w:p>
        </w:tc>
        <w:tc>
          <w:tcPr>
            <w:tcW w:w="1658" w:type="dxa"/>
            <w:shd w:val="clear" w:color="auto" w:fill="auto"/>
            <w:vAlign w:val="bottom"/>
          </w:tcPr>
          <w:p w:rsidR="00306BF2" w:rsidRPr="007C7486" w:rsidRDefault="00306BF2" w:rsidP="00306BF2">
            <w:pPr>
              <w:spacing w:after="0"/>
              <w:ind w:firstLine="0"/>
              <w:jc w:val="center"/>
              <w:rPr>
                <w:bCs/>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343"/>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Palielināti resursi un izdevumi, lai nodrošinātu prioritārā pasākuma “Ilgstošās sociālās aprūpes pakalpojuma kvalitātes uzlabošana” īstenošanu</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4,8</w:t>
            </w:r>
          </w:p>
        </w:tc>
        <w:tc>
          <w:tcPr>
            <w:tcW w:w="1658" w:type="dxa"/>
            <w:shd w:val="clear" w:color="auto" w:fill="auto"/>
            <w:vAlign w:val="bottom"/>
          </w:tcPr>
          <w:p w:rsidR="00306BF2" w:rsidRPr="007C7486" w:rsidRDefault="00306BF2" w:rsidP="00306BF2">
            <w:pPr>
              <w:spacing w:after="0"/>
              <w:ind w:firstLine="0"/>
              <w:jc w:val="center"/>
              <w:rPr>
                <w:color w:val="000000" w:themeColor="text1"/>
                <w:sz w:val="18"/>
                <w:szCs w:val="18"/>
                <w:lang w:eastAsia="lv-LV"/>
              </w:rPr>
            </w:pPr>
            <w:r w:rsidRPr="007C7486">
              <w:rPr>
                <w:bCs/>
                <w:color w:val="000000" w:themeColor="text1"/>
                <w:sz w:val="18"/>
                <w:szCs w:val="18"/>
                <w:lang w:eastAsia="lv-LV"/>
              </w:rPr>
              <w:t>Nemainīgs</w:t>
            </w:r>
          </w:p>
        </w:tc>
      </w:tr>
      <w:tr w:rsidR="00306BF2" w:rsidRPr="00951D47" w:rsidTr="00306BF2">
        <w:trPr>
          <w:trHeight w:val="20"/>
          <w:jc w:val="right"/>
        </w:trPr>
        <w:tc>
          <w:tcPr>
            <w:tcW w:w="1271" w:type="dxa"/>
            <w:vMerge/>
            <w:vAlign w:val="center"/>
            <w:hideMark/>
          </w:tcPr>
          <w:p w:rsidR="00306BF2" w:rsidRPr="00F70898" w:rsidRDefault="00306BF2" w:rsidP="00F24DCA">
            <w:pPr>
              <w:spacing w:after="0"/>
              <w:rPr>
                <w:color w:val="000000" w:themeColor="text1"/>
                <w:sz w:val="18"/>
                <w:szCs w:val="18"/>
                <w:lang w:eastAsia="lv-LV"/>
              </w:rPr>
            </w:pPr>
          </w:p>
        </w:tc>
        <w:tc>
          <w:tcPr>
            <w:tcW w:w="5006" w:type="dxa"/>
            <w:shd w:val="clear" w:color="auto" w:fill="auto"/>
            <w:vAlign w:val="bottom"/>
            <w:hideMark/>
          </w:tcPr>
          <w:p w:rsidR="00306BF2" w:rsidRPr="00F70898" w:rsidRDefault="00306BF2" w:rsidP="00F24DCA">
            <w:pPr>
              <w:spacing w:after="0"/>
              <w:jc w:val="right"/>
              <w:rPr>
                <w:i/>
                <w:iCs/>
                <w:color w:val="000000" w:themeColor="text1"/>
                <w:sz w:val="18"/>
                <w:szCs w:val="18"/>
                <w:lang w:eastAsia="lv-LV"/>
              </w:rPr>
            </w:pPr>
            <w:r w:rsidRPr="00F70898">
              <w:rPr>
                <w:i/>
                <w:iCs/>
                <w:color w:val="000000" w:themeColor="text1"/>
                <w:sz w:val="18"/>
                <w:szCs w:val="18"/>
                <w:lang w:eastAsia="lv-LV"/>
              </w:rPr>
              <w:t>Tehniskie precizējumi (t.sk. palielināti izdevumi ERAF īstenotajiem projektiem labklājības nozarē)</w:t>
            </w:r>
          </w:p>
        </w:tc>
        <w:tc>
          <w:tcPr>
            <w:tcW w:w="1126" w:type="dxa"/>
            <w:shd w:val="clear" w:color="auto" w:fill="auto"/>
            <w:noWrap/>
            <w:vAlign w:val="bottom"/>
            <w:hideMark/>
          </w:tcPr>
          <w:p w:rsidR="00306BF2" w:rsidRPr="00F70898" w:rsidRDefault="00306BF2" w:rsidP="00306BF2">
            <w:pPr>
              <w:spacing w:after="0"/>
              <w:ind w:firstLine="0"/>
              <w:jc w:val="right"/>
              <w:rPr>
                <w:color w:val="000000" w:themeColor="text1"/>
                <w:sz w:val="18"/>
                <w:szCs w:val="18"/>
                <w:lang w:eastAsia="lv-LV"/>
              </w:rPr>
            </w:pPr>
            <w:r w:rsidRPr="00F70898">
              <w:rPr>
                <w:color w:val="000000" w:themeColor="text1"/>
                <w:sz w:val="18"/>
                <w:szCs w:val="18"/>
                <w:lang w:eastAsia="lv-LV"/>
              </w:rPr>
              <w:t>4,4</w:t>
            </w:r>
          </w:p>
        </w:tc>
        <w:tc>
          <w:tcPr>
            <w:tcW w:w="1658" w:type="dxa"/>
            <w:shd w:val="clear" w:color="auto" w:fill="auto"/>
            <w:vAlign w:val="bottom"/>
          </w:tcPr>
          <w:p w:rsidR="00306BF2" w:rsidRPr="00951D47" w:rsidRDefault="007C7486" w:rsidP="00306BF2">
            <w:pPr>
              <w:spacing w:after="0"/>
              <w:ind w:firstLine="0"/>
              <w:jc w:val="center"/>
              <w:rPr>
                <w:color w:val="000000" w:themeColor="text1"/>
                <w:sz w:val="18"/>
                <w:szCs w:val="18"/>
                <w:lang w:eastAsia="lv-LV"/>
              </w:rPr>
            </w:pPr>
            <w:r>
              <w:rPr>
                <w:color w:val="000000" w:themeColor="text1"/>
                <w:sz w:val="18"/>
                <w:szCs w:val="18"/>
                <w:lang w:eastAsia="lv-LV"/>
              </w:rPr>
              <w:t>Nav</w:t>
            </w:r>
          </w:p>
        </w:tc>
      </w:tr>
    </w:tbl>
    <w:p w:rsidR="00D440B5" w:rsidRDefault="00D440B5" w:rsidP="00D440B5">
      <w:pPr>
        <w:ind w:firstLine="720"/>
        <w:jc w:val="center"/>
        <w:rPr>
          <w:b/>
          <w:color w:val="000000" w:themeColor="text1"/>
        </w:rPr>
      </w:pPr>
    </w:p>
    <w:p w:rsidR="00314A65" w:rsidRDefault="00314A65" w:rsidP="00146152">
      <w:pPr>
        <w:ind w:firstLine="720"/>
        <w:jc w:val="center"/>
        <w:rPr>
          <w:b/>
          <w:color w:val="000000" w:themeColor="text1"/>
        </w:rPr>
      </w:pPr>
    </w:p>
    <w:p w:rsidR="00314A65" w:rsidRDefault="00314A65" w:rsidP="00146152">
      <w:pPr>
        <w:ind w:firstLine="720"/>
        <w:jc w:val="center"/>
        <w:rPr>
          <w:b/>
          <w:color w:val="000000" w:themeColor="text1"/>
        </w:rPr>
      </w:pPr>
    </w:p>
    <w:p w:rsidR="000F44FB" w:rsidRDefault="000F44FB" w:rsidP="00146152">
      <w:pPr>
        <w:ind w:firstLine="720"/>
        <w:jc w:val="center"/>
        <w:rPr>
          <w:b/>
          <w:color w:val="000000" w:themeColor="text1"/>
        </w:rPr>
      </w:pPr>
    </w:p>
    <w:p w:rsidR="000F44FB" w:rsidRDefault="000F44FB" w:rsidP="00146152">
      <w:pPr>
        <w:ind w:firstLine="720"/>
        <w:jc w:val="center"/>
        <w:rPr>
          <w:b/>
          <w:color w:val="000000" w:themeColor="text1"/>
        </w:rPr>
      </w:pPr>
    </w:p>
    <w:p w:rsidR="00146152" w:rsidRPr="009C2C6F" w:rsidRDefault="00146152" w:rsidP="00146152">
      <w:pPr>
        <w:ind w:firstLine="720"/>
        <w:jc w:val="center"/>
        <w:rPr>
          <w:b/>
          <w:color w:val="000000" w:themeColor="text1"/>
        </w:rPr>
      </w:pPr>
      <w:r w:rsidRPr="00146152">
        <w:rPr>
          <w:b/>
          <w:color w:val="000000" w:themeColor="text1"/>
        </w:rPr>
        <w:lastRenderedPageBreak/>
        <w:t>Politikas pasākumi, kas potenciāli var ietekmēt publisko finanšu ilgtspēju</w:t>
      </w:r>
    </w:p>
    <w:p w:rsidR="00146152" w:rsidRPr="00F70898" w:rsidRDefault="00146152" w:rsidP="00146152">
      <w:pPr>
        <w:ind w:firstLine="720"/>
        <w:rPr>
          <w:color w:val="000000" w:themeColor="text1"/>
        </w:rPr>
      </w:pPr>
    </w:p>
    <w:p w:rsidR="00146152" w:rsidRPr="00341126" w:rsidRDefault="00146152" w:rsidP="00146152">
      <w:pPr>
        <w:pStyle w:val="ListParagraph"/>
        <w:numPr>
          <w:ilvl w:val="0"/>
          <w:numId w:val="27"/>
        </w:numPr>
        <w:tabs>
          <w:tab w:val="left" w:pos="284"/>
        </w:tabs>
        <w:ind w:left="0" w:firstLine="0"/>
        <w:rPr>
          <w:i/>
          <w:color w:val="000000" w:themeColor="text1"/>
          <w:szCs w:val="24"/>
        </w:rPr>
      </w:pPr>
      <w:r w:rsidRPr="00341126">
        <w:rPr>
          <w:i/>
          <w:color w:val="000000" w:themeColor="text1"/>
          <w:szCs w:val="24"/>
        </w:rPr>
        <w:t xml:space="preserve">Atbilstoši likumam “Grozījumi likumā “Par valsts pensijām”” (pieņemts Saeimā 2018.gada 26.aprīlī) tiek noteikts, ka vienu gadu pensijas saņēmēja nāves gadījumā viņa pensija 50% apmērā tiek izmaksāta pārdzīvojušam laulātajam, ja viņš ir </w:t>
      </w:r>
      <w:r>
        <w:rPr>
          <w:i/>
          <w:color w:val="000000" w:themeColor="text1"/>
          <w:szCs w:val="24"/>
        </w:rPr>
        <w:t>pensiju saņēmējs</w:t>
      </w:r>
      <w:r w:rsidRPr="00341126">
        <w:rPr>
          <w:i/>
          <w:color w:val="000000" w:themeColor="text1"/>
          <w:szCs w:val="24"/>
        </w:rPr>
        <w:t>.</w:t>
      </w:r>
    </w:p>
    <w:p w:rsidR="00146152" w:rsidRPr="00F70898" w:rsidRDefault="00146152" w:rsidP="00146152">
      <w:pPr>
        <w:pStyle w:val="NormalWeb"/>
        <w:shd w:val="clear" w:color="auto" w:fill="FFFFFF"/>
        <w:spacing w:before="0" w:beforeAutospacing="0" w:after="120" w:afterAutospacing="0"/>
        <w:ind w:firstLine="720"/>
        <w:jc w:val="both"/>
        <w:rPr>
          <w:color w:val="000000" w:themeColor="text1"/>
        </w:rPr>
      </w:pPr>
    </w:p>
    <w:p w:rsidR="00146152" w:rsidRPr="00F70898" w:rsidRDefault="00146152" w:rsidP="00146152">
      <w:pPr>
        <w:pStyle w:val="NormalWeb"/>
        <w:shd w:val="clear" w:color="auto" w:fill="FFFFFF"/>
        <w:spacing w:before="0" w:beforeAutospacing="0" w:after="120" w:afterAutospacing="0"/>
        <w:ind w:firstLine="720"/>
        <w:jc w:val="both"/>
        <w:rPr>
          <w:color w:val="000000" w:themeColor="text1"/>
        </w:rPr>
      </w:pPr>
      <w:r w:rsidRPr="00F70898">
        <w:rPr>
          <w:color w:val="000000" w:themeColor="text1"/>
        </w:rPr>
        <w:t xml:space="preserve">Šī lēmuma fiskālās ilgtspējas novērtējumā vienkāršošanas nolūkā, </w:t>
      </w:r>
      <w:r>
        <w:rPr>
          <w:color w:val="000000" w:themeColor="text1"/>
        </w:rPr>
        <w:t>tiek pieņemts</w:t>
      </w:r>
      <w:r w:rsidRPr="00F70898">
        <w:rPr>
          <w:color w:val="000000" w:themeColor="text1"/>
        </w:rPr>
        <w:t xml:space="preserve">, ka pusei no visiem </w:t>
      </w:r>
      <w:r>
        <w:rPr>
          <w:color w:val="000000" w:themeColor="text1"/>
        </w:rPr>
        <w:t>pensiju saņēmējiem</w:t>
      </w:r>
      <w:r w:rsidRPr="00F70898">
        <w:rPr>
          <w:color w:val="000000" w:themeColor="text1"/>
        </w:rPr>
        <w:t>, kas attiecīgajā gadā mirst, pensijas</w:t>
      </w:r>
      <w:r>
        <w:rPr>
          <w:color w:val="000000" w:themeColor="text1"/>
        </w:rPr>
        <w:t xml:space="preserve"> 50% apmērā</w:t>
      </w:r>
      <w:r w:rsidRPr="00F70898">
        <w:rPr>
          <w:color w:val="000000" w:themeColor="text1"/>
        </w:rPr>
        <w:t xml:space="preserve"> tiek turpināts izmaksāt vēl vienu gadu. </w:t>
      </w:r>
      <w:r>
        <w:rPr>
          <w:color w:val="000000" w:themeColor="text1"/>
        </w:rPr>
        <w:t>Šis pieņēmums</w:t>
      </w:r>
      <w:r w:rsidRPr="00F70898">
        <w:rPr>
          <w:color w:val="000000" w:themeColor="text1"/>
        </w:rPr>
        <w:t xml:space="preserve"> ir ar </w:t>
      </w:r>
      <w:r>
        <w:rPr>
          <w:color w:val="000000" w:themeColor="text1"/>
        </w:rPr>
        <w:t>būtiski</w:t>
      </w:r>
      <w:r w:rsidRPr="00F70898">
        <w:rPr>
          <w:color w:val="000000" w:themeColor="text1"/>
        </w:rPr>
        <w:t xml:space="preserve"> lielāku fiskālo ietekmi, kā faktiskais lēmums. </w:t>
      </w:r>
    </w:p>
    <w:p w:rsidR="00146152" w:rsidRPr="00F70898" w:rsidRDefault="00146152" w:rsidP="00146152">
      <w:pPr>
        <w:pStyle w:val="NormalWeb"/>
        <w:shd w:val="clear" w:color="auto" w:fill="FFFFFF"/>
        <w:spacing w:before="0" w:beforeAutospacing="0" w:after="120" w:afterAutospacing="0"/>
        <w:ind w:firstLine="720"/>
        <w:jc w:val="both"/>
        <w:rPr>
          <w:color w:val="000000" w:themeColor="text1"/>
        </w:rPr>
      </w:pPr>
      <w:r w:rsidRPr="00F70898">
        <w:rPr>
          <w:color w:val="000000" w:themeColor="text1"/>
        </w:rPr>
        <w:t xml:space="preserve">Apzīmēsim ar   </w:t>
      </w:r>
      <m:oMath>
        <m:r>
          <w:rPr>
            <w:rFonts w:ascii="Cambria Math" w:hAnsi="Cambria Math"/>
            <w:color w:val="000000" w:themeColor="text1"/>
          </w:rPr>
          <m:t>P</m:t>
        </m:r>
        <m:d>
          <m:dPr>
            <m:ctrlPr>
              <w:rPr>
                <w:rFonts w:ascii="Cambria Math" w:hAnsi="Cambria Math"/>
                <w:i/>
                <w:color w:val="000000" w:themeColor="text1"/>
              </w:rPr>
            </m:ctrlPr>
          </m:dPr>
          <m:e>
            <m:r>
              <w:rPr>
                <w:rFonts w:ascii="Cambria Math" w:hAnsi="Cambria Math"/>
                <w:color w:val="000000" w:themeColor="text1"/>
              </w:rPr>
              <m:t>t</m:t>
            </m:r>
          </m:e>
        </m:d>
      </m:oMath>
      <w:r w:rsidRPr="00F70898">
        <w:rPr>
          <w:color w:val="000000" w:themeColor="text1"/>
        </w:rPr>
        <w:t xml:space="preserve">   </w:t>
      </w:r>
      <w:r>
        <w:rPr>
          <w:color w:val="000000" w:themeColor="text1"/>
        </w:rPr>
        <w:t>pensiju saņēmēju</w:t>
      </w:r>
      <w:r w:rsidRPr="00F70898">
        <w:rPr>
          <w:color w:val="000000" w:themeColor="text1"/>
        </w:rPr>
        <w:t xml:space="preserve"> skaita dinamiku pirms lēmuma pieņemšanas. </w:t>
      </w:r>
      <w:r>
        <w:rPr>
          <w:color w:val="000000" w:themeColor="text1"/>
        </w:rPr>
        <w:t>Pensiju saņēmēju</w:t>
      </w:r>
      <w:r w:rsidRPr="00F70898">
        <w:rPr>
          <w:color w:val="000000" w:themeColor="text1"/>
        </w:rPr>
        <w:t xml:space="preserve"> skaits, kas saņem pensijas pēc lēmuma pieņemšanas, tad būtu</w:t>
      </w:r>
    </w:p>
    <w:p w:rsidR="00146152" w:rsidRPr="00F70898" w:rsidRDefault="00AB7FBE" w:rsidP="00146152">
      <w:pPr>
        <w:pStyle w:val="NormalWeb"/>
        <w:shd w:val="clear" w:color="auto" w:fill="FFFFFF"/>
        <w:spacing w:before="240" w:beforeAutospacing="0" w:after="240" w:afterAutospacing="0"/>
        <w:jc w:val="center"/>
        <w:rPr>
          <w:color w:val="000000" w:themeColor="text1"/>
          <w:sz w:val="20"/>
        </w:rPr>
      </w:pPr>
      <m:oMathPara>
        <m:oMath>
          <m:sSup>
            <m:sSupPr>
              <m:ctrlPr>
                <w:rPr>
                  <w:rFonts w:ascii="Cambria Math" w:hAnsi="Cambria Math"/>
                  <w:i/>
                  <w:color w:val="000000" w:themeColor="text1"/>
                  <w:sz w:val="20"/>
                </w:rPr>
              </m:ctrlPr>
            </m:sSupPr>
            <m:e>
              <m:r>
                <w:rPr>
                  <w:rFonts w:ascii="Cambria Math" w:hAnsi="Cambria Math"/>
                  <w:color w:val="000000" w:themeColor="text1"/>
                  <w:sz w:val="20"/>
                </w:rPr>
                <m:t>P</m:t>
              </m:r>
            </m:e>
            <m:sup>
              <m:r>
                <w:rPr>
                  <w:rFonts w:ascii="Cambria Math" w:hAnsi="Cambria Math"/>
                  <w:color w:val="000000" w:themeColor="text1"/>
                  <w:sz w:val="20"/>
                </w:rPr>
                <m:t>*</m:t>
              </m:r>
            </m:sup>
          </m:sSup>
          <m:d>
            <m:dPr>
              <m:ctrlPr>
                <w:rPr>
                  <w:rFonts w:ascii="Cambria Math" w:hAnsi="Cambria Math"/>
                  <w:i/>
                  <w:color w:val="000000" w:themeColor="text1"/>
                  <w:sz w:val="20"/>
                </w:rPr>
              </m:ctrlPr>
            </m:dPr>
            <m:e>
              <m:r>
                <w:rPr>
                  <w:rFonts w:ascii="Cambria Math" w:hAnsi="Cambria Math"/>
                  <w:color w:val="000000" w:themeColor="text1"/>
                  <w:sz w:val="20"/>
                </w:rPr>
                <m:t>t</m:t>
              </m:r>
            </m:e>
          </m:d>
          <m:r>
            <w:rPr>
              <w:rFonts w:ascii="Cambria Math" w:hAnsi="Cambria Math"/>
              <w:color w:val="000000" w:themeColor="text1"/>
              <w:sz w:val="20"/>
            </w:rPr>
            <m:t>=P</m:t>
          </m:r>
          <m:d>
            <m:dPr>
              <m:ctrlPr>
                <w:rPr>
                  <w:rFonts w:ascii="Cambria Math" w:hAnsi="Cambria Math"/>
                  <w:i/>
                  <w:color w:val="000000" w:themeColor="text1"/>
                  <w:sz w:val="20"/>
                </w:rPr>
              </m:ctrlPr>
            </m:dPr>
            <m:e>
              <m:r>
                <w:rPr>
                  <w:rFonts w:ascii="Cambria Math" w:hAnsi="Cambria Math"/>
                  <w:color w:val="000000" w:themeColor="text1"/>
                  <w:sz w:val="20"/>
                </w:rPr>
                <m:t>t</m:t>
              </m:r>
            </m:e>
          </m:d>
          <m:r>
            <w:rPr>
              <w:rFonts w:ascii="Cambria Math" w:hAnsi="Cambria Math"/>
              <w:color w:val="000000" w:themeColor="text1"/>
              <w:sz w:val="20"/>
            </w:rPr>
            <m:t>+0,5∙d</m:t>
          </m:r>
          <m:sSub>
            <m:sSubPr>
              <m:ctrlPr>
                <w:rPr>
                  <w:rFonts w:ascii="Cambria Math" w:hAnsi="Cambria Math"/>
                  <w:i/>
                  <w:color w:val="000000" w:themeColor="text1"/>
                  <w:sz w:val="20"/>
                </w:rPr>
              </m:ctrlPr>
            </m:sSubPr>
            <m:e>
              <m:r>
                <w:rPr>
                  <w:rFonts w:ascii="Cambria Math" w:hAnsi="Cambria Math"/>
                  <w:color w:val="000000" w:themeColor="text1"/>
                  <w:sz w:val="20"/>
                </w:rPr>
                <m:t>P</m:t>
              </m:r>
            </m:e>
            <m:sub>
              <m:r>
                <w:rPr>
                  <w:rFonts w:ascii="Cambria Math" w:hAnsi="Cambria Math"/>
                  <w:color w:val="000000" w:themeColor="text1"/>
                  <w:sz w:val="20"/>
                </w:rPr>
                <m:t>n</m:t>
              </m:r>
            </m:sub>
          </m:sSub>
          <m:r>
            <w:rPr>
              <w:rFonts w:ascii="Cambria Math" w:hAnsi="Cambria Math"/>
              <w:color w:val="000000" w:themeColor="text1"/>
              <w:sz w:val="20"/>
            </w:rPr>
            <m:t>(t)</m:t>
          </m:r>
        </m:oMath>
      </m:oMathPara>
    </w:p>
    <w:p w:rsidR="00146152" w:rsidRPr="00F70898" w:rsidRDefault="00146152" w:rsidP="00146152">
      <w:pPr>
        <w:pStyle w:val="NormalWeb"/>
        <w:shd w:val="clear" w:color="auto" w:fill="FFFFFF"/>
        <w:spacing w:before="0" w:beforeAutospacing="0" w:after="120" w:afterAutospacing="0"/>
        <w:ind w:firstLine="720"/>
        <w:jc w:val="both"/>
        <w:rPr>
          <w:color w:val="000000" w:themeColor="text1"/>
        </w:rPr>
      </w:pPr>
      <w:r w:rsidRPr="00F70898">
        <w:rPr>
          <w:color w:val="000000" w:themeColor="text1"/>
        </w:rPr>
        <w:t xml:space="preserve">Kur  </w:t>
      </w:r>
      <m:oMath>
        <m:r>
          <w:rPr>
            <w:rFonts w:ascii="Cambria Math"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(t)</m:t>
        </m:r>
      </m:oMath>
      <w:r w:rsidRPr="00F70898">
        <w:rPr>
          <w:color w:val="000000" w:themeColor="text1"/>
        </w:rPr>
        <w:t xml:space="preserve">  ir attiecīgajā gadā mirušo </w:t>
      </w:r>
      <w:r>
        <w:rPr>
          <w:color w:val="000000" w:themeColor="text1"/>
        </w:rPr>
        <w:t>pensiju saņēmēju</w:t>
      </w:r>
      <w:r w:rsidRPr="00F70898">
        <w:rPr>
          <w:color w:val="000000" w:themeColor="text1"/>
        </w:rPr>
        <w:t xml:space="preserve"> skaits. Vienkāršošanas nolūkā var pieņemt, ka tas ir proporcionāls </w:t>
      </w:r>
      <w:r>
        <w:rPr>
          <w:color w:val="000000" w:themeColor="text1"/>
        </w:rPr>
        <w:t>pensijas saņēmēju</w:t>
      </w:r>
      <w:r w:rsidRPr="00F70898">
        <w:rPr>
          <w:color w:val="000000" w:themeColor="text1"/>
        </w:rPr>
        <w:t xml:space="preserve"> skaitam  </w:t>
      </w:r>
      <m:oMath>
        <m:r>
          <w:rPr>
            <w:rFonts w:ascii="Cambria Math"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=α∙ P</m:t>
        </m:r>
        <m:d>
          <m:dPr>
            <m:ctrlPr>
              <w:rPr>
                <w:rFonts w:ascii="Cambria Math" w:hAnsi="Cambria Math"/>
                <w:i/>
                <w:color w:val="000000" w:themeColor="text1"/>
              </w:rPr>
            </m:ctrlPr>
          </m:dPr>
          <m:e>
            <m:r>
              <w:rPr>
                <w:rFonts w:ascii="Cambria Math" w:hAnsi="Cambria Math"/>
                <w:color w:val="000000" w:themeColor="text1"/>
              </w:rPr>
              <m:t>t</m:t>
            </m:r>
          </m:e>
        </m:d>
      </m:oMath>
      <w:r>
        <w:rPr>
          <w:color w:val="000000" w:themeColor="text1"/>
        </w:rPr>
        <w:t>.</w:t>
      </w:r>
    </w:p>
    <w:p w:rsidR="00146152" w:rsidRPr="00F70898" w:rsidRDefault="00146152" w:rsidP="00146152">
      <w:pPr>
        <w:pStyle w:val="NormalWeb"/>
        <w:shd w:val="clear" w:color="auto" w:fill="FFFFFF"/>
        <w:spacing w:before="0" w:beforeAutospacing="0" w:after="120" w:afterAutospacing="0"/>
        <w:ind w:firstLine="720"/>
        <w:jc w:val="both"/>
        <w:rPr>
          <w:color w:val="000000" w:themeColor="text1"/>
        </w:rPr>
      </w:pPr>
      <w:r w:rsidRPr="00F70898">
        <w:rPr>
          <w:color w:val="000000" w:themeColor="text1"/>
        </w:rPr>
        <w:t xml:space="preserve">Ja pirms lēmuma pensiju izdevumu apjoms pret IKP ir </w:t>
      </w:r>
      <m:oMath>
        <m:r>
          <w:rPr>
            <w:rFonts w:ascii="Cambria Math" w:hAnsi="Cambria Math"/>
            <w:color w:val="000000" w:themeColor="text1"/>
          </w:rPr>
          <m:t>δ</m:t>
        </m:r>
      </m:oMath>
      <w:r w:rsidRPr="00F70898">
        <w:rPr>
          <w:color w:val="000000" w:themeColor="text1"/>
        </w:rPr>
        <w:t xml:space="preserve">, tad pēc lēmuma pensiju izdevumu apjoms būs </w:t>
      </w:r>
    </w:p>
    <w:p w:rsidR="00146152" w:rsidRPr="00F70898" w:rsidRDefault="00146152" w:rsidP="00146152">
      <w:pPr>
        <w:pStyle w:val="NormalWeb"/>
        <w:shd w:val="clear" w:color="auto" w:fill="FFFFFF"/>
        <w:spacing w:before="240" w:beforeAutospacing="0" w:after="240" w:afterAutospacing="0"/>
        <w:jc w:val="both"/>
        <w:rPr>
          <w:color w:val="000000" w:themeColor="text1"/>
          <w:sz w:val="20"/>
        </w:rPr>
      </w:pPr>
      <m:oMathPara>
        <m:oMath>
          <m:r>
            <w:rPr>
              <w:rFonts w:ascii="Cambria Math" w:hAnsi="Cambria Math"/>
              <w:color w:val="000000" w:themeColor="text1"/>
              <w:sz w:val="20"/>
            </w:rPr>
            <m:t>δ∙(1+0,5∙0,5∙α)</m:t>
          </m:r>
        </m:oMath>
      </m:oMathPara>
    </w:p>
    <w:p w:rsidR="00146152" w:rsidRPr="00F70898" w:rsidRDefault="00146152" w:rsidP="00146152">
      <w:pPr>
        <w:pStyle w:val="NormalWeb"/>
        <w:shd w:val="clear" w:color="auto" w:fill="FFFFFF"/>
        <w:spacing w:before="0" w:beforeAutospacing="0" w:after="120" w:afterAutospacing="0"/>
        <w:ind w:firstLine="720"/>
        <w:jc w:val="both"/>
        <w:rPr>
          <w:color w:val="000000" w:themeColor="text1"/>
        </w:rPr>
      </w:pPr>
      <w:r w:rsidRPr="00F70898">
        <w:rPr>
          <w:color w:val="000000" w:themeColor="text1"/>
        </w:rPr>
        <w:t xml:space="preserve">Koeficients  </w:t>
      </w:r>
      <m:oMath>
        <m:r>
          <w:rPr>
            <w:rFonts w:ascii="Cambria Math" w:hAnsi="Cambria Math"/>
            <w:color w:val="000000" w:themeColor="text1"/>
          </w:rPr>
          <m:t>α</m:t>
        </m:r>
      </m:oMath>
      <w:r w:rsidRPr="00F70898">
        <w:rPr>
          <w:color w:val="000000" w:themeColor="text1"/>
        </w:rPr>
        <w:t xml:space="preserve">  ir vienā gadā mirušo </w:t>
      </w:r>
      <w:r>
        <w:rPr>
          <w:color w:val="000000" w:themeColor="text1"/>
        </w:rPr>
        <w:t>pensiju saņēmēju</w:t>
      </w:r>
      <w:r w:rsidRPr="00F70898">
        <w:rPr>
          <w:color w:val="000000" w:themeColor="text1"/>
        </w:rPr>
        <w:t xml:space="preserve"> skaits pret kopēj</w:t>
      </w:r>
      <w:r>
        <w:rPr>
          <w:color w:val="000000" w:themeColor="text1"/>
        </w:rPr>
        <w:t>o</w:t>
      </w:r>
      <w:r w:rsidRPr="00F70898">
        <w:rPr>
          <w:color w:val="000000" w:themeColor="text1"/>
        </w:rPr>
        <w:t xml:space="preserve"> </w:t>
      </w:r>
      <w:r>
        <w:rPr>
          <w:color w:val="000000" w:themeColor="text1"/>
        </w:rPr>
        <w:t>pensiju saņēmēju</w:t>
      </w:r>
      <w:r w:rsidRPr="00F70898">
        <w:rPr>
          <w:color w:val="000000" w:themeColor="text1"/>
        </w:rPr>
        <w:t xml:space="preserve"> skait</w:t>
      </w:r>
      <w:r>
        <w:rPr>
          <w:color w:val="000000" w:themeColor="text1"/>
        </w:rPr>
        <w:t>u</w:t>
      </w:r>
      <w:r w:rsidRPr="00F70898">
        <w:rPr>
          <w:color w:val="000000" w:themeColor="text1"/>
        </w:rPr>
        <w:t xml:space="preserve">. Saskaņā ar Eiropas Statistiskas biroja </w:t>
      </w:r>
      <w:proofErr w:type="spellStart"/>
      <w:r w:rsidRPr="00643DCD">
        <w:rPr>
          <w:i/>
          <w:color w:val="000000" w:themeColor="text1"/>
        </w:rPr>
        <w:t>Eurostat</w:t>
      </w:r>
      <w:proofErr w:type="spellEnd"/>
      <w:r w:rsidRPr="00F70898">
        <w:rPr>
          <w:color w:val="000000" w:themeColor="text1"/>
        </w:rPr>
        <w:t xml:space="preserve"> datiem tas vidēji Latvijā ir 6%.</w:t>
      </w:r>
    </w:p>
    <w:p w:rsidR="00146152" w:rsidRPr="00F70898" w:rsidRDefault="00146152" w:rsidP="00146152">
      <w:pPr>
        <w:pStyle w:val="NormalWeb"/>
        <w:shd w:val="clear" w:color="auto" w:fill="FFFFFF"/>
        <w:spacing w:before="0" w:beforeAutospacing="0" w:after="120" w:afterAutospacing="0"/>
        <w:ind w:firstLine="720"/>
        <w:jc w:val="both"/>
        <w:rPr>
          <w:color w:val="000000" w:themeColor="text1"/>
        </w:rPr>
      </w:pPr>
      <w:r w:rsidRPr="00F70898">
        <w:rPr>
          <w:color w:val="000000" w:themeColor="text1"/>
        </w:rPr>
        <w:t>Tātad</w:t>
      </w:r>
      <w:r>
        <w:rPr>
          <w:color w:val="000000" w:themeColor="text1"/>
        </w:rPr>
        <w:t>,</w:t>
      </w:r>
      <w:r w:rsidRPr="00F70898">
        <w:rPr>
          <w:color w:val="000000" w:themeColor="text1"/>
        </w:rPr>
        <w:t xml:space="preserve"> šīs politikas maiņas rezultātā pensiju izdevumu īpatsvars pret IKP maksimāli var palielināties par</w:t>
      </w:r>
    </w:p>
    <w:p w:rsidR="00146152" w:rsidRPr="00F70898" w:rsidRDefault="00146152" w:rsidP="00146152">
      <w:pPr>
        <w:pStyle w:val="NormalWeb"/>
        <w:shd w:val="clear" w:color="auto" w:fill="FFFFFF"/>
        <w:spacing w:before="240" w:beforeAutospacing="0" w:after="240" w:afterAutospacing="0"/>
        <w:ind w:firstLine="720"/>
        <w:jc w:val="both"/>
        <w:rPr>
          <w:color w:val="000000" w:themeColor="text1"/>
          <w:sz w:val="20"/>
        </w:rPr>
      </w:pPr>
      <m:oMathPara>
        <m:oMath>
          <m:r>
            <w:rPr>
              <w:rFonts w:ascii="Cambria Math" w:hAnsi="Cambria Math"/>
              <w:color w:val="000000" w:themeColor="text1"/>
              <w:sz w:val="20"/>
            </w:rPr>
            <m:t>δ∙0,25∙α=δ∙0,25∙0,06</m:t>
          </m:r>
        </m:oMath>
      </m:oMathPara>
    </w:p>
    <w:p w:rsidR="00146152" w:rsidRPr="00F70898" w:rsidRDefault="00146152" w:rsidP="00146152">
      <w:pPr>
        <w:pStyle w:val="NormalWeb"/>
        <w:shd w:val="clear" w:color="auto" w:fill="FFFFFF"/>
        <w:spacing w:before="0" w:beforeAutospacing="0" w:after="120" w:afterAutospacing="0"/>
        <w:ind w:firstLine="720"/>
        <w:jc w:val="both"/>
        <w:rPr>
          <w:color w:val="000000" w:themeColor="text1"/>
        </w:rPr>
      </w:pPr>
      <w:r w:rsidRPr="00F70898">
        <w:rPr>
          <w:color w:val="000000" w:themeColor="text1"/>
        </w:rPr>
        <w:t>Saskaņā ar E</w:t>
      </w:r>
      <w:r>
        <w:rPr>
          <w:color w:val="000000" w:themeColor="text1"/>
        </w:rPr>
        <w:t xml:space="preserve">iropas </w:t>
      </w:r>
      <w:r w:rsidRPr="00F70898">
        <w:rPr>
          <w:color w:val="000000" w:themeColor="text1"/>
        </w:rPr>
        <w:t>K</w:t>
      </w:r>
      <w:r>
        <w:rPr>
          <w:color w:val="000000" w:themeColor="text1"/>
        </w:rPr>
        <w:t>omisijas</w:t>
      </w:r>
      <w:r w:rsidRPr="00F70898">
        <w:rPr>
          <w:color w:val="000000" w:themeColor="text1"/>
        </w:rPr>
        <w:t xml:space="preserve"> novecošanās ziņojumu pensiju izdevumu apjoms 2020.gadā tiek prognozēts 4,7% no IKP. Līdz ar to politikas maiņas rezultātā izdevumu apjoms maksimāli var pieaugt par</w:t>
      </w:r>
    </w:p>
    <w:p w:rsidR="00146152" w:rsidRPr="00F70898" w:rsidRDefault="00146152" w:rsidP="00146152">
      <w:pPr>
        <w:pStyle w:val="NormalWeb"/>
        <w:shd w:val="clear" w:color="auto" w:fill="FFFFFF"/>
        <w:spacing w:before="240" w:beforeAutospacing="0" w:after="240" w:afterAutospacing="0"/>
        <w:jc w:val="both"/>
        <w:rPr>
          <w:color w:val="000000" w:themeColor="text1"/>
          <w:sz w:val="20"/>
        </w:rPr>
      </w:pPr>
      <m:oMathPara>
        <m:oMath>
          <m:r>
            <w:rPr>
              <w:rFonts w:ascii="Cambria Math" w:hAnsi="Cambria Math"/>
              <w:color w:val="000000" w:themeColor="text1"/>
              <w:sz w:val="20"/>
            </w:rPr>
            <m:t>4,7∙0,25∙0,06=0,07%</m:t>
          </m:r>
        </m:oMath>
      </m:oMathPara>
    </w:p>
    <w:p w:rsidR="00146152" w:rsidRDefault="00146152" w:rsidP="00146152">
      <w:pPr>
        <w:pStyle w:val="NormalWeb"/>
        <w:shd w:val="clear" w:color="auto" w:fill="FFFFFF"/>
        <w:spacing w:before="0" w:beforeAutospacing="0" w:after="120" w:afterAutospacing="0"/>
        <w:ind w:firstLine="720"/>
        <w:jc w:val="both"/>
        <w:rPr>
          <w:color w:val="000000" w:themeColor="text1"/>
        </w:rPr>
      </w:pPr>
      <w:r w:rsidRPr="00F70898">
        <w:rPr>
          <w:color w:val="000000" w:themeColor="text1"/>
        </w:rPr>
        <w:t>Ņemot vērā, ka pensiju izdevumi pret pašreizējiem 7.4% samazināsies uz 4,7% no IKP, maksimālais samazinājums ar šīs politikas izmaiņām būs tikai par 0,07% no IKP mazāks, kas nemaina pensiju sistēmas ilgtspēju.</w:t>
      </w:r>
    </w:p>
    <w:p w:rsidR="00146152" w:rsidRPr="00F70898" w:rsidRDefault="00146152" w:rsidP="00146152">
      <w:pPr>
        <w:pStyle w:val="NormalWeb"/>
        <w:shd w:val="clear" w:color="auto" w:fill="FFFFFF"/>
        <w:spacing w:before="0" w:beforeAutospacing="0" w:after="120" w:afterAutospacing="0"/>
        <w:ind w:firstLine="720"/>
        <w:jc w:val="both"/>
        <w:rPr>
          <w:color w:val="000000" w:themeColor="text1"/>
        </w:rPr>
      </w:pPr>
    </w:p>
    <w:p w:rsidR="00146152" w:rsidRPr="00341126" w:rsidRDefault="00146152" w:rsidP="00146152">
      <w:pPr>
        <w:pStyle w:val="NormalWeb"/>
        <w:numPr>
          <w:ilvl w:val="0"/>
          <w:numId w:val="27"/>
        </w:numPr>
        <w:shd w:val="clear" w:color="auto" w:fill="FFFFFF"/>
        <w:tabs>
          <w:tab w:val="left" w:pos="567"/>
        </w:tabs>
        <w:spacing w:before="0" w:beforeAutospacing="0" w:after="120" w:afterAutospacing="0"/>
        <w:ind w:left="0" w:firstLine="0"/>
        <w:jc w:val="both"/>
        <w:rPr>
          <w:i/>
          <w:color w:val="000000" w:themeColor="text1"/>
        </w:rPr>
      </w:pPr>
      <w:r w:rsidRPr="00341126">
        <w:rPr>
          <w:i/>
          <w:color w:val="000000" w:themeColor="text1"/>
        </w:rPr>
        <w:t xml:space="preserve">Atbilstoši likumam “Grozījumi likumā “Par valsts pensijām”” (pieņemts Saeimā 2018.gada 27.septembrī) tiek palielināts indekss no 70% uz 80% ar kādu </w:t>
      </w:r>
      <w:r>
        <w:rPr>
          <w:i/>
          <w:color w:val="000000" w:themeColor="text1"/>
        </w:rPr>
        <w:t xml:space="preserve">pensiju saņēmējiem </w:t>
      </w:r>
      <w:r w:rsidRPr="00341126">
        <w:rPr>
          <w:i/>
          <w:color w:val="000000" w:themeColor="text1"/>
        </w:rPr>
        <w:t>ar darba stāžu 45 un vairāk gadu tiek indeksēts apdrošināšanas iemaksu algu summas pieaugums, nosakot ikgadējo pensiju pieaugumu, pensiju pārskatīšanas rezultātā.</w:t>
      </w:r>
    </w:p>
    <w:p w:rsidR="00146152" w:rsidRDefault="00146152" w:rsidP="00146152">
      <w:pPr>
        <w:ind w:firstLine="720"/>
        <w:rPr>
          <w:color w:val="000000" w:themeColor="text1"/>
        </w:rPr>
      </w:pPr>
    </w:p>
    <w:p w:rsidR="00146152" w:rsidRPr="00F70898" w:rsidRDefault="00146152" w:rsidP="00146152">
      <w:pPr>
        <w:ind w:firstLine="720"/>
        <w:rPr>
          <w:color w:val="000000" w:themeColor="text1"/>
        </w:rPr>
      </w:pPr>
      <w:r w:rsidRPr="00F70898">
        <w:rPr>
          <w:color w:val="000000" w:themeColor="text1"/>
        </w:rPr>
        <w:t>Apz</w:t>
      </w:r>
      <w:r>
        <w:rPr>
          <w:color w:val="000000" w:themeColor="text1"/>
        </w:rPr>
        <w:t>īmēsim vecuma pensiju izdevumus</w:t>
      </w:r>
      <w:r w:rsidRPr="00F70898">
        <w:rPr>
          <w:color w:val="000000" w:themeColor="text1"/>
        </w:rPr>
        <w:t xml:space="preserve"> pret IKP laika momentā</w:t>
      </w:r>
      <w:r>
        <w:rPr>
          <w:color w:val="000000" w:themeColor="text1"/>
        </w:rPr>
        <w:t xml:space="preserve"> </w:t>
      </w:r>
      <w:r w:rsidRPr="00F70898">
        <w:rPr>
          <w:color w:val="000000" w:themeColor="text1"/>
        </w:rPr>
        <w:t xml:space="preserve"> </w:t>
      </w:r>
      <w:r w:rsidRPr="00341126">
        <w:rPr>
          <w:i/>
          <w:color w:val="000000" w:themeColor="text1"/>
        </w:rPr>
        <w:t>t</w:t>
      </w:r>
      <w:r w:rsidRPr="00F70898">
        <w:rPr>
          <w:color w:val="000000" w:themeColor="text1"/>
        </w:rPr>
        <w:t xml:space="preserve"> </w:t>
      </w:r>
      <w:r>
        <w:rPr>
          <w:color w:val="000000" w:themeColor="text1"/>
        </w:rPr>
        <w:t xml:space="preserve"> </w:t>
      </w:r>
      <w:r w:rsidRPr="00F70898">
        <w:rPr>
          <w:color w:val="000000" w:themeColor="text1"/>
        </w:rPr>
        <w:t xml:space="preserve">ar  </w:t>
      </w:r>
      <m:oMath>
        <m:f>
          <m:fPr>
            <m:ctrlPr>
              <w:rPr>
                <w:rFonts w:ascii="Cambria Math" w:hAnsi="Cambria Math"/>
                <w:i/>
                <w:color w:val="000000" w:themeColor="text1"/>
              </w:rPr>
            </m:ctrlPr>
          </m:fPr>
          <m:num>
            <m:r>
              <w:rPr>
                <w:rFonts w:ascii="Cambria Math" w:hAnsi="Cambria Math"/>
                <w:color w:val="000000" w:themeColor="text1"/>
              </w:rPr>
              <m:t>E(t)</m:t>
            </m:r>
          </m:num>
          <m:den>
            <m:r>
              <w:rPr>
                <w:rFonts w:ascii="Cambria Math" w:hAnsi="Cambria Math"/>
                <w:color w:val="000000" w:themeColor="text1"/>
              </w:rPr>
              <m:t>I(t)</m:t>
            </m:r>
          </m:den>
        </m:f>
      </m:oMath>
      <w:r>
        <w:rPr>
          <w:rFonts w:eastAsiaTheme="minorEastAsia"/>
          <w:color w:val="000000" w:themeColor="text1"/>
        </w:rPr>
        <w:t>.</w:t>
      </w:r>
    </w:p>
    <w:p w:rsidR="00146152" w:rsidRPr="00F70898" w:rsidRDefault="00146152" w:rsidP="00146152">
      <w:pPr>
        <w:ind w:firstLine="720"/>
        <w:rPr>
          <w:rFonts w:eastAsiaTheme="minorEastAsia"/>
          <w:color w:val="000000" w:themeColor="text1"/>
        </w:rPr>
      </w:pPr>
      <w:r w:rsidRPr="00F70898">
        <w:rPr>
          <w:color w:val="000000" w:themeColor="text1"/>
        </w:rPr>
        <w:t>Tā kā pensiju pārskatīšana notiek, tās indeksējot atbilstoši inflācijai (</w:t>
      </w:r>
      <m:oMath>
        <m:r>
          <w:rPr>
            <w:rFonts w:ascii="Cambria Math" w:hAnsi="Cambria Math"/>
            <w:color w:val="000000" w:themeColor="text1"/>
          </w:rPr>
          <m:t>i)</m:t>
        </m:r>
      </m:oMath>
      <w:r>
        <w:rPr>
          <w:rFonts w:eastAsiaTheme="minorEastAsia"/>
          <w:color w:val="000000" w:themeColor="text1"/>
        </w:rPr>
        <w:t xml:space="preserve"> </w:t>
      </w:r>
      <w:r w:rsidRPr="00F70898">
        <w:rPr>
          <w:color w:val="000000" w:themeColor="text1"/>
        </w:rPr>
        <w:t xml:space="preserve">un </w:t>
      </w:r>
      <w:r>
        <w:rPr>
          <w:color w:val="000000" w:themeColor="text1"/>
        </w:rPr>
        <w:t xml:space="preserve">ar indeksu A </w:t>
      </w:r>
      <w:r w:rsidRPr="00F70898">
        <w:rPr>
          <w:color w:val="000000" w:themeColor="text1"/>
        </w:rPr>
        <w:t>apdrošināšanas iemaksu algu summas pieaugum</w:t>
      </w:r>
      <w:r>
        <w:rPr>
          <w:color w:val="000000" w:themeColor="text1"/>
        </w:rPr>
        <w:t>u</w:t>
      </w:r>
      <w:r w:rsidRPr="00F70898">
        <w:rPr>
          <w:color w:val="000000" w:themeColor="text1"/>
        </w:rPr>
        <w:t xml:space="preserve"> (</w:t>
      </w:r>
      <m:oMath>
        <m:r>
          <w:rPr>
            <w:rFonts w:ascii="Cambria Math" w:hAnsi="Cambria Math"/>
            <w:color w:val="000000" w:themeColor="text1"/>
          </w:rPr>
          <m:t>α</m:t>
        </m:r>
      </m:oMath>
      <w:r w:rsidRPr="00F70898">
        <w:rPr>
          <w:rFonts w:eastAsiaTheme="minorEastAsia"/>
          <w:color w:val="000000" w:themeColor="text1"/>
        </w:rPr>
        <w:t xml:space="preserve">) un ņemot vērā, ka vecuma pensiju </w:t>
      </w:r>
      <w:r w:rsidRPr="00F70898">
        <w:rPr>
          <w:rFonts w:eastAsiaTheme="minorEastAsia"/>
          <w:color w:val="000000" w:themeColor="text1"/>
        </w:rPr>
        <w:lastRenderedPageBreak/>
        <w:t xml:space="preserve">izdevumus var izteikt, kā vecuma pensiju saņēmēju skaitu </w:t>
      </w:r>
      <m:oMath>
        <m:r>
          <w:rPr>
            <w:rFonts w:ascii="Cambria Math" w:eastAsiaTheme="minorEastAsia" w:hAnsi="Cambria Math"/>
            <w:color w:val="000000" w:themeColor="text1"/>
          </w:rPr>
          <m:t>N(t)</m:t>
        </m:r>
      </m:oMath>
      <w:r w:rsidRPr="00F70898">
        <w:rPr>
          <w:rFonts w:eastAsiaTheme="minorEastAsia"/>
          <w:color w:val="000000" w:themeColor="text1"/>
        </w:rPr>
        <w:t xml:space="preserve"> reizinot ar vidējo šīs grupas pensiju</w:t>
      </w:r>
      <w:r>
        <w:rPr>
          <w:rFonts w:eastAsiaTheme="minorEastAsia"/>
          <w:color w:val="000000" w:themeColor="text1"/>
        </w:rPr>
        <w:t xml:space="preserve">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P</m:t>
            </m:r>
          </m:e>
          <m:sub>
            <m:r>
              <w:rPr>
                <w:rFonts w:ascii="Cambria Math" w:eastAsiaTheme="minorEastAsia" w:hAnsi="Cambria Math"/>
                <w:color w:val="000000" w:themeColor="text1"/>
              </w:rPr>
              <m:t>v</m:t>
            </m:r>
          </m:sub>
        </m:sSub>
        <m:r>
          <w:rPr>
            <w:rFonts w:ascii="Cambria Math" w:eastAsiaTheme="minorEastAsia" w:hAnsi="Cambria Math"/>
            <w:color w:val="000000" w:themeColor="text1"/>
          </w:rPr>
          <m:t>(t)</m:t>
        </m:r>
      </m:oMath>
      <w:r w:rsidRPr="00F70898">
        <w:rPr>
          <w:rFonts w:eastAsiaTheme="minorEastAsia"/>
          <w:color w:val="000000" w:themeColor="text1"/>
        </w:rPr>
        <w:t xml:space="preserve">, kā arī ar </w:t>
      </w:r>
      <m:oMath>
        <m:r>
          <w:rPr>
            <w:rFonts w:ascii="Cambria Math" w:eastAsiaTheme="minorEastAsia" w:hAnsi="Cambria Math"/>
            <w:color w:val="000000" w:themeColor="text1"/>
          </w:rPr>
          <m:t>β</m:t>
        </m:r>
      </m:oMath>
      <w:r w:rsidRPr="00F70898">
        <w:rPr>
          <w:rFonts w:eastAsiaTheme="minorEastAsia"/>
          <w:color w:val="000000" w:themeColor="text1"/>
        </w:rPr>
        <w:t xml:space="preserve"> </w:t>
      </w:r>
      <w:r>
        <w:rPr>
          <w:rFonts w:eastAsiaTheme="minorEastAsia"/>
          <w:color w:val="000000" w:themeColor="text1"/>
        </w:rPr>
        <w:t xml:space="preserve">, </w:t>
      </w:r>
      <w:r w:rsidRPr="00F70898">
        <w:rPr>
          <w:rFonts w:eastAsiaTheme="minorEastAsia"/>
          <w:color w:val="000000" w:themeColor="text1"/>
        </w:rPr>
        <w:t xml:space="preserve">apzīmējot reālā IKP ilgtermiņa pieaugumu, var izteikt vecuma izdevumus laika momentā </w:t>
      </w:r>
      <w:r w:rsidRPr="00F70898">
        <w:rPr>
          <w:rFonts w:eastAsiaTheme="minorEastAsia"/>
          <w:i/>
          <w:color w:val="000000" w:themeColor="text1"/>
        </w:rPr>
        <w:t xml:space="preserve">t </w:t>
      </w:r>
      <w:r w:rsidRPr="00F70898">
        <w:rPr>
          <w:rFonts w:eastAsiaTheme="minorEastAsia"/>
          <w:color w:val="000000" w:themeColor="text1"/>
        </w:rPr>
        <w:t xml:space="preserve">ar attiecīgajiem izdevumiem sākuma momentā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0</m:t>
            </m:r>
          </m:sub>
        </m:sSub>
      </m:oMath>
      <w:r w:rsidRPr="00F70898">
        <w:rPr>
          <w:rFonts w:eastAsiaTheme="minorEastAsia"/>
          <w:color w:val="000000" w:themeColor="text1"/>
        </w:rPr>
        <w:t>.</w:t>
      </w:r>
    </w:p>
    <w:p w:rsidR="00146152" w:rsidRPr="00F70898" w:rsidRDefault="00146152" w:rsidP="00146152">
      <w:pPr>
        <w:ind w:firstLine="720"/>
        <w:rPr>
          <w:rFonts w:eastAsiaTheme="minorEastAsia"/>
          <w:color w:val="000000" w:themeColor="text1"/>
        </w:rPr>
      </w:pPr>
      <w:r w:rsidRPr="00F70898">
        <w:rPr>
          <w:rFonts w:eastAsiaTheme="minorEastAsia"/>
          <w:color w:val="000000" w:themeColor="text1"/>
        </w:rPr>
        <w:t xml:space="preserve">Lai vienkāršotu aprēķinus, </w:t>
      </w:r>
      <w:r>
        <w:rPr>
          <w:rFonts w:eastAsiaTheme="minorEastAsia"/>
          <w:color w:val="000000" w:themeColor="text1"/>
        </w:rPr>
        <w:t>tiek izmantoti</w:t>
      </w:r>
      <w:r w:rsidRPr="00F70898">
        <w:rPr>
          <w:rFonts w:eastAsiaTheme="minorEastAsia"/>
          <w:color w:val="000000" w:themeColor="text1"/>
        </w:rPr>
        <w:t xml:space="preserve"> laika periodā vidēj</w:t>
      </w:r>
      <w:r>
        <w:rPr>
          <w:rFonts w:eastAsiaTheme="minorEastAsia"/>
          <w:color w:val="000000" w:themeColor="text1"/>
        </w:rPr>
        <w:t>ie</w:t>
      </w:r>
      <w:r w:rsidRPr="00F70898">
        <w:rPr>
          <w:rFonts w:eastAsiaTheme="minorEastAsia"/>
          <w:color w:val="000000" w:themeColor="text1"/>
        </w:rPr>
        <w:t xml:space="preserve"> lielum</w:t>
      </w:r>
      <w:r>
        <w:rPr>
          <w:rFonts w:eastAsiaTheme="minorEastAsia"/>
          <w:color w:val="000000" w:themeColor="text1"/>
        </w:rPr>
        <w:t>i</w:t>
      </w:r>
      <w:r w:rsidRPr="00F70898">
        <w:rPr>
          <w:rFonts w:eastAsiaTheme="minorEastAsia"/>
          <w:color w:val="000000" w:themeColor="text1"/>
        </w:rPr>
        <w:t xml:space="preserve"> un t</w:t>
      </w:r>
      <w:r>
        <w:rPr>
          <w:rFonts w:eastAsiaTheme="minorEastAsia"/>
          <w:color w:val="000000" w:themeColor="text1"/>
        </w:rPr>
        <w:t>ie</w:t>
      </w:r>
      <w:r w:rsidRPr="00F70898">
        <w:rPr>
          <w:rFonts w:eastAsiaTheme="minorEastAsia"/>
          <w:color w:val="000000" w:themeColor="text1"/>
        </w:rPr>
        <w:t xml:space="preserve"> attiecinā</w:t>
      </w:r>
      <w:r>
        <w:rPr>
          <w:rFonts w:eastAsiaTheme="minorEastAsia"/>
          <w:color w:val="000000" w:themeColor="text1"/>
        </w:rPr>
        <w:t>ti</w:t>
      </w:r>
      <w:r w:rsidRPr="00F70898">
        <w:rPr>
          <w:rFonts w:eastAsiaTheme="minorEastAsia"/>
          <w:color w:val="000000" w:themeColor="text1"/>
        </w:rPr>
        <w:t xml:space="preserve"> uz katru konkrēto perioda gadu:</w:t>
      </w:r>
    </w:p>
    <w:p w:rsidR="00146152" w:rsidRPr="00F70898" w:rsidRDefault="00AB7FBE" w:rsidP="00146152">
      <w:pPr>
        <w:spacing w:before="240" w:after="240"/>
        <w:rPr>
          <w:rFonts w:eastAsiaTheme="minorEastAsia"/>
          <w:color w:val="000000" w:themeColor="text1"/>
          <w:sz w:val="20"/>
        </w:rPr>
      </w:pPr>
      <m:oMathPara>
        <m:oMath>
          <m:f>
            <m:fPr>
              <m:ctrlPr>
                <w:rPr>
                  <w:rFonts w:ascii="Cambria Math" w:hAnsi="Cambria Math"/>
                  <w:i/>
                  <w:color w:val="000000" w:themeColor="text1"/>
                  <w:sz w:val="20"/>
                </w:rPr>
              </m:ctrlPr>
            </m:fPr>
            <m:num>
              <m:r>
                <w:rPr>
                  <w:rFonts w:ascii="Cambria Math" w:hAnsi="Cambria Math"/>
                  <w:color w:val="000000" w:themeColor="text1"/>
                  <w:sz w:val="20"/>
                </w:rPr>
                <m:t>E(t)</m:t>
              </m:r>
            </m:num>
            <m:den>
              <m:r>
                <w:rPr>
                  <w:rFonts w:ascii="Cambria Math" w:hAnsi="Cambria Math"/>
                  <w:color w:val="000000" w:themeColor="text1"/>
                  <w:sz w:val="20"/>
                </w:rPr>
                <m:t>I(t)</m:t>
              </m:r>
            </m:den>
          </m:f>
          <m:r>
            <w:rPr>
              <w:rFonts w:ascii="Cambria Math" w:hAnsi="Cambria Math"/>
              <w:color w:val="000000" w:themeColor="text1"/>
              <w:sz w:val="20"/>
            </w:rPr>
            <m:t>=</m:t>
          </m:r>
          <m:f>
            <m:fPr>
              <m:ctrlPr>
                <w:rPr>
                  <w:rFonts w:ascii="Cambria Math" w:hAnsi="Cambria Math"/>
                  <w:i/>
                  <w:color w:val="000000" w:themeColor="text1"/>
                  <w:sz w:val="20"/>
                </w:rPr>
              </m:ctrlPr>
            </m:fPr>
            <m:num>
              <m:r>
                <w:rPr>
                  <w:rFonts w:ascii="Cambria Math" w:hAnsi="Cambria Math"/>
                  <w:color w:val="000000" w:themeColor="text1"/>
                  <w:sz w:val="20"/>
                </w:rPr>
                <m:t>N(t)∙</m:t>
              </m:r>
              <m:sSub>
                <m:sSubPr>
                  <m:ctrlPr>
                    <w:rPr>
                      <w:rFonts w:ascii="Cambria Math" w:eastAsiaTheme="minorEastAsia" w:hAnsi="Cambria Math"/>
                      <w:i/>
                      <w:color w:val="000000" w:themeColor="text1"/>
                      <w:sz w:val="20"/>
                    </w:rPr>
                  </m:ctrlPr>
                </m:sSubPr>
                <m:e>
                  <m:r>
                    <w:rPr>
                      <w:rFonts w:ascii="Cambria Math" w:eastAsiaTheme="minorEastAsia" w:hAnsi="Cambria Math"/>
                      <w:color w:val="000000" w:themeColor="text1"/>
                      <w:sz w:val="20"/>
                    </w:rPr>
                    <m:t>P</m:t>
                  </m:r>
                </m:e>
                <m:sub>
                  <m:r>
                    <w:rPr>
                      <w:rFonts w:ascii="Cambria Math" w:eastAsiaTheme="minorEastAsia" w:hAnsi="Cambria Math"/>
                      <w:color w:val="000000" w:themeColor="text1"/>
                      <w:sz w:val="20"/>
                    </w:rPr>
                    <m:t>v</m:t>
                  </m:r>
                </m:sub>
              </m:sSub>
              <m:r>
                <w:rPr>
                  <w:rFonts w:ascii="Cambria Math" w:eastAsiaTheme="minorEastAsia" w:hAnsi="Cambria Math"/>
                  <w:color w:val="000000" w:themeColor="text1"/>
                  <w:sz w:val="20"/>
                </w:rPr>
                <m:t>(t)</m:t>
              </m:r>
            </m:num>
            <m:den>
              <m:r>
                <w:rPr>
                  <w:rFonts w:ascii="Cambria Math" w:hAnsi="Cambria Math"/>
                  <w:color w:val="000000" w:themeColor="text1"/>
                  <w:sz w:val="20"/>
                </w:rPr>
                <m:t>I(t)</m:t>
              </m:r>
            </m:den>
          </m:f>
          <m:r>
            <w:rPr>
              <w:rFonts w:ascii="Cambria Math" w:hAnsi="Cambria Math"/>
              <w:color w:val="000000" w:themeColor="text1"/>
              <w:sz w:val="20"/>
            </w:rPr>
            <m:t>=</m:t>
          </m:r>
          <m:f>
            <m:fPr>
              <m:ctrlPr>
                <w:rPr>
                  <w:rFonts w:ascii="Cambria Math" w:hAnsi="Cambria Math"/>
                  <w:i/>
                  <w:color w:val="000000" w:themeColor="text1"/>
                  <w:sz w:val="20"/>
                </w:rPr>
              </m:ctrlPr>
            </m:fPr>
            <m:num>
              <m:r>
                <w:rPr>
                  <w:rFonts w:ascii="Cambria Math" w:hAnsi="Cambria Math"/>
                  <w:color w:val="000000" w:themeColor="text1"/>
                  <w:sz w:val="20"/>
                </w:rPr>
                <m:t>N(t)∙</m:t>
              </m:r>
              <m:sSub>
                <m:sSubPr>
                  <m:ctrlPr>
                    <w:rPr>
                      <w:rFonts w:ascii="Cambria Math" w:eastAsiaTheme="minorEastAsia" w:hAnsi="Cambria Math"/>
                      <w:i/>
                      <w:color w:val="000000" w:themeColor="text1"/>
                      <w:sz w:val="20"/>
                    </w:rPr>
                  </m:ctrlPr>
                </m:sSubPr>
                <m:e>
                  <m:r>
                    <w:rPr>
                      <w:rFonts w:ascii="Cambria Math" w:eastAsiaTheme="minorEastAsia" w:hAnsi="Cambria Math"/>
                      <w:color w:val="000000" w:themeColor="text1"/>
                      <w:sz w:val="20"/>
                    </w:rPr>
                    <m:t>P</m:t>
                  </m:r>
                </m:e>
                <m:sub>
                  <m:r>
                    <w:rPr>
                      <w:rFonts w:ascii="Cambria Math" w:eastAsiaTheme="minorEastAsia" w:hAnsi="Cambria Math"/>
                      <w:color w:val="000000" w:themeColor="text1"/>
                      <w:sz w:val="20"/>
                    </w:rPr>
                    <m:t>v</m:t>
                  </m:r>
                </m:sub>
              </m:sSub>
              <m:r>
                <w:rPr>
                  <w:rFonts w:ascii="Cambria Math" w:eastAsiaTheme="minorEastAsia" w:hAnsi="Cambria Math"/>
                  <w:color w:val="000000" w:themeColor="text1"/>
                  <w:sz w:val="20"/>
                </w:rPr>
                <m:t>(</m:t>
              </m:r>
              <m:sSub>
                <m:sSubPr>
                  <m:ctrlPr>
                    <w:rPr>
                      <w:rFonts w:ascii="Cambria Math" w:eastAsiaTheme="minorEastAsia" w:hAnsi="Cambria Math"/>
                      <w:i/>
                      <w:color w:val="000000" w:themeColor="text1"/>
                      <w:sz w:val="20"/>
                    </w:rPr>
                  </m:ctrlPr>
                </m:sSubPr>
                <m:e>
                  <m:r>
                    <w:rPr>
                      <w:rFonts w:ascii="Cambria Math" w:eastAsiaTheme="minorEastAsia" w:hAnsi="Cambria Math"/>
                      <w:color w:val="000000" w:themeColor="text1"/>
                      <w:sz w:val="20"/>
                    </w:rPr>
                    <m:t>t</m:t>
                  </m:r>
                </m:e>
                <m:sub>
                  <m:r>
                    <w:rPr>
                      <w:rFonts w:ascii="Cambria Math" w:eastAsiaTheme="minorEastAsia" w:hAnsi="Cambria Math"/>
                      <w:color w:val="000000" w:themeColor="text1"/>
                      <w:sz w:val="20"/>
                    </w:rPr>
                    <m:t>0</m:t>
                  </m:r>
                </m:sub>
              </m:sSub>
              <m:r>
                <w:rPr>
                  <w:rFonts w:ascii="Cambria Math" w:eastAsiaTheme="minorEastAsia" w:hAnsi="Cambria Math"/>
                  <w:color w:val="000000" w:themeColor="text1"/>
                  <w:sz w:val="20"/>
                </w:rPr>
                <m:t>)</m:t>
              </m:r>
              <m:r>
                <w:rPr>
                  <w:rFonts w:ascii="Cambria Math" w:hAnsi="Cambria Math"/>
                  <w:color w:val="000000" w:themeColor="text1"/>
                  <w:sz w:val="20"/>
                </w:rPr>
                <m:t>∙</m:t>
              </m:r>
              <m:sSup>
                <m:sSupPr>
                  <m:ctrlPr>
                    <w:rPr>
                      <w:rFonts w:ascii="Cambria Math" w:hAnsi="Cambria Math"/>
                      <w:i/>
                      <w:color w:val="000000" w:themeColor="text1"/>
                      <w:sz w:val="20"/>
                    </w:rPr>
                  </m:ctrlPr>
                </m:sSupPr>
                <m:e>
                  <m:d>
                    <m:dPr>
                      <m:ctrlPr>
                        <w:rPr>
                          <w:rFonts w:ascii="Cambria Math" w:hAnsi="Cambria Math"/>
                          <w:i/>
                          <w:color w:val="000000" w:themeColor="text1"/>
                          <w:sz w:val="20"/>
                        </w:rPr>
                      </m:ctrlPr>
                    </m:dPr>
                    <m:e>
                      <m:r>
                        <w:rPr>
                          <w:rFonts w:ascii="Cambria Math" w:hAnsi="Cambria Math"/>
                          <w:color w:val="000000" w:themeColor="text1"/>
                          <w:sz w:val="20"/>
                        </w:rPr>
                        <m:t>1+i</m:t>
                      </m:r>
                    </m:e>
                  </m:d>
                </m:e>
                <m:sup>
                  <m:r>
                    <w:rPr>
                      <w:rFonts w:ascii="Cambria Math" w:hAnsi="Cambria Math"/>
                      <w:color w:val="000000" w:themeColor="text1"/>
                      <w:sz w:val="20"/>
                    </w:rPr>
                    <m:t>t</m:t>
                  </m:r>
                </m:sup>
              </m:sSup>
              <m:r>
                <w:rPr>
                  <w:rFonts w:ascii="Cambria Math" w:hAnsi="Cambria Math"/>
                  <w:color w:val="000000" w:themeColor="text1"/>
                  <w:sz w:val="20"/>
                </w:rPr>
                <m:t>∙</m:t>
              </m:r>
              <m:sSup>
                <m:sSupPr>
                  <m:ctrlPr>
                    <w:rPr>
                      <w:rFonts w:ascii="Cambria Math" w:hAnsi="Cambria Math"/>
                      <w:i/>
                      <w:color w:val="000000" w:themeColor="text1"/>
                      <w:sz w:val="20"/>
                    </w:rPr>
                  </m:ctrlPr>
                </m:sSupPr>
                <m:e>
                  <m:r>
                    <w:rPr>
                      <w:rFonts w:ascii="Cambria Math" w:hAnsi="Cambria Math"/>
                      <w:color w:val="000000" w:themeColor="text1"/>
                      <w:sz w:val="20"/>
                    </w:rPr>
                    <m:t>(1+A∙α)</m:t>
                  </m:r>
                </m:e>
                <m:sup>
                  <m:r>
                    <w:rPr>
                      <w:rFonts w:ascii="Cambria Math" w:hAnsi="Cambria Math"/>
                      <w:color w:val="000000" w:themeColor="text1"/>
                      <w:sz w:val="20"/>
                    </w:rPr>
                    <m:t>t</m:t>
                  </m:r>
                </m:sup>
              </m:sSup>
            </m:num>
            <m:den>
              <m:r>
                <w:rPr>
                  <w:rFonts w:ascii="Cambria Math" w:hAnsi="Cambria Math"/>
                  <w:color w:val="000000" w:themeColor="text1"/>
                  <w:sz w:val="20"/>
                </w:rPr>
                <m:t>I(</m:t>
              </m:r>
              <m:sSub>
                <m:sSubPr>
                  <m:ctrlPr>
                    <w:rPr>
                      <w:rFonts w:ascii="Cambria Math" w:hAnsi="Cambria Math"/>
                      <w:i/>
                      <w:color w:val="000000" w:themeColor="text1"/>
                      <w:sz w:val="20"/>
                    </w:rPr>
                  </m:ctrlPr>
                </m:sSubPr>
                <m:e>
                  <m:r>
                    <w:rPr>
                      <w:rFonts w:ascii="Cambria Math" w:hAnsi="Cambria Math"/>
                      <w:color w:val="000000" w:themeColor="text1"/>
                      <w:sz w:val="20"/>
                    </w:rPr>
                    <m:t>t</m:t>
                  </m:r>
                </m:e>
                <m:sub>
                  <m:r>
                    <w:rPr>
                      <w:rFonts w:ascii="Cambria Math" w:hAnsi="Cambria Math"/>
                      <w:color w:val="000000" w:themeColor="text1"/>
                      <w:sz w:val="20"/>
                    </w:rPr>
                    <m:t>0</m:t>
                  </m:r>
                </m:sub>
              </m:sSub>
              <m:r>
                <w:rPr>
                  <w:rFonts w:ascii="Cambria Math" w:hAnsi="Cambria Math"/>
                  <w:color w:val="000000" w:themeColor="text1"/>
                  <w:sz w:val="20"/>
                </w:rPr>
                <m:t>)∙</m:t>
              </m:r>
              <m:sSup>
                <m:sSupPr>
                  <m:ctrlPr>
                    <w:rPr>
                      <w:rFonts w:ascii="Cambria Math" w:hAnsi="Cambria Math"/>
                      <w:i/>
                      <w:color w:val="000000" w:themeColor="text1"/>
                      <w:sz w:val="20"/>
                    </w:rPr>
                  </m:ctrlPr>
                </m:sSupPr>
                <m:e>
                  <m:d>
                    <m:dPr>
                      <m:ctrlPr>
                        <w:rPr>
                          <w:rFonts w:ascii="Cambria Math" w:hAnsi="Cambria Math"/>
                          <w:i/>
                          <w:color w:val="000000" w:themeColor="text1"/>
                          <w:sz w:val="20"/>
                        </w:rPr>
                      </m:ctrlPr>
                    </m:dPr>
                    <m:e>
                      <m:r>
                        <w:rPr>
                          <w:rFonts w:ascii="Cambria Math" w:hAnsi="Cambria Math"/>
                          <w:color w:val="000000" w:themeColor="text1"/>
                          <w:sz w:val="20"/>
                        </w:rPr>
                        <m:t>1+i</m:t>
                      </m:r>
                    </m:e>
                  </m:d>
                </m:e>
                <m:sup>
                  <m:r>
                    <w:rPr>
                      <w:rFonts w:ascii="Cambria Math" w:hAnsi="Cambria Math"/>
                      <w:color w:val="000000" w:themeColor="text1"/>
                      <w:sz w:val="20"/>
                    </w:rPr>
                    <m:t>t</m:t>
                  </m:r>
                </m:sup>
              </m:sSup>
              <m:r>
                <w:rPr>
                  <w:rFonts w:ascii="Cambria Math" w:hAnsi="Cambria Math"/>
                  <w:color w:val="000000" w:themeColor="text1"/>
                  <w:sz w:val="20"/>
                </w:rPr>
                <m:t>∙</m:t>
              </m:r>
              <m:sSup>
                <m:sSupPr>
                  <m:ctrlPr>
                    <w:rPr>
                      <w:rFonts w:ascii="Cambria Math" w:hAnsi="Cambria Math"/>
                      <w:i/>
                      <w:color w:val="000000" w:themeColor="text1"/>
                      <w:sz w:val="20"/>
                    </w:rPr>
                  </m:ctrlPr>
                </m:sSupPr>
                <m:e>
                  <m:d>
                    <m:dPr>
                      <m:ctrlPr>
                        <w:rPr>
                          <w:rFonts w:ascii="Cambria Math" w:hAnsi="Cambria Math"/>
                          <w:i/>
                          <w:color w:val="000000" w:themeColor="text1"/>
                          <w:sz w:val="20"/>
                        </w:rPr>
                      </m:ctrlPr>
                    </m:dPr>
                    <m:e>
                      <m:r>
                        <w:rPr>
                          <w:rFonts w:ascii="Cambria Math" w:hAnsi="Cambria Math"/>
                          <w:color w:val="000000" w:themeColor="text1"/>
                          <w:sz w:val="20"/>
                        </w:rPr>
                        <m:t>1+β</m:t>
                      </m:r>
                    </m:e>
                  </m:d>
                </m:e>
                <m:sup>
                  <m:r>
                    <w:rPr>
                      <w:rFonts w:ascii="Cambria Math" w:hAnsi="Cambria Math"/>
                      <w:color w:val="000000" w:themeColor="text1"/>
                      <w:sz w:val="20"/>
                    </w:rPr>
                    <m:t>t</m:t>
                  </m:r>
                </m:sup>
              </m:sSup>
            </m:den>
          </m:f>
        </m:oMath>
      </m:oMathPara>
    </w:p>
    <w:p w:rsidR="00146152" w:rsidRPr="00F70898" w:rsidRDefault="00146152" w:rsidP="00146152">
      <w:pPr>
        <w:ind w:firstLine="720"/>
        <w:rPr>
          <w:rFonts w:eastAsiaTheme="minorEastAsia"/>
          <w:color w:val="000000" w:themeColor="text1"/>
        </w:rPr>
      </w:pPr>
      <w:r w:rsidRPr="00F70898">
        <w:rPr>
          <w:rFonts w:eastAsiaTheme="minorEastAsia"/>
          <w:color w:val="000000" w:themeColor="text1"/>
        </w:rPr>
        <w:t>Vienkāršojot modeli, var pieņemt, ka apdrošināšanas iemaksu reālā algu summa pieaug tādā pašā tempā kā valsts iekšzemes kopprodukts: tad</w:t>
      </w:r>
      <w:r>
        <w:rPr>
          <w:rFonts w:eastAsiaTheme="minorEastAsia"/>
          <w:color w:val="000000" w:themeColor="text1"/>
        </w:rPr>
        <w:t xml:space="preserve"> </w:t>
      </w:r>
      <w:r w:rsidRPr="00F70898">
        <w:rPr>
          <w:rFonts w:eastAsiaTheme="minorEastAsia"/>
          <w:color w:val="000000" w:themeColor="text1"/>
        </w:rPr>
        <w:t xml:space="preserve"> </w:t>
      </w:r>
      <m:oMath>
        <m:r>
          <w:rPr>
            <w:rFonts w:ascii="Cambria Math" w:eastAsiaTheme="minorEastAsia" w:hAnsi="Cambria Math"/>
            <w:color w:val="000000" w:themeColor="text1"/>
          </w:rPr>
          <m:t>α=β</m:t>
        </m:r>
      </m:oMath>
      <w:r w:rsidRPr="00F70898">
        <w:rPr>
          <w:rFonts w:eastAsiaTheme="minorEastAsia"/>
          <w:color w:val="000000" w:themeColor="text1"/>
        </w:rPr>
        <w:t>.</w:t>
      </w:r>
    </w:p>
    <w:p w:rsidR="00146152" w:rsidRPr="00F70898" w:rsidRDefault="00146152" w:rsidP="00146152">
      <w:pPr>
        <w:ind w:firstLine="720"/>
        <w:rPr>
          <w:rFonts w:eastAsiaTheme="minorEastAsia"/>
          <w:color w:val="000000" w:themeColor="text1"/>
        </w:rPr>
      </w:pPr>
      <w:r w:rsidRPr="00F70898">
        <w:rPr>
          <w:rFonts w:eastAsiaTheme="minorEastAsia"/>
          <w:color w:val="000000" w:themeColor="text1"/>
        </w:rPr>
        <w:t xml:space="preserve">Jāatzīmē, ka valsts reālā IKP izmaiņas ietekmē gan strādājošo skaita izmaiņas, gan strādāto stundu skaits, gan produktivitāte. Lai arī strādājošo skaits samazinās un nostrādāto stundu skaits pamatā ir </w:t>
      </w:r>
      <w:r>
        <w:rPr>
          <w:rFonts w:eastAsiaTheme="minorEastAsia"/>
          <w:color w:val="000000" w:themeColor="text1"/>
        </w:rPr>
        <w:t>nemainīgs</w:t>
      </w:r>
      <w:r w:rsidRPr="00F70898">
        <w:rPr>
          <w:rFonts w:eastAsiaTheme="minorEastAsia"/>
          <w:color w:val="000000" w:themeColor="text1"/>
        </w:rPr>
        <w:t>, saskaņā ar E</w:t>
      </w:r>
      <w:r>
        <w:rPr>
          <w:rFonts w:eastAsiaTheme="minorEastAsia"/>
          <w:color w:val="000000" w:themeColor="text1"/>
        </w:rPr>
        <w:t xml:space="preserve">iropas </w:t>
      </w:r>
      <w:r w:rsidRPr="00F70898">
        <w:rPr>
          <w:rFonts w:eastAsiaTheme="minorEastAsia"/>
          <w:color w:val="000000" w:themeColor="text1"/>
        </w:rPr>
        <w:t>K</w:t>
      </w:r>
      <w:r>
        <w:rPr>
          <w:rFonts w:eastAsiaTheme="minorEastAsia"/>
          <w:color w:val="000000" w:themeColor="text1"/>
        </w:rPr>
        <w:t>omisijas</w:t>
      </w:r>
      <w:r w:rsidRPr="00F70898">
        <w:rPr>
          <w:rFonts w:eastAsiaTheme="minorEastAsia"/>
          <w:color w:val="000000" w:themeColor="text1"/>
        </w:rPr>
        <w:t xml:space="preserve"> novecošanās ziņojumu, produktivitātes pieaugums būs straujāks, kā strādājošo skaita samazinājums, ģenerējot pastāvīgu ilgtermiņa reālā IKP vidējo pieaugumu laika periodā no 2016.gada līdz 2070.gadam 1,9% gadā. </w:t>
      </w:r>
    </w:p>
    <w:p w:rsidR="00146152" w:rsidRPr="00F70898" w:rsidRDefault="00146152" w:rsidP="00146152">
      <w:pPr>
        <w:ind w:firstLine="720"/>
        <w:jc w:val="center"/>
        <w:rPr>
          <w:rFonts w:eastAsiaTheme="minorEastAsia"/>
          <w:color w:val="000000" w:themeColor="text1"/>
        </w:rPr>
      </w:pPr>
      <w:r w:rsidRPr="00F70898">
        <w:rPr>
          <w:rFonts w:eastAsiaTheme="minorEastAsia"/>
          <w:color w:val="000000" w:themeColor="text1"/>
        </w:rPr>
        <w:t>Tātad</w:t>
      </w:r>
      <w:r>
        <w:rPr>
          <w:rFonts w:eastAsiaTheme="minorEastAsia"/>
          <w:color w:val="000000" w:themeColor="text1"/>
        </w:rPr>
        <w:t>,</w:t>
      </w:r>
      <w:r w:rsidRPr="00F70898">
        <w:rPr>
          <w:rFonts w:eastAsiaTheme="minorEastAsia"/>
          <w:color w:val="000000" w:themeColor="text1"/>
        </w:rPr>
        <w:t xml:space="preserve"> </w:t>
      </w:r>
      <m:oMath>
        <m:r>
          <w:rPr>
            <w:rFonts w:ascii="Cambria Math" w:eastAsiaTheme="minorEastAsia" w:hAnsi="Cambria Math"/>
            <w:color w:val="000000" w:themeColor="text1"/>
          </w:rPr>
          <m:t>β=0,019&gt;0.</m:t>
        </m:r>
      </m:oMath>
    </w:p>
    <w:p w:rsidR="00146152" w:rsidRPr="00F70898" w:rsidRDefault="00146152" w:rsidP="00146152">
      <w:pPr>
        <w:ind w:firstLine="720"/>
        <w:rPr>
          <w:rFonts w:eastAsiaTheme="minorEastAsia"/>
          <w:color w:val="000000" w:themeColor="text1"/>
        </w:rPr>
      </w:pPr>
      <w:r w:rsidRPr="00F70898">
        <w:rPr>
          <w:rFonts w:eastAsiaTheme="minorEastAsia"/>
          <w:color w:val="000000" w:themeColor="text1"/>
        </w:rPr>
        <w:t xml:space="preserve">Kaut arī Latvijā tiek prognozēts, ka vecuma pensiju saņēmēju  skaits pret strādājošo skaitu būtiski pieaugs, absolūtos skaitļos vecuma pensiju saņēmēju skaits 2070.gadā būs mazāks, kā 2016.gadā, jo kopējais iedzīvotāju skaits samazinās. Vienkāršojot modeli un vērtējot maksimālo fiskālo ietekmi, var pieņemt, ka vecuma pensiju saņēmēju skaits ilgtermiņā nemainās </w:t>
      </w:r>
      <m:oMath>
        <m:r>
          <w:rPr>
            <w:rFonts w:ascii="Cambria Math" w:hAnsi="Cambria Math"/>
            <w:color w:val="000000" w:themeColor="text1"/>
          </w:rPr>
          <m:t>N(t)=N(</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0</m:t>
            </m:r>
          </m:sub>
        </m:sSub>
        <m:r>
          <w:rPr>
            <w:rFonts w:ascii="Cambria Math" w:hAnsi="Cambria Math"/>
            <w:color w:val="000000" w:themeColor="text1"/>
          </w:rPr>
          <m:t>)</m:t>
        </m:r>
      </m:oMath>
      <w:r w:rsidRPr="00F70898">
        <w:rPr>
          <w:rFonts w:eastAsiaTheme="minorEastAsia"/>
          <w:color w:val="000000" w:themeColor="text1"/>
        </w:rPr>
        <w:t xml:space="preserve">   </w:t>
      </w:r>
    </w:p>
    <w:p w:rsidR="00146152" w:rsidRPr="00F70898" w:rsidRDefault="00146152" w:rsidP="00146152">
      <w:pPr>
        <w:ind w:firstLine="720"/>
        <w:rPr>
          <w:rFonts w:eastAsiaTheme="minorEastAsia"/>
          <w:color w:val="000000" w:themeColor="text1"/>
        </w:rPr>
      </w:pPr>
      <w:r w:rsidRPr="00F70898">
        <w:rPr>
          <w:rFonts w:eastAsiaTheme="minorEastAsia"/>
          <w:color w:val="000000" w:themeColor="text1"/>
        </w:rPr>
        <w:t>Pie šāda pieņēmuma:</w:t>
      </w:r>
    </w:p>
    <w:p w:rsidR="00146152" w:rsidRPr="00F70898" w:rsidRDefault="00AB7FBE" w:rsidP="00146152">
      <w:pPr>
        <w:spacing w:before="240" w:after="240"/>
        <w:ind w:firstLine="720"/>
        <w:jc w:val="center"/>
        <w:rPr>
          <w:rFonts w:eastAsiaTheme="minorEastAsia"/>
          <w:color w:val="000000" w:themeColor="text1"/>
          <w:sz w:val="20"/>
        </w:rPr>
      </w:pPr>
      <m:oMathPara>
        <m:oMathParaPr>
          <m:jc m:val="center"/>
        </m:oMathParaPr>
        <m:oMath>
          <m:f>
            <m:fPr>
              <m:ctrlPr>
                <w:rPr>
                  <w:rFonts w:ascii="Cambria Math" w:hAnsi="Cambria Math"/>
                  <w:i/>
                  <w:color w:val="000000" w:themeColor="text1"/>
                  <w:sz w:val="20"/>
                </w:rPr>
              </m:ctrlPr>
            </m:fPr>
            <m:num>
              <m:r>
                <w:rPr>
                  <w:rFonts w:ascii="Cambria Math" w:hAnsi="Cambria Math"/>
                  <w:color w:val="000000" w:themeColor="text1"/>
                  <w:sz w:val="20"/>
                </w:rPr>
                <m:t>E(t)</m:t>
              </m:r>
            </m:num>
            <m:den>
              <m:r>
                <w:rPr>
                  <w:rFonts w:ascii="Cambria Math" w:hAnsi="Cambria Math"/>
                  <w:color w:val="000000" w:themeColor="text1"/>
                  <w:sz w:val="20"/>
                </w:rPr>
                <m:t>I(t)</m:t>
              </m:r>
            </m:den>
          </m:f>
          <m:r>
            <w:rPr>
              <w:rFonts w:ascii="Cambria Math" w:hAnsi="Cambria Math"/>
              <w:color w:val="000000" w:themeColor="text1"/>
              <w:sz w:val="20"/>
            </w:rPr>
            <m:t>=</m:t>
          </m:r>
          <m:f>
            <m:fPr>
              <m:ctrlPr>
                <w:rPr>
                  <w:rFonts w:ascii="Cambria Math" w:hAnsi="Cambria Math"/>
                  <w:i/>
                  <w:color w:val="000000" w:themeColor="text1"/>
                  <w:sz w:val="20"/>
                </w:rPr>
              </m:ctrlPr>
            </m:fPr>
            <m:num>
              <m:r>
                <w:rPr>
                  <w:rFonts w:ascii="Cambria Math" w:hAnsi="Cambria Math"/>
                  <w:color w:val="000000" w:themeColor="text1"/>
                  <w:sz w:val="20"/>
                </w:rPr>
                <m:t>N(</m:t>
              </m:r>
              <m:sSub>
                <m:sSubPr>
                  <m:ctrlPr>
                    <w:rPr>
                      <w:rFonts w:ascii="Cambria Math" w:hAnsi="Cambria Math"/>
                      <w:i/>
                      <w:color w:val="000000" w:themeColor="text1"/>
                      <w:sz w:val="20"/>
                    </w:rPr>
                  </m:ctrlPr>
                </m:sSubPr>
                <m:e>
                  <m:r>
                    <w:rPr>
                      <w:rFonts w:ascii="Cambria Math" w:hAnsi="Cambria Math"/>
                      <w:color w:val="000000" w:themeColor="text1"/>
                      <w:sz w:val="20"/>
                    </w:rPr>
                    <m:t>t</m:t>
                  </m:r>
                </m:e>
                <m:sub>
                  <m:r>
                    <w:rPr>
                      <w:rFonts w:ascii="Cambria Math" w:hAnsi="Cambria Math"/>
                      <w:color w:val="000000" w:themeColor="text1"/>
                      <w:sz w:val="20"/>
                    </w:rPr>
                    <m:t>0</m:t>
                  </m:r>
                </m:sub>
              </m:sSub>
              <m:r>
                <w:rPr>
                  <w:rFonts w:ascii="Cambria Math" w:hAnsi="Cambria Math"/>
                  <w:color w:val="000000" w:themeColor="text1"/>
                  <w:sz w:val="20"/>
                </w:rPr>
                <m:t>)∙</m:t>
              </m:r>
              <m:sSub>
                <m:sSubPr>
                  <m:ctrlPr>
                    <w:rPr>
                      <w:rFonts w:ascii="Cambria Math" w:eastAsiaTheme="minorEastAsia" w:hAnsi="Cambria Math"/>
                      <w:i/>
                      <w:color w:val="000000" w:themeColor="text1"/>
                      <w:sz w:val="20"/>
                    </w:rPr>
                  </m:ctrlPr>
                </m:sSubPr>
                <m:e>
                  <m:r>
                    <w:rPr>
                      <w:rFonts w:ascii="Cambria Math" w:eastAsiaTheme="minorEastAsia" w:hAnsi="Cambria Math"/>
                      <w:color w:val="000000" w:themeColor="text1"/>
                      <w:sz w:val="20"/>
                    </w:rPr>
                    <m:t>P</m:t>
                  </m:r>
                </m:e>
                <m:sub>
                  <m:r>
                    <w:rPr>
                      <w:rFonts w:ascii="Cambria Math" w:eastAsiaTheme="minorEastAsia" w:hAnsi="Cambria Math"/>
                      <w:color w:val="000000" w:themeColor="text1"/>
                      <w:sz w:val="20"/>
                    </w:rPr>
                    <m:t>v</m:t>
                  </m:r>
                </m:sub>
              </m:sSub>
              <m:r>
                <w:rPr>
                  <w:rFonts w:ascii="Cambria Math" w:eastAsiaTheme="minorEastAsia" w:hAnsi="Cambria Math"/>
                  <w:color w:val="000000" w:themeColor="text1"/>
                  <w:sz w:val="20"/>
                </w:rPr>
                <m:t>(</m:t>
              </m:r>
              <m:sSub>
                <m:sSubPr>
                  <m:ctrlPr>
                    <w:rPr>
                      <w:rFonts w:ascii="Cambria Math" w:eastAsiaTheme="minorEastAsia" w:hAnsi="Cambria Math"/>
                      <w:i/>
                      <w:color w:val="000000" w:themeColor="text1"/>
                      <w:sz w:val="20"/>
                    </w:rPr>
                  </m:ctrlPr>
                </m:sSubPr>
                <m:e>
                  <m:r>
                    <w:rPr>
                      <w:rFonts w:ascii="Cambria Math" w:eastAsiaTheme="minorEastAsia" w:hAnsi="Cambria Math"/>
                      <w:color w:val="000000" w:themeColor="text1"/>
                      <w:sz w:val="20"/>
                    </w:rPr>
                    <m:t>t</m:t>
                  </m:r>
                </m:e>
                <m:sub>
                  <m:r>
                    <w:rPr>
                      <w:rFonts w:ascii="Cambria Math" w:eastAsiaTheme="minorEastAsia" w:hAnsi="Cambria Math"/>
                      <w:color w:val="000000" w:themeColor="text1"/>
                      <w:sz w:val="20"/>
                    </w:rPr>
                    <m:t>0</m:t>
                  </m:r>
                </m:sub>
              </m:sSub>
              <m:r>
                <w:rPr>
                  <w:rFonts w:ascii="Cambria Math" w:eastAsiaTheme="minorEastAsia" w:hAnsi="Cambria Math"/>
                  <w:color w:val="000000" w:themeColor="text1"/>
                  <w:sz w:val="20"/>
                </w:rPr>
                <m:t>)</m:t>
              </m:r>
              <m:r>
                <w:rPr>
                  <w:rFonts w:ascii="Cambria Math" w:hAnsi="Cambria Math"/>
                  <w:color w:val="000000" w:themeColor="text1"/>
                  <w:sz w:val="20"/>
                </w:rPr>
                <m:t>∙</m:t>
              </m:r>
              <m:sSup>
                <m:sSupPr>
                  <m:ctrlPr>
                    <w:rPr>
                      <w:rFonts w:ascii="Cambria Math" w:hAnsi="Cambria Math"/>
                      <w:i/>
                      <w:color w:val="000000" w:themeColor="text1"/>
                      <w:sz w:val="20"/>
                    </w:rPr>
                  </m:ctrlPr>
                </m:sSupPr>
                <m:e>
                  <m:r>
                    <w:rPr>
                      <w:rFonts w:ascii="Cambria Math" w:hAnsi="Cambria Math"/>
                      <w:color w:val="000000" w:themeColor="text1"/>
                      <w:sz w:val="20"/>
                    </w:rPr>
                    <m:t>(1+A∙β)</m:t>
                  </m:r>
                </m:e>
                <m:sup>
                  <m:r>
                    <w:rPr>
                      <w:rFonts w:ascii="Cambria Math" w:hAnsi="Cambria Math"/>
                      <w:color w:val="000000" w:themeColor="text1"/>
                      <w:sz w:val="20"/>
                    </w:rPr>
                    <m:t>t</m:t>
                  </m:r>
                </m:sup>
              </m:sSup>
            </m:num>
            <m:den>
              <m:r>
                <w:rPr>
                  <w:rFonts w:ascii="Cambria Math" w:hAnsi="Cambria Math"/>
                  <w:color w:val="000000" w:themeColor="text1"/>
                  <w:sz w:val="20"/>
                </w:rPr>
                <m:t>I(</m:t>
              </m:r>
              <m:sSub>
                <m:sSubPr>
                  <m:ctrlPr>
                    <w:rPr>
                      <w:rFonts w:ascii="Cambria Math" w:hAnsi="Cambria Math"/>
                      <w:i/>
                      <w:color w:val="000000" w:themeColor="text1"/>
                      <w:sz w:val="20"/>
                    </w:rPr>
                  </m:ctrlPr>
                </m:sSubPr>
                <m:e>
                  <m:r>
                    <w:rPr>
                      <w:rFonts w:ascii="Cambria Math" w:hAnsi="Cambria Math"/>
                      <w:color w:val="000000" w:themeColor="text1"/>
                      <w:sz w:val="20"/>
                    </w:rPr>
                    <m:t>t</m:t>
                  </m:r>
                </m:e>
                <m:sub>
                  <m:r>
                    <w:rPr>
                      <w:rFonts w:ascii="Cambria Math" w:hAnsi="Cambria Math"/>
                      <w:color w:val="000000" w:themeColor="text1"/>
                      <w:sz w:val="20"/>
                    </w:rPr>
                    <m:t>0</m:t>
                  </m:r>
                </m:sub>
              </m:sSub>
              <m:r>
                <w:rPr>
                  <w:rFonts w:ascii="Cambria Math" w:hAnsi="Cambria Math"/>
                  <w:color w:val="000000" w:themeColor="text1"/>
                  <w:sz w:val="20"/>
                </w:rPr>
                <m:t>)∙</m:t>
              </m:r>
              <m:sSup>
                <m:sSupPr>
                  <m:ctrlPr>
                    <w:rPr>
                      <w:rFonts w:ascii="Cambria Math" w:hAnsi="Cambria Math"/>
                      <w:i/>
                      <w:color w:val="000000" w:themeColor="text1"/>
                      <w:sz w:val="20"/>
                    </w:rPr>
                  </m:ctrlPr>
                </m:sSupPr>
                <m:e>
                  <m:d>
                    <m:dPr>
                      <m:ctrlPr>
                        <w:rPr>
                          <w:rFonts w:ascii="Cambria Math" w:hAnsi="Cambria Math"/>
                          <w:i/>
                          <w:color w:val="000000" w:themeColor="text1"/>
                          <w:sz w:val="20"/>
                        </w:rPr>
                      </m:ctrlPr>
                    </m:dPr>
                    <m:e>
                      <m:r>
                        <w:rPr>
                          <w:rFonts w:ascii="Cambria Math" w:hAnsi="Cambria Math"/>
                          <w:color w:val="000000" w:themeColor="text1"/>
                          <w:sz w:val="20"/>
                        </w:rPr>
                        <m:t>1+β</m:t>
                      </m:r>
                    </m:e>
                  </m:d>
                </m:e>
                <m:sup>
                  <m:r>
                    <w:rPr>
                      <w:rFonts w:ascii="Cambria Math" w:hAnsi="Cambria Math"/>
                      <w:color w:val="000000" w:themeColor="text1"/>
                      <w:sz w:val="20"/>
                    </w:rPr>
                    <m:t>t</m:t>
                  </m:r>
                </m:sup>
              </m:sSup>
            </m:den>
          </m:f>
          <m:r>
            <w:rPr>
              <w:rFonts w:ascii="Cambria Math" w:hAnsi="Cambria Math"/>
              <w:color w:val="000000" w:themeColor="text1"/>
              <w:sz w:val="20"/>
            </w:rPr>
            <m:t>=</m:t>
          </m:r>
          <m:f>
            <m:fPr>
              <m:ctrlPr>
                <w:rPr>
                  <w:rFonts w:ascii="Cambria Math" w:hAnsi="Cambria Math"/>
                  <w:i/>
                  <w:color w:val="000000" w:themeColor="text1"/>
                  <w:sz w:val="20"/>
                </w:rPr>
              </m:ctrlPr>
            </m:fPr>
            <m:num>
              <m:r>
                <w:rPr>
                  <w:rFonts w:ascii="Cambria Math" w:hAnsi="Cambria Math"/>
                  <w:color w:val="000000" w:themeColor="text1"/>
                  <w:sz w:val="20"/>
                </w:rPr>
                <m:t>E(</m:t>
              </m:r>
              <m:sSub>
                <m:sSubPr>
                  <m:ctrlPr>
                    <w:rPr>
                      <w:rFonts w:ascii="Cambria Math" w:hAnsi="Cambria Math"/>
                      <w:i/>
                      <w:color w:val="000000" w:themeColor="text1"/>
                      <w:sz w:val="20"/>
                    </w:rPr>
                  </m:ctrlPr>
                </m:sSubPr>
                <m:e>
                  <m:r>
                    <w:rPr>
                      <w:rFonts w:ascii="Cambria Math" w:hAnsi="Cambria Math"/>
                      <w:color w:val="000000" w:themeColor="text1"/>
                      <w:sz w:val="20"/>
                    </w:rPr>
                    <m:t>t</m:t>
                  </m:r>
                </m:e>
                <m:sub>
                  <m:r>
                    <w:rPr>
                      <w:rFonts w:ascii="Cambria Math" w:hAnsi="Cambria Math"/>
                      <w:color w:val="000000" w:themeColor="text1"/>
                      <w:sz w:val="20"/>
                    </w:rPr>
                    <m:t>0</m:t>
                  </m:r>
                </m:sub>
              </m:sSub>
              <m:r>
                <w:rPr>
                  <w:rFonts w:ascii="Cambria Math" w:hAnsi="Cambria Math"/>
                  <w:color w:val="000000" w:themeColor="text1"/>
                  <w:sz w:val="20"/>
                </w:rPr>
                <m:t>)</m:t>
              </m:r>
            </m:num>
            <m:den>
              <m:r>
                <w:rPr>
                  <w:rFonts w:ascii="Cambria Math" w:hAnsi="Cambria Math"/>
                  <w:color w:val="000000" w:themeColor="text1"/>
                  <w:sz w:val="20"/>
                </w:rPr>
                <m:t>I(</m:t>
              </m:r>
              <m:sSub>
                <m:sSubPr>
                  <m:ctrlPr>
                    <w:rPr>
                      <w:rFonts w:ascii="Cambria Math" w:hAnsi="Cambria Math"/>
                      <w:i/>
                      <w:color w:val="000000" w:themeColor="text1"/>
                      <w:sz w:val="20"/>
                    </w:rPr>
                  </m:ctrlPr>
                </m:sSubPr>
                <m:e>
                  <m:r>
                    <w:rPr>
                      <w:rFonts w:ascii="Cambria Math" w:hAnsi="Cambria Math"/>
                      <w:color w:val="000000" w:themeColor="text1"/>
                      <w:sz w:val="20"/>
                    </w:rPr>
                    <m:t>t</m:t>
                  </m:r>
                </m:e>
                <m:sub>
                  <m:r>
                    <w:rPr>
                      <w:rFonts w:ascii="Cambria Math" w:hAnsi="Cambria Math"/>
                      <w:color w:val="000000" w:themeColor="text1"/>
                      <w:sz w:val="20"/>
                    </w:rPr>
                    <m:t>0</m:t>
                  </m:r>
                </m:sub>
              </m:sSub>
              <m:r>
                <w:rPr>
                  <w:rFonts w:ascii="Cambria Math" w:hAnsi="Cambria Math"/>
                  <w:color w:val="000000" w:themeColor="text1"/>
                  <w:sz w:val="20"/>
                </w:rPr>
                <m:t>)</m:t>
              </m:r>
            </m:den>
          </m:f>
          <m:r>
            <w:rPr>
              <w:rFonts w:ascii="Cambria Math" w:hAnsi="Cambria Math"/>
              <w:color w:val="000000" w:themeColor="text1"/>
              <w:sz w:val="20"/>
            </w:rPr>
            <m:t>∙</m:t>
          </m:r>
          <m:f>
            <m:fPr>
              <m:ctrlPr>
                <w:rPr>
                  <w:rFonts w:ascii="Cambria Math" w:hAnsi="Cambria Math"/>
                  <w:i/>
                  <w:color w:val="000000" w:themeColor="text1"/>
                  <w:sz w:val="20"/>
                </w:rPr>
              </m:ctrlPr>
            </m:fPr>
            <m:num>
              <m:sSup>
                <m:sSupPr>
                  <m:ctrlPr>
                    <w:rPr>
                      <w:rFonts w:ascii="Cambria Math" w:hAnsi="Cambria Math"/>
                      <w:i/>
                      <w:color w:val="000000" w:themeColor="text1"/>
                      <w:sz w:val="20"/>
                    </w:rPr>
                  </m:ctrlPr>
                </m:sSupPr>
                <m:e>
                  <m:r>
                    <w:rPr>
                      <w:rFonts w:ascii="Cambria Math" w:hAnsi="Cambria Math"/>
                      <w:color w:val="000000" w:themeColor="text1"/>
                      <w:sz w:val="20"/>
                    </w:rPr>
                    <m:t>(1+A∙β)</m:t>
                  </m:r>
                </m:e>
                <m:sup>
                  <m:r>
                    <w:rPr>
                      <w:rFonts w:ascii="Cambria Math" w:hAnsi="Cambria Math"/>
                      <w:color w:val="000000" w:themeColor="text1"/>
                      <w:sz w:val="20"/>
                    </w:rPr>
                    <m:t>t</m:t>
                  </m:r>
                </m:sup>
              </m:sSup>
            </m:num>
            <m:den>
              <m:sSup>
                <m:sSupPr>
                  <m:ctrlPr>
                    <w:rPr>
                      <w:rFonts w:ascii="Cambria Math" w:hAnsi="Cambria Math"/>
                      <w:i/>
                      <w:color w:val="000000" w:themeColor="text1"/>
                      <w:sz w:val="20"/>
                    </w:rPr>
                  </m:ctrlPr>
                </m:sSupPr>
                <m:e>
                  <m:d>
                    <m:dPr>
                      <m:ctrlPr>
                        <w:rPr>
                          <w:rFonts w:ascii="Cambria Math" w:hAnsi="Cambria Math"/>
                          <w:i/>
                          <w:color w:val="000000" w:themeColor="text1"/>
                          <w:sz w:val="20"/>
                        </w:rPr>
                      </m:ctrlPr>
                    </m:dPr>
                    <m:e>
                      <m:r>
                        <w:rPr>
                          <w:rFonts w:ascii="Cambria Math" w:hAnsi="Cambria Math"/>
                          <w:color w:val="000000" w:themeColor="text1"/>
                          <w:sz w:val="20"/>
                        </w:rPr>
                        <m:t>1+β</m:t>
                      </m:r>
                    </m:e>
                  </m:d>
                </m:e>
                <m:sup>
                  <m:r>
                    <w:rPr>
                      <w:rFonts w:ascii="Cambria Math" w:hAnsi="Cambria Math"/>
                      <w:color w:val="000000" w:themeColor="text1"/>
                      <w:sz w:val="20"/>
                    </w:rPr>
                    <m:t>t</m:t>
                  </m:r>
                </m:sup>
              </m:sSup>
            </m:den>
          </m:f>
          <m:r>
            <w:rPr>
              <w:rFonts w:ascii="Cambria Math" w:eastAsiaTheme="minorEastAsia" w:hAnsi="Cambria Math"/>
              <w:color w:val="000000" w:themeColor="text1"/>
              <w:sz w:val="20"/>
            </w:rPr>
            <m:t>≈</m:t>
          </m:r>
          <m:f>
            <m:fPr>
              <m:ctrlPr>
                <w:rPr>
                  <w:rFonts w:ascii="Cambria Math" w:hAnsi="Cambria Math"/>
                  <w:i/>
                  <w:color w:val="000000" w:themeColor="text1"/>
                  <w:sz w:val="20"/>
                </w:rPr>
              </m:ctrlPr>
            </m:fPr>
            <m:num>
              <m:r>
                <w:rPr>
                  <w:rFonts w:ascii="Cambria Math" w:hAnsi="Cambria Math"/>
                  <w:color w:val="000000" w:themeColor="text1"/>
                  <w:sz w:val="20"/>
                </w:rPr>
                <m:t>E(</m:t>
              </m:r>
              <m:sSub>
                <m:sSubPr>
                  <m:ctrlPr>
                    <w:rPr>
                      <w:rFonts w:ascii="Cambria Math" w:hAnsi="Cambria Math"/>
                      <w:i/>
                      <w:color w:val="000000" w:themeColor="text1"/>
                      <w:sz w:val="20"/>
                    </w:rPr>
                  </m:ctrlPr>
                </m:sSubPr>
                <m:e>
                  <m:r>
                    <w:rPr>
                      <w:rFonts w:ascii="Cambria Math" w:hAnsi="Cambria Math"/>
                      <w:color w:val="000000" w:themeColor="text1"/>
                      <w:sz w:val="20"/>
                    </w:rPr>
                    <m:t>t</m:t>
                  </m:r>
                </m:e>
                <m:sub>
                  <m:r>
                    <w:rPr>
                      <w:rFonts w:ascii="Cambria Math" w:hAnsi="Cambria Math"/>
                      <w:color w:val="000000" w:themeColor="text1"/>
                      <w:sz w:val="20"/>
                    </w:rPr>
                    <m:t>0</m:t>
                  </m:r>
                </m:sub>
              </m:sSub>
              <m:r>
                <w:rPr>
                  <w:rFonts w:ascii="Cambria Math" w:hAnsi="Cambria Math"/>
                  <w:color w:val="000000" w:themeColor="text1"/>
                  <w:sz w:val="20"/>
                </w:rPr>
                <m:t>)</m:t>
              </m:r>
            </m:num>
            <m:den>
              <m:r>
                <w:rPr>
                  <w:rFonts w:ascii="Cambria Math" w:hAnsi="Cambria Math"/>
                  <w:color w:val="000000" w:themeColor="text1"/>
                  <w:sz w:val="20"/>
                </w:rPr>
                <m:t>I(</m:t>
              </m:r>
              <m:sSub>
                <m:sSubPr>
                  <m:ctrlPr>
                    <w:rPr>
                      <w:rFonts w:ascii="Cambria Math" w:hAnsi="Cambria Math"/>
                      <w:i/>
                      <w:color w:val="000000" w:themeColor="text1"/>
                      <w:sz w:val="20"/>
                    </w:rPr>
                  </m:ctrlPr>
                </m:sSubPr>
                <m:e>
                  <m:r>
                    <w:rPr>
                      <w:rFonts w:ascii="Cambria Math" w:hAnsi="Cambria Math"/>
                      <w:color w:val="000000" w:themeColor="text1"/>
                      <w:sz w:val="20"/>
                    </w:rPr>
                    <m:t>t</m:t>
                  </m:r>
                </m:e>
                <m:sub>
                  <m:r>
                    <w:rPr>
                      <w:rFonts w:ascii="Cambria Math" w:hAnsi="Cambria Math"/>
                      <w:color w:val="000000" w:themeColor="text1"/>
                      <w:sz w:val="20"/>
                    </w:rPr>
                    <m:t>0</m:t>
                  </m:r>
                </m:sub>
              </m:sSub>
              <m:r>
                <w:rPr>
                  <w:rFonts w:ascii="Cambria Math" w:hAnsi="Cambria Math"/>
                  <w:color w:val="000000" w:themeColor="text1"/>
                  <w:sz w:val="20"/>
                </w:rPr>
                <m:t>)</m:t>
              </m:r>
            </m:den>
          </m:f>
          <m:r>
            <w:rPr>
              <w:rFonts w:ascii="Cambria Math" w:hAnsi="Cambria Math"/>
              <w:color w:val="000000" w:themeColor="text1"/>
              <w:sz w:val="20"/>
            </w:rPr>
            <m:t>∙</m:t>
          </m:r>
          <m:f>
            <m:fPr>
              <m:ctrlPr>
                <w:rPr>
                  <w:rFonts w:ascii="Cambria Math" w:hAnsi="Cambria Math"/>
                  <w:i/>
                  <w:color w:val="000000" w:themeColor="text1"/>
                  <w:sz w:val="20"/>
                </w:rPr>
              </m:ctrlPr>
            </m:fPr>
            <m:num>
              <m:r>
                <w:rPr>
                  <w:rFonts w:ascii="Cambria Math" w:hAnsi="Cambria Math"/>
                  <w:color w:val="000000" w:themeColor="text1"/>
                  <w:sz w:val="20"/>
                </w:rPr>
                <m:t>1+A∙β∙t</m:t>
              </m:r>
            </m:num>
            <m:den>
              <m:r>
                <w:rPr>
                  <w:rFonts w:ascii="Cambria Math" w:hAnsi="Cambria Math"/>
                  <w:color w:val="000000" w:themeColor="text1"/>
                  <w:sz w:val="20"/>
                </w:rPr>
                <m:t>1+β∙t</m:t>
              </m:r>
            </m:den>
          </m:f>
        </m:oMath>
      </m:oMathPara>
    </w:p>
    <w:p w:rsidR="00146152" w:rsidRPr="00F70898" w:rsidRDefault="00AB7FBE" w:rsidP="00146152">
      <w:pPr>
        <w:spacing w:before="240" w:after="240"/>
        <w:rPr>
          <w:rFonts w:eastAsiaTheme="minorEastAsia"/>
          <w:color w:val="000000" w:themeColor="text1"/>
          <w:sz w:val="20"/>
        </w:rPr>
      </w:pPr>
      <m:oMathPara>
        <m:oMath>
          <m:func>
            <m:funcPr>
              <m:ctrlPr>
                <w:rPr>
                  <w:rFonts w:ascii="Cambria Math" w:hAnsi="Cambria Math"/>
                  <w:i/>
                  <w:color w:val="000000" w:themeColor="text1"/>
                  <w:sz w:val="20"/>
                </w:rPr>
              </m:ctrlPr>
            </m:funcPr>
            <m:fName>
              <m:limLow>
                <m:limLowPr>
                  <m:ctrlPr>
                    <w:rPr>
                      <w:rFonts w:ascii="Cambria Math" w:hAnsi="Cambria Math"/>
                      <w:i/>
                      <w:color w:val="000000" w:themeColor="text1"/>
                      <w:sz w:val="20"/>
                    </w:rPr>
                  </m:ctrlPr>
                </m:limLowPr>
                <m:e>
                  <m:r>
                    <m:rPr>
                      <m:sty m:val="p"/>
                    </m:rPr>
                    <w:rPr>
                      <w:rFonts w:ascii="Cambria Math" w:hAnsi="Cambria Math"/>
                      <w:color w:val="000000" w:themeColor="text1"/>
                      <w:sz w:val="20"/>
                    </w:rPr>
                    <m:t>lim</m:t>
                  </m:r>
                </m:e>
                <m:lim>
                  <m:r>
                    <w:rPr>
                      <w:rFonts w:ascii="Cambria Math" w:hAnsi="Cambria Math"/>
                      <w:color w:val="000000" w:themeColor="text1"/>
                      <w:sz w:val="20"/>
                    </w:rPr>
                    <m:t>t→∞</m:t>
                  </m:r>
                </m:lim>
              </m:limLow>
            </m:fName>
            <m:e>
              <m:f>
                <m:fPr>
                  <m:ctrlPr>
                    <w:rPr>
                      <w:rFonts w:ascii="Cambria Math" w:hAnsi="Cambria Math"/>
                      <w:i/>
                      <w:color w:val="000000" w:themeColor="text1"/>
                      <w:sz w:val="20"/>
                    </w:rPr>
                  </m:ctrlPr>
                </m:fPr>
                <m:num>
                  <m:r>
                    <w:rPr>
                      <w:rFonts w:ascii="Cambria Math" w:hAnsi="Cambria Math"/>
                      <w:color w:val="000000" w:themeColor="text1"/>
                      <w:sz w:val="20"/>
                    </w:rPr>
                    <m:t>E(t)</m:t>
                  </m:r>
                </m:num>
                <m:den>
                  <m:r>
                    <w:rPr>
                      <w:rFonts w:ascii="Cambria Math" w:hAnsi="Cambria Math"/>
                      <w:color w:val="000000" w:themeColor="text1"/>
                      <w:sz w:val="20"/>
                    </w:rPr>
                    <m:t>I(t)</m:t>
                  </m:r>
                </m:den>
              </m:f>
              <m:r>
                <w:rPr>
                  <w:rFonts w:ascii="Cambria Math" w:hAnsi="Cambria Math"/>
                  <w:color w:val="000000" w:themeColor="text1"/>
                  <w:sz w:val="20"/>
                </w:rPr>
                <m:t>=</m:t>
              </m:r>
            </m:e>
          </m:func>
          <m:f>
            <m:fPr>
              <m:ctrlPr>
                <w:rPr>
                  <w:rFonts w:ascii="Cambria Math" w:hAnsi="Cambria Math"/>
                  <w:i/>
                  <w:color w:val="000000" w:themeColor="text1"/>
                  <w:sz w:val="20"/>
                </w:rPr>
              </m:ctrlPr>
            </m:fPr>
            <m:num>
              <m:r>
                <w:rPr>
                  <w:rFonts w:ascii="Cambria Math" w:hAnsi="Cambria Math"/>
                  <w:color w:val="000000" w:themeColor="text1"/>
                  <w:sz w:val="20"/>
                </w:rPr>
                <m:t>E(</m:t>
              </m:r>
              <m:sSub>
                <m:sSubPr>
                  <m:ctrlPr>
                    <w:rPr>
                      <w:rFonts w:ascii="Cambria Math" w:hAnsi="Cambria Math"/>
                      <w:i/>
                      <w:color w:val="000000" w:themeColor="text1"/>
                      <w:sz w:val="20"/>
                    </w:rPr>
                  </m:ctrlPr>
                </m:sSubPr>
                <m:e>
                  <m:r>
                    <w:rPr>
                      <w:rFonts w:ascii="Cambria Math" w:hAnsi="Cambria Math"/>
                      <w:color w:val="000000" w:themeColor="text1"/>
                      <w:sz w:val="20"/>
                    </w:rPr>
                    <m:t>t</m:t>
                  </m:r>
                </m:e>
                <m:sub>
                  <m:r>
                    <w:rPr>
                      <w:rFonts w:ascii="Cambria Math" w:hAnsi="Cambria Math"/>
                      <w:color w:val="000000" w:themeColor="text1"/>
                      <w:sz w:val="20"/>
                    </w:rPr>
                    <m:t>0</m:t>
                  </m:r>
                </m:sub>
              </m:sSub>
              <m:r>
                <w:rPr>
                  <w:rFonts w:ascii="Cambria Math" w:hAnsi="Cambria Math"/>
                  <w:color w:val="000000" w:themeColor="text1"/>
                  <w:sz w:val="20"/>
                </w:rPr>
                <m:t>)</m:t>
              </m:r>
            </m:num>
            <m:den>
              <m:r>
                <w:rPr>
                  <w:rFonts w:ascii="Cambria Math" w:hAnsi="Cambria Math"/>
                  <w:color w:val="000000" w:themeColor="text1"/>
                  <w:sz w:val="20"/>
                </w:rPr>
                <m:t>I(</m:t>
              </m:r>
              <m:sSub>
                <m:sSubPr>
                  <m:ctrlPr>
                    <w:rPr>
                      <w:rFonts w:ascii="Cambria Math" w:hAnsi="Cambria Math"/>
                      <w:i/>
                      <w:color w:val="000000" w:themeColor="text1"/>
                      <w:sz w:val="20"/>
                    </w:rPr>
                  </m:ctrlPr>
                </m:sSubPr>
                <m:e>
                  <m:r>
                    <w:rPr>
                      <w:rFonts w:ascii="Cambria Math" w:hAnsi="Cambria Math"/>
                      <w:color w:val="000000" w:themeColor="text1"/>
                      <w:sz w:val="20"/>
                    </w:rPr>
                    <m:t>t</m:t>
                  </m:r>
                </m:e>
                <m:sub>
                  <m:r>
                    <w:rPr>
                      <w:rFonts w:ascii="Cambria Math" w:hAnsi="Cambria Math"/>
                      <w:color w:val="000000" w:themeColor="text1"/>
                      <w:sz w:val="20"/>
                    </w:rPr>
                    <m:t>0</m:t>
                  </m:r>
                </m:sub>
              </m:sSub>
              <m:r>
                <w:rPr>
                  <w:rFonts w:ascii="Cambria Math" w:hAnsi="Cambria Math"/>
                  <w:color w:val="000000" w:themeColor="text1"/>
                  <w:sz w:val="20"/>
                </w:rPr>
                <m:t>)</m:t>
              </m:r>
            </m:den>
          </m:f>
          <m:r>
            <w:rPr>
              <w:rFonts w:ascii="Cambria Math" w:hAnsi="Cambria Math"/>
              <w:color w:val="000000" w:themeColor="text1"/>
              <w:sz w:val="20"/>
            </w:rPr>
            <m:t>∙A</m:t>
          </m:r>
        </m:oMath>
      </m:oMathPara>
    </w:p>
    <w:p w:rsidR="00146152" w:rsidRPr="00F70898" w:rsidRDefault="00146152" w:rsidP="00146152">
      <w:pPr>
        <w:ind w:firstLine="720"/>
        <w:rPr>
          <w:color w:val="000000" w:themeColor="text1"/>
        </w:rPr>
      </w:pPr>
      <w:r>
        <w:rPr>
          <w:rFonts w:eastAsiaTheme="minorEastAsia"/>
          <w:color w:val="000000" w:themeColor="text1"/>
        </w:rPr>
        <w:t>Tātad</w:t>
      </w:r>
      <w:r w:rsidRPr="00F70898">
        <w:rPr>
          <w:rFonts w:eastAsiaTheme="minorEastAsia"/>
          <w:color w:val="000000" w:themeColor="text1"/>
        </w:rPr>
        <w:t xml:space="preserve">, šajā modelī, ja pensiju indeksācija notiek ar 50% indeksu no </w:t>
      </w:r>
      <w:r w:rsidRPr="00F70898">
        <w:rPr>
          <w:color w:val="000000" w:themeColor="text1"/>
        </w:rPr>
        <w:t>apdrošināšanas iemaksu algu summas pieauguma, tālā nākotnē pensiju izdevumi pret IKP būs uz pusi mazāki, kā šodien.</w:t>
      </w:r>
    </w:p>
    <w:p w:rsidR="00146152" w:rsidRPr="00F70898" w:rsidRDefault="00146152" w:rsidP="00146152">
      <w:pPr>
        <w:ind w:firstLine="720"/>
        <w:rPr>
          <w:color w:val="000000" w:themeColor="text1"/>
        </w:rPr>
      </w:pPr>
      <w:r w:rsidRPr="00F70898">
        <w:rPr>
          <w:color w:val="000000" w:themeColor="text1"/>
        </w:rPr>
        <w:t xml:space="preserve">2018.gada 4.oktobra grozījumi likumā “Par valsts pensijām” paredz, ka vecuma pensiju saņēmējiem ar stāžu virs 45 gadiem pensiju pārskatīšanai piemēro 80% indeksu iepriekšējo 70% vietā. </w:t>
      </w:r>
    </w:p>
    <w:p w:rsidR="00146152" w:rsidRPr="00F70898" w:rsidRDefault="00146152" w:rsidP="00146152">
      <w:pPr>
        <w:ind w:firstLine="720"/>
        <w:rPr>
          <w:color w:val="000000" w:themeColor="text1"/>
        </w:rPr>
      </w:pPr>
      <w:r w:rsidRPr="00F70898">
        <w:rPr>
          <w:color w:val="000000" w:themeColor="text1"/>
        </w:rPr>
        <w:t>Pašlaik vecuma pensiju saņēmēju skaits ar darba stāžu 45 gadi un vairāk ir 21% no kopējā vecuma pensiju saņēmēju skaita. Pieņemot, ka šīs apakšgrupas vidējais pensiju apmērs ir vienāds ar visas grupas vidējo pensiju apmēru un ņemot vērā, ka pašlaik vecuma pensiju kopējās izmaksas ir 6,6% no IKP saskaņā ar Eiropas Komisijas novecošanās ziņojumu, pieņemtās politikas rezultātā nākotnē pensiju izdevumi izmanītos par:</w:t>
      </w:r>
    </w:p>
    <w:p w:rsidR="00146152" w:rsidRPr="00F70898" w:rsidRDefault="00AB7FBE" w:rsidP="00146152">
      <w:pPr>
        <w:spacing w:before="240" w:after="240"/>
        <w:rPr>
          <w:rFonts w:eastAsiaTheme="minorEastAsia"/>
          <w:color w:val="000000" w:themeColor="text1"/>
          <w:sz w:val="20"/>
        </w:rPr>
      </w:pPr>
      <m:oMathPara>
        <m:oMathParaPr>
          <m:jc m:val="center"/>
        </m:oMathParaPr>
        <m:oMath>
          <m:f>
            <m:fPr>
              <m:ctrlPr>
                <w:rPr>
                  <w:rFonts w:ascii="Cambria Math" w:hAnsi="Cambria Math"/>
                  <w:i/>
                  <w:color w:val="000000" w:themeColor="text1"/>
                  <w:sz w:val="20"/>
                </w:rPr>
              </m:ctrlPr>
            </m:fPr>
            <m:num>
              <m:r>
                <w:rPr>
                  <w:rFonts w:ascii="Cambria Math" w:hAnsi="Cambria Math"/>
                  <w:color w:val="000000" w:themeColor="text1"/>
                  <w:sz w:val="20"/>
                </w:rPr>
                <m:t>E(</m:t>
              </m:r>
              <m:sSub>
                <m:sSubPr>
                  <m:ctrlPr>
                    <w:rPr>
                      <w:rFonts w:ascii="Cambria Math" w:hAnsi="Cambria Math"/>
                      <w:i/>
                      <w:color w:val="000000" w:themeColor="text1"/>
                      <w:sz w:val="20"/>
                    </w:rPr>
                  </m:ctrlPr>
                </m:sSubPr>
                <m:e>
                  <m:r>
                    <w:rPr>
                      <w:rFonts w:ascii="Cambria Math" w:hAnsi="Cambria Math"/>
                      <w:color w:val="000000" w:themeColor="text1"/>
                      <w:sz w:val="20"/>
                    </w:rPr>
                    <m:t>t</m:t>
                  </m:r>
                </m:e>
                <m:sub>
                  <m:r>
                    <w:rPr>
                      <w:rFonts w:ascii="Cambria Math" w:hAnsi="Cambria Math"/>
                      <w:color w:val="000000" w:themeColor="text1"/>
                      <w:sz w:val="20"/>
                    </w:rPr>
                    <m:t>0</m:t>
                  </m:r>
                </m:sub>
              </m:sSub>
              <m:r>
                <w:rPr>
                  <w:rFonts w:ascii="Cambria Math" w:hAnsi="Cambria Math"/>
                  <w:color w:val="000000" w:themeColor="text1"/>
                  <w:sz w:val="20"/>
                </w:rPr>
                <m:t>)</m:t>
              </m:r>
            </m:num>
            <m:den>
              <m:r>
                <w:rPr>
                  <w:rFonts w:ascii="Cambria Math" w:hAnsi="Cambria Math"/>
                  <w:color w:val="000000" w:themeColor="text1"/>
                  <w:sz w:val="20"/>
                </w:rPr>
                <m:t>I(</m:t>
              </m:r>
              <m:sSub>
                <m:sSubPr>
                  <m:ctrlPr>
                    <w:rPr>
                      <w:rFonts w:ascii="Cambria Math" w:hAnsi="Cambria Math"/>
                      <w:i/>
                      <w:color w:val="000000" w:themeColor="text1"/>
                      <w:sz w:val="20"/>
                    </w:rPr>
                  </m:ctrlPr>
                </m:sSubPr>
                <m:e>
                  <m:r>
                    <w:rPr>
                      <w:rFonts w:ascii="Cambria Math" w:hAnsi="Cambria Math"/>
                      <w:color w:val="000000" w:themeColor="text1"/>
                      <w:sz w:val="20"/>
                    </w:rPr>
                    <m:t>t</m:t>
                  </m:r>
                </m:e>
                <m:sub>
                  <m:r>
                    <w:rPr>
                      <w:rFonts w:ascii="Cambria Math" w:hAnsi="Cambria Math"/>
                      <w:color w:val="000000" w:themeColor="text1"/>
                      <w:sz w:val="20"/>
                    </w:rPr>
                    <m:t>0</m:t>
                  </m:r>
                </m:sub>
              </m:sSub>
              <m:r>
                <w:rPr>
                  <w:rFonts w:ascii="Cambria Math" w:hAnsi="Cambria Math"/>
                  <w:color w:val="000000" w:themeColor="text1"/>
                  <w:sz w:val="20"/>
                </w:rPr>
                <m:t>)</m:t>
              </m:r>
            </m:den>
          </m:f>
          <m:r>
            <w:rPr>
              <w:rFonts w:ascii="Cambria Math" w:hAnsi="Cambria Math"/>
              <w:color w:val="000000" w:themeColor="text1"/>
              <w:sz w:val="20"/>
            </w:rPr>
            <m:t>∙0,21∙</m:t>
          </m:r>
          <m:d>
            <m:dPr>
              <m:ctrlPr>
                <w:rPr>
                  <w:rFonts w:ascii="Cambria Math" w:hAnsi="Cambria Math"/>
                  <w:i/>
                  <w:color w:val="000000" w:themeColor="text1"/>
                  <w:sz w:val="20"/>
                </w:rPr>
              </m:ctrlPr>
            </m:dPr>
            <m:e>
              <m:r>
                <w:rPr>
                  <w:rFonts w:ascii="Cambria Math" w:hAnsi="Cambria Math"/>
                  <w:color w:val="000000" w:themeColor="text1"/>
                  <w:sz w:val="20"/>
                </w:rPr>
                <m:t>0,8-0,7</m:t>
              </m:r>
            </m:e>
          </m:d>
          <m:r>
            <w:rPr>
              <w:rFonts w:ascii="Cambria Math" w:hAnsi="Cambria Math"/>
              <w:color w:val="000000" w:themeColor="text1"/>
              <w:sz w:val="20"/>
            </w:rPr>
            <m:t>=6,6∙0,21∙0,1=0,14% no IKP</m:t>
          </m:r>
        </m:oMath>
      </m:oMathPara>
    </w:p>
    <w:p w:rsidR="00146152" w:rsidRPr="00F70898" w:rsidRDefault="00146152" w:rsidP="00146152">
      <w:pPr>
        <w:ind w:firstLine="720"/>
        <w:rPr>
          <w:color w:val="000000" w:themeColor="text1"/>
        </w:rPr>
      </w:pPr>
      <w:r w:rsidRPr="00F70898">
        <w:rPr>
          <w:color w:val="000000" w:themeColor="text1"/>
        </w:rPr>
        <w:t xml:space="preserve">Ņemot vērā </w:t>
      </w:r>
      <w:r>
        <w:rPr>
          <w:color w:val="000000" w:themeColor="text1"/>
        </w:rPr>
        <w:t>iespējamo vecuma saņēmēju skaita</w:t>
      </w:r>
      <w:r w:rsidRPr="00F70898">
        <w:rPr>
          <w:color w:val="000000" w:themeColor="text1"/>
        </w:rPr>
        <w:t xml:space="preserve"> ar stāžu virs 45 gadiem pieaugumu un pieņemot, ka šīs apakšgrupas vidēj</w:t>
      </w:r>
      <w:r>
        <w:rPr>
          <w:color w:val="000000" w:themeColor="text1"/>
        </w:rPr>
        <w:t>ā</w:t>
      </w:r>
      <w:r w:rsidRPr="00F70898">
        <w:rPr>
          <w:color w:val="000000" w:themeColor="text1"/>
        </w:rPr>
        <w:t xml:space="preserve"> pensija ir lielāka nekā visas grupas vidēj</w:t>
      </w:r>
      <w:r>
        <w:rPr>
          <w:color w:val="000000" w:themeColor="text1"/>
        </w:rPr>
        <w:t>ā</w:t>
      </w:r>
      <w:r w:rsidRPr="00F70898">
        <w:rPr>
          <w:color w:val="000000" w:themeColor="text1"/>
        </w:rPr>
        <w:t xml:space="preserve"> pensij</w:t>
      </w:r>
      <w:r>
        <w:rPr>
          <w:color w:val="000000" w:themeColor="text1"/>
        </w:rPr>
        <w:t>a</w:t>
      </w:r>
      <w:r w:rsidRPr="00F70898">
        <w:rPr>
          <w:color w:val="000000" w:themeColor="text1"/>
        </w:rPr>
        <w:t xml:space="preserve">, var </w:t>
      </w:r>
      <w:r>
        <w:rPr>
          <w:color w:val="000000" w:themeColor="text1"/>
        </w:rPr>
        <w:t>secināt</w:t>
      </w:r>
      <w:r w:rsidRPr="00F70898">
        <w:rPr>
          <w:color w:val="000000" w:themeColor="text1"/>
        </w:rPr>
        <w:t>, ka lēmuma ietekme nepārsniegs 0,2% no IKP.</w:t>
      </w:r>
    </w:p>
    <w:p w:rsidR="00D440B5" w:rsidRPr="00146152" w:rsidRDefault="00146152" w:rsidP="00146152">
      <w:pPr>
        <w:ind w:firstLine="720"/>
        <w:rPr>
          <w:color w:val="000000" w:themeColor="text1"/>
        </w:rPr>
      </w:pPr>
      <w:r w:rsidRPr="00F70898">
        <w:rPr>
          <w:color w:val="000000" w:themeColor="text1"/>
        </w:rPr>
        <w:lastRenderedPageBreak/>
        <w:t>Novecošanās ziņojum</w:t>
      </w:r>
      <w:r>
        <w:rPr>
          <w:color w:val="000000" w:themeColor="text1"/>
        </w:rPr>
        <w:t>ā tiek</w:t>
      </w:r>
      <w:r w:rsidRPr="00F70898">
        <w:rPr>
          <w:color w:val="000000" w:themeColor="text1"/>
        </w:rPr>
        <w:t xml:space="preserve"> prognozē</w:t>
      </w:r>
      <w:r>
        <w:rPr>
          <w:color w:val="000000" w:themeColor="text1"/>
        </w:rPr>
        <w:t>ts</w:t>
      </w:r>
      <w:r w:rsidRPr="00F70898">
        <w:rPr>
          <w:color w:val="000000" w:themeColor="text1"/>
        </w:rPr>
        <w:t>, ka 2070.gadā pensiju izdevumu īpatsvars samazināsies no pašreizējiem 7,4% no IKP uz 4,7% no IKP. Līdz ar to ieviestās politikas izmaiņas var samazināt šo samazinājumu par 0,2%, kas joprojām nodrošinās pensiju sistēmas ilgtspēju.</w:t>
      </w:r>
    </w:p>
    <w:p w:rsidR="00146152" w:rsidRDefault="00146152" w:rsidP="00D440B5">
      <w:pPr>
        <w:ind w:firstLine="720"/>
        <w:jc w:val="center"/>
        <w:rPr>
          <w:b/>
          <w:color w:val="000000" w:themeColor="text1"/>
        </w:rPr>
      </w:pPr>
    </w:p>
    <w:p w:rsidR="001952BA" w:rsidRPr="00A832D8" w:rsidRDefault="001952BA" w:rsidP="001952BA">
      <w:pPr>
        <w:pStyle w:val="Heading2"/>
        <w:numPr>
          <w:ilvl w:val="1"/>
          <w:numId w:val="17"/>
        </w:numPr>
        <w:spacing w:before="240" w:after="240"/>
        <w:ind w:left="0" w:firstLine="0"/>
        <w:jc w:val="center"/>
        <w:rPr>
          <w:rFonts w:ascii="Times New Roman" w:hAnsi="Times New Roman" w:cs="Times New Roman"/>
          <w:b/>
          <w:color w:val="auto"/>
          <w:sz w:val="36"/>
          <w:szCs w:val="36"/>
        </w:rPr>
      </w:pPr>
      <w:r>
        <w:rPr>
          <w:rFonts w:ascii="Times New Roman" w:hAnsi="Times New Roman" w:cs="Times New Roman"/>
          <w:b/>
          <w:color w:val="auto"/>
          <w:sz w:val="36"/>
          <w:szCs w:val="36"/>
        </w:rPr>
        <w:t>Budžeta prognožu salīdzinājums ar aktuālākajām Eiropas Komisijas prognozēm</w:t>
      </w:r>
    </w:p>
    <w:p w:rsidR="00434853" w:rsidRDefault="00434853" w:rsidP="00434853">
      <w:pPr>
        <w:pStyle w:val="funkcijas"/>
        <w:spacing w:before="120" w:after="0"/>
        <w:ind w:firstLine="709"/>
        <w:rPr>
          <w:rFonts w:eastAsia="Calibri"/>
          <w:u w:val="none"/>
        </w:rPr>
      </w:pPr>
      <w:r w:rsidRPr="00DC20B7">
        <w:rPr>
          <w:rFonts w:eastAsia="Calibri"/>
          <w:u w:val="none"/>
        </w:rPr>
        <w:t xml:space="preserve">Atbilstoši 2018.gada rudens prognozēm </w:t>
      </w:r>
      <w:r>
        <w:rPr>
          <w:rFonts w:eastAsia="Calibri"/>
          <w:u w:val="none"/>
        </w:rPr>
        <w:t>Eiropas Komisija</w:t>
      </w:r>
      <w:r w:rsidRPr="00DC20B7">
        <w:rPr>
          <w:rFonts w:eastAsia="Calibri"/>
          <w:u w:val="none"/>
        </w:rPr>
        <w:t xml:space="preserve"> </w:t>
      </w:r>
      <w:r>
        <w:rPr>
          <w:rFonts w:eastAsia="Calibri"/>
          <w:u w:val="none"/>
        </w:rPr>
        <w:t xml:space="preserve">(EK) prognozē, ka Latvijas </w:t>
      </w:r>
      <w:r w:rsidRPr="00DC20B7">
        <w:rPr>
          <w:rFonts w:eastAsia="Calibri"/>
          <w:u w:val="none"/>
        </w:rPr>
        <w:t>vispārējās valdības budžet</w:t>
      </w:r>
      <w:r>
        <w:rPr>
          <w:rFonts w:eastAsia="Calibri"/>
          <w:u w:val="none"/>
        </w:rPr>
        <w:t>a</w:t>
      </w:r>
      <w:r w:rsidRPr="00DC20B7">
        <w:rPr>
          <w:rFonts w:eastAsia="Calibri"/>
          <w:u w:val="none"/>
        </w:rPr>
        <w:t xml:space="preserve"> deficīts </w:t>
      </w:r>
      <w:r>
        <w:rPr>
          <w:rFonts w:eastAsia="Calibri"/>
          <w:u w:val="none"/>
        </w:rPr>
        <w:t>2019. gadā būs 1,0</w:t>
      </w:r>
      <w:r w:rsidRPr="00DC20B7">
        <w:rPr>
          <w:rFonts w:eastAsia="Calibri"/>
          <w:u w:val="none"/>
        </w:rPr>
        <w:t xml:space="preserve">% no IKP, bet 2020.gadā </w:t>
      </w:r>
      <w:r>
        <w:rPr>
          <w:rFonts w:eastAsia="Calibri"/>
          <w:u w:val="none"/>
        </w:rPr>
        <w:t xml:space="preserve">būs 0,7% no IKP. EK prognozē nedaudz augstāku deficītu nekā Latvija  – attiecīgi par 0,4 </w:t>
      </w:r>
      <w:proofErr w:type="spellStart"/>
      <w:r>
        <w:rPr>
          <w:rFonts w:eastAsia="Calibri"/>
          <w:u w:val="none"/>
        </w:rPr>
        <w:t>pp</w:t>
      </w:r>
      <w:proofErr w:type="spellEnd"/>
      <w:r>
        <w:rPr>
          <w:rFonts w:eastAsia="Calibri"/>
          <w:u w:val="none"/>
        </w:rPr>
        <w:t xml:space="preserve">  2019. gadā un 0,3 </w:t>
      </w:r>
      <w:proofErr w:type="spellStart"/>
      <w:r>
        <w:rPr>
          <w:rFonts w:eastAsia="Calibri"/>
          <w:u w:val="none"/>
        </w:rPr>
        <w:t>pp</w:t>
      </w:r>
      <w:proofErr w:type="spellEnd"/>
      <w:r>
        <w:rPr>
          <w:rFonts w:eastAsia="Calibri"/>
          <w:u w:val="none"/>
        </w:rPr>
        <w:t xml:space="preserve"> 2020. gadā. Gan Latvija, gan EK prognozē, ka deficīts 2020. gadā salīdzinājumā ar 2019. gadu samazināsies. </w:t>
      </w:r>
    </w:p>
    <w:p w:rsidR="00434853" w:rsidRDefault="00434853" w:rsidP="00434853">
      <w:pPr>
        <w:pStyle w:val="funkcijas"/>
        <w:spacing w:before="120" w:after="0"/>
        <w:ind w:firstLine="709"/>
        <w:rPr>
          <w:rFonts w:eastAsia="Calibri"/>
          <w:u w:val="none"/>
        </w:rPr>
      </w:pPr>
      <w:r>
        <w:rPr>
          <w:rFonts w:eastAsia="Calibri"/>
          <w:u w:val="none"/>
        </w:rPr>
        <w:t xml:space="preserve">Salīdzinot Latvijas budžeta prognozes ar Eiropas Komisijas prognozēm, ir būtiski ņemt vērā to izstrādes laiku. Latvijas gadījumā, veidojot budžetu, ieņēmumu un izdevumu prognozes ir aktualizētas, ņemot vērā laika posmā no 2018. gada oktobra līdz </w:t>
      </w:r>
      <w:r w:rsidR="00B63FCD">
        <w:rPr>
          <w:rFonts w:eastAsia="Calibri"/>
          <w:u w:val="none"/>
        </w:rPr>
        <w:t>budžeta apstiprināšanai Saeimā</w:t>
      </w:r>
      <w:r>
        <w:rPr>
          <w:rFonts w:eastAsia="Calibri"/>
          <w:u w:val="none"/>
        </w:rPr>
        <w:t xml:space="preserve"> pieņemtos lēmumus. Savukārt, EK gadījumā pēdējās pieejamās prognozes ir 2018. gada rudenī gatavotās.</w:t>
      </w:r>
    </w:p>
    <w:p w:rsidR="001952BA" w:rsidRDefault="001952BA" w:rsidP="00434853">
      <w:pPr>
        <w:pStyle w:val="ListParagraph"/>
        <w:keepNext/>
        <w:numPr>
          <w:ilvl w:val="1"/>
          <w:numId w:val="17"/>
        </w:numPr>
        <w:jc w:val="center"/>
        <w:rPr>
          <w:b/>
          <w:i/>
          <w:szCs w:val="24"/>
        </w:rPr>
      </w:pPr>
      <w:r w:rsidRPr="00B8343C">
        <w:rPr>
          <w:b/>
          <w:i/>
          <w:szCs w:val="24"/>
        </w:rPr>
        <w:t>tabula. Latvijas bud</w:t>
      </w:r>
      <w:r>
        <w:rPr>
          <w:b/>
          <w:i/>
          <w:szCs w:val="24"/>
        </w:rPr>
        <w:t>žeta prognozes salīdzinājums</w:t>
      </w:r>
      <w:r>
        <w:rPr>
          <w:b/>
          <w:i/>
          <w:szCs w:val="24"/>
        </w:rPr>
        <w:br/>
        <w:t xml:space="preserve">ar </w:t>
      </w:r>
      <w:r w:rsidRPr="00B8343C">
        <w:rPr>
          <w:b/>
          <w:i/>
          <w:szCs w:val="24"/>
        </w:rPr>
        <w:t>Eiropas Komisijas prognozi, % no IKP</w:t>
      </w:r>
    </w:p>
    <w:tbl>
      <w:tblPr>
        <w:tblW w:w="9061" w:type="dxa"/>
        <w:jc w:val="center"/>
        <w:tblLook w:val="04A0" w:firstRow="1" w:lastRow="0" w:firstColumn="1" w:lastColumn="0" w:noHBand="0" w:noVBand="1"/>
      </w:tblPr>
      <w:tblGrid>
        <w:gridCol w:w="3256"/>
        <w:gridCol w:w="1376"/>
        <w:gridCol w:w="850"/>
        <w:gridCol w:w="708"/>
        <w:gridCol w:w="622"/>
        <w:gridCol w:w="737"/>
        <w:gridCol w:w="625"/>
        <w:gridCol w:w="887"/>
      </w:tblGrid>
      <w:tr w:rsidR="00434853" w:rsidRPr="00842D51" w:rsidTr="00F24DCA">
        <w:trPr>
          <w:trHeight w:val="244"/>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853" w:rsidRPr="007B0F0A" w:rsidRDefault="00434853" w:rsidP="00F24DCA">
            <w:pPr>
              <w:spacing w:after="0"/>
              <w:ind w:firstLine="0"/>
              <w:jc w:val="left"/>
              <w:rPr>
                <w:color w:val="000000"/>
                <w:sz w:val="18"/>
                <w:szCs w:val="18"/>
                <w:lang w:eastAsia="lv-LV"/>
              </w:rPr>
            </w:pPr>
            <w:r w:rsidRPr="007B0F0A">
              <w:rPr>
                <w:color w:val="000000"/>
                <w:sz w:val="18"/>
                <w:szCs w:val="18"/>
                <w:lang w:eastAsia="lv-LV"/>
              </w:rPr>
              <w:t> </w:t>
            </w:r>
          </w:p>
        </w:tc>
        <w:tc>
          <w:tcPr>
            <w:tcW w:w="1376" w:type="dxa"/>
            <w:tcBorders>
              <w:top w:val="single" w:sz="4" w:space="0" w:color="auto"/>
              <w:left w:val="nil"/>
              <w:bottom w:val="single" w:sz="4" w:space="0" w:color="auto"/>
              <w:right w:val="single" w:sz="4" w:space="0" w:color="auto"/>
            </w:tcBorders>
          </w:tcPr>
          <w:p w:rsidR="00434853" w:rsidRDefault="00434853" w:rsidP="00F24DCA">
            <w:pPr>
              <w:spacing w:after="0"/>
              <w:ind w:firstLine="0"/>
              <w:jc w:val="center"/>
              <w:rPr>
                <w:b/>
                <w:bCs/>
                <w:sz w:val="18"/>
                <w:szCs w:val="18"/>
                <w:lang w:eastAsia="lv-LV"/>
              </w:rPr>
            </w:pPr>
            <w:r>
              <w:rPr>
                <w:b/>
                <w:bCs/>
                <w:sz w:val="18"/>
                <w:szCs w:val="18"/>
                <w:lang w:eastAsia="lv-LV"/>
              </w:rPr>
              <w:t xml:space="preserve">LV </w:t>
            </w:r>
          </w:p>
          <w:p w:rsidR="00434853" w:rsidRPr="007B0F0A" w:rsidRDefault="00434853" w:rsidP="00F24DCA">
            <w:pPr>
              <w:spacing w:after="0"/>
              <w:ind w:firstLine="0"/>
              <w:jc w:val="center"/>
              <w:rPr>
                <w:b/>
                <w:bCs/>
                <w:sz w:val="18"/>
                <w:szCs w:val="18"/>
                <w:lang w:eastAsia="lv-LV"/>
              </w:rPr>
            </w:pPr>
            <w:r w:rsidRPr="000B7DF2">
              <w:rPr>
                <w:bCs/>
                <w:sz w:val="18"/>
                <w:szCs w:val="18"/>
                <w:lang w:eastAsia="lv-LV"/>
              </w:rPr>
              <w:t>(pie nemainīgas politikas)</w:t>
            </w:r>
          </w:p>
        </w:tc>
        <w:tc>
          <w:tcPr>
            <w:tcW w:w="1558" w:type="dxa"/>
            <w:gridSpan w:val="2"/>
            <w:tcBorders>
              <w:top w:val="single" w:sz="4" w:space="0" w:color="auto"/>
              <w:left w:val="single" w:sz="4" w:space="0" w:color="auto"/>
              <w:bottom w:val="single" w:sz="4" w:space="0" w:color="auto"/>
              <w:right w:val="double" w:sz="4" w:space="0" w:color="auto"/>
            </w:tcBorders>
            <w:shd w:val="clear" w:color="auto" w:fill="DBE5F1" w:themeFill="accent1" w:themeFillTint="33"/>
            <w:noWrap/>
            <w:hideMark/>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LV</w:t>
            </w:r>
          </w:p>
        </w:tc>
        <w:tc>
          <w:tcPr>
            <w:tcW w:w="1359" w:type="dxa"/>
            <w:gridSpan w:val="2"/>
            <w:tcBorders>
              <w:top w:val="single" w:sz="4" w:space="0" w:color="auto"/>
              <w:left w:val="double" w:sz="4" w:space="0" w:color="auto"/>
              <w:bottom w:val="single" w:sz="4" w:space="0" w:color="auto"/>
              <w:right w:val="double" w:sz="4" w:space="0" w:color="auto"/>
            </w:tcBorders>
            <w:shd w:val="clear" w:color="auto" w:fill="DBE5F1" w:themeFill="accent1" w:themeFillTint="33"/>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EK</w:t>
            </w:r>
            <w:r w:rsidRPr="007B0F0A">
              <w:rPr>
                <w:b/>
                <w:bCs/>
                <w:sz w:val="18"/>
                <w:szCs w:val="18"/>
                <w:lang w:eastAsia="lv-LV"/>
              </w:rPr>
              <w:br/>
            </w:r>
            <w:r w:rsidRPr="007B0F0A">
              <w:rPr>
                <w:bCs/>
                <w:sz w:val="18"/>
                <w:szCs w:val="18"/>
                <w:lang w:eastAsia="lv-LV"/>
              </w:rPr>
              <w:t>(rudens 2018)</w:t>
            </w:r>
          </w:p>
        </w:tc>
        <w:tc>
          <w:tcPr>
            <w:tcW w:w="1512" w:type="dxa"/>
            <w:gridSpan w:val="2"/>
            <w:tcBorders>
              <w:top w:val="single" w:sz="4" w:space="0" w:color="auto"/>
              <w:left w:val="double" w:sz="4" w:space="0" w:color="auto"/>
              <w:bottom w:val="single" w:sz="4" w:space="0" w:color="auto"/>
              <w:right w:val="single" w:sz="4" w:space="0" w:color="auto"/>
            </w:tcBorders>
            <w:shd w:val="clear" w:color="auto" w:fill="DBE5F1" w:themeFill="accent1" w:themeFillTint="33"/>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Starpība</w:t>
            </w:r>
            <w:r w:rsidRPr="007B0F0A">
              <w:rPr>
                <w:b/>
                <w:bCs/>
                <w:sz w:val="18"/>
                <w:szCs w:val="18"/>
                <w:lang w:eastAsia="lv-LV"/>
              </w:rPr>
              <w:br/>
            </w:r>
            <w:r w:rsidRPr="007B0F0A">
              <w:rPr>
                <w:bCs/>
                <w:sz w:val="18"/>
                <w:szCs w:val="18"/>
                <w:lang w:eastAsia="lv-LV"/>
              </w:rPr>
              <w:t>(procentpunktos)</w:t>
            </w:r>
          </w:p>
        </w:tc>
      </w:tr>
      <w:tr w:rsidR="00434853" w:rsidRPr="00842D51" w:rsidTr="00F24DCA">
        <w:trPr>
          <w:trHeight w:val="244"/>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left"/>
              <w:rPr>
                <w:color w:val="000000"/>
                <w:sz w:val="18"/>
                <w:szCs w:val="18"/>
                <w:lang w:eastAsia="lv-LV"/>
              </w:rPr>
            </w:pPr>
          </w:p>
        </w:tc>
        <w:tc>
          <w:tcPr>
            <w:tcW w:w="1376" w:type="dxa"/>
            <w:tcBorders>
              <w:top w:val="single" w:sz="4" w:space="0" w:color="auto"/>
              <w:left w:val="nil"/>
              <w:bottom w:val="single" w:sz="4" w:space="0" w:color="auto"/>
              <w:right w:val="single" w:sz="4" w:space="0" w:color="auto"/>
            </w:tcBorders>
          </w:tcPr>
          <w:p w:rsidR="00434853" w:rsidRPr="007B0F0A" w:rsidRDefault="00434853" w:rsidP="00F24DCA">
            <w:pPr>
              <w:spacing w:after="0"/>
              <w:ind w:firstLine="0"/>
              <w:jc w:val="center"/>
              <w:rPr>
                <w:b/>
                <w:bCs/>
                <w:sz w:val="18"/>
                <w:szCs w:val="18"/>
                <w:lang w:eastAsia="lv-LV"/>
              </w:rPr>
            </w:pPr>
            <w:r>
              <w:rPr>
                <w:b/>
                <w:bCs/>
                <w:sz w:val="18"/>
                <w:szCs w:val="18"/>
                <w:lang w:eastAsia="lv-LV"/>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2019</w:t>
            </w:r>
          </w:p>
        </w:tc>
        <w:tc>
          <w:tcPr>
            <w:tcW w:w="708" w:type="dxa"/>
            <w:tcBorders>
              <w:top w:val="single" w:sz="4" w:space="0" w:color="auto"/>
              <w:left w:val="nil"/>
              <w:bottom w:val="single" w:sz="4" w:space="0" w:color="auto"/>
              <w:right w:val="double" w:sz="4" w:space="0" w:color="auto"/>
            </w:tcBorders>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2020</w:t>
            </w:r>
          </w:p>
        </w:tc>
        <w:tc>
          <w:tcPr>
            <w:tcW w:w="622" w:type="dxa"/>
            <w:tcBorders>
              <w:top w:val="single" w:sz="4" w:space="0" w:color="auto"/>
              <w:left w:val="double" w:sz="4" w:space="0" w:color="auto"/>
              <w:bottom w:val="single" w:sz="4" w:space="0" w:color="auto"/>
              <w:right w:val="single" w:sz="4" w:space="0" w:color="auto"/>
            </w:tcBorders>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2019</w:t>
            </w:r>
          </w:p>
        </w:tc>
        <w:tc>
          <w:tcPr>
            <w:tcW w:w="737" w:type="dxa"/>
            <w:tcBorders>
              <w:top w:val="single" w:sz="4" w:space="0" w:color="auto"/>
              <w:left w:val="single" w:sz="4" w:space="0" w:color="auto"/>
              <w:bottom w:val="single" w:sz="4" w:space="0" w:color="auto"/>
              <w:right w:val="double" w:sz="4" w:space="0" w:color="auto"/>
            </w:tcBorders>
            <w:shd w:val="clear" w:color="auto" w:fill="auto"/>
            <w:noWrap/>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2020</w:t>
            </w:r>
          </w:p>
        </w:tc>
        <w:tc>
          <w:tcPr>
            <w:tcW w:w="625" w:type="dxa"/>
            <w:tcBorders>
              <w:top w:val="single" w:sz="4" w:space="0" w:color="auto"/>
              <w:left w:val="double" w:sz="4" w:space="0" w:color="auto"/>
              <w:bottom w:val="single" w:sz="4" w:space="0" w:color="auto"/>
              <w:right w:val="single" w:sz="4" w:space="0" w:color="auto"/>
            </w:tcBorders>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2019</w:t>
            </w:r>
          </w:p>
        </w:tc>
        <w:tc>
          <w:tcPr>
            <w:tcW w:w="887" w:type="dxa"/>
            <w:tcBorders>
              <w:top w:val="single" w:sz="4" w:space="0" w:color="auto"/>
              <w:left w:val="single" w:sz="4" w:space="0" w:color="auto"/>
              <w:bottom w:val="single" w:sz="4" w:space="0" w:color="auto"/>
              <w:right w:val="single" w:sz="4" w:space="0" w:color="auto"/>
            </w:tcBorders>
            <w:shd w:val="clear" w:color="auto" w:fill="auto"/>
            <w:noWrap/>
          </w:tcPr>
          <w:p w:rsidR="00434853" w:rsidRPr="007B0F0A" w:rsidRDefault="00434853" w:rsidP="00F24DCA">
            <w:pPr>
              <w:spacing w:after="0"/>
              <w:ind w:firstLine="0"/>
              <w:jc w:val="center"/>
              <w:rPr>
                <w:b/>
                <w:bCs/>
                <w:sz w:val="18"/>
                <w:szCs w:val="18"/>
                <w:lang w:eastAsia="lv-LV"/>
              </w:rPr>
            </w:pPr>
            <w:r w:rsidRPr="007B0F0A">
              <w:rPr>
                <w:b/>
                <w:bCs/>
                <w:sz w:val="18"/>
                <w:szCs w:val="18"/>
                <w:lang w:eastAsia="lv-LV"/>
              </w:rPr>
              <w:t>2020</w:t>
            </w:r>
          </w:p>
        </w:tc>
      </w:tr>
      <w:tr w:rsidR="00434853" w:rsidRPr="00842D51" w:rsidTr="00F24DCA">
        <w:trPr>
          <w:trHeight w:val="165"/>
          <w:jc w:val="center"/>
        </w:trPr>
        <w:tc>
          <w:tcPr>
            <w:tcW w:w="3256"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434853" w:rsidRPr="007B0F0A" w:rsidRDefault="00434853" w:rsidP="00F24DCA">
            <w:pPr>
              <w:spacing w:after="0"/>
              <w:ind w:firstLine="0"/>
              <w:jc w:val="left"/>
              <w:rPr>
                <w:b/>
                <w:bCs/>
                <w:sz w:val="18"/>
                <w:szCs w:val="18"/>
                <w:lang w:eastAsia="lv-LV"/>
              </w:rPr>
            </w:pPr>
            <w:r w:rsidRPr="007B0F0A">
              <w:rPr>
                <w:b/>
                <w:bCs/>
                <w:sz w:val="18"/>
                <w:szCs w:val="18"/>
                <w:lang w:eastAsia="lv-LV"/>
              </w:rPr>
              <w:t>Vispārējās valdības budžeta bilance</w:t>
            </w:r>
          </w:p>
        </w:tc>
        <w:tc>
          <w:tcPr>
            <w:tcW w:w="1376" w:type="dxa"/>
            <w:tcBorders>
              <w:top w:val="single" w:sz="4" w:space="0" w:color="auto"/>
              <w:left w:val="nil"/>
              <w:bottom w:val="single" w:sz="4" w:space="0" w:color="auto"/>
              <w:right w:val="single" w:sz="4" w:space="0" w:color="auto"/>
            </w:tcBorders>
            <w:shd w:val="clear" w:color="000000" w:fill="DCE6F1"/>
          </w:tcPr>
          <w:p w:rsidR="00434853" w:rsidRPr="007B0F0A" w:rsidRDefault="00434853" w:rsidP="00F24DCA">
            <w:pPr>
              <w:spacing w:after="0"/>
              <w:ind w:firstLine="0"/>
              <w:jc w:val="right"/>
              <w:rPr>
                <w:b/>
                <w:bCs/>
                <w:color w:val="000000"/>
                <w:sz w:val="18"/>
                <w:szCs w:val="18"/>
              </w:rPr>
            </w:pPr>
            <w:r>
              <w:rPr>
                <w:b/>
                <w:bCs/>
                <w:color w:val="000000"/>
                <w:sz w:val="18"/>
                <w:szCs w:val="18"/>
              </w:rPr>
              <w:t>-0,7</w:t>
            </w:r>
          </w:p>
        </w:tc>
        <w:tc>
          <w:tcPr>
            <w:tcW w:w="85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434853" w:rsidRPr="007B0F0A" w:rsidRDefault="00434853" w:rsidP="00F24DCA">
            <w:pPr>
              <w:spacing w:after="0"/>
              <w:ind w:firstLine="0"/>
              <w:jc w:val="right"/>
              <w:rPr>
                <w:b/>
                <w:sz w:val="18"/>
                <w:szCs w:val="18"/>
                <w:lang w:eastAsia="lv-LV"/>
              </w:rPr>
            </w:pPr>
            <w:r w:rsidRPr="007B0F0A">
              <w:rPr>
                <w:b/>
                <w:bCs/>
                <w:color w:val="000000"/>
                <w:sz w:val="18"/>
                <w:szCs w:val="18"/>
              </w:rPr>
              <w:t>-0,5</w:t>
            </w:r>
          </w:p>
        </w:tc>
        <w:tc>
          <w:tcPr>
            <w:tcW w:w="708" w:type="dxa"/>
            <w:tcBorders>
              <w:top w:val="single" w:sz="4" w:space="0" w:color="auto"/>
              <w:left w:val="nil"/>
              <w:bottom w:val="single" w:sz="4" w:space="0" w:color="auto"/>
              <w:right w:val="double" w:sz="4" w:space="0" w:color="auto"/>
            </w:tcBorders>
            <w:shd w:val="clear" w:color="000000" w:fill="DCE6F1"/>
            <w:vAlign w:val="bottom"/>
          </w:tcPr>
          <w:p w:rsidR="00434853" w:rsidRPr="007B0F0A" w:rsidRDefault="00434853" w:rsidP="00F24DCA">
            <w:pPr>
              <w:spacing w:after="0"/>
              <w:ind w:firstLine="0"/>
              <w:jc w:val="right"/>
              <w:rPr>
                <w:b/>
                <w:sz w:val="18"/>
                <w:szCs w:val="18"/>
                <w:lang w:eastAsia="lv-LV"/>
              </w:rPr>
            </w:pPr>
            <w:r w:rsidRPr="007B0F0A">
              <w:rPr>
                <w:b/>
                <w:bCs/>
                <w:color w:val="000000"/>
                <w:sz w:val="18"/>
                <w:szCs w:val="18"/>
              </w:rPr>
              <w:t>-0,4</w:t>
            </w:r>
          </w:p>
        </w:tc>
        <w:tc>
          <w:tcPr>
            <w:tcW w:w="622" w:type="dxa"/>
            <w:tcBorders>
              <w:top w:val="single" w:sz="4" w:space="0" w:color="auto"/>
              <w:left w:val="double" w:sz="4" w:space="0" w:color="auto"/>
              <w:bottom w:val="single" w:sz="4" w:space="0" w:color="auto"/>
              <w:right w:val="single" w:sz="4" w:space="0" w:color="auto"/>
            </w:tcBorders>
            <w:shd w:val="clear" w:color="000000" w:fill="DCE6F1"/>
            <w:vAlign w:val="bottom"/>
          </w:tcPr>
          <w:p w:rsidR="00434853" w:rsidRPr="007B0F0A" w:rsidRDefault="00434853" w:rsidP="00F24DCA">
            <w:pPr>
              <w:spacing w:after="0"/>
              <w:ind w:firstLine="0"/>
              <w:jc w:val="right"/>
              <w:rPr>
                <w:b/>
                <w:sz w:val="18"/>
                <w:szCs w:val="18"/>
                <w:lang w:eastAsia="lv-LV"/>
              </w:rPr>
            </w:pPr>
            <w:r w:rsidRPr="007B0F0A">
              <w:rPr>
                <w:b/>
                <w:bCs/>
                <w:color w:val="000000"/>
                <w:sz w:val="18"/>
                <w:szCs w:val="18"/>
              </w:rPr>
              <w:t>-1,0</w:t>
            </w:r>
          </w:p>
        </w:tc>
        <w:tc>
          <w:tcPr>
            <w:tcW w:w="737" w:type="dxa"/>
            <w:tcBorders>
              <w:top w:val="single" w:sz="4" w:space="0" w:color="auto"/>
              <w:left w:val="single" w:sz="4" w:space="0" w:color="auto"/>
              <w:bottom w:val="single" w:sz="4" w:space="0" w:color="auto"/>
              <w:right w:val="double" w:sz="4" w:space="0" w:color="auto"/>
            </w:tcBorders>
            <w:shd w:val="clear" w:color="000000" w:fill="DCE6F1"/>
            <w:noWrap/>
            <w:vAlign w:val="bottom"/>
            <w:hideMark/>
          </w:tcPr>
          <w:p w:rsidR="00434853" w:rsidRPr="007B0F0A" w:rsidRDefault="00434853" w:rsidP="00F24DCA">
            <w:pPr>
              <w:spacing w:after="0"/>
              <w:ind w:firstLine="0"/>
              <w:jc w:val="right"/>
              <w:rPr>
                <w:b/>
                <w:sz w:val="18"/>
                <w:szCs w:val="18"/>
                <w:lang w:eastAsia="lv-LV"/>
              </w:rPr>
            </w:pPr>
            <w:r w:rsidRPr="007B0F0A">
              <w:rPr>
                <w:b/>
                <w:bCs/>
                <w:color w:val="000000"/>
                <w:sz w:val="18"/>
                <w:szCs w:val="18"/>
              </w:rPr>
              <w:t>-0,7</w:t>
            </w:r>
          </w:p>
        </w:tc>
        <w:tc>
          <w:tcPr>
            <w:tcW w:w="625" w:type="dxa"/>
            <w:tcBorders>
              <w:top w:val="single" w:sz="4" w:space="0" w:color="auto"/>
              <w:left w:val="double" w:sz="4" w:space="0" w:color="auto"/>
              <w:bottom w:val="single" w:sz="4" w:space="0" w:color="auto"/>
              <w:right w:val="single" w:sz="4" w:space="0" w:color="auto"/>
            </w:tcBorders>
            <w:shd w:val="clear" w:color="000000" w:fill="DCE6F1"/>
            <w:vAlign w:val="bottom"/>
          </w:tcPr>
          <w:p w:rsidR="00434853" w:rsidRPr="007B0F0A" w:rsidRDefault="00434853" w:rsidP="00F24DCA">
            <w:pPr>
              <w:spacing w:after="0"/>
              <w:ind w:firstLine="0"/>
              <w:jc w:val="right"/>
              <w:rPr>
                <w:b/>
                <w:sz w:val="18"/>
                <w:szCs w:val="18"/>
                <w:lang w:eastAsia="lv-LV"/>
              </w:rPr>
            </w:pPr>
            <w:r w:rsidRPr="007B0F0A">
              <w:rPr>
                <w:iCs/>
                <w:color w:val="000000"/>
                <w:sz w:val="18"/>
                <w:szCs w:val="18"/>
              </w:rPr>
              <w:t>-0,4</w:t>
            </w:r>
          </w:p>
        </w:tc>
        <w:tc>
          <w:tcPr>
            <w:tcW w:w="88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434853" w:rsidRPr="007B0F0A" w:rsidRDefault="00434853" w:rsidP="00F24DCA">
            <w:pPr>
              <w:spacing w:after="0"/>
              <w:ind w:firstLine="0"/>
              <w:jc w:val="right"/>
              <w:rPr>
                <w:b/>
                <w:sz w:val="18"/>
                <w:szCs w:val="18"/>
                <w:lang w:eastAsia="lv-LV"/>
              </w:rPr>
            </w:pPr>
            <w:r w:rsidRPr="007B0F0A">
              <w:rPr>
                <w:iCs/>
                <w:color w:val="000000"/>
                <w:sz w:val="18"/>
                <w:szCs w:val="18"/>
              </w:rPr>
              <w:t>-0,3</w:t>
            </w:r>
          </w:p>
        </w:tc>
      </w:tr>
      <w:tr w:rsidR="00434853" w:rsidRPr="00842D51" w:rsidTr="00F24DCA">
        <w:trPr>
          <w:trHeight w:val="64"/>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25" w:firstLineChars="100" w:firstLine="181"/>
              <w:rPr>
                <w:b/>
                <w:sz w:val="18"/>
                <w:szCs w:val="18"/>
                <w:lang w:eastAsia="lv-LV"/>
              </w:rPr>
            </w:pPr>
            <w:r w:rsidRPr="007B0F0A">
              <w:rPr>
                <w:b/>
                <w:sz w:val="18"/>
                <w:szCs w:val="18"/>
                <w:lang w:eastAsia="lv-LV"/>
              </w:rPr>
              <w:t>Ieņēmumi</w:t>
            </w:r>
          </w:p>
        </w:tc>
        <w:tc>
          <w:tcPr>
            <w:tcW w:w="1376" w:type="dxa"/>
            <w:tcBorders>
              <w:top w:val="single" w:sz="4" w:space="0" w:color="auto"/>
              <w:left w:val="nil"/>
              <w:bottom w:val="single" w:sz="4" w:space="0" w:color="auto"/>
              <w:right w:val="single" w:sz="4" w:space="0" w:color="auto"/>
            </w:tcBorders>
          </w:tcPr>
          <w:p w:rsidR="00434853" w:rsidRPr="007B0F0A" w:rsidRDefault="00434853" w:rsidP="00F24DCA">
            <w:pPr>
              <w:spacing w:after="0"/>
              <w:ind w:firstLine="0"/>
              <w:jc w:val="right"/>
              <w:rPr>
                <w:b/>
                <w:bCs/>
                <w:color w:val="000000"/>
                <w:sz w:val="18"/>
                <w:szCs w:val="18"/>
              </w:rPr>
            </w:pPr>
            <w:r>
              <w:rPr>
                <w:b/>
                <w:bCs/>
                <w:color w:val="000000"/>
                <w:sz w:val="18"/>
                <w:szCs w:val="18"/>
              </w:rPr>
              <w:t>35,6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b/>
                <w:sz w:val="18"/>
                <w:szCs w:val="18"/>
                <w:lang w:eastAsia="lv-LV"/>
              </w:rPr>
            </w:pPr>
            <w:r w:rsidRPr="007B0F0A">
              <w:rPr>
                <w:b/>
                <w:bCs/>
                <w:color w:val="000000"/>
                <w:sz w:val="18"/>
                <w:szCs w:val="18"/>
              </w:rPr>
              <w:t>36,4</w:t>
            </w:r>
          </w:p>
        </w:tc>
        <w:tc>
          <w:tcPr>
            <w:tcW w:w="708" w:type="dxa"/>
            <w:tcBorders>
              <w:top w:val="single" w:sz="4" w:space="0" w:color="auto"/>
              <w:left w:val="nil"/>
              <w:bottom w:val="single" w:sz="4" w:space="0" w:color="auto"/>
              <w:right w:val="double" w:sz="4" w:space="0" w:color="auto"/>
            </w:tcBorders>
            <w:vAlign w:val="bottom"/>
          </w:tcPr>
          <w:p w:rsidR="00434853" w:rsidRPr="007B0F0A" w:rsidRDefault="00434853" w:rsidP="00F24DCA">
            <w:pPr>
              <w:spacing w:after="0"/>
              <w:ind w:firstLine="0"/>
              <w:jc w:val="right"/>
              <w:rPr>
                <w:b/>
                <w:sz w:val="18"/>
                <w:szCs w:val="18"/>
                <w:lang w:eastAsia="lv-LV"/>
              </w:rPr>
            </w:pPr>
            <w:r w:rsidRPr="007B0F0A">
              <w:rPr>
                <w:b/>
                <w:bCs/>
                <w:color w:val="000000"/>
                <w:sz w:val="18"/>
                <w:szCs w:val="18"/>
              </w:rPr>
              <w:t>36,2</w:t>
            </w:r>
          </w:p>
        </w:tc>
        <w:tc>
          <w:tcPr>
            <w:tcW w:w="622"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b/>
                <w:sz w:val="18"/>
                <w:szCs w:val="18"/>
                <w:lang w:eastAsia="lv-LV"/>
              </w:rPr>
            </w:pPr>
            <w:r w:rsidRPr="007B0F0A">
              <w:rPr>
                <w:b/>
                <w:bCs/>
                <w:color w:val="000000"/>
                <w:sz w:val="18"/>
                <w:szCs w:val="18"/>
              </w:rPr>
              <w:t>36,4</w:t>
            </w:r>
          </w:p>
        </w:tc>
        <w:tc>
          <w:tcPr>
            <w:tcW w:w="737" w:type="dxa"/>
            <w:tcBorders>
              <w:top w:val="single" w:sz="4" w:space="0" w:color="auto"/>
              <w:left w:val="single" w:sz="4" w:space="0" w:color="auto"/>
              <w:bottom w:val="single" w:sz="4" w:space="0" w:color="auto"/>
              <w:right w:val="double" w:sz="4" w:space="0" w:color="auto"/>
            </w:tcBorders>
            <w:shd w:val="clear" w:color="auto" w:fill="auto"/>
            <w:noWrap/>
            <w:vAlign w:val="bottom"/>
          </w:tcPr>
          <w:p w:rsidR="00434853" w:rsidRPr="007B0F0A" w:rsidRDefault="00434853" w:rsidP="00F24DCA">
            <w:pPr>
              <w:spacing w:after="0"/>
              <w:ind w:firstLine="0"/>
              <w:jc w:val="right"/>
              <w:rPr>
                <w:b/>
                <w:sz w:val="18"/>
                <w:szCs w:val="18"/>
                <w:lang w:eastAsia="lv-LV"/>
              </w:rPr>
            </w:pPr>
            <w:r w:rsidRPr="007B0F0A">
              <w:rPr>
                <w:b/>
                <w:bCs/>
                <w:color w:val="000000"/>
                <w:sz w:val="18"/>
                <w:szCs w:val="18"/>
              </w:rPr>
              <w:t>36,4</w:t>
            </w:r>
          </w:p>
        </w:tc>
        <w:tc>
          <w:tcPr>
            <w:tcW w:w="625"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b/>
                <w:sz w:val="18"/>
                <w:szCs w:val="18"/>
                <w:lang w:eastAsia="lv-LV"/>
              </w:rPr>
            </w:pPr>
            <w:r w:rsidRPr="007B0F0A">
              <w:rPr>
                <w:iCs/>
                <w:color w:val="000000"/>
                <w:sz w:val="18"/>
                <w:szCs w:val="18"/>
              </w:rPr>
              <w:t>0,0</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b/>
                <w:sz w:val="18"/>
                <w:szCs w:val="18"/>
                <w:lang w:eastAsia="lv-LV"/>
              </w:rPr>
            </w:pPr>
            <w:r w:rsidRPr="007B0F0A">
              <w:rPr>
                <w:iCs/>
                <w:color w:val="000000"/>
                <w:sz w:val="18"/>
                <w:szCs w:val="18"/>
              </w:rPr>
              <w:t>0,2</w:t>
            </w:r>
          </w:p>
        </w:tc>
      </w:tr>
      <w:tr w:rsidR="00434853" w:rsidRPr="00842D51" w:rsidTr="00F24DCA">
        <w:trPr>
          <w:trHeight w:val="70"/>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Nodokļu ieņēmumi</w:t>
            </w:r>
            <w:r w:rsidRPr="007B0F0A">
              <w:rPr>
                <w:rStyle w:val="FootnoteReference"/>
                <w:sz w:val="18"/>
                <w:szCs w:val="18"/>
                <w:lang w:eastAsia="lv-LV"/>
              </w:rPr>
              <w:footnoteReference w:id="7"/>
            </w:r>
          </w:p>
        </w:tc>
        <w:tc>
          <w:tcPr>
            <w:tcW w:w="1376" w:type="dxa"/>
            <w:tcBorders>
              <w:top w:val="single" w:sz="4" w:space="0" w:color="auto"/>
              <w:left w:val="single" w:sz="4" w:space="0" w:color="auto"/>
              <w:bottom w:val="single" w:sz="4" w:space="0" w:color="auto"/>
              <w:right w:val="single" w:sz="4" w:space="0" w:color="auto"/>
            </w:tcBorders>
          </w:tcPr>
          <w:p w:rsidR="00434853" w:rsidRPr="007B0F0A" w:rsidRDefault="00434853" w:rsidP="00F24DCA">
            <w:pPr>
              <w:spacing w:after="0"/>
              <w:ind w:firstLine="0"/>
              <w:jc w:val="right"/>
              <w:rPr>
                <w:color w:val="000000"/>
                <w:sz w:val="18"/>
                <w:szCs w:val="18"/>
              </w:rPr>
            </w:pPr>
            <w:r>
              <w:rPr>
                <w:color w:val="000000"/>
                <w:sz w:val="18"/>
                <w:szCs w:val="18"/>
              </w:rPr>
              <w:t>29,9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30,4</w:t>
            </w:r>
          </w:p>
        </w:tc>
        <w:tc>
          <w:tcPr>
            <w:tcW w:w="708" w:type="dxa"/>
            <w:tcBorders>
              <w:top w:val="single" w:sz="4" w:space="0" w:color="auto"/>
              <w:left w:val="nil"/>
              <w:bottom w:val="single" w:sz="4" w:space="0" w:color="auto"/>
              <w:right w:val="doub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30,7</w:t>
            </w:r>
          </w:p>
        </w:tc>
        <w:tc>
          <w:tcPr>
            <w:tcW w:w="622"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30,6</w:t>
            </w:r>
          </w:p>
        </w:tc>
        <w:tc>
          <w:tcPr>
            <w:tcW w:w="737" w:type="dxa"/>
            <w:tcBorders>
              <w:top w:val="single" w:sz="4" w:space="0" w:color="auto"/>
              <w:left w:val="single" w:sz="4" w:space="0" w:color="auto"/>
              <w:bottom w:val="single" w:sz="4" w:space="0" w:color="auto"/>
              <w:right w:val="doub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30,8</w:t>
            </w:r>
          </w:p>
        </w:tc>
        <w:tc>
          <w:tcPr>
            <w:tcW w:w="625"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0,2</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0,1</w:t>
            </w:r>
          </w:p>
        </w:tc>
      </w:tr>
      <w:tr w:rsidR="00434853" w:rsidRPr="00842D51" w:rsidTr="00F24DCA">
        <w:trPr>
          <w:trHeight w:val="70"/>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Pārējie ieņēmumi</w:t>
            </w:r>
          </w:p>
        </w:tc>
        <w:tc>
          <w:tcPr>
            <w:tcW w:w="1376" w:type="dxa"/>
            <w:tcBorders>
              <w:top w:val="single" w:sz="4" w:space="0" w:color="auto"/>
              <w:left w:val="single" w:sz="4" w:space="0" w:color="auto"/>
              <w:bottom w:val="single" w:sz="4" w:space="0" w:color="auto"/>
              <w:right w:val="single" w:sz="4" w:space="0" w:color="auto"/>
            </w:tcBorders>
          </w:tcPr>
          <w:p w:rsidR="00434853" w:rsidRPr="007B0F0A" w:rsidRDefault="00434853" w:rsidP="00F24DCA">
            <w:pPr>
              <w:spacing w:after="0"/>
              <w:ind w:firstLine="0"/>
              <w:jc w:val="right"/>
              <w:rPr>
                <w:color w:val="000000"/>
                <w:sz w:val="18"/>
                <w:szCs w:val="18"/>
              </w:rPr>
            </w:pPr>
            <w:r>
              <w:rPr>
                <w:color w:val="000000"/>
                <w:sz w:val="18"/>
                <w:szCs w:val="18"/>
              </w:rPr>
              <w:t>5,7</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6,0</w:t>
            </w:r>
          </w:p>
        </w:tc>
        <w:tc>
          <w:tcPr>
            <w:tcW w:w="708" w:type="dxa"/>
            <w:tcBorders>
              <w:top w:val="single" w:sz="4" w:space="0" w:color="auto"/>
              <w:left w:val="nil"/>
              <w:bottom w:val="single" w:sz="4" w:space="0" w:color="auto"/>
              <w:right w:val="doub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5,5</w:t>
            </w:r>
          </w:p>
        </w:tc>
        <w:tc>
          <w:tcPr>
            <w:tcW w:w="622"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5,8</w:t>
            </w:r>
          </w:p>
        </w:tc>
        <w:tc>
          <w:tcPr>
            <w:tcW w:w="737" w:type="dxa"/>
            <w:tcBorders>
              <w:top w:val="single" w:sz="4" w:space="0" w:color="auto"/>
              <w:left w:val="single" w:sz="4" w:space="0" w:color="auto"/>
              <w:bottom w:val="single" w:sz="4" w:space="0" w:color="auto"/>
              <w:right w:val="doub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5,6</w:t>
            </w:r>
          </w:p>
        </w:tc>
        <w:tc>
          <w:tcPr>
            <w:tcW w:w="625"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-0,2</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0,1</w:t>
            </w:r>
          </w:p>
        </w:tc>
      </w:tr>
      <w:tr w:rsidR="00434853" w:rsidRPr="00842D51" w:rsidTr="00F24DCA">
        <w:trPr>
          <w:trHeight w:val="64"/>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25" w:firstLineChars="100" w:firstLine="181"/>
              <w:rPr>
                <w:b/>
                <w:sz w:val="18"/>
                <w:szCs w:val="18"/>
                <w:lang w:eastAsia="lv-LV"/>
              </w:rPr>
            </w:pPr>
            <w:r w:rsidRPr="007B0F0A">
              <w:rPr>
                <w:b/>
                <w:sz w:val="18"/>
                <w:szCs w:val="18"/>
                <w:lang w:eastAsia="lv-LV"/>
              </w:rPr>
              <w:t>Izdevumi</w:t>
            </w:r>
          </w:p>
        </w:tc>
        <w:tc>
          <w:tcPr>
            <w:tcW w:w="1376" w:type="dxa"/>
            <w:tcBorders>
              <w:top w:val="single" w:sz="4" w:space="0" w:color="auto"/>
              <w:left w:val="nil"/>
              <w:bottom w:val="single" w:sz="4" w:space="0" w:color="auto"/>
              <w:right w:val="single" w:sz="4" w:space="0" w:color="auto"/>
            </w:tcBorders>
          </w:tcPr>
          <w:p w:rsidR="00434853" w:rsidRPr="007B0F0A" w:rsidRDefault="00434853" w:rsidP="00F24DCA">
            <w:pPr>
              <w:spacing w:after="0"/>
              <w:ind w:firstLine="0"/>
              <w:jc w:val="right"/>
              <w:rPr>
                <w:b/>
                <w:bCs/>
                <w:color w:val="000000"/>
                <w:sz w:val="18"/>
                <w:szCs w:val="18"/>
              </w:rPr>
            </w:pPr>
            <w:r>
              <w:rPr>
                <w:b/>
                <w:bCs/>
                <w:color w:val="000000"/>
                <w:sz w:val="18"/>
                <w:szCs w:val="18"/>
              </w:rPr>
              <w:t>36,3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b/>
                <w:sz w:val="18"/>
                <w:szCs w:val="18"/>
                <w:lang w:eastAsia="lv-LV"/>
              </w:rPr>
            </w:pPr>
            <w:r w:rsidRPr="007B0F0A">
              <w:rPr>
                <w:b/>
                <w:bCs/>
                <w:color w:val="000000"/>
                <w:sz w:val="18"/>
                <w:szCs w:val="18"/>
              </w:rPr>
              <w:t>36,9</w:t>
            </w:r>
          </w:p>
        </w:tc>
        <w:tc>
          <w:tcPr>
            <w:tcW w:w="708" w:type="dxa"/>
            <w:tcBorders>
              <w:top w:val="single" w:sz="4" w:space="0" w:color="auto"/>
              <w:left w:val="nil"/>
              <w:bottom w:val="single" w:sz="4" w:space="0" w:color="auto"/>
              <w:right w:val="double" w:sz="4" w:space="0" w:color="auto"/>
            </w:tcBorders>
            <w:vAlign w:val="bottom"/>
          </w:tcPr>
          <w:p w:rsidR="00434853" w:rsidRPr="007B0F0A" w:rsidRDefault="00434853" w:rsidP="00F24DCA">
            <w:pPr>
              <w:spacing w:after="0"/>
              <w:ind w:firstLine="0"/>
              <w:jc w:val="right"/>
              <w:rPr>
                <w:b/>
                <w:sz w:val="18"/>
                <w:szCs w:val="18"/>
                <w:lang w:eastAsia="lv-LV"/>
              </w:rPr>
            </w:pPr>
            <w:r w:rsidRPr="007B0F0A">
              <w:rPr>
                <w:b/>
                <w:bCs/>
                <w:color w:val="000000"/>
                <w:sz w:val="18"/>
                <w:szCs w:val="18"/>
              </w:rPr>
              <w:t>36,6</w:t>
            </w:r>
          </w:p>
        </w:tc>
        <w:tc>
          <w:tcPr>
            <w:tcW w:w="622"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b/>
                <w:sz w:val="18"/>
                <w:szCs w:val="18"/>
                <w:lang w:eastAsia="lv-LV"/>
              </w:rPr>
            </w:pPr>
            <w:r w:rsidRPr="007B0F0A">
              <w:rPr>
                <w:b/>
                <w:bCs/>
                <w:color w:val="000000"/>
                <w:sz w:val="18"/>
                <w:szCs w:val="18"/>
              </w:rPr>
              <w:t>37,3</w:t>
            </w:r>
          </w:p>
        </w:tc>
        <w:tc>
          <w:tcPr>
            <w:tcW w:w="737" w:type="dxa"/>
            <w:tcBorders>
              <w:top w:val="single" w:sz="4" w:space="0" w:color="auto"/>
              <w:left w:val="single" w:sz="4" w:space="0" w:color="auto"/>
              <w:bottom w:val="single" w:sz="4" w:space="0" w:color="auto"/>
              <w:right w:val="double" w:sz="4" w:space="0" w:color="auto"/>
            </w:tcBorders>
            <w:shd w:val="clear" w:color="auto" w:fill="auto"/>
            <w:noWrap/>
            <w:vAlign w:val="bottom"/>
          </w:tcPr>
          <w:p w:rsidR="00434853" w:rsidRPr="007B0F0A" w:rsidRDefault="00434853" w:rsidP="00F24DCA">
            <w:pPr>
              <w:spacing w:after="0"/>
              <w:ind w:firstLine="0"/>
              <w:jc w:val="right"/>
              <w:rPr>
                <w:b/>
                <w:sz w:val="18"/>
                <w:szCs w:val="18"/>
                <w:lang w:eastAsia="lv-LV"/>
              </w:rPr>
            </w:pPr>
            <w:r w:rsidRPr="007B0F0A">
              <w:rPr>
                <w:b/>
                <w:bCs/>
                <w:color w:val="000000"/>
                <w:sz w:val="18"/>
                <w:szCs w:val="18"/>
              </w:rPr>
              <w:t>37,1</w:t>
            </w:r>
          </w:p>
        </w:tc>
        <w:tc>
          <w:tcPr>
            <w:tcW w:w="625"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b/>
                <w:sz w:val="18"/>
                <w:szCs w:val="18"/>
                <w:lang w:eastAsia="lv-LV"/>
              </w:rPr>
            </w:pPr>
            <w:r w:rsidRPr="007B0F0A">
              <w:rPr>
                <w:iCs/>
                <w:color w:val="000000"/>
                <w:sz w:val="18"/>
                <w:szCs w:val="18"/>
              </w:rPr>
              <w:t>0,4</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b/>
                <w:sz w:val="18"/>
                <w:szCs w:val="18"/>
                <w:lang w:eastAsia="lv-LV"/>
              </w:rPr>
            </w:pPr>
            <w:r w:rsidRPr="007B0F0A">
              <w:rPr>
                <w:iCs/>
                <w:color w:val="000000"/>
                <w:sz w:val="18"/>
                <w:szCs w:val="18"/>
              </w:rPr>
              <w:t>0,5</w:t>
            </w:r>
          </w:p>
        </w:tc>
      </w:tr>
      <w:tr w:rsidR="00434853" w:rsidRPr="00842D51" w:rsidTr="00F24DCA">
        <w:trPr>
          <w:trHeight w:val="70"/>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Atlīdzība</w:t>
            </w:r>
          </w:p>
        </w:tc>
        <w:tc>
          <w:tcPr>
            <w:tcW w:w="1376" w:type="dxa"/>
            <w:tcBorders>
              <w:top w:val="single" w:sz="4" w:space="0" w:color="auto"/>
              <w:left w:val="single" w:sz="4" w:space="0" w:color="auto"/>
              <w:bottom w:val="single" w:sz="4" w:space="0" w:color="auto"/>
              <w:right w:val="single" w:sz="4" w:space="0" w:color="auto"/>
            </w:tcBorders>
          </w:tcPr>
          <w:p w:rsidR="00434853" w:rsidRPr="007B0F0A" w:rsidRDefault="00434853" w:rsidP="00F24DCA">
            <w:pPr>
              <w:spacing w:after="0"/>
              <w:ind w:firstLine="0"/>
              <w:jc w:val="right"/>
              <w:rPr>
                <w:color w:val="000000"/>
                <w:sz w:val="18"/>
                <w:szCs w:val="18"/>
              </w:rPr>
            </w:pPr>
            <w:r>
              <w:rPr>
                <w:color w:val="000000"/>
                <w:sz w:val="18"/>
                <w:szCs w:val="18"/>
              </w:rPr>
              <w:t>10,1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10,5</w:t>
            </w:r>
          </w:p>
        </w:tc>
        <w:tc>
          <w:tcPr>
            <w:tcW w:w="708" w:type="dxa"/>
            <w:tcBorders>
              <w:top w:val="single" w:sz="4" w:space="0" w:color="auto"/>
              <w:left w:val="nil"/>
              <w:bottom w:val="single" w:sz="4" w:space="0" w:color="auto"/>
              <w:right w:val="doub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10,1</w:t>
            </w:r>
          </w:p>
        </w:tc>
        <w:tc>
          <w:tcPr>
            <w:tcW w:w="622"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10,1</w:t>
            </w:r>
          </w:p>
        </w:tc>
        <w:tc>
          <w:tcPr>
            <w:tcW w:w="737" w:type="dxa"/>
            <w:tcBorders>
              <w:top w:val="single" w:sz="4" w:space="0" w:color="auto"/>
              <w:left w:val="single" w:sz="4" w:space="0" w:color="auto"/>
              <w:bottom w:val="single" w:sz="4" w:space="0" w:color="auto"/>
              <w:right w:val="doub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9,9</w:t>
            </w:r>
          </w:p>
        </w:tc>
        <w:tc>
          <w:tcPr>
            <w:tcW w:w="625"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-0,4</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-0,2</w:t>
            </w:r>
          </w:p>
        </w:tc>
      </w:tr>
      <w:tr w:rsidR="00434853" w:rsidRPr="00842D51" w:rsidTr="00F24DCA">
        <w:trPr>
          <w:trHeight w:val="70"/>
          <w:jc w:val="center"/>
        </w:trPr>
        <w:tc>
          <w:tcPr>
            <w:tcW w:w="3256" w:type="dxa"/>
            <w:tcBorders>
              <w:top w:val="nil"/>
              <w:left w:val="single" w:sz="4" w:space="0" w:color="auto"/>
              <w:bottom w:val="single" w:sz="4" w:space="0" w:color="auto"/>
              <w:right w:val="single" w:sz="4" w:space="0" w:color="auto"/>
            </w:tcBorders>
            <w:shd w:val="clear" w:color="auto" w:fill="auto"/>
            <w:noWrap/>
            <w:vAlign w:val="center"/>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Starppatēriņš</w:t>
            </w:r>
          </w:p>
        </w:tc>
        <w:tc>
          <w:tcPr>
            <w:tcW w:w="1376" w:type="dxa"/>
            <w:tcBorders>
              <w:top w:val="single" w:sz="4" w:space="0" w:color="auto"/>
              <w:left w:val="single" w:sz="4" w:space="0" w:color="auto"/>
              <w:bottom w:val="single" w:sz="4" w:space="0" w:color="auto"/>
              <w:right w:val="single" w:sz="4" w:space="0" w:color="auto"/>
            </w:tcBorders>
          </w:tcPr>
          <w:p w:rsidR="00434853" w:rsidRPr="007B0F0A" w:rsidRDefault="00434853" w:rsidP="00F24DCA">
            <w:pPr>
              <w:spacing w:after="0"/>
              <w:ind w:firstLine="0"/>
              <w:jc w:val="right"/>
              <w:rPr>
                <w:color w:val="000000"/>
                <w:sz w:val="18"/>
                <w:szCs w:val="18"/>
              </w:rPr>
            </w:pPr>
            <w:r>
              <w:rPr>
                <w:color w:val="000000"/>
                <w:sz w:val="18"/>
                <w:szCs w:val="18"/>
              </w:rPr>
              <w:t>5,8</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5,4</w:t>
            </w:r>
          </w:p>
        </w:tc>
        <w:tc>
          <w:tcPr>
            <w:tcW w:w="708" w:type="dxa"/>
            <w:tcBorders>
              <w:top w:val="single" w:sz="4" w:space="0" w:color="auto"/>
              <w:left w:val="nil"/>
              <w:bottom w:val="single" w:sz="4" w:space="0" w:color="auto"/>
              <w:right w:val="doub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5,0</w:t>
            </w:r>
          </w:p>
        </w:tc>
        <w:tc>
          <w:tcPr>
            <w:tcW w:w="622"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5,7</w:t>
            </w:r>
          </w:p>
        </w:tc>
        <w:tc>
          <w:tcPr>
            <w:tcW w:w="737" w:type="dxa"/>
            <w:tcBorders>
              <w:top w:val="single" w:sz="4" w:space="0" w:color="auto"/>
              <w:left w:val="single" w:sz="4" w:space="0" w:color="auto"/>
              <w:bottom w:val="single" w:sz="4" w:space="0" w:color="auto"/>
              <w:right w:val="doub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5,6</w:t>
            </w:r>
          </w:p>
        </w:tc>
        <w:tc>
          <w:tcPr>
            <w:tcW w:w="625"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0,2</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0,6</w:t>
            </w:r>
          </w:p>
        </w:tc>
      </w:tr>
      <w:tr w:rsidR="00434853" w:rsidRPr="00842D51" w:rsidTr="00F24DCA">
        <w:trPr>
          <w:trHeight w:val="70"/>
          <w:jc w:val="center"/>
        </w:trPr>
        <w:tc>
          <w:tcPr>
            <w:tcW w:w="3256" w:type="dxa"/>
            <w:tcBorders>
              <w:top w:val="nil"/>
              <w:left w:val="single" w:sz="4" w:space="0" w:color="auto"/>
              <w:bottom w:val="single" w:sz="4" w:space="0" w:color="auto"/>
              <w:right w:val="single" w:sz="4" w:space="0" w:color="auto"/>
            </w:tcBorders>
            <w:shd w:val="clear" w:color="auto" w:fill="auto"/>
            <w:noWrap/>
            <w:vAlign w:val="center"/>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Sociālie maksājumi</w:t>
            </w:r>
          </w:p>
        </w:tc>
        <w:tc>
          <w:tcPr>
            <w:tcW w:w="1376" w:type="dxa"/>
            <w:tcBorders>
              <w:top w:val="single" w:sz="4" w:space="0" w:color="auto"/>
              <w:left w:val="single" w:sz="4" w:space="0" w:color="auto"/>
              <w:bottom w:val="single" w:sz="4" w:space="0" w:color="auto"/>
              <w:right w:val="single" w:sz="4" w:space="0" w:color="auto"/>
            </w:tcBorders>
          </w:tcPr>
          <w:p w:rsidR="00434853" w:rsidRPr="007B0F0A" w:rsidRDefault="00434853" w:rsidP="00F24DCA">
            <w:pPr>
              <w:spacing w:after="0"/>
              <w:ind w:firstLine="0"/>
              <w:jc w:val="right"/>
              <w:rPr>
                <w:color w:val="000000"/>
                <w:sz w:val="18"/>
                <w:szCs w:val="18"/>
              </w:rPr>
            </w:pPr>
            <w:r>
              <w:rPr>
                <w:color w:val="000000"/>
                <w:sz w:val="18"/>
                <w:szCs w:val="18"/>
              </w:rPr>
              <w:t>11,8</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11,7</w:t>
            </w:r>
          </w:p>
        </w:tc>
        <w:tc>
          <w:tcPr>
            <w:tcW w:w="708" w:type="dxa"/>
            <w:tcBorders>
              <w:top w:val="single" w:sz="4" w:space="0" w:color="auto"/>
              <w:left w:val="nil"/>
              <w:bottom w:val="single" w:sz="4" w:space="0" w:color="auto"/>
              <w:right w:val="doub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11,9</w:t>
            </w:r>
          </w:p>
        </w:tc>
        <w:tc>
          <w:tcPr>
            <w:tcW w:w="622"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12,0</w:t>
            </w:r>
          </w:p>
        </w:tc>
        <w:tc>
          <w:tcPr>
            <w:tcW w:w="737" w:type="dxa"/>
            <w:tcBorders>
              <w:top w:val="single" w:sz="4" w:space="0" w:color="auto"/>
              <w:left w:val="single" w:sz="4" w:space="0" w:color="auto"/>
              <w:bottom w:val="single" w:sz="4" w:space="0" w:color="auto"/>
              <w:right w:val="doub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12,1</w:t>
            </w:r>
          </w:p>
        </w:tc>
        <w:tc>
          <w:tcPr>
            <w:tcW w:w="625"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0,3</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0,2</w:t>
            </w:r>
          </w:p>
        </w:tc>
      </w:tr>
      <w:tr w:rsidR="00434853" w:rsidRPr="00842D51" w:rsidTr="00F24DCA">
        <w:trPr>
          <w:trHeight w:val="70"/>
          <w:jc w:val="center"/>
        </w:trPr>
        <w:tc>
          <w:tcPr>
            <w:tcW w:w="3256" w:type="dxa"/>
            <w:tcBorders>
              <w:top w:val="nil"/>
              <w:left w:val="single" w:sz="4" w:space="0" w:color="auto"/>
              <w:bottom w:val="single" w:sz="4" w:space="0" w:color="auto"/>
              <w:right w:val="single" w:sz="4" w:space="0" w:color="auto"/>
            </w:tcBorders>
            <w:shd w:val="clear" w:color="auto" w:fill="auto"/>
            <w:noWrap/>
            <w:vAlign w:val="center"/>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Procentu izdevumi</w:t>
            </w:r>
          </w:p>
        </w:tc>
        <w:tc>
          <w:tcPr>
            <w:tcW w:w="1376" w:type="dxa"/>
            <w:tcBorders>
              <w:top w:val="single" w:sz="4" w:space="0" w:color="auto"/>
              <w:left w:val="single" w:sz="4" w:space="0" w:color="auto"/>
              <w:bottom w:val="single" w:sz="4" w:space="0" w:color="auto"/>
              <w:right w:val="single" w:sz="4" w:space="0" w:color="auto"/>
            </w:tcBorders>
          </w:tcPr>
          <w:p w:rsidR="00434853" w:rsidRPr="007B0F0A" w:rsidRDefault="00434853" w:rsidP="00F24DCA">
            <w:pPr>
              <w:spacing w:after="0"/>
              <w:ind w:firstLine="0"/>
              <w:jc w:val="right"/>
              <w:rPr>
                <w:color w:val="000000"/>
                <w:sz w:val="18"/>
                <w:szCs w:val="18"/>
              </w:rPr>
            </w:pPr>
            <w:r>
              <w:rPr>
                <w:color w:val="000000"/>
                <w:sz w:val="18"/>
                <w:szCs w:val="18"/>
              </w:rPr>
              <w:t>0,8</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0,8</w:t>
            </w:r>
          </w:p>
        </w:tc>
        <w:tc>
          <w:tcPr>
            <w:tcW w:w="708" w:type="dxa"/>
            <w:tcBorders>
              <w:top w:val="single" w:sz="4" w:space="0" w:color="auto"/>
              <w:left w:val="nil"/>
              <w:bottom w:val="single" w:sz="4" w:space="0" w:color="auto"/>
              <w:right w:val="doub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0,8</w:t>
            </w:r>
          </w:p>
        </w:tc>
        <w:tc>
          <w:tcPr>
            <w:tcW w:w="622"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0,7</w:t>
            </w:r>
          </w:p>
        </w:tc>
        <w:tc>
          <w:tcPr>
            <w:tcW w:w="737" w:type="dxa"/>
            <w:tcBorders>
              <w:top w:val="single" w:sz="4" w:space="0" w:color="auto"/>
              <w:left w:val="single" w:sz="4" w:space="0" w:color="auto"/>
              <w:bottom w:val="single" w:sz="4" w:space="0" w:color="auto"/>
              <w:right w:val="doub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0,7</w:t>
            </w:r>
          </w:p>
        </w:tc>
        <w:tc>
          <w:tcPr>
            <w:tcW w:w="625"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0,0</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-0,1</w:t>
            </w:r>
          </w:p>
        </w:tc>
      </w:tr>
      <w:tr w:rsidR="00434853" w:rsidRPr="00842D51" w:rsidTr="00F24DCA">
        <w:trPr>
          <w:trHeight w:val="70"/>
          <w:jc w:val="center"/>
        </w:trPr>
        <w:tc>
          <w:tcPr>
            <w:tcW w:w="3256" w:type="dxa"/>
            <w:tcBorders>
              <w:top w:val="nil"/>
              <w:left w:val="single" w:sz="4" w:space="0" w:color="auto"/>
              <w:bottom w:val="single" w:sz="4" w:space="0" w:color="auto"/>
              <w:right w:val="single" w:sz="4" w:space="0" w:color="auto"/>
            </w:tcBorders>
            <w:shd w:val="clear" w:color="auto" w:fill="auto"/>
            <w:noWrap/>
            <w:vAlign w:val="center"/>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Subsīdijas</w:t>
            </w:r>
          </w:p>
        </w:tc>
        <w:tc>
          <w:tcPr>
            <w:tcW w:w="1376" w:type="dxa"/>
            <w:tcBorders>
              <w:top w:val="single" w:sz="4" w:space="0" w:color="auto"/>
              <w:left w:val="single" w:sz="4" w:space="0" w:color="auto"/>
              <w:bottom w:val="single" w:sz="4" w:space="0" w:color="auto"/>
              <w:right w:val="single" w:sz="4" w:space="0" w:color="auto"/>
            </w:tcBorders>
          </w:tcPr>
          <w:p w:rsidR="00434853" w:rsidRPr="007B0F0A" w:rsidRDefault="00434853" w:rsidP="00F24DCA">
            <w:pPr>
              <w:spacing w:after="0"/>
              <w:ind w:firstLine="0"/>
              <w:jc w:val="right"/>
              <w:rPr>
                <w:color w:val="000000"/>
                <w:sz w:val="18"/>
                <w:szCs w:val="18"/>
              </w:rPr>
            </w:pPr>
            <w:r>
              <w:rPr>
                <w:color w:val="000000"/>
                <w:sz w:val="18"/>
                <w:szCs w:val="18"/>
              </w:rPr>
              <w:t>1,5</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1,6</w:t>
            </w:r>
          </w:p>
        </w:tc>
        <w:tc>
          <w:tcPr>
            <w:tcW w:w="708" w:type="dxa"/>
            <w:tcBorders>
              <w:top w:val="single" w:sz="4" w:space="0" w:color="auto"/>
              <w:left w:val="nil"/>
              <w:bottom w:val="single" w:sz="4" w:space="0" w:color="auto"/>
              <w:right w:val="doub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1,5</w:t>
            </w:r>
          </w:p>
        </w:tc>
        <w:tc>
          <w:tcPr>
            <w:tcW w:w="622"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1,2</w:t>
            </w:r>
          </w:p>
        </w:tc>
        <w:tc>
          <w:tcPr>
            <w:tcW w:w="737" w:type="dxa"/>
            <w:tcBorders>
              <w:top w:val="single" w:sz="4" w:space="0" w:color="auto"/>
              <w:left w:val="single" w:sz="4" w:space="0" w:color="auto"/>
              <w:bottom w:val="single" w:sz="4" w:space="0" w:color="auto"/>
              <w:right w:val="doub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1,2</w:t>
            </w:r>
          </w:p>
        </w:tc>
        <w:tc>
          <w:tcPr>
            <w:tcW w:w="625"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-0,4</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-0,4</w:t>
            </w:r>
          </w:p>
        </w:tc>
      </w:tr>
      <w:tr w:rsidR="00434853" w:rsidRPr="00842D51" w:rsidTr="00F24DCA">
        <w:trPr>
          <w:trHeight w:val="70"/>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4853" w:rsidRPr="007B0F0A" w:rsidRDefault="00434853" w:rsidP="00F24DCA">
            <w:pPr>
              <w:spacing w:after="0"/>
              <w:ind w:left="-239" w:firstLineChars="200" w:firstLine="360"/>
              <w:jc w:val="left"/>
              <w:rPr>
                <w:sz w:val="18"/>
                <w:szCs w:val="18"/>
                <w:lang w:eastAsia="lv-LV"/>
              </w:rPr>
            </w:pPr>
            <w:r w:rsidRPr="007B0F0A">
              <w:rPr>
                <w:sz w:val="18"/>
                <w:szCs w:val="18"/>
                <w:lang w:eastAsia="lv-LV"/>
              </w:rPr>
              <w:t>Bruto pamatkapitāla veidošana</w:t>
            </w:r>
          </w:p>
        </w:tc>
        <w:tc>
          <w:tcPr>
            <w:tcW w:w="1376" w:type="dxa"/>
            <w:tcBorders>
              <w:top w:val="single" w:sz="4" w:space="0" w:color="auto"/>
              <w:left w:val="single" w:sz="4" w:space="0" w:color="auto"/>
              <w:bottom w:val="single" w:sz="4" w:space="0" w:color="auto"/>
              <w:right w:val="single" w:sz="4" w:space="0" w:color="auto"/>
            </w:tcBorders>
          </w:tcPr>
          <w:p w:rsidR="00434853" w:rsidRPr="007B0F0A" w:rsidRDefault="00434853" w:rsidP="00F24DCA">
            <w:pPr>
              <w:spacing w:after="0"/>
              <w:ind w:firstLine="0"/>
              <w:jc w:val="right"/>
              <w:rPr>
                <w:color w:val="000000"/>
                <w:sz w:val="18"/>
                <w:szCs w:val="18"/>
              </w:rPr>
            </w:pPr>
            <w:r>
              <w:rPr>
                <w:color w:val="000000"/>
                <w:sz w:val="18"/>
                <w:szCs w:val="18"/>
              </w:rPr>
              <w:t>4,8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5,3</w:t>
            </w:r>
          </w:p>
        </w:tc>
        <w:tc>
          <w:tcPr>
            <w:tcW w:w="708" w:type="dxa"/>
            <w:tcBorders>
              <w:top w:val="single" w:sz="4" w:space="0" w:color="auto"/>
              <w:left w:val="nil"/>
              <w:bottom w:val="single" w:sz="4" w:space="0" w:color="auto"/>
              <w:right w:val="doub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5,0</w:t>
            </w:r>
          </w:p>
        </w:tc>
        <w:tc>
          <w:tcPr>
            <w:tcW w:w="622"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4,7</w:t>
            </w:r>
          </w:p>
        </w:tc>
        <w:tc>
          <w:tcPr>
            <w:tcW w:w="737" w:type="dxa"/>
            <w:tcBorders>
              <w:top w:val="single" w:sz="4" w:space="0" w:color="auto"/>
              <w:left w:val="single" w:sz="4" w:space="0" w:color="auto"/>
              <w:bottom w:val="single" w:sz="4" w:space="0" w:color="auto"/>
              <w:right w:val="doub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4,7</w:t>
            </w:r>
          </w:p>
        </w:tc>
        <w:tc>
          <w:tcPr>
            <w:tcW w:w="625"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-0,6</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-0,3</w:t>
            </w:r>
          </w:p>
        </w:tc>
      </w:tr>
      <w:tr w:rsidR="00434853" w:rsidRPr="00842D51" w:rsidTr="00F24DCA">
        <w:trPr>
          <w:trHeight w:val="70"/>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4853" w:rsidRPr="007B0F0A" w:rsidRDefault="00434853" w:rsidP="00F24DCA">
            <w:pPr>
              <w:spacing w:after="0"/>
              <w:ind w:left="-239" w:firstLineChars="200" w:firstLine="360"/>
              <w:rPr>
                <w:sz w:val="18"/>
                <w:szCs w:val="18"/>
                <w:lang w:eastAsia="lv-LV"/>
              </w:rPr>
            </w:pPr>
            <w:r w:rsidRPr="007B0F0A">
              <w:rPr>
                <w:sz w:val="18"/>
                <w:szCs w:val="18"/>
                <w:lang w:eastAsia="lv-LV"/>
              </w:rPr>
              <w:t>Pārējie izdevumi</w:t>
            </w:r>
          </w:p>
        </w:tc>
        <w:tc>
          <w:tcPr>
            <w:tcW w:w="1376" w:type="dxa"/>
            <w:tcBorders>
              <w:top w:val="single" w:sz="4" w:space="0" w:color="auto"/>
              <w:left w:val="single" w:sz="4" w:space="0" w:color="auto"/>
              <w:bottom w:val="single" w:sz="4" w:space="0" w:color="auto"/>
              <w:right w:val="single" w:sz="4" w:space="0" w:color="auto"/>
            </w:tcBorders>
          </w:tcPr>
          <w:p w:rsidR="00434853" w:rsidRPr="007B0F0A" w:rsidRDefault="00434853" w:rsidP="00F24DCA">
            <w:pPr>
              <w:spacing w:after="0"/>
              <w:ind w:firstLine="0"/>
              <w:jc w:val="right"/>
              <w:rPr>
                <w:color w:val="000000"/>
                <w:sz w:val="18"/>
                <w:szCs w:val="18"/>
              </w:rPr>
            </w:pPr>
            <w:r>
              <w:rPr>
                <w:color w:val="000000"/>
                <w:sz w:val="18"/>
                <w:szCs w:val="18"/>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1,7</w:t>
            </w:r>
          </w:p>
        </w:tc>
        <w:tc>
          <w:tcPr>
            <w:tcW w:w="708" w:type="dxa"/>
            <w:tcBorders>
              <w:top w:val="single" w:sz="4" w:space="0" w:color="auto"/>
              <w:left w:val="nil"/>
              <w:bottom w:val="single" w:sz="4" w:space="0" w:color="auto"/>
              <w:right w:val="doub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2,2</w:t>
            </w:r>
          </w:p>
        </w:tc>
        <w:tc>
          <w:tcPr>
            <w:tcW w:w="622"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3,0</w:t>
            </w:r>
          </w:p>
        </w:tc>
        <w:tc>
          <w:tcPr>
            <w:tcW w:w="737" w:type="dxa"/>
            <w:tcBorders>
              <w:top w:val="single" w:sz="4" w:space="0" w:color="auto"/>
              <w:left w:val="single" w:sz="4" w:space="0" w:color="auto"/>
              <w:bottom w:val="single" w:sz="4" w:space="0" w:color="auto"/>
              <w:right w:val="doub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color w:val="000000"/>
                <w:sz w:val="18"/>
                <w:szCs w:val="18"/>
              </w:rPr>
              <w:t>2,9</w:t>
            </w:r>
          </w:p>
        </w:tc>
        <w:tc>
          <w:tcPr>
            <w:tcW w:w="625" w:type="dxa"/>
            <w:tcBorders>
              <w:top w:val="single" w:sz="4" w:space="0" w:color="auto"/>
              <w:left w:val="double" w:sz="4" w:space="0" w:color="auto"/>
              <w:bottom w:val="single" w:sz="4" w:space="0" w:color="auto"/>
              <w:right w:val="single" w:sz="4" w:space="0" w:color="auto"/>
            </w:tcBorders>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1,3</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853" w:rsidRPr="007B0F0A" w:rsidRDefault="00434853" w:rsidP="00F24DCA">
            <w:pPr>
              <w:spacing w:after="0"/>
              <w:ind w:firstLine="0"/>
              <w:jc w:val="right"/>
              <w:rPr>
                <w:sz w:val="18"/>
                <w:szCs w:val="18"/>
                <w:lang w:eastAsia="lv-LV"/>
              </w:rPr>
            </w:pPr>
            <w:r w:rsidRPr="007B0F0A">
              <w:rPr>
                <w:iCs/>
                <w:color w:val="000000"/>
                <w:sz w:val="18"/>
                <w:szCs w:val="18"/>
              </w:rPr>
              <w:t>0,7</w:t>
            </w:r>
          </w:p>
        </w:tc>
      </w:tr>
    </w:tbl>
    <w:p w:rsidR="00977F58" w:rsidRPr="005259FF" w:rsidRDefault="00977F58" w:rsidP="00977F58">
      <w:pPr>
        <w:pStyle w:val="funkcijas"/>
        <w:spacing w:before="120" w:after="0"/>
        <w:ind w:firstLine="720"/>
        <w:rPr>
          <w:rFonts w:eastAsia="Calibri"/>
          <w:u w:val="none"/>
        </w:rPr>
      </w:pPr>
      <w:r>
        <w:rPr>
          <w:rFonts w:eastAsia="Calibri"/>
          <w:u w:val="none"/>
        </w:rPr>
        <w:t xml:space="preserve">EK prognozē, ka budžeta ieņēmumu īpatsvars iekšzemes kopproduktā 2019. gadā būs 36,4% no IKP un 2020. gadā tas saglabāsies nemainīgs attiecībā pret 2019. gadu. Līdzīgu ieņēmumu īpatsvaru prognozē arī Latvija, taču EK prognozē, ka, piemēram, nodokļu ieņēmumu īpatsvars IKP gan 2019., gan 2020. gadā būs lielāks. To pamatā nosaka iekšzemes kopprodukta prognoze faktiskajās cenās (milj. eiro), kas EK gadījumā tika sagatavota 2018. gada rudenī un ir būtiski mazāka nekā FM novērtējums, koriģējot nominālā IKP prognozi, balstoties uz CSP 2018. gada 4. ceturkšņa datiem. Ja salīdzina nodokļu ieņēmumus milj. eiro, EK prognoze, vērtējot Latvijas Budžeta plāna projekta 2019. gadam pagājušā gada rudens versiju, ir piesardzīgāka attiecībā uz uzņēmumu ienākuma nodokļa ieņēmumiem, ņemot vērā nodokļu reformu, </w:t>
      </w:r>
      <w:r w:rsidRPr="005259FF">
        <w:rPr>
          <w:rFonts w:eastAsia="Calibri"/>
          <w:u w:val="none"/>
        </w:rPr>
        <w:t xml:space="preserve">tāpat </w:t>
      </w:r>
      <w:r w:rsidRPr="005259FF">
        <w:rPr>
          <w:sz w:val="23"/>
          <w:szCs w:val="23"/>
          <w:u w:val="none"/>
        </w:rPr>
        <w:t>attiecībā uz dažu nodokļu saistību</w:t>
      </w:r>
      <w:r>
        <w:rPr>
          <w:sz w:val="23"/>
          <w:szCs w:val="23"/>
          <w:u w:val="none"/>
        </w:rPr>
        <w:t xml:space="preserve"> izpildes pasākumu efektivitāti. Pēc EK domām,</w:t>
      </w:r>
      <w:r w:rsidRPr="005259FF">
        <w:rPr>
          <w:sz w:val="23"/>
          <w:szCs w:val="23"/>
          <w:u w:val="none"/>
        </w:rPr>
        <w:t xml:space="preserve"> PVN apgrieztās maksāšanas sistēmas ieviešana attiecībā uz plaša patēriņa elektronikas preču un mājsaimniecības elektroierīču iekšzemes piegādēm </w:t>
      </w:r>
      <w:r>
        <w:rPr>
          <w:sz w:val="23"/>
          <w:szCs w:val="23"/>
          <w:u w:val="none"/>
        </w:rPr>
        <w:t xml:space="preserve">dos mazākus ieņēmumus </w:t>
      </w:r>
      <w:r w:rsidRPr="005259FF">
        <w:rPr>
          <w:sz w:val="23"/>
          <w:szCs w:val="23"/>
          <w:u w:val="none"/>
        </w:rPr>
        <w:t>turpmākajos gados</w:t>
      </w:r>
      <w:r>
        <w:rPr>
          <w:sz w:val="23"/>
          <w:szCs w:val="23"/>
          <w:u w:val="none"/>
        </w:rPr>
        <w:t xml:space="preserve"> nekā prognozē</w:t>
      </w:r>
      <w:r w:rsidRPr="004129D2">
        <w:rPr>
          <w:sz w:val="23"/>
          <w:szCs w:val="23"/>
          <w:u w:val="none"/>
        </w:rPr>
        <w:t xml:space="preserve"> </w:t>
      </w:r>
      <w:r>
        <w:rPr>
          <w:sz w:val="23"/>
          <w:szCs w:val="23"/>
          <w:u w:val="none"/>
        </w:rPr>
        <w:t>Latvija</w:t>
      </w:r>
      <w:r w:rsidRPr="005259FF">
        <w:rPr>
          <w:sz w:val="23"/>
          <w:szCs w:val="23"/>
          <w:u w:val="none"/>
        </w:rPr>
        <w:t>.</w:t>
      </w:r>
      <w:r w:rsidRPr="005259FF">
        <w:rPr>
          <w:rFonts w:eastAsia="Calibri"/>
          <w:u w:val="none"/>
        </w:rPr>
        <w:t xml:space="preserve"> </w:t>
      </w:r>
    </w:p>
    <w:p w:rsidR="00977F58" w:rsidRPr="00270DFE" w:rsidRDefault="00977F58" w:rsidP="00977F58">
      <w:pPr>
        <w:pStyle w:val="funkcijas"/>
        <w:spacing w:before="120" w:after="0"/>
        <w:ind w:firstLine="720"/>
        <w:rPr>
          <w:rFonts w:eastAsia="Calibri"/>
          <w:u w:val="none"/>
        </w:rPr>
      </w:pPr>
      <w:r>
        <w:rPr>
          <w:rFonts w:eastAsia="Calibri"/>
          <w:u w:val="none"/>
        </w:rPr>
        <w:lastRenderedPageBreak/>
        <w:t xml:space="preserve">Attiecībā uz budžeta izdevumiem, EK prognozē lielāku to īpatsvaru IKP  – 2019. gadā 37,3% no IKP, 2020. gadā 37,1% no IKP nekā Latvija, taču līdzīgi kā Latvija prognozē izdevumu īpatsvara iekšzemes kopproduktā samazināšanos. Arī šajā pozīcijās atšķirības veido dažādie pieņēmumi par IKP apjomu, kā arī atšķirīga izdevumu struktūra pa pozīcijām, kur visticamāk, ka EK nav ņēmusi vērā pieņemtos lēmumus attiecībā uz atlīdzības pieaugumu </w:t>
      </w:r>
      <w:r>
        <w:rPr>
          <w:rFonts w:eastAsia="Calibri"/>
          <w:noProof/>
          <w:u w:val="none"/>
        </w:rPr>
        <w:t>veselības, iekšlietu un tieslietu</w:t>
      </w:r>
      <w:r>
        <w:rPr>
          <w:rFonts w:eastAsia="Calibri"/>
          <w:u w:val="none"/>
        </w:rPr>
        <w:t xml:space="preserve"> sektoros, kā arī ES fondu izdevumu sadalījumu starp subsīdiju, bruto pamatkapitāla veidošanas un pārējo izdevumu pozīciju.</w:t>
      </w:r>
    </w:p>
    <w:p w:rsidR="001952BA" w:rsidRPr="00F70898" w:rsidRDefault="001952BA" w:rsidP="00D20C53">
      <w:pPr>
        <w:rPr>
          <w:b/>
          <w:color w:val="000000" w:themeColor="text1"/>
          <w:sz w:val="28"/>
        </w:rPr>
      </w:pPr>
    </w:p>
    <w:p w:rsidR="00BC1FD1" w:rsidRPr="00BC1FD1" w:rsidRDefault="00BC1FD1" w:rsidP="00BC1FD1"/>
    <w:p w:rsidR="00BC1FD1" w:rsidRPr="00BC1FD1" w:rsidRDefault="00BC1FD1" w:rsidP="00BC1FD1"/>
    <w:p w:rsidR="00BC1FD1" w:rsidRPr="00BC1FD1" w:rsidRDefault="00BC1FD1" w:rsidP="00BC1FD1"/>
    <w:p w:rsidR="00BC1FD1" w:rsidRPr="00BC1FD1" w:rsidRDefault="00BC1FD1" w:rsidP="00BC1FD1"/>
    <w:p w:rsidR="00BC1FD1" w:rsidRPr="00BC1FD1" w:rsidRDefault="00BC1FD1" w:rsidP="00BC1FD1"/>
    <w:p w:rsidR="00BC1FD1" w:rsidRDefault="00BC1FD1" w:rsidP="0001655C">
      <w:pPr>
        <w:ind w:firstLine="0"/>
      </w:pPr>
    </w:p>
    <w:sectPr w:rsidR="00BC1FD1" w:rsidSect="00DC67EC">
      <w:headerReference w:type="even" r:id="rId10"/>
      <w:headerReference w:type="default" r:id="rId11"/>
      <w:footerReference w:type="default" r:id="rId12"/>
      <w:footerReference w:type="first" r:id="rId13"/>
      <w:pgSz w:w="11906" w:h="16838" w:code="9"/>
      <w:pgMar w:top="1418" w:right="1134" w:bottom="1134" w:left="1701" w:header="720" w:footer="720" w:gutter="0"/>
      <w:pgNumType w:start="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000" w:rsidRDefault="008D6000">
      <w:r>
        <w:separator/>
      </w:r>
    </w:p>
  </w:endnote>
  <w:endnote w:type="continuationSeparator" w:id="0">
    <w:p w:rsidR="008D6000" w:rsidRDefault="008D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00" w:rsidRDefault="008D6000">
    <w:pPr>
      <w:pStyle w:val="Footer"/>
    </w:pPr>
    <w:r>
      <w:rPr>
        <w:noProof/>
      </w:rPr>
      <w:fldChar w:fldCharType="begin"/>
    </w:r>
    <w:r>
      <w:rPr>
        <w:noProof/>
      </w:rPr>
      <w:instrText xml:space="preserve"> FILENAME   \* MERGEFORMAT </w:instrText>
    </w:r>
    <w:r>
      <w:rPr>
        <w:noProof/>
      </w:rPr>
      <w:fldChar w:fldCharType="separate"/>
    </w:r>
    <w:r>
      <w:rPr>
        <w:noProof/>
      </w:rPr>
      <w:t>FMPask_D_</w:t>
    </w:r>
    <w:r w:rsidR="00314A65">
      <w:rPr>
        <w:noProof/>
      </w:rPr>
      <w:t>090519</w:t>
    </w:r>
    <w:r>
      <w:rPr>
        <w:noProof/>
      </w:rPr>
      <w:t>_</w:t>
    </w:r>
    <w:r w:rsidR="00314A65">
      <w:rPr>
        <w:noProof/>
      </w:rPr>
      <w:t>bud</w:t>
    </w:r>
    <w:r w:rsidR="00A002D7">
      <w:rPr>
        <w:noProof/>
      </w:rPr>
      <w:t>2019</w:t>
    </w:r>
    <w:r>
      <w:rPr>
        <w:noProof/>
      </w:rPr>
      <w:fldChar w:fldCharType="end"/>
    </w:r>
    <w:r w:rsidR="00A002D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00" w:rsidRDefault="008D6000">
    <w:pPr>
      <w:pStyle w:val="Footer"/>
    </w:pPr>
    <w:r>
      <w:rPr>
        <w:sz w:val="24"/>
      </w:rPr>
      <w:fldChar w:fldCharType="begin"/>
    </w:r>
    <w:r>
      <w:rPr>
        <w:sz w:val="24"/>
      </w:rPr>
      <w:instrText xml:space="preserve"> FILENAME </w:instrText>
    </w:r>
    <w:r>
      <w:rPr>
        <w:sz w:val="24"/>
      </w:rPr>
      <w:fldChar w:fldCharType="separate"/>
    </w:r>
    <w:r>
      <w:rPr>
        <w:noProof/>
        <w:sz w:val="24"/>
      </w:rPr>
      <w:t>FMPask_D_071016_proj2017.docx</w:t>
    </w:r>
    <w:r>
      <w:rPr>
        <w:sz w:val="24"/>
      </w:rPr>
      <w:fldChar w:fldCharType="end"/>
    </w:r>
    <w:r>
      <w:rPr>
        <w:sz w:val="24"/>
      </w:rPr>
      <w:t xml:space="preserve">; </w:t>
    </w:r>
    <w:r>
      <w:rPr>
        <w:sz w:val="24"/>
      </w:rPr>
      <w:fldChar w:fldCharType="begin"/>
    </w:r>
    <w:r>
      <w:rPr>
        <w:sz w:val="24"/>
      </w:rPr>
      <w:instrText xml:space="preserve"> TITLE  \* MERGEFORMAT </w:instrText>
    </w:r>
    <w:r>
      <w:rPr>
        <w:sz w:val="24"/>
      </w:rPr>
      <w:fldChar w:fldCharType="separate"/>
    </w:r>
    <w:r w:rsidRPr="00C7433B">
      <w:rPr>
        <w:sz w:val="24"/>
      </w:rPr>
      <w:t>Likumprojekta "Par valsts budžetu 2017.gadam" paskaidrojumi. 2.nodaļa Fiskālais apskats</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000" w:rsidRDefault="008D6000" w:rsidP="00645A26">
      <w:pPr>
        <w:spacing w:after="0"/>
        <w:ind w:firstLine="0"/>
      </w:pPr>
      <w:r>
        <w:separator/>
      </w:r>
    </w:p>
  </w:footnote>
  <w:footnote w:type="continuationSeparator" w:id="0">
    <w:p w:rsidR="008D6000" w:rsidRDefault="008D6000" w:rsidP="00DB6196">
      <w:pPr>
        <w:spacing w:after="0"/>
        <w:ind w:firstLine="0"/>
      </w:pPr>
      <w:r>
        <w:continuationSeparator/>
      </w:r>
    </w:p>
  </w:footnote>
  <w:footnote w:id="1">
    <w:p w:rsidR="008D6000" w:rsidRPr="004129D2" w:rsidRDefault="008D6000" w:rsidP="002F76F3">
      <w:pPr>
        <w:pStyle w:val="FootnoteText"/>
        <w:jc w:val="both"/>
        <w:rPr>
          <w:sz w:val="17"/>
          <w:szCs w:val="17"/>
        </w:rPr>
      </w:pPr>
      <w:r w:rsidRPr="004129D2">
        <w:rPr>
          <w:rStyle w:val="FootnoteReference"/>
          <w:sz w:val="17"/>
          <w:szCs w:val="17"/>
        </w:rPr>
        <w:footnoteRef/>
      </w:r>
      <w:r w:rsidRPr="004129D2">
        <w:rPr>
          <w:sz w:val="17"/>
          <w:szCs w:val="17"/>
        </w:rPr>
        <w:t xml:space="preserve"> Eiropas Parlamenta un Padomes regula (ES) Nr. 549/2013 par Eiropas nacionālo un reģionālo kontu sistēmu Eiropas Savienībā.</w:t>
      </w:r>
    </w:p>
  </w:footnote>
  <w:footnote w:id="2">
    <w:p w:rsidR="008D6000" w:rsidRPr="004129D2" w:rsidRDefault="008D6000" w:rsidP="002F76F3">
      <w:pPr>
        <w:pStyle w:val="FootnoteText"/>
        <w:rPr>
          <w:sz w:val="17"/>
          <w:szCs w:val="17"/>
        </w:rPr>
      </w:pPr>
      <w:r w:rsidRPr="004129D2">
        <w:rPr>
          <w:rStyle w:val="FootnoteReference"/>
          <w:sz w:val="17"/>
          <w:szCs w:val="17"/>
        </w:rPr>
        <w:footnoteRef/>
      </w:r>
      <w:r w:rsidRPr="004129D2">
        <w:rPr>
          <w:sz w:val="17"/>
          <w:szCs w:val="17"/>
        </w:rPr>
        <w:t xml:space="preserve"> Valsts (S130130) vai pašvaldību struktūru (S130330) kontrolētās un finansētās komercsabiedrības. Komersantu saraksts ir pieejams CSP mājas lapā </w:t>
      </w:r>
      <w:hyperlink r:id="rId1" w:history="1">
        <w:r w:rsidRPr="007B0F0A">
          <w:rPr>
            <w:rStyle w:val="Hyperlink"/>
            <w:sz w:val="17"/>
            <w:szCs w:val="17"/>
          </w:rPr>
          <w:t>https://www.csb.gov.lv/lv/statistika/klasifikacijas/institucionalo-sektoru-klasifikacija/kodi</w:t>
        </w:r>
      </w:hyperlink>
      <w:r w:rsidRPr="007B0F0A">
        <w:rPr>
          <w:rStyle w:val="Hyperlink"/>
          <w:sz w:val="17"/>
          <w:szCs w:val="17"/>
        </w:rPr>
        <w:t>.</w:t>
      </w:r>
    </w:p>
  </w:footnote>
  <w:footnote w:id="3">
    <w:p w:rsidR="008D6000" w:rsidRPr="004129D2" w:rsidRDefault="008D6000" w:rsidP="002F76F3">
      <w:pPr>
        <w:pStyle w:val="FootnoteText"/>
        <w:rPr>
          <w:sz w:val="17"/>
          <w:szCs w:val="17"/>
        </w:rPr>
      </w:pPr>
      <w:r w:rsidRPr="004129D2">
        <w:rPr>
          <w:rStyle w:val="FootnoteReference"/>
          <w:sz w:val="17"/>
          <w:szCs w:val="17"/>
        </w:rPr>
        <w:footnoteRef/>
      </w:r>
      <w:r w:rsidRPr="004129D2">
        <w:rPr>
          <w:sz w:val="17"/>
          <w:szCs w:val="17"/>
        </w:rPr>
        <w:t xml:space="preserve"> No valsts budžeta daļēji finansēto atvasināto publisko personu (S130160) un budžeta nefinansēto iestāžu budžeti (S130150). Iestāžu saraksts pieejams turpat, CSP mājas lapā.</w:t>
      </w:r>
    </w:p>
  </w:footnote>
  <w:footnote w:id="4">
    <w:p w:rsidR="008D6000" w:rsidRPr="00165796" w:rsidRDefault="008D6000" w:rsidP="00434853">
      <w:pPr>
        <w:pStyle w:val="FootnoteText"/>
        <w:rPr>
          <w:sz w:val="17"/>
          <w:szCs w:val="17"/>
        </w:rPr>
      </w:pPr>
      <w:r w:rsidRPr="00165796">
        <w:rPr>
          <w:rStyle w:val="FootnoteReference"/>
          <w:sz w:val="17"/>
          <w:szCs w:val="17"/>
        </w:rPr>
        <w:footnoteRef/>
      </w:r>
      <w:r>
        <w:rPr>
          <w:sz w:val="17"/>
          <w:szCs w:val="17"/>
        </w:rPr>
        <w:t xml:space="preserve"> V</w:t>
      </w:r>
      <w:r w:rsidRPr="00165796">
        <w:rPr>
          <w:sz w:val="17"/>
          <w:szCs w:val="17"/>
        </w:rPr>
        <w:t xml:space="preserve">ispārējās valdības budžeta </w:t>
      </w:r>
      <w:r>
        <w:rPr>
          <w:sz w:val="17"/>
          <w:szCs w:val="17"/>
        </w:rPr>
        <w:t>deficīta, kas izriet no strukturālā deficīta mērķa,</w:t>
      </w:r>
      <w:r w:rsidRPr="00165796">
        <w:rPr>
          <w:sz w:val="17"/>
          <w:szCs w:val="17"/>
        </w:rPr>
        <w:t xml:space="preserve"> aprēķinos ir iekļauti šādi </w:t>
      </w:r>
      <w:r w:rsidRPr="00165796">
        <w:rPr>
          <w:i/>
          <w:noProof/>
          <w:sz w:val="17"/>
          <w:szCs w:val="17"/>
          <w:lang w:val="en-US"/>
        </w:rPr>
        <w:t>one-off</w:t>
      </w:r>
      <w:r w:rsidRPr="00165796">
        <w:rPr>
          <w:noProof/>
          <w:sz w:val="17"/>
          <w:szCs w:val="17"/>
          <w:lang w:val="en-US"/>
        </w:rPr>
        <w:t xml:space="preserve"> </w:t>
      </w:r>
      <w:r w:rsidRPr="00165796">
        <w:rPr>
          <w:sz w:val="17"/>
          <w:szCs w:val="17"/>
        </w:rPr>
        <w:t>pasākumi:</w:t>
      </w:r>
    </w:p>
    <w:p w:rsidR="008D6000" w:rsidRPr="00165796" w:rsidRDefault="008D6000" w:rsidP="00434853">
      <w:pPr>
        <w:pStyle w:val="FootnoteText"/>
        <w:numPr>
          <w:ilvl w:val="0"/>
          <w:numId w:val="23"/>
        </w:numPr>
        <w:rPr>
          <w:sz w:val="17"/>
          <w:szCs w:val="17"/>
        </w:rPr>
      </w:pPr>
      <w:r w:rsidRPr="00165796">
        <w:rPr>
          <w:sz w:val="17"/>
          <w:szCs w:val="17"/>
        </w:rPr>
        <w:t>Ieņēmumu daļa no Latvijas piešķirto emisijas kvotu izsolīšanas, kas attiecināma uz apjoma pieaugumu, 0,1% no IKP apmērā 2019.gadā;</w:t>
      </w:r>
    </w:p>
    <w:p w:rsidR="008D6000" w:rsidRPr="00165796" w:rsidRDefault="008D6000" w:rsidP="00434853">
      <w:pPr>
        <w:pStyle w:val="FootnoteText"/>
        <w:numPr>
          <w:ilvl w:val="0"/>
          <w:numId w:val="23"/>
        </w:numPr>
        <w:rPr>
          <w:sz w:val="17"/>
          <w:szCs w:val="17"/>
        </w:rPr>
      </w:pPr>
      <w:r w:rsidRPr="00165796">
        <w:rPr>
          <w:sz w:val="17"/>
          <w:szCs w:val="17"/>
        </w:rPr>
        <w:t>Īslaicīgs ieņēmumu samazinājums nodokļu reformas rezultātā 0,5% no IKP 2019. gadā un 0,3% no IKP 2020. gadā.</w:t>
      </w:r>
      <w:r w:rsidRPr="00165796">
        <w:rPr>
          <w:noProof/>
          <w:color w:val="000000" w:themeColor="text1"/>
          <w:sz w:val="17"/>
          <w:szCs w:val="17"/>
        </w:rPr>
        <w:t xml:space="preserve"> Salīdzinājumam, Eiropas Komisija (EK) šo efektu iekļauj strukturālajā budžeta bilancē.</w:t>
      </w:r>
    </w:p>
  </w:footnote>
  <w:footnote w:id="5">
    <w:p w:rsidR="008D6000" w:rsidRDefault="008D6000" w:rsidP="00D440B5">
      <w:pPr>
        <w:pStyle w:val="FootnoteText"/>
      </w:pPr>
      <w:r>
        <w:rPr>
          <w:rStyle w:val="FootnoteReference"/>
        </w:rPr>
        <w:footnoteRef/>
      </w:r>
      <w:r>
        <w:t xml:space="preserve"> ietverot līdz 2019. gada </w:t>
      </w:r>
      <w:r w:rsidRPr="00341126">
        <w:t>8. februārim</w:t>
      </w:r>
      <w:r>
        <w:t xml:space="preserve"> pieņemtos </w:t>
      </w:r>
      <w:proofErr w:type="spellStart"/>
      <w:r>
        <w:t>diskrecionāros</w:t>
      </w:r>
      <w:proofErr w:type="spellEnd"/>
      <w:r>
        <w:t xml:space="preserve"> lēmumus</w:t>
      </w:r>
    </w:p>
  </w:footnote>
  <w:footnote w:id="6">
    <w:p w:rsidR="008D6000" w:rsidRDefault="008D6000" w:rsidP="00D440B5">
      <w:pPr>
        <w:pStyle w:val="FootnoteText"/>
      </w:pPr>
      <w:r>
        <w:rPr>
          <w:rStyle w:val="FootnoteReference"/>
        </w:rPr>
        <w:footnoteRef/>
      </w:r>
      <w:r>
        <w:t xml:space="preserve"> ietverot pieņemtos </w:t>
      </w:r>
      <w:proofErr w:type="spellStart"/>
      <w:r>
        <w:t>diskrecionāros</w:t>
      </w:r>
      <w:proofErr w:type="spellEnd"/>
      <w:r>
        <w:t xml:space="preserve"> lēmumus no 2018.gada 15.oktobra līdz 2019. gada </w:t>
      </w:r>
      <w:r w:rsidRPr="00341126">
        <w:t>8. februārim</w:t>
      </w:r>
    </w:p>
  </w:footnote>
  <w:footnote w:id="7">
    <w:p w:rsidR="008D6000" w:rsidRPr="00F243B2" w:rsidRDefault="008D6000" w:rsidP="00434853">
      <w:pPr>
        <w:pStyle w:val="FootnoteText"/>
        <w:rPr>
          <w:sz w:val="16"/>
          <w:szCs w:val="16"/>
        </w:rPr>
      </w:pPr>
      <w:r w:rsidRPr="00F243B2">
        <w:rPr>
          <w:rStyle w:val="FootnoteReference"/>
          <w:sz w:val="16"/>
          <w:szCs w:val="16"/>
        </w:rPr>
        <w:footnoteRef/>
      </w:r>
      <w:r w:rsidRPr="00F243B2">
        <w:rPr>
          <w:sz w:val="16"/>
          <w:szCs w:val="16"/>
        </w:rPr>
        <w:t xml:space="preserve"> Nodokļu ieņēmumi (</w:t>
      </w:r>
      <w:r w:rsidRPr="00F243B2">
        <w:rPr>
          <w:i/>
          <w:noProof/>
          <w:sz w:val="16"/>
          <w:szCs w:val="16"/>
          <w:lang w:val="en-US"/>
        </w:rPr>
        <w:t>Tax burden</w:t>
      </w:r>
      <w:r w:rsidRPr="00F243B2">
        <w:rPr>
          <w:sz w:val="16"/>
          <w:szCs w:val="16"/>
        </w:rPr>
        <w:t>) atbilstoši EKS metodoloģijai (D.2 (</w:t>
      </w:r>
      <w:r w:rsidRPr="00F243B2">
        <w:rPr>
          <w:i/>
          <w:noProof/>
          <w:sz w:val="16"/>
          <w:szCs w:val="16"/>
          <w:lang w:val="en-US"/>
        </w:rPr>
        <w:t>including those collected by EU</w:t>
      </w:r>
      <w:r w:rsidRPr="00F243B2">
        <w:rPr>
          <w:sz w:val="16"/>
          <w:szCs w:val="16"/>
        </w:rPr>
        <w:t>) + D.5 + D.61 + D.91 - D.995).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00" w:rsidRDefault="008D6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8D6000" w:rsidRDefault="008D6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374387"/>
      <w:docPartObj>
        <w:docPartGallery w:val="Page Numbers (Top of Page)"/>
        <w:docPartUnique/>
      </w:docPartObj>
    </w:sdtPr>
    <w:sdtEndPr>
      <w:rPr>
        <w:noProof/>
      </w:rPr>
    </w:sdtEndPr>
    <w:sdtContent>
      <w:p w:rsidR="008D6000" w:rsidRDefault="008D6000" w:rsidP="00DB77B1">
        <w:pPr>
          <w:pStyle w:val="Header"/>
          <w:tabs>
            <w:tab w:val="left" w:pos="4275"/>
            <w:tab w:val="center" w:pos="4535"/>
          </w:tabs>
          <w:jc w:val="left"/>
          <w:rPr>
            <w:noProof/>
          </w:rPr>
        </w:pPr>
        <w:r>
          <w:tab/>
        </w:r>
        <w:r>
          <w:tab/>
        </w:r>
        <w:r>
          <w:tab/>
        </w:r>
        <w:r>
          <w:fldChar w:fldCharType="begin"/>
        </w:r>
        <w:r>
          <w:instrText xml:space="preserve"> PAGE   \* MERGEFORMAT </w:instrText>
        </w:r>
        <w:r>
          <w:fldChar w:fldCharType="separate"/>
        </w:r>
        <w:r w:rsidR="00AB7FBE">
          <w:rPr>
            <w:noProof/>
          </w:rPr>
          <w:t>52</w:t>
        </w:r>
        <w:r>
          <w:rPr>
            <w:noProof/>
          </w:rPr>
          <w:fldChar w:fldCharType="end"/>
        </w:r>
      </w:p>
      <w:p w:rsidR="008D6000" w:rsidRDefault="00AB7FBE">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22DA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787C"/>
    <w:multiLevelType w:val="hybridMultilevel"/>
    <w:tmpl w:val="0650A63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03E345A2"/>
    <w:multiLevelType w:val="multilevel"/>
    <w:tmpl w:val="EC3083C8"/>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B574CF1"/>
    <w:multiLevelType w:val="hybridMultilevel"/>
    <w:tmpl w:val="1D00EC3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0F1B3975"/>
    <w:multiLevelType w:val="hybridMultilevel"/>
    <w:tmpl w:val="0AB892E8"/>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10F41E42"/>
    <w:multiLevelType w:val="hybridMultilevel"/>
    <w:tmpl w:val="DCA42934"/>
    <w:lvl w:ilvl="0" w:tplc="2AD82E8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66075"/>
    <w:multiLevelType w:val="hybridMultilevel"/>
    <w:tmpl w:val="6E8E976C"/>
    <w:lvl w:ilvl="0" w:tplc="04260011">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3B562C"/>
    <w:multiLevelType w:val="hybridMultilevel"/>
    <w:tmpl w:val="5C6AEA8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1AB36F4F"/>
    <w:multiLevelType w:val="hybridMultilevel"/>
    <w:tmpl w:val="EC1EE33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22DC112F"/>
    <w:multiLevelType w:val="hybridMultilevel"/>
    <w:tmpl w:val="0D62CF6C"/>
    <w:lvl w:ilvl="0" w:tplc="1E82D3C2">
      <w:start w:val="1"/>
      <w:numFmt w:val="lowerLetter"/>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3162AD9"/>
    <w:multiLevelType w:val="hybridMultilevel"/>
    <w:tmpl w:val="E272E7E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697A4B"/>
    <w:multiLevelType w:val="hybridMultilevel"/>
    <w:tmpl w:val="B4CC8A5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284522B4"/>
    <w:multiLevelType w:val="multilevel"/>
    <w:tmpl w:val="EC3083C8"/>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CBA18E8"/>
    <w:multiLevelType w:val="hybridMultilevel"/>
    <w:tmpl w:val="562C2BC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3D842B15"/>
    <w:multiLevelType w:val="hybridMultilevel"/>
    <w:tmpl w:val="8EC20F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C24A34"/>
    <w:multiLevelType w:val="hybridMultilevel"/>
    <w:tmpl w:val="CC58CC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F107C81"/>
    <w:multiLevelType w:val="hybridMultilevel"/>
    <w:tmpl w:val="4DAC0DFE"/>
    <w:lvl w:ilvl="0" w:tplc="0809000F">
      <w:start w:val="1"/>
      <w:numFmt w:val="decimal"/>
      <w:lvlText w:val="%1."/>
      <w:lvlJc w:val="left"/>
      <w:pPr>
        <w:ind w:left="755" w:hanging="360"/>
      </w:p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7" w15:restartNumberingAfterBreak="0">
    <w:nsid w:val="3FE02F01"/>
    <w:multiLevelType w:val="hybridMultilevel"/>
    <w:tmpl w:val="FAD8B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32B6B0E"/>
    <w:multiLevelType w:val="hybridMultilevel"/>
    <w:tmpl w:val="A7420C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57BF1239"/>
    <w:multiLevelType w:val="hybridMultilevel"/>
    <w:tmpl w:val="A6660AE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5DA71F02"/>
    <w:multiLevelType w:val="hybridMultilevel"/>
    <w:tmpl w:val="B2D06DF2"/>
    <w:lvl w:ilvl="0" w:tplc="8522C8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E220B79"/>
    <w:multiLevelType w:val="hybridMultilevel"/>
    <w:tmpl w:val="9C4448D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64E146EE"/>
    <w:multiLevelType w:val="hybridMultilevel"/>
    <w:tmpl w:val="92B80DAA"/>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65A64CFD"/>
    <w:multiLevelType w:val="hybridMultilevel"/>
    <w:tmpl w:val="B9BABA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C5957D7"/>
    <w:multiLevelType w:val="hybridMultilevel"/>
    <w:tmpl w:val="545485F8"/>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710358E2"/>
    <w:multiLevelType w:val="hybridMultilevel"/>
    <w:tmpl w:val="2BE8B6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7DC82D02"/>
    <w:multiLevelType w:val="multilevel"/>
    <w:tmpl w:val="CF9C53D8"/>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6"/>
  </w:num>
  <w:num w:numId="3">
    <w:abstractNumId w:val="9"/>
  </w:num>
  <w:num w:numId="4">
    <w:abstractNumId w:val="5"/>
  </w:num>
  <w:num w:numId="5">
    <w:abstractNumId w:val="23"/>
  </w:num>
  <w:num w:numId="6">
    <w:abstractNumId w:val="17"/>
  </w:num>
  <w:num w:numId="7">
    <w:abstractNumId w:val="15"/>
  </w:num>
  <w:num w:numId="8">
    <w:abstractNumId w:val="19"/>
  </w:num>
  <w:num w:numId="9">
    <w:abstractNumId w:val="25"/>
  </w:num>
  <w:num w:numId="10">
    <w:abstractNumId w:val="1"/>
  </w:num>
  <w:num w:numId="11">
    <w:abstractNumId w:val="3"/>
  </w:num>
  <w:num w:numId="12">
    <w:abstractNumId w:val="7"/>
  </w:num>
  <w:num w:numId="13">
    <w:abstractNumId w:val="13"/>
  </w:num>
  <w:num w:numId="14">
    <w:abstractNumId w:val="8"/>
  </w:num>
  <w:num w:numId="15">
    <w:abstractNumId w:val="21"/>
  </w:num>
  <w:num w:numId="16">
    <w:abstractNumId w:val="11"/>
  </w:num>
  <w:num w:numId="17">
    <w:abstractNumId w:val="2"/>
  </w:num>
  <w:num w:numId="18">
    <w:abstractNumId w:val="4"/>
  </w:num>
  <w:num w:numId="19">
    <w:abstractNumId w:val="24"/>
  </w:num>
  <w:num w:numId="20">
    <w:abstractNumId w:val="10"/>
  </w:num>
  <w:num w:numId="21">
    <w:abstractNumId w:val="26"/>
  </w:num>
  <w:num w:numId="22">
    <w:abstractNumId w:val="6"/>
  </w:num>
  <w:num w:numId="23">
    <w:abstractNumId w:val="14"/>
  </w:num>
  <w:num w:numId="24">
    <w:abstractNumId w:val="18"/>
  </w:num>
  <w:num w:numId="25">
    <w:abstractNumId w:val="22"/>
  </w:num>
  <w:num w:numId="26">
    <w:abstractNumId w:val="1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42"/>
    <w:rsid w:val="00002C5F"/>
    <w:rsid w:val="0000670F"/>
    <w:rsid w:val="0000682B"/>
    <w:rsid w:val="0001194A"/>
    <w:rsid w:val="0001300E"/>
    <w:rsid w:val="00013083"/>
    <w:rsid w:val="00013716"/>
    <w:rsid w:val="00013B3E"/>
    <w:rsid w:val="00014540"/>
    <w:rsid w:val="0001655C"/>
    <w:rsid w:val="00016781"/>
    <w:rsid w:val="000179DE"/>
    <w:rsid w:val="00022D76"/>
    <w:rsid w:val="000231C3"/>
    <w:rsid w:val="00023EDF"/>
    <w:rsid w:val="00024872"/>
    <w:rsid w:val="00026213"/>
    <w:rsid w:val="000403B5"/>
    <w:rsid w:val="000458D6"/>
    <w:rsid w:val="00046E7F"/>
    <w:rsid w:val="00047E93"/>
    <w:rsid w:val="00051EF4"/>
    <w:rsid w:val="00055D14"/>
    <w:rsid w:val="0005622E"/>
    <w:rsid w:val="000566CA"/>
    <w:rsid w:val="000614B0"/>
    <w:rsid w:val="000632B3"/>
    <w:rsid w:val="0007385D"/>
    <w:rsid w:val="00074A9A"/>
    <w:rsid w:val="000764DB"/>
    <w:rsid w:val="0008141D"/>
    <w:rsid w:val="00081BC4"/>
    <w:rsid w:val="00083327"/>
    <w:rsid w:val="000958AB"/>
    <w:rsid w:val="000958F4"/>
    <w:rsid w:val="000960A7"/>
    <w:rsid w:val="00096EC5"/>
    <w:rsid w:val="000A07D3"/>
    <w:rsid w:val="000A334D"/>
    <w:rsid w:val="000A4274"/>
    <w:rsid w:val="000A7CC4"/>
    <w:rsid w:val="000B2F12"/>
    <w:rsid w:val="000B3D83"/>
    <w:rsid w:val="000B4795"/>
    <w:rsid w:val="000B79BF"/>
    <w:rsid w:val="000C0784"/>
    <w:rsid w:val="000C2DB1"/>
    <w:rsid w:val="000D1731"/>
    <w:rsid w:val="000D4778"/>
    <w:rsid w:val="000D6DFA"/>
    <w:rsid w:val="000E0972"/>
    <w:rsid w:val="000E3734"/>
    <w:rsid w:val="000E4833"/>
    <w:rsid w:val="000F44FB"/>
    <w:rsid w:val="000F6E28"/>
    <w:rsid w:val="001002F9"/>
    <w:rsid w:val="00103754"/>
    <w:rsid w:val="001055B8"/>
    <w:rsid w:val="00105631"/>
    <w:rsid w:val="00105843"/>
    <w:rsid w:val="001079E4"/>
    <w:rsid w:val="0011131F"/>
    <w:rsid w:val="00112F83"/>
    <w:rsid w:val="00126C0C"/>
    <w:rsid w:val="00131D32"/>
    <w:rsid w:val="00131DFD"/>
    <w:rsid w:val="001378E6"/>
    <w:rsid w:val="00142A21"/>
    <w:rsid w:val="00144403"/>
    <w:rsid w:val="0014530B"/>
    <w:rsid w:val="00145391"/>
    <w:rsid w:val="00146152"/>
    <w:rsid w:val="00147642"/>
    <w:rsid w:val="00147F25"/>
    <w:rsid w:val="00154954"/>
    <w:rsid w:val="00154FD9"/>
    <w:rsid w:val="00155400"/>
    <w:rsid w:val="001559B9"/>
    <w:rsid w:val="00172DAF"/>
    <w:rsid w:val="00174E16"/>
    <w:rsid w:val="001774F4"/>
    <w:rsid w:val="00177995"/>
    <w:rsid w:val="00177B25"/>
    <w:rsid w:val="00183DBC"/>
    <w:rsid w:val="00185380"/>
    <w:rsid w:val="00187C22"/>
    <w:rsid w:val="00191B6D"/>
    <w:rsid w:val="001946EF"/>
    <w:rsid w:val="001952BA"/>
    <w:rsid w:val="00196CD0"/>
    <w:rsid w:val="001A199E"/>
    <w:rsid w:val="001A2B14"/>
    <w:rsid w:val="001A3888"/>
    <w:rsid w:val="001B159B"/>
    <w:rsid w:val="001B3A5F"/>
    <w:rsid w:val="001B525A"/>
    <w:rsid w:val="001B5AE8"/>
    <w:rsid w:val="001B6350"/>
    <w:rsid w:val="001B690F"/>
    <w:rsid w:val="001B6E35"/>
    <w:rsid w:val="001B73EC"/>
    <w:rsid w:val="001C6E10"/>
    <w:rsid w:val="001D0BA1"/>
    <w:rsid w:val="001D4AB6"/>
    <w:rsid w:val="001D58DC"/>
    <w:rsid w:val="001E002E"/>
    <w:rsid w:val="001E239E"/>
    <w:rsid w:val="001E4938"/>
    <w:rsid w:val="001E4F38"/>
    <w:rsid w:val="001E5341"/>
    <w:rsid w:val="001E70B0"/>
    <w:rsid w:val="001F57A4"/>
    <w:rsid w:val="001F67EF"/>
    <w:rsid w:val="001F7E9B"/>
    <w:rsid w:val="00200D66"/>
    <w:rsid w:val="00202209"/>
    <w:rsid w:val="00205F43"/>
    <w:rsid w:val="00211DBC"/>
    <w:rsid w:val="00212A19"/>
    <w:rsid w:val="00212A4E"/>
    <w:rsid w:val="00213F4C"/>
    <w:rsid w:val="00214E25"/>
    <w:rsid w:val="00217609"/>
    <w:rsid w:val="0022268B"/>
    <w:rsid w:val="0022541A"/>
    <w:rsid w:val="00225B28"/>
    <w:rsid w:val="00230726"/>
    <w:rsid w:val="00231A83"/>
    <w:rsid w:val="0023209D"/>
    <w:rsid w:val="00235100"/>
    <w:rsid w:val="002357C2"/>
    <w:rsid w:val="0023672D"/>
    <w:rsid w:val="00236CF5"/>
    <w:rsid w:val="002409B9"/>
    <w:rsid w:val="00241A89"/>
    <w:rsid w:val="00244018"/>
    <w:rsid w:val="00244943"/>
    <w:rsid w:val="0024496D"/>
    <w:rsid w:val="00247097"/>
    <w:rsid w:val="00247951"/>
    <w:rsid w:val="00247CEF"/>
    <w:rsid w:val="002503AB"/>
    <w:rsid w:val="00253A2B"/>
    <w:rsid w:val="00260553"/>
    <w:rsid w:val="00261EA2"/>
    <w:rsid w:val="0026280F"/>
    <w:rsid w:val="00263D0E"/>
    <w:rsid w:val="00265147"/>
    <w:rsid w:val="00266FF3"/>
    <w:rsid w:val="00267F8A"/>
    <w:rsid w:val="002742C0"/>
    <w:rsid w:val="00274E24"/>
    <w:rsid w:val="00275868"/>
    <w:rsid w:val="002779BC"/>
    <w:rsid w:val="0028173F"/>
    <w:rsid w:val="002845B9"/>
    <w:rsid w:val="00286031"/>
    <w:rsid w:val="00286577"/>
    <w:rsid w:val="0029292B"/>
    <w:rsid w:val="0029355E"/>
    <w:rsid w:val="002936F1"/>
    <w:rsid w:val="002938BD"/>
    <w:rsid w:val="002A1516"/>
    <w:rsid w:val="002B0226"/>
    <w:rsid w:val="002B27F3"/>
    <w:rsid w:val="002C1CE4"/>
    <w:rsid w:val="002C1DE4"/>
    <w:rsid w:val="002C4CCA"/>
    <w:rsid w:val="002C68AF"/>
    <w:rsid w:val="002C6B81"/>
    <w:rsid w:val="002C6D7B"/>
    <w:rsid w:val="002D17E0"/>
    <w:rsid w:val="002D2492"/>
    <w:rsid w:val="002D523B"/>
    <w:rsid w:val="002D6048"/>
    <w:rsid w:val="002D69F9"/>
    <w:rsid w:val="002E1629"/>
    <w:rsid w:val="002E2976"/>
    <w:rsid w:val="002E3B98"/>
    <w:rsid w:val="002E74D1"/>
    <w:rsid w:val="002E7CF8"/>
    <w:rsid w:val="002F0733"/>
    <w:rsid w:val="002F379F"/>
    <w:rsid w:val="002F61F3"/>
    <w:rsid w:val="002F76F3"/>
    <w:rsid w:val="00300626"/>
    <w:rsid w:val="0030153B"/>
    <w:rsid w:val="00306BF2"/>
    <w:rsid w:val="00311C5B"/>
    <w:rsid w:val="00314A65"/>
    <w:rsid w:val="00324B13"/>
    <w:rsid w:val="003258F3"/>
    <w:rsid w:val="0033149C"/>
    <w:rsid w:val="0033559A"/>
    <w:rsid w:val="00337A7C"/>
    <w:rsid w:val="00340CF2"/>
    <w:rsid w:val="00341239"/>
    <w:rsid w:val="00342115"/>
    <w:rsid w:val="00343EB0"/>
    <w:rsid w:val="00343F4E"/>
    <w:rsid w:val="00344E80"/>
    <w:rsid w:val="00346639"/>
    <w:rsid w:val="003477E8"/>
    <w:rsid w:val="00347967"/>
    <w:rsid w:val="00350B06"/>
    <w:rsid w:val="00351D59"/>
    <w:rsid w:val="00355240"/>
    <w:rsid w:val="00355D79"/>
    <w:rsid w:val="00357DE5"/>
    <w:rsid w:val="003610C2"/>
    <w:rsid w:val="00361A17"/>
    <w:rsid w:val="00363409"/>
    <w:rsid w:val="00373045"/>
    <w:rsid w:val="00373BDD"/>
    <w:rsid w:val="00377FD6"/>
    <w:rsid w:val="0038136B"/>
    <w:rsid w:val="003813B0"/>
    <w:rsid w:val="00381942"/>
    <w:rsid w:val="00387DE5"/>
    <w:rsid w:val="00392D30"/>
    <w:rsid w:val="00393E8A"/>
    <w:rsid w:val="003970BC"/>
    <w:rsid w:val="003A1E81"/>
    <w:rsid w:val="003A48F6"/>
    <w:rsid w:val="003A65BC"/>
    <w:rsid w:val="003A6F01"/>
    <w:rsid w:val="003A7C75"/>
    <w:rsid w:val="003B3117"/>
    <w:rsid w:val="003B5971"/>
    <w:rsid w:val="003B63B3"/>
    <w:rsid w:val="003C2663"/>
    <w:rsid w:val="003C2D1E"/>
    <w:rsid w:val="003C35B5"/>
    <w:rsid w:val="003C3925"/>
    <w:rsid w:val="003C400B"/>
    <w:rsid w:val="003C45D1"/>
    <w:rsid w:val="003D14D5"/>
    <w:rsid w:val="003D26C1"/>
    <w:rsid w:val="003D3828"/>
    <w:rsid w:val="003D43E7"/>
    <w:rsid w:val="003D7B34"/>
    <w:rsid w:val="003E08FF"/>
    <w:rsid w:val="003E606D"/>
    <w:rsid w:val="003F2423"/>
    <w:rsid w:val="003F34D7"/>
    <w:rsid w:val="003F35B1"/>
    <w:rsid w:val="003F3AAC"/>
    <w:rsid w:val="003F4BB1"/>
    <w:rsid w:val="003F5EB0"/>
    <w:rsid w:val="003F745F"/>
    <w:rsid w:val="00400DDE"/>
    <w:rsid w:val="00405BEF"/>
    <w:rsid w:val="00411751"/>
    <w:rsid w:val="00411D9E"/>
    <w:rsid w:val="0041283F"/>
    <w:rsid w:val="00415A3D"/>
    <w:rsid w:val="00420BF0"/>
    <w:rsid w:val="004216A0"/>
    <w:rsid w:val="00423A61"/>
    <w:rsid w:val="00424F7F"/>
    <w:rsid w:val="004271AC"/>
    <w:rsid w:val="00431319"/>
    <w:rsid w:val="00432E87"/>
    <w:rsid w:val="00434853"/>
    <w:rsid w:val="00434F0F"/>
    <w:rsid w:val="004408CA"/>
    <w:rsid w:val="0044180E"/>
    <w:rsid w:val="00443719"/>
    <w:rsid w:val="004479A1"/>
    <w:rsid w:val="0045110A"/>
    <w:rsid w:val="00451A22"/>
    <w:rsid w:val="00452A8A"/>
    <w:rsid w:val="004553A0"/>
    <w:rsid w:val="00455725"/>
    <w:rsid w:val="00460C08"/>
    <w:rsid w:val="00464D70"/>
    <w:rsid w:val="00467996"/>
    <w:rsid w:val="004724BA"/>
    <w:rsid w:val="00474510"/>
    <w:rsid w:val="004745CD"/>
    <w:rsid w:val="004755A2"/>
    <w:rsid w:val="004761E5"/>
    <w:rsid w:val="00480ADB"/>
    <w:rsid w:val="00495DDD"/>
    <w:rsid w:val="004A1762"/>
    <w:rsid w:val="004A2816"/>
    <w:rsid w:val="004A3F5B"/>
    <w:rsid w:val="004A5E59"/>
    <w:rsid w:val="004A5FFB"/>
    <w:rsid w:val="004A634B"/>
    <w:rsid w:val="004A75F4"/>
    <w:rsid w:val="004A7D43"/>
    <w:rsid w:val="004B581C"/>
    <w:rsid w:val="004B742D"/>
    <w:rsid w:val="004C1D9A"/>
    <w:rsid w:val="004D0832"/>
    <w:rsid w:val="004D2D2B"/>
    <w:rsid w:val="004D35E0"/>
    <w:rsid w:val="004D420B"/>
    <w:rsid w:val="004D4910"/>
    <w:rsid w:val="004D6476"/>
    <w:rsid w:val="004E2527"/>
    <w:rsid w:val="004E6B0A"/>
    <w:rsid w:val="004F2C63"/>
    <w:rsid w:val="004F2C94"/>
    <w:rsid w:val="004F455D"/>
    <w:rsid w:val="004F6429"/>
    <w:rsid w:val="004F6BFD"/>
    <w:rsid w:val="00503460"/>
    <w:rsid w:val="0050460F"/>
    <w:rsid w:val="00505586"/>
    <w:rsid w:val="00505B19"/>
    <w:rsid w:val="005068E4"/>
    <w:rsid w:val="005072A5"/>
    <w:rsid w:val="00510A4F"/>
    <w:rsid w:val="005125E7"/>
    <w:rsid w:val="0051261E"/>
    <w:rsid w:val="005139F0"/>
    <w:rsid w:val="0051417D"/>
    <w:rsid w:val="005203A5"/>
    <w:rsid w:val="005216E4"/>
    <w:rsid w:val="00521CE9"/>
    <w:rsid w:val="00522797"/>
    <w:rsid w:val="00523C8C"/>
    <w:rsid w:val="00523E62"/>
    <w:rsid w:val="00525806"/>
    <w:rsid w:val="00526F4F"/>
    <w:rsid w:val="00530C29"/>
    <w:rsid w:val="005368B5"/>
    <w:rsid w:val="00540E20"/>
    <w:rsid w:val="00541A4F"/>
    <w:rsid w:val="00542403"/>
    <w:rsid w:val="0054446B"/>
    <w:rsid w:val="00550904"/>
    <w:rsid w:val="00557082"/>
    <w:rsid w:val="00560628"/>
    <w:rsid w:val="00566114"/>
    <w:rsid w:val="00567120"/>
    <w:rsid w:val="005709BB"/>
    <w:rsid w:val="005726EA"/>
    <w:rsid w:val="005749FC"/>
    <w:rsid w:val="00577591"/>
    <w:rsid w:val="00577C70"/>
    <w:rsid w:val="00580CC7"/>
    <w:rsid w:val="0058665D"/>
    <w:rsid w:val="00590259"/>
    <w:rsid w:val="00591519"/>
    <w:rsid w:val="00591E97"/>
    <w:rsid w:val="005933B1"/>
    <w:rsid w:val="005942B4"/>
    <w:rsid w:val="005A5703"/>
    <w:rsid w:val="005A6228"/>
    <w:rsid w:val="005A6EF1"/>
    <w:rsid w:val="005A7DA4"/>
    <w:rsid w:val="005C0AE0"/>
    <w:rsid w:val="005C5800"/>
    <w:rsid w:val="005C71B0"/>
    <w:rsid w:val="005D0340"/>
    <w:rsid w:val="005D2CB8"/>
    <w:rsid w:val="005D5B91"/>
    <w:rsid w:val="005D661C"/>
    <w:rsid w:val="005E217F"/>
    <w:rsid w:val="005E6843"/>
    <w:rsid w:val="005E6D10"/>
    <w:rsid w:val="005E70EB"/>
    <w:rsid w:val="005F012B"/>
    <w:rsid w:val="005F4CB3"/>
    <w:rsid w:val="005F5453"/>
    <w:rsid w:val="005F574A"/>
    <w:rsid w:val="005F7596"/>
    <w:rsid w:val="006015AA"/>
    <w:rsid w:val="00604CEF"/>
    <w:rsid w:val="00605640"/>
    <w:rsid w:val="00610CFD"/>
    <w:rsid w:val="0061430B"/>
    <w:rsid w:val="00614CBC"/>
    <w:rsid w:val="006155B6"/>
    <w:rsid w:val="006171BD"/>
    <w:rsid w:val="00617C07"/>
    <w:rsid w:val="0062233D"/>
    <w:rsid w:val="0062587A"/>
    <w:rsid w:val="00625C89"/>
    <w:rsid w:val="006273F3"/>
    <w:rsid w:val="00632978"/>
    <w:rsid w:val="00635327"/>
    <w:rsid w:val="00643F4E"/>
    <w:rsid w:val="00644A38"/>
    <w:rsid w:val="00645A26"/>
    <w:rsid w:val="0064620E"/>
    <w:rsid w:val="00652F7F"/>
    <w:rsid w:val="0065483B"/>
    <w:rsid w:val="006551B3"/>
    <w:rsid w:val="00656AD9"/>
    <w:rsid w:val="0066216A"/>
    <w:rsid w:val="00662177"/>
    <w:rsid w:val="006632C6"/>
    <w:rsid w:val="00663713"/>
    <w:rsid w:val="00664A5D"/>
    <w:rsid w:val="00664CD3"/>
    <w:rsid w:val="0066559C"/>
    <w:rsid w:val="00666978"/>
    <w:rsid w:val="00670AAC"/>
    <w:rsid w:val="006802CD"/>
    <w:rsid w:val="006804DD"/>
    <w:rsid w:val="0068326E"/>
    <w:rsid w:val="00695565"/>
    <w:rsid w:val="006A2154"/>
    <w:rsid w:val="006A28D5"/>
    <w:rsid w:val="006A75C7"/>
    <w:rsid w:val="006A7F21"/>
    <w:rsid w:val="006B1DDE"/>
    <w:rsid w:val="006B2B5C"/>
    <w:rsid w:val="006B4A35"/>
    <w:rsid w:val="006B63EE"/>
    <w:rsid w:val="006B7542"/>
    <w:rsid w:val="006C41CB"/>
    <w:rsid w:val="006C4C54"/>
    <w:rsid w:val="006C5ADE"/>
    <w:rsid w:val="006C6708"/>
    <w:rsid w:val="006D04C0"/>
    <w:rsid w:val="006D2326"/>
    <w:rsid w:val="006D288D"/>
    <w:rsid w:val="006D3844"/>
    <w:rsid w:val="006D6693"/>
    <w:rsid w:val="006D6738"/>
    <w:rsid w:val="006D75AA"/>
    <w:rsid w:val="006E1B3F"/>
    <w:rsid w:val="006E24CE"/>
    <w:rsid w:val="006E45AD"/>
    <w:rsid w:val="006F1951"/>
    <w:rsid w:val="006F68BC"/>
    <w:rsid w:val="006F7038"/>
    <w:rsid w:val="00701434"/>
    <w:rsid w:val="00701903"/>
    <w:rsid w:val="0070239E"/>
    <w:rsid w:val="0070532A"/>
    <w:rsid w:val="007074EB"/>
    <w:rsid w:val="00711574"/>
    <w:rsid w:val="0072578D"/>
    <w:rsid w:val="007261ED"/>
    <w:rsid w:val="00731546"/>
    <w:rsid w:val="007330E2"/>
    <w:rsid w:val="0073314C"/>
    <w:rsid w:val="0073495C"/>
    <w:rsid w:val="00744942"/>
    <w:rsid w:val="00745481"/>
    <w:rsid w:val="00746799"/>
    <w:rsid w:val="0075396F"/>
    <w:rsid w:val="007557A5"/>
    <w:rsid w:val="007574F6"/>
    <w:rsid w:val="0076237E"/>
    <w:rsid w:val="00763A06"/>
    <w:rsid w:val="00765557"/>
    <w:rsid w:val="00766B6B"/>
    <w:rsid w:val="007674AB"/>
    <w:rsid w:val="00767C9C"/>
    <w:rsid w:val="00770247"/>
    <w:rsid w:val="0077391F"/>
    <w:rsid w:val="007747FC"/>
    <w:rsid w:val="007766A7"/>
    <w:rsid w:val="0077730E"/>
    <w:rsid w:val="0077756E"/>
    <w:rsid w:val="00777B21"/>
    <w:rsid w:val="00777BF3"/>
    <w:rsid w:val="00780A29"/>
    <w:rsid w:val="007810BF"/>
    <w:rsid w:val="00781292"/>
    <w:rsid w:val="00782EF6"/>
    <w:rsid w:val="00783177"/>
    <w:rsid w:val="00783325"/>
    <w:rsid w:val="00783956"/>
    <w:rsid w:val="00784258"/>
    <w:rsid w:val="00787D88"/>
    <w:rsid w:val="00795939"/>
    <w:rsid w:val="00797C92"/>
    <w:rsid w:val="007A03F1"/>
    <w:rsid w:val="007A2BBC"/>
    <w:rsid w:val="007A54DB"/>
    <w:rsid w:val="007B03B5"/>
    <w:rsid w:val="007B4BCB"/>
    <w:rsid w:val="007C117F"/>
    <w:rsid w:val="007C4DAE"/>
    <w:rsid w:val="007C5130"/>
    <w:rsid w:val="007C7486"/>
    <w:rsid w:val="007D0015"/>
    <w:rsid w:val="007D00C2"/>
    <w:rsid w:val="007D05B7"/>
    <w:rsid w:val="007D090D"/>
    <w:rsid w:val="007D179F"/>
    <w:rsid w:val="007D1EEC"/>
    <w:rsid w:val="007E1BA6"/>
    <w:rsid w:val="007F64A9"/>
    <w:rsid w:val="007F79C0"/>
    <w:rsid w:val="00801425"/>
    <w:rsid w:val="00801947"/>
    <w:rsid w:val="00812001"/>
    <w:rsid w:val="008131ED"/>
    <w:rsid w:val="00814342"/>
    <w:rsid w:val="0082138D"/>
    <w:rsid w:val="00824665"/>
    <w:rsid w:val="008248F8"/>
    <w:rsid w:val="00824A53"/>
    <w:rsid w:val="008300A2"/>
    <w:rsid w:val="00831298"/>
    <w:rsid w:val="008347CC"/>
    <w:rsid w:val="00834DF8"/>
    <w:rsid w:val="00840729"/>
    <w:rsid w:val="00840F75"/>
    <w:rsid w:val="008412AA"/>
    <w:rsid w:val="00845DD4"/>
    <w:rsid w:val="00846CA0"/>
    <w:rsid w:val="00850B80"/>
    <w:rsid w:val="00852A7A"/>
    <w:rsid w:val="00854EFF"/>
    <w:rsid w:val="008562A6"/>
    <w:rsid w:val="00856C2C"/>
    <w:rsid w:val="008600E3"/>
    <w:rsid w:val="008615A5"/>
    <w:rsid w:val="00863A95"/>
    <w:rsid w:val="008645D1"/>
    <w:rsid w:val="00865BA9"/>
    <w:rsid w:val="00866C94"/>
    <w:rsid w:val="00867B4A"/>
    <w:rsid w:val="008712EF"/>
    <w:rsid w:val="00874245"/>
    <w:rsid w:val="00874279"/>
    <w:rsid w:val="008745F3"/>
    <w:rsid w:val="00881947"/>
    <w:rsid w:val="0089031C"/>
    <w:rsid w:val="00893A59"/>
    <w:rsid w:val="00893F15"/>
    <w:rsid w:val="008A3E4E"/>
    <w:rsid w:val="008A7B75"/>
    <w:rsid w:val="008B066E"/>
    <w:rsid w:val="008B0A04"/>
    <w:rsid w:val="008B3B03"/>
    <w:rsid w:val="008B6F4A"/>
    <w:rsid w:val="008B7862"/>
    <w:rsid w:val="008C0FFC"/>
    <w:rsid w:val="008C14FA"/>
    <w:rsid w:val="008C428F"/>
    <w:rsid w:val="008C71C1"/>
    <w:rsid w:val="008D06A1"/>
    <w:rsid w:val="008D0D83"/>
    <w:rsid w:val="008D1EF4"/>
    <w:rsid w:val="008D3735"/>
    <w:rsid w:val="008D6000"/>
    <w:rsid w:val="008D7A67"/>
    <w:rsid w:val="008E1BF9"/>
    <w:rsid w:val="008E1FD6"/>
    <w:rsid w:val="008E2DC0"/>
    <w:rsid w:val="008E6189"/>
    <w:rsid w:val="008E6DBF"/>
    <w:rsid w:val="008F1AD1"/>
    <w:rsid w:val="008F40BA"/>
    <w:rsid w:val="008F4DA9"/>
    <w:rsid w:val="008F729A"/>
    <w:rsid w:val="00901A25"/>
    <w:rsid w:val="00902A74"/>
    <w:rsid w:val="00904E51"/>
    <w:rsid w:val="00911EA2"/>
    <w:rsid w:val="0091263C"/>
    <w:rsid w:val="0091343F"/>
    <w:rsid w:val="0091490D"/>
    <w:rsid w:val="00916900"/>
    <w:rsid w:val="00921D63"/>
    <w:rsid w:val="00924A7D"/>
    <w:rsid w:val="00926FAE"/>
    <w:rsid w:val="00927076"/>
    <w:rsid w:val="009273C5"/>
    <w:rsid w:val="009279DF"/>
    <w:rsid w:val="0093213A"/>
    <w:rsid w:val="00932388"/>
    <w:rsid w:val="00933B2F"/>
    <w:rsid w:val="00934FBE"/>
    <w:rsid w:val="00941712"/>
    <w:rsid w:val="00941D9B"/>
    <w:rsid w:val="0094612F"/>
    <w:rsid w:val="00946F51"/>
    <w:rsid w:val="009473EA"/>
    <w:rsid w:val="0095082A"/>
    <w:rsid w:val="009509D4"/>
    <w:rsid w:val="00951842"/>
    <w:rsid w:val="00951CEC"/>
    <w:rsid w:val="00952F55"/>
    <w:rsid w:val="00956824"/>
    <w:rsid w:val="00960129"/>
    <w:rsid w:val="009622DF"/>
    <w:rsid w:val="00971902"/>
    <w:rsid w:val="009736FA"/>
    <w:rsid w:val="00974D49"/>
    <w:rsid w:val="00977F58"/>
    <w:rsid w:val="00990D0F"/>
    <w:rsid w:val="00996481"/>
    <w:rsid w:val="009A3F26"/>
    <w:rsid w:val="009A5091"/>
    <w:rsid w:val="009A6CB8"/>
    <w:rsid w:val="009A7BE8"/>
    <w:rsid w:val="009B1370"/>
    <w:rsid w:val="009B64B1"/>
    <w:rsid w:val="009B7D8F"/>
    <w:rsid w:val="009C3C8E"/>
    <w:rsid w:val="009C3E42"/>
    <w:rsid w:val="009C3F75"/>
    <w:rsid w:val="009C408D"/>
    <w:rsid w:val="009C5EE6"/>
    <w:rsid w:val="009D142F"/>
    <w:rsid w:val="009D1D06"/>
    <w:rsid w:val="009D2821"/>
    <w:rsid w:val="009D3CA6"/>
    <w:rsid w:val="009D5645"/>
    <w:rsid w:val="009E1769"/>
    <w:rsid w:val="009E1D25"/>
    <w:rsid w:val="009E1FCE"/>
    <w:rsid w:val="009E36C9"/>
    <w:rsid w:val="009E6CD1"/>
    <w:rsid w:val="009F0D72"/>
    <w:rsid w:val="009F1C65"/>
    <w:rsid w:val="009F48B2"/>
    <w:rsid w:val="009F79FE"/>
    <w:rsid w:val="00A002D7"/>
    <w:rsid w:val="00A01143"/>
    <w:rsid w:val="00A01A7F"/>
    <w:rsid w:val="00A03EA9"/>
    <w:rsid w:val="00A06F98"/>
    <w:rsid w:val="00A10A81"/>
    <w:rsid w:val="00A10FF9"/>
    <w:rsid w:val="00A210AD"/>
    <w:rsid w:val="00A243D5"/>
    <w:rsid w:val="00A259BA"/>
    <w:rsid w:val="00A3010F"/>
    <w:rsid w:val="00A411DB"/>
    <w:rsid w:val="00A43F70"/>
    <w:rsid w:val="00A44A58"/>
    <w:rsid w:val="00A459B9"/>
    <w:rsid w:val="00A521EF"/>
    <w:rsid w:val="00A52CEA"/>
    <w:rsid w:val="00A53DC0"/>
    <w:rsid w:val="00A545F9"/>
    <w:rsid w:val="00A55CBC"/>
    <w:rsid w:val="00A57CF8"/>
    <w:rsid w:val="00A60A1C"/>
    <w:rsid w:val="00A63D1C"/>
    <w:rsid w:val="00A6439B"/>
    <w:rsid w:val="00A656DE"/>
    <w:rsid w:val="00A72827"/>
    <w:rsid w:val="00A75CBE"/>
    <w:rsid w:val="00A8131D"/>
    <w:rsid w:val="00A8711C"/>
    <w:rsid w:val="00A960A8"/>
    <w:rsid w:val="00A97944"/>
    <w:rsid w:val="00AA3C96"/>
    <w:rsid w:val="00AA7403"/>
    <w:rsid w:val="00AA7EDF"/>
    <w:rsid w:val="00AB7FBE"/>
    <w:rsid w:val="00AC661F"/>
    <w:rsid w:val="00AC7F49"/>
    <w:rsid w:val="00AE1073"/>
    <w:rsid w:val="00AE2A5D"/>
    <w:rsid w:val="00AE7600"/>
    <w:rsid w:val="00AE7663"/>
    <w:rsid w:val="00AF0E6D"/>
    <w:rsid w:val="00B01018"/>
    <w:rsid w:val="00B015C1"/>
    <w:rsid w:val="00B05D46"/>
    <w:rsid w:val="00B06F6B"/>
    <w:rsid w:val="00B07904"/>
    <w:rsid w:val="00B12C01"/>
    <w:rsid w:val="00B13AE2"/>
    <w:rsid w:val="00B14F5B"/>
    <w:rsid w:val="00B20C1E"/>
    <w:rsid w:val="00B24967"/>
    <w:rsid w:val="00B272FC"/>
    <w:rsid w:val="00B27D32"/>
    <w:rsid w:val="00B31226"/>
    <w:rsid w:val="00B32ECB"/>
    <w:rsid w:val="00B363FA"/>
    <w:rsid w:val="00B36AA0"/>
    <w:rsid w:val="00B373E9"/>
    <w:rsid w:val="00B37CF2"/>
    <w:rsid w:val="00B44AB3"/>
    <w:rsid w:val="00B537C1"/>
    <w:rsid w:val="00B62750"/>
    <w:rsid w:val="00B63FCD"/>
    <w:rsid w:val="00B64C65"/>
    <w:rsid w:val="00B72890"/>
    <w:rsid w:val="00B76C33"/>
    <w:rsid w:val="00B76EFF"/>
    <w:rsid w:val="00B80E41"/>
    <w:rsid w:val="00B82FAE"/>
    <w:rsid w:val="00B9165B"/>
    <w:rsid w:val="00B93F27"/>
    <w:rsid w:val="00B96200"/>
    <w:rsid w:val="00BA067D"/>
    <w:rsid w:val="00BA15C7"/>
    <w:rsid w:val="00BA238C"/>
    <w:rsid w:val="00BA39B2"/>
    <w:rsid w:val="00BA3E8F"/>
    <w:rsid w:val="00BA779E"/>
    <w:rsid w:val="00BC03B1"/>
    <w:rsid w:val="00BC0638"/>
    <w:rsid w:val="00BC1FD1"/>
    <w:rsid w:val="00BC61BD"/>
    <w:rsid w:val="00BC63D4"/>
    <w:rsid w:val="00BD01D6"/>
    <w:rsid w:val="00BD0A49"/>
    <w:rsid w:val="00BD3A49"/>
    <w:rsid w:val="00BD3C82"/>
    <w:rsid w:val="00BE0E10"/>
    <w:rsid w:val="00BE18FC"/>
    <w:rsid w:val="00BE1E98"/>
    <w:rsid w:val="00BE2C7B"/>
    <w:rsid w:val="00BE3708"/>
    <w:rsid w:val="00BE3AD8"/>
    <w:rsid w:val="00BF0D87"/>
    <w:rsid w:val="00BF15B2"/>
    <w:rsid w:val="00BF3753"/>
    <w:rsid w:val="00BF5B5E"/>
    <w:rsid w:val="00C0099A"/>
    <w:rsid w:val="00C018E7"/>
    <w:rsid w:val="00C03AB0"/>
    <w:rsid w:val="00C041E7"/>
    <w:rsid w:val="00C05817"/>
    <w:rsid w:val="00C07CF0"/>
    <w:rsid w:val="00C1052A"/>
    <w:rsid w:val="00C120A8"/>
    <w:rsid w:val="00C15B8C"/>
    <w:rsid w:val="00C161C0"/>
    <w:rsid w:val="00C21187"/>
    <w:rsid w:val="00C27116"/>
    <w:rsid w:val="00C3200D"/>
    <w:rsid w:val="00C3220C"/>
    <w:rsid w:val="00C37C48"/>
    <w:rsid w:val="00C40D02"/>
    <w:rsid w:val="00C40F60"/>
    <w:rsid w:val="00C4214B"/>
    <w:rsid w:val="00C428F2"/>
    <w:rsid w:val="00C44BA7"/>
    <w:rsid w:val="00C4556E"/>
    <w:rsid w:val="00C46D73"/>
    <w:rsid w:val="00C501E1"/>
    <w:rsid w:val="00C517EB"/>
    <w:rsid w:val="00C533C0"/>
    <w:rsid w:val="00C5471E"/>
    <w:rsid w:val="00C556FC"/>
    <w:rsid w:val="00C55ADB"/>
    <w:rsid w:val="00C659DF"/>
    <w:rsid w:val="00C660E5"/>
    <w:rsid w:val="00C71C8E"/>
    <w:rsid w:val="00C72083"/>
    <w:rsid w:val="00C7433B"/>
    <w:rsid w:val="00C7786B"/>
    <w:rsid w:val="00C80C52"/>
    <w:rsid w:val="00C80D53"/>
    <w:rsid w:val="00C81742"/>
    <w:rsid w:val="00C83817"/>
    <w:rsid w:val="00C87A70"/>
    <w:rsid w:val="00C87E2D"/>
    <w:rsid w:val="00C938FD"/>
    <w:rsid w:val="00C96ACB"/>
    <w:rsid w:val="00CA172B"/>
    <w:rsid w:val="00CA4750"/>
    <w:rsid w:val="00CA479F"/>
    <w:rsid w:val="00CA687D"/>
    <w:rsid w:val="00CB61E4"/>
    <w:rsid w:val="00CB72CF"/>
    <w:rsid w:val="00CB7424"/>
    <w:rsid w:val="00CC0876"/>
    <w:rsid w:val="00CC6705"/>
    <w:rsid w:val="00CC67D3"/>
    <w:rsid w:val="00CC6C20"/>
    <w:rsid w:val="00CD5E06"/>
    <w:rsid w:val="00CE0B5D"/>
    <w:rsid w:val="00CE1CF4"/>
    <w:rsid w:val="00CE2E5F"/>
    <w:rsid w:val="00CF07D5"/>
    <w:rsid w:val="00CF120B"/>
    <w:rsid w:val="00CF27D5"/>
    <w:rsid w:val="00CF2AC9"/>
    <w:rsid w:val="00CF4017"/>
    <w:rsid w:val="00CF5279"/>
    <w:rsid w:val="00CF587F"/>
    <w:rsid w:val="00D0083A"/>
    <w:rsid w:val="00D02406"/>
    <w:rsid w:val="00D0727E"/>
    <w:rsid w:val="00D1683C"/>
    <w:rsid w:val="00D20C53"/>
    <w:rsid w:val="00D21423"/>
    <w:rsid w:val="00D219E6"/>
    <w:rsid w:val="00D22811"/>
    <w:rsid w:val="00D23C53"/>
    <w:rsid w:val="00D25080"/>
    <w:rsid w:val="00D30F3A"/>
    <w:rsid w:val="00D31860"/>
    <w:rsid w:val="00D330FC"/>
    <w:rsid w:val="00D361E9"/>
    <w:rsid w:val="00D42873"/>
    <w:rsid w:val="00D440B5"/>
    <w:rsid w:val="00D53F94"/>
    <w:rsid w:val="00D570E3"/>
    <w:rsid w:val="00D57101"/>
    <w:rsid w:val="00D57392"/>
    <w:rsid w:val="00D60156"/>
    <w:rsid w:val="00D66AE2"/>
    <w:rsid w:val="00D66D56"/>
    <w:rsid w:val="00D71806"/>
    <w:rsid w:val="00D72627"/>
    <w:rsid w:val="00D75D9C"/>
    <w:rsid w:val="00D760C5"/>
    <w:rsid w:val="00D808D8"/>
    <w:rsid w:val="00D80C4E"/>
    <w:rsid w:val="00D834F6"/>
    <w:rsid w:val="00D83E55"/>
    <w:rsid w:val="00D8635E"/>
    <w:rsid w:val="00D90326"/>
    <w:rsid w:val="00D915CC"/>
    <w:rsid w:val="00D92209"/>
    <w:rsid w:val="00D96301"/>
    <w:rsid w:val="00DA0600"/>
    <w:rsid w:val="00DA54B9"/>
    <w:rsid w:val="00DA7D70"/>
    <w:rsid w:val="00DB047A"/>
    <w:rsid w:val="00DB0AEA"/>
    <w:rsid w:val="00DB1459"/>
    <w:rsid w:val="00DB47C1"/>
    <w:rsid w:val="00DB490E"/>
    <w:rsid w:val="00DB6196"/>
    <w:rsid w:val="00DB77B1"/>
    <w:rsid w:val="00DC0D4E"/>
    <w:rsid w:val="00DC17EB"/>
    <w:rsid w:val="00DC5E65"/>
    <w:rsid w:val="00DC6669"/>
    <w:rsid w:val="00DC67EC"/>
    <w:rsid w:val="00DD0DAF"/>
    <w:rsid w:val="00DD2842"/>
    <w:rsid w:val="00DD68C3"/>
    <w:rsid w:val="00DD7C17"/>
    <w:rsid w:val="00DE0775"/>
    <w:rsid w:val="00DE0C72"/>
    <w:rsid w:val="00DE13CB"/>
    <w:rsid w:val="00DE20C2"/>
    <w:rsid w:val="00DE6CC1"/>
    <w:rsid w:val="00DE72D0"/>
    <w:rsid w:val="00DE773D"/>
    <w:rsid w:val="00DE796B"/>
    <w:rsid w:val="00DE7C3C"/>
    <w:rsid w:val="00DF0457"/>
    <w:rsid w:val="00DF176D"/>
    <w:rsid w:val="00DF3E16"/>
    <w:rsid w:val="00DF4C1E"/>
    <w:rsid w:val="00E00614"/>
    <w:rsid w:val="00E01CB6"/>
    <w:rsid w:val="00E1131C"/>
    <w:rsid w:val="00E1157E"/>
    <w:rsid w:val="00E11EF1"/>
    <w:rsid w:val="00E11FF6"/>
    <w:rsid w:val="00E20858"/>
    <w:rsid w:val="00E22697"/>
    <w:rsid w:val="00E25819"/>
    <w:rsid w:val="00E25E5D"/>
    <w:rsid w:val="00E26F17"/>
    <w:rsid w:val="00E27AE0"/>
    <w:rsid w:val="00E304CE"/>
    <w:rsid w:val="00E321F5"/>
    <w:rsid w:val="00E3397A"/>
    <w:rsid w:val="00E3397F"/>
    <w:rsid w:val="00E33B11"/>
    <w:rsid w:val="00E33F6E"/>
    <w:rsid w:val="00E35194"/>
    <w:rsid w:val="00E401E3"/>
    <w:rsid w:val="00E411F4"/>
    <w:rsid w:val="00E4152B"/>
    <w:rsid w:val="00E42808"/>
    <w:rsid w:val="00E466EF"/>
    <w:rsid w:val="00E46FD3"/>
    <w:rsid w:val="00E50AFB"/>
    <w:rsid w:val="00E50D69"/>
    <w:rsid w:val="00E52E7E"/>
    <w:rsid w:val="00E707B9"/>
    <w:rsid w:val="00E70A7A"/>
    <w:rsid w:val="00E71BC4"/>
    <w:rsid w:val="00E73F78"/>
    <w:rsid w:val="00E81887"/>
    <w:rsid w:val="00E8318A"/>
    <w:rsid w:val="00E873E4"/>
    <w:rsid w:val="00E944BD"/>
    <w:rsid w:val="00E95922"/>
    <w:rsid w:val="00EA1C0F"/>
    <w:rsid w:val="00EA247F"/>
    <w:rsid w:val="00EA5003"/>
    <w:rsid w:val="00EB24BE"/>
    <w:rsid w:val="00EB5338"/>
    <w:rsid w:val="00EB6924"/>
    <w:rsid w:val="00EC032A"/>
    <w:rsid w:val="00EC0653"/>
    <w:rsid w:val="00EC0CB9"/>
    <w:rsid w:val="00EC0D38"/>
    <w:rsid w:val="00EC1150"/>
    <w:rsid w:val="00EC1548"/>
    <w:rsid w:val="00EC1890"/>
    <w:rsid w:val="00EC1A53"/>
    <w:rsid w:val="00EC4C40"/>
    <w:rsid w:val="00ED12B2"/>
    <w:rsid w:val="00ED319D"/>
    <w:rsid w:val="00ED3FCC"/>
    <w:rsid w:val="00ED6624"/>
    <w:rsid w:val="00ED69F7"/>
    <w:rsid w:val="00EE310B"/>
    <w:rsid w:val="00EE4242"/>
    <w:rsid w:val="00EE46AA"/>
    <w:rsid w:val="00EE4ED4"/>
    <w:rsid w:val="00EE5DCE"/>
    <w:rsid w:val="00EF19FF"/>
    <w:rsid w:val="00EF2630"/>
    <w:rsid w:val="00EF63F0"/>
    <w:rsid w:val="00EF7670"/>
    <w:rsid w:val="00F011DC"/>
    <w:rsid w:val="00F02DA3"/>
    <w:rsid w:val="00F0558A"/>
    <w:rsid w:val="00F06CE3"/>
    <w:rsid w:val="00F12309"/>
    <w:rsid w:val="00F15F08"/>
    <w:rsid w:val="00F20D4A"/>
    <w:rsid w:val="00F23F96"/>
    <w:rsid w:val="00F24DCA"/>
    <w:rsid w:val="00F24E3C"/>
    <w:rsid w:val="00F258EE"/>
    <w:rsid w:val="00F27EA0"/>
    <w:rsid w:val="00F304E1"/>
    <w:rsid w:val="00F31D58"/>
    <w:rsid w:val="00F31DC1"/>
    <w:rsid w:val="00F31DED"/>
    <w:rsid w:val="00F32C83"/>
    <w:rsid w:val="00F3336D"/>
    <w:rsid w:val="00F3465B"/>
    <w:rsid w:val="00F3641E"/>
    <w:rsid w:val="00F40681"/>
    <w:rsid w:val="00F414D6"/>
    <w:rsid w:val="00F45402"/>
    <w:rsid w:val="00F46FA3"/>
    <w:rsid w:val="00F5158B"/>
    <w:rsid w:val="00F51EA5"/>
    <w:rsid w:val="00F5365E"/>
    <w:rsid w:val="00F53B6D"/>
    <w:rsid w:val="00F54F04"/>
    <w:rsid w:val="00F56FDD"/>
    <w:rsid w:val="00F57A43"/>
    <w:rsid w:val="00F60EDC"/>
    <w:rsid w:val="00F61845"/>
    <w:rsid w:val="00F62188"/>
    <w:rsid w:val="00F65290"/>
    <w:rsid w:val="00F65931"/>
    <w:rsid w:val="00F66422"/>
    <w:rsid w:val="00F67FAD"/>
    <w:rsid w:val="00F733C1"/>
    <w:rsid w:val="00F74FF8"/>
    <w:rsid w:val="00F75C45"/>
    <w:rsid w:val="00F84705"/>
    <w:rsid w:val="00F84885"/>
    <w:rsid w:val="00F84898"/>
    <w:rsid w:val="00F84D19"/>
    <w:rsid w:val="00F8612B"/>
    <w:rsid w:val="00F865DD"/>
    <w:rsid w:val="00F87537"/>
    <w:rsid w:val="00F9139A"/>
    <w:rsid w:val="00F92D50"/>
    <w:rsid w:val="00F96212"/>
    <w:rsid w:val="00FA18A7"/>
    <w:rsid w:val="00FA3277"/>
    <w:rsid w:val="00FA5896"/>
    <w:rsid w:val="00FA7643"/>
    <w:rsid w:val="00FB038A"/>
    <w:rsid w:val="00FB08E7"/>
    <w:rsid w:val="00FC1507"/>
    <w:rsid w:val="00FC4073"/>
    <w:rsid w:val="00FC56F6"/>
    <w:rsid w:val="00FC73F4"/>
    <w:rsid w:val="00FD0102"/>
    <w:rsid w:val="00FD269D"/>
    <w:rsid w:val="00FD44DF"/>
    <w:rsid w:val="00FD7254"/>
    <w:rsid w:val="00FE1AE6"/>
    <w:rsid w:val="00FE2270"/>
    <w:rsid w:val="00FE3779"/>
    <w:rsid w:val="00FE6051"/>
    <w:rsid w:val="00FF0151"/>
    <w:rsid w:val="00FF0DAB"/>
    <w:rsid w:val="00FF1FCD"/>
    <w:rsid w:val="00FF3CCA"/>
    <w:rsid w:val="00FF7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0F8F97F"/>
  <w15:docId w15:val="{58579858-0989-47E7-95FC-4A3E5A2A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8E4"/>
    <w:pPr>
      <w:spacing w:after="120"/>
      <w:ind w:firstLine="709"/>
      <w:jc w:val="both"/>
    </w:pPr>
    <w:rPr>
      <w:sz w:val="24"/>
      <w:lang w:eastAsia="en-US"/>
    </w:rPr>
  </w:style>
  <w:style w:type="paragraph" w:styleId="Heading1">
    <w:name w:val="heading 1"/>
    <w:basedOn w:val="Normal"/>
    <w:next w:val="Normal"/>
    <w:link w:val="Heading1Char"/>
    <w:uiPriority w:val="9"/>
    <w:rsid w:val="001B73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B73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B73E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E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B73EC"/>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B73EC"/>
    <w:rPr>
      <w:rFonts w:asciiTheme="majorHAnsi" w:eastAsiaTheme="majorEastAsia" w:hAnsiTheme="majorHAnsi" w:cstheme="majorBidi"/>
      <w:color w:val="243F60" w:themeColor="accent1" w:themeShade="7F"/>
      <w:sz w:val="24"/>
      <w:szCs w:val="24"/>
      <w:lang w:eastAsia="en-US"/>
    </w:rPr>
  </w:style>
  <w:style w:type="paragraph" w:styleId="Footer">
    <w:name w:val="footer"/>
    <w:basedOn w:val="Normal"/>
    <w:rsid w:val="00977512"/>
    <w:pPr>
      <w:tabs>
        <w:tab w:val="center" w:pos="4153"/>
        <w:tab w:val="right" w:pos="8306"/>
      </w:tabs>
      <w:spacing w:after="0"/>
      <w:ind w:firstLine="0"/>
    </w:pPr>
    <w:rPr>
      <w:sz w:val="20"/>
    </w:rPr>
  </w:style>
  <w:style w:type="paragraph" w:customStyle="1" w:styleId="H4">
    <w:name w:val="H4"/>
    <w:rsid w:val="005068E4"/>
    <w:pPr>
      <w:spacing w:after="120"/>
      <w:jc w:val="center"/>
      <w:outlineLvl w:val="3"/>
    </w:pPr>
    <w:rPr>
      <w:b/>
      <w:sz w:val="28"/>
      <w:lang w:eastAsia="en-US"/>
    </w:rPr>
  </w:style>
  <w:style w:type="paragraph" w:customStyle="1" w:styleId="H3">
    <w:name w:val="H3"/>
    <w:rsid w:val="005068E4"/>
    <w:pPr>
      <w:spacing w:after="120"/>
      <w:jc w:val="center"/>
      <w:outlineLvl w:val="2"/>
    </w:pPr>
    <w:rPr>
      <w:b/>
      <w:sz w:val="32"/>
      <w:lang w:eastAsia="en-US"/>
    </w:rPr>
  </w:style>
  <w:style w:type="paragraph" w:customStyle="1" w:styleId="H2">
    <w:name w:val="H2"/>
    <w:rsid w:val="005068E4"/>
    <w:pPr>
      <w:spacing w:after="120"/>
      <w:jc w:val="center"/>
      <w:outlineLvl w:val="1"/>
    </w:pPr>
    <w:rPr>
      <w:b/>
      <w:sz w:val="36"/>
      <w:lang w:eastAsia="en-US"/>
    </w:rPr>
  </w:style>
  <w:style w:type="paragraph" w:customStyle="1" w:styleId="H1">
    <w:name w:val="H1"/>
    <w:rsid w:val="005068E4"/>
    <w:pPr>
      <w:spacing w:after="120"/>
      <w:jc w:val="center"/>
      <w:outlineLvl w:val="0"/>
    </w:pPr>
    <w:rPr>
      <w:b/>
      <w:sz w:val="44"/>
      <w:lang w:eastAsia="en-US"/>
    </w:rPr>
  </w:style>
  <w:style w:type="paragraph" w:customStyle="1" w:styleId="T">
    <w:name w:val="T"/>
    <w:basedOn w:val="Normal"/>
    <w:uiPriority w:val="99"/>
    <w:rsid w:val="005068E4"/>
    <w:pPr>
      <w:keepNext/>
      <w:ind w:firstLine="0"/>
      <w:jc w:val="center"/>
    </w:pPr>
    <w:rPr>
      <w:b/>
      <w:i/>
    </w:rPr>
  </w:style>
  <w:style w:type="paragraph" w:customStyle="1" w:styleId="Z">
    <w:name w:val="Z"/>
    <w:basedOn w:val="T"/>
    <w:uiPriority w:val="99"/>
    <w:rsid w:val="005068E4"/>
    <w:pPr>
      <w:keepNext w:val="0"/>
    </w:pPr>
  </w:style>
  <w:style w:type="character" w:styleId="PageNumber">
    <w:name w:val="page number"/>
    <w:basedOn w:val="DefaultParagraphFont"/>
    <w:rsid w:val="00977512"/>
  </w:style>
  <w:style w:type="paragraph" w:styleId="Header">
    <w:name w:val="header"/>
    <w:basedOn w:val="Normal"/>
    <w:link w:val="HeaderChar"/>
    <w:uiPriority w:val="99"/>
    <w:rsid w:val="00977512"/>
    <w:pPr>
      <w:tabs>
        <w:tab w:val="center" w:pos="4153"/>
        <w:tab w:val="right" w:pos="8306"/>
      </w:tabs>
      <w:spacing w:after="0"/>
      <w:ind w:firstLine="0"/>
    </w:pPr>
  </w:style>
  <w:style w:type="character" w:customStyle="1" w:styleId="HeaderChar">
    <w:name w:val="Header Char"/>
    <w:basedOn w:val="DefaultParagraphFont"/>
    <w:link w:val="Header"/>
    <w:uiPriority w:val="99"/>
    <w:rsid w:val="009F48B2"/>
    <w:rPr>
      <w:sz w:val="24"/>
      <w:lang w:eastAsia="en-US"/>
    </w:rPr>
  </w:style>
  <w:style w:type="paragraph" w:styleId="FootnoteText">
    <w:name w:val="footnote text"/>
    <w:basedOn w:val="Normal"/>
    <w:link w:val="FootnoteTextChar"/>
    <w:semiHidden/>
    <w:rsid w:val="00977512"/>
    <w:pPr>
      <w:spacing w:after="0"/>
      <w:ind w:firstLine="0"/>
      <w:jc w:val="left"/>
    </w:pPr>
    <w:rPr>
      <w:sz w:val="20"/>
    </w:rPr>
  </w:style>
  <w:style w:type="character" w:customStyle="1" w:styleId="FootnoteTextChar">
    <w:name w:val="Footnote Text Char"/>
    <w:basedOn w:val="DefaultParagraphFont"/>
    <w:link w:val="FootnoteText"/>
    <w:semiHidden/>
    <w:rsid w:val="00DD0DAF"/>
    <w:rPr>
      <w:lang w:eastAsia="en-US"/>
    </w:rPr>
  </w:style>
  <w:style w:type="paragraph" w:customStyle="1" w:styleId="tabteksts">
    <w:name w:val="tab_teksts"/>
    <w:basedOn w:val="Normal"/>
    <w:qFormat/>
    <w:rsid w:val="005068E4"/>
    <w:pPr>
      <w:spacing w:after="0"/>
      <w:ind w:firstLine="0"/>
      <w:jc w:val="left"/>
    </w:pPr>
    <w:rPr>
      <w:sz w:val="18"/>
    </w:rPr>
  </w:style>
  <w:style w:type="paragraph" w:customStyle="1" w:styleId="BalloonText1">
    <w:name w:val="Balloon Text1"/>
    <w:basedOn w:val="Normal"/>
    <w:semiHidden/>
    <w:rsid w:val="00977512"/>
    <w:rPr>
      <w:rFonts w:ascii="Tahoma" w:hAnsi="Tahoma" w:cs="Tahoma"/>
      <w:sz w:val="16"/>
      <w:szCs w:val="16"/>
    </w:rPr>
  </w:style>
  <w:style w:type="paragraph" w:styleId="BalloonText">
    <w:name w:val="Balloon Text"/>
    <w:basedOn w:val="Normal"/>
    <w:semiHidden/>
    <w:rsid w:val="00977512"/>
    <w:rPr>
      <w:rFonts w:ascii="Tahoma" w:hAnsi="Tahoma" w:cs="Tahoma"/>
      <w:sz w:val="16"/>
      <w:szCs w:val="16"/>
    </w:rPr>
  </w:style>
  <w:style w:type="table" w:styleId="TableGrid">
    <w:name w:val="Table Grid"/>
    <w:basedOn w:val="TableNormal"/>
    <w:uiPriority w:val="59"/>
    <w:rsid w:val="00F24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
    <w:basedOn w:val="DefaultParagraphFont"/>
    <w:uiPriority w:val="99"/>
    <w:unhideWhenUsed/>
    <w:rsid w:val="00881947"/>
    <w:rPr>
      <w:vertAlign w:val="superscript"/>
    </w:rPr>
  </w:style>
  <w:style w:type="paragraph" w:styleId="EndnoteText">
    <w:name w:val="endnote text"/>
    <w:basedOn w:val="Normal"/>
    <w:link w:val="EndnoteTextChar"/>
    <w:uiPriority w:val="99"/>
    <w:semiHidden/>
    <w:unhideWhenUsed/>
    <w:rsid w:val="00131D32"/>
    <w:pPr>
      <w:spacing w:after="0"/>
    </w:pPr>
    <w:rPr>
      <w:sz w:val="20"/>
    </w:rPr>
  </w:style>
  <w:style w:type="character" w:customStyle="1" w:styleId="EndnoteTextChar">
    <w:name w:val="Endnote Text Char"/>
    <w:basedOn w:val="DefaultParagraphFont"/>
    <w:link w:val="EndnoteText"/>
    <w:uiPriority w:val="99"/>
    <w:semiHidden/>
    <w:rsid w:val="00131D32"/>
    <w:rPr>
      <w:lang w:eastAsia="en-US"/>
    </w:rPr>
  </w:style>
  <w:style w:type="character" w:styleId="EndnoteReference">
    <w:name w:val="endnote reference"/>
    <w:basedOn w:val="DefaultParagraphFont"/>
    <w:uiPriority w:val="99"/>
    <w:semiHidden/>
    <w:unhideWhenUsed/>
    <w:rsid w:val="00131D32"/>
    <w:rPr>
      <w:vertAlign w:val="superscript"/>
    </w:rPr>
  </w:style>
  <w:style w:type="paragraph" w:styleId="CommentText">
    <w:name w:val="annotation text"/>
    <w:basedOn w:val="Normal"/>
    <w:link w:val="CommentTextChar"/>
    <w:uiPriority w:val="99"/>
    <w:unhideWhenUsed/>
    <w:rsid w:val="009A7BE8"/>
    <w:rPr>
      <w:sz w:val="20"/>
    </w:rPr>
  </w:style>
  <w:style w:type="character" w:customStyle="1" w:styleId="CommentTextChar">
    <w:name w:val="Comment Text Char"/>
    <w:basedOn w:val="DefaultParagraphFont"/>
    <w:link w:val="CommentText"/>
    <w:uiPriority w:val="99"/>
    <w:rsid w:val="009A7BE8"/>
    <w:rPr>
      <w:lang w:eastAsia="en-US"/>
    </w:rPr>
  </w:style>
  <w:style w:type="paragraph" w:customStyle="1" w:styleId="funkcijas">
    <w:name w:val="funkcijas"/>
    <w:basedOn w:val="Normal"/>
    <w:qFormat/>
    <w:rsid w:val="005068E4"/>
    <w:pPr>
      <w:ind w:firstLine="0"/>
    </w:pPr>
    <w:rPr>
      <w:bCs/>
      <w:u w:val="single"/>
    </w:rPr>
  </w:style>
  <w:style w:type="paragraph" w:customStyle="1" w:styleId="Funkcijasbold">
    <w:name w:val="Funkcijas_bold"/>
    <w:basedOn w:val="Normal"/>
    <w:qFormat/>
    <w:rsid w:val="005068E4"/>
    <w:pPr>
      <w:ind w:firstLine="0"/>
    </w:pPr>
    <w:rPr>
      <w:b/>
      <w:bCs/>
    </w:rPr>
  </w:style>
  <w:style w:type="paragraph" w:customStyle="1" w:styleId="izdevumi">
    <w:name w:val="izdevumi"/>
    <w:basedOn w:val="Normal"/>
    <w:qFormat/>
    <w:rsid w:val="005068E4"/>
    <w:pPr>
      <w:widowControl w:val="0"/>
      <w:spacing w:before="120"/>
      <w:ind w:left="567" w:firstLine="0"/>
    </w:pPr>
    <w:rPr>
      <w:i/>
    </w:rPr>
  </w:style>
  <w:style w:type="paragraph" w:customStyle="1" w:styleId="paraksti">
    <w:name w:val="paraksti"/>
    <w:basedOn w:val="Normal"/>
    <w:qFormat/>
    <w:rsid w:val="005068E4"/>
    <w:pPr>
      <w:ind w:firstLine="0"/>
    </w:pPr>
    <w:rPr>
      <w:i/>
      <w:sz w:val="18"/>
    </w:rPr>
  </w:style>
  <w:style w:type="paragraph" w:customStyle="1" w:styleId="programmas">
    <w:name w:val="programmas"/>
    <w:basedOn w:val="Normal"/>
    <w:qFormat/>
    <w:rsid w:val="005068E4"/>
    <w:pPr>
      <w:widowControl w:val="0"/>
      <w:spacing w:before="240"/>
      <w:ind w:firstLine="0"/>
      <w:jc w:val="center"/>
    </w:pPr>
    <w:rPr>
      <w:b/>
      <w:lang w:val="en-US"/>
    </w:rPr>
  </w:style>
  <w:style w:type="paragraph" w:customStyle="1" w:styleId="samazpaliel">
    <w:name w:val="samaz_paliel"/>
    <w:basedOn w:val="Normal"/>
    <w:qFormat/>
    <w:rsid w:val="005068E4"/>
    <w:pPr>
      <w:widowControl w:val="0"/>
      <w:ind w:firstLine="0"/>
    </w:pPr>
    <w:rPr>
      <w:b/>
      <w:u w:val="single"/>
    </w:rPr>
  </w:style>
  <w:style w:type="paragraph" w:customStyle="1" w:styleId="Tabuluvirsraksti">
    <w:name w:val="Tabulu_virsraksti"/>
    <w:basedOn w:val="Normal"/>
    <w:qFormat/>
    <w:rsid w:val="005068E4"/>
    <w:pPr>
      <w:ind w:firstLine="0"/>
      <w:jc w:val="center"/>
    </w:pPr>
  </w:style>
  <w:style w:type="paragraph" w:styleId="ListParagraph">
    <w:name w:val="List Paragraph"/>
    <w:aliases w:val="2,H&amp;P List Paragraph,Akapit z listą BS,Numbered Para 1,Dot pt,No Spacing1,List Paragraph Char Char Char,Indicator Text,List Paragraph1,Bullet 1,Bullet Points,MAIN CONTENT,IFCL - List Paragraph,List Paragraph12,OBC Bullet,F5 List Paragraph"/>
    <w:basedOn w:val="Normal"/>
    <w:link w:val="ListParagraphChar"/>
    <w:uiPriority w:val="34"/>
    <w:qFormat/>
    <w:rsid w:val="001B73EC"/>
    <w:pPr>
      <w:ind w:left="720"/>
      <w:contextualSpacing/>
    </w:pPr>
  </w:style>
  <w:style w:type="character" w:customStyle="1" w:styleId="ListParagraphChar">
    <w:name w:val="List Paragraph Char"/>
    <w:aliases w:val="2 Char,H&amp;P List Paragraph Char,Akapit z listą BS Char,Numbered Para 1 Char,Dot pt Char,No Spacing1 Char,List Paragraph Char Char Char Char,Indicator Text Char,List Paragraph1 Char,Bullet 1 Char,Bullet Points Char,MAIN CONTENT Char"/>
    <w:link w:val="ListParagraph"/>
    <w:uiPriority w:val="34"/>
    <w:qFormat/>
    <w:locked/>
    <w:rsid w:val="00D20C53"/>
    <w:rPr>
      <w:sz w:val="24"/>
      <w:lang w:eastAsia="en-US"/>
    </w:rPr>
  </w:style>
  <w:style w:type="character" w:styleId="Hyperlink">
    <w:name w:val="Hyperlink"/>
    <w:basedOn w:val="DefaultParagraphFont"/>
    <w:uiPriority w:val="99"/>
    <w:unhideWhenUsed/>
    <w:rsid w:val="00046E7F"/>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46E7F"/>
    <w:rPr>
      <w:b/>
      <w:bCs/>
    </w:rPr>
  </w:style>
  <w:style w:type="character" w:customStyle="1" w:styleId="CommentSubjectChar">
    <w:name w:val="Comment Subject Char"/>
    <w:basedOn w:val="CommentTextChar"/>
    <w:link w:val="CommentSubject"/>
    <w:uiPriority w:val="99"/>
    <w:semiHidden/>
    <w:rsid w:val="00046E7F"/>
    <w:rPr>
      <w:b/>
      <w:bCs/>
      <w:lang w:eastAsia="en-US"/>
    </w:rPr>
  </w:style>
  <w:style w:type="paragraph" w:styleId="NormalWeb">
    <w:name w:val="Normal (Web)"/>
    <w:basedOn w:val="Normal"/>
    <w:uiPriority w:val="99"/>
    <w:semiHidden/>
    <w:unhideWhenUsed/>
    <w:rsid w:val="001952BA"/>
    <w:pPr>
      <w:spacing w:before="100" w:beforeAutospacing="1" w:after="100" w:afterAutospacing="1"/>
      <w:ind w:firstLine="0"/>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556">
      <w:bodyDiv w:val="1"/>
      <w:marLeft w:val="0"/>
      <w:marRight w:val="0"/>
      <w:marTop w:val="0"/>
      <w:marBottom w:val="0"/>
      <w:divBdr>
        <w:top w:val="none" w:sz="0" w:space="0" w:color="auto"/>
        <w:left w:val="none" w:sz="0" w:space="0" w:color="auto"/>
        <w:bottom w:val="none" w:sz="0" w:space="0" w:color="auto"/>
        <w:right w:val="none" w:sz="0" w:space="0" w:color="auto"/>
      </w:divBdr>
    </w:div>
    <w:div w:id="135337847">
      <w:bodyDiv w:val="1"/>
      <w:marLeft w:val="0"/>
      <w:marRight w:val="0"/>
      <w:marTop w:val="0"/>
      <w:marBottom w:val="0"/>
      <w:divBdr>
        <w:top w:val="none" w:sz="0" w:space="0" w:color="auto"/>
        <w:left w:val="none" w:sz="0" w:space="0" w:color="auto"/>
        <w:bottom w:val="none" w:sz="0" w:space="0" w:color="auto"/>
        <w:right w:val="none" w:sz="0" w:space="0" w:color="auto"/>
      </w:divBdr>
    </w:div>
    <w:div w:id="138884154">
      <w:bodyDiv w:val="1"/>
      <w:marLeft w:val="0"/>
      <w:marRight w:val="0"/>
      <w:marTop w:val="0"/>
      <w:marBottom w:val="0"/>
      <w:divBdr>
        <w:top w:val="none" w:sz="0" w:space="0" w:color="auto"/>
        <w:left w:val="none" w:sz="0" w:space="0" w:color="auto"/>
        <w:bottom w:val="none" w:sz="0" w:space="0" w:color="auto"/>
        <w:right w:val="none" w:sz="0" w:space="0" w:color="auto"/>
      </w:divBdr>
    </w:div>
    <w:div w:id="262883669">
      <w:bodyDiv w:val="1"/>
      <w:marLeft w:val="0"/>
      <w:marRight w:val="0"/>
      <w:marTop w:val="0"/>
      <w:marBottom w:val="0"/>
      <w:divBdr>
        <w:top w:val="none" w:sz="0" w:space="0" w:color="auto"/>
        <w:left w:val="none" w:sz="0" w:space="0" w:color="auto"/>
        <w:bottom w:val="none" w:sz="0" w:space="0" w:color="auto"/>
        <w:right w:val="none" w:sz="0" w:space="0" w:color="auto"/>
      </w:divBdr>
    </w:div>
    <w:div w:id="351037250">
      <w:bodyDiv w:val="1"/>
      <w:marLeft w:val="0"/>
      <w:marRight w:val="0"/>
      <w:marTop w:val="0"/>
      <w:marBottom w:val="0"/>
      <w:divBdr>
        <w:top w:val="none" w:sz="0" w:space="0" w:color="auto"/>
        <w:left w:val="none" w:sz="0" w:space="0" w:color="auto"/>
        <w:bottom w:val="none" w:sz="0" w:space="0" w:color="auto"/>
        <w:right w:val="none" w:sz="0" w:space="0" w:color="auto"/>
      </w:divBdr>
    </w:div>
    <w:div w:id="405107043">
      <w:bodyDiv w:val="1"/>
      <w:marLeft w:val="0"/>
      <w:marRight w:val="0"/>
      <w:marTop w:val="0"/>
      <w:marBottom w:val="0"/>
      <w:divBdr>
        <w:top w:val="none" w:sz="0" w:space="0" w:color="auto"/>
        <w:left w:val="none" w:sz="0" w:space="0" w:color="auto"/>
        <w:bottom w:val="none" w:sz="0" w:space="0" w:color="auto"/>
        <w:right w:val="none" w:sz="0" w:space="0" w:color="auto"/>
      </w:divBdr>
    </w:div>
    <w:div w:id="420377936">
      <w:bodyDiv w:val="1"/>
      <w:marLeft w:val="0"/>
      <w:marRight w:val="0"/>
      <w:marTop w:val="0"/>
      <w:marBottom w:val="0"/>
      <w:divBdr>
        <w:top w:val="none" w:sz="0" w:space="0" w:color="auto"/>
        <w:left w:val="none" w:sz="0" w:space="0" w:color="auto"/>
        <w:bottom w:val="none" w:sz="0" w:space="0" w:color="auto"/>
        <w:right w:val="none" w:sz="0" w:space="0" w:color="auto"/>
      </w:divBdr>
    </w:div>
    <w:div w:id="430903372">
      <w:bodyDiv w:val="1"/>
      <w:marLeft w:val="0"/>
      <w:marRight w:val="0"/>
      <w:marTop w:val="0"/>
      <w:marBottom w:val="0"/>
      <w:divBdr>
        <w:top w:val="none" w:sz="0" w:space="0" w:color="auto"/>
        <w:left w:val="none" w:sz="0" w:space="0" w:color="auto"/>
        <w:bottom w:val="none" w:sz="0" w:space="0" w:color="auto"/>
        <w:right w:val="none" w:sz="0" w:space="0" w:color="auto"/>
      </w:divBdr>
    </w:div>
    <w:div w:id="475336791">
      <w:bodyDiv w:val="1"/>
      <w:marLeft w:val="0"/>
      <w:marRight w:val="0"/>
      <w:marTop w:val="0"/>
      <w:marBottom w:val="0"/>
      <w:divBdr>
        <w:top w:val="none" w:sz="0" w:space="0" w:color="auto"/>
        <w:left w:val="none" w:sz="0" w:space="0" w:color="auto"/>
        <w:bottom w:val="none" w:sz="0" w:space="0" w:color="auto"/>
        <w:right w:val="none" w:sz="0" w:space="0" w:color="auto"/>
      </w:divBdr>
    </w:div>
    <w:div w:id="505167166">
      <w:bodyDiv w:val="1"/>
      <w:marLeft w:val="0"/>
      <w:marRight w:val="0"/>
      <w:marTop w:val="0"/>
      <w:marBottom w:val="0"/>
      <w:divBdr>
        <w:top w:val="none" w:sz="0" w:space="0" w:color="auto"/>
        <w:left w:val="none" w:sz="0" w:space="0" w:color="auto"/>
        <w:bottom w:val="none" w:sz="0" w:space="0" w:color="auto"/>
        <w:right w:val="none" w:sz="0" w:space="0" w:color="auto"/>
      </w:divBdr>
    </w:div>
    <w:div w:id="533232111">
      <w:bodyDiv w:val="1"/>
      <w:marLeft w:val="0"/>
      <w:marRight w:val="0"/>
      <w:marTop w:val="0"/>
      <w:marBottom w:val="0"/>
      <w:divBdr>
        <w:top w:val="none" w:sz="0" w:space="0" w:color="auto"/>
        <w:left w:val="none" w:sz="0" w:space="0" w:color="auto"/>
        <w:bottom w:val="none" w:sz="0" w:space="0" w:color="auto"/>
        <w:right w:val="none" w:sz="0" w:space="0" w:color="auto"/>
      </w:divBdr>
    </w:div>
    <w:div w:id="552162225">
      <w:bodyDiv w:val="1"/>
      <w:marLeft w:val="0"/>
      <w:marRight w:val="0"/>
      <w:marTop w:val="0"/>
      <w:marBottom w:val="0"/>
      <w:divBdr>
        <w:top w:val="none" w:sz="0" w:space="0" w:color="auto"/>
        <w:left w:val="none" w:sz="0" w:space="0" w:color="auto"/>
        <w:bottom w:val="none" w:sz="0" w:space="0" w:color="auto"/>
        <w:right w:val="none" w:sz="0" w:space="0" w:color="auto"/>
      </w:divBdr>
    </w:div>
    <w:div w:id="767309626">
      <w:bodyDiv w:val="1"/>
      <w:marLeft w:val="0"/>
      <w:marRight w:val="0"/>
      <w:marTop w:val="0"/>
      <w:marBottom w:val="0"/>
      <w:divBdr>
        <w:top w:val="none" w:sz="0" w:space="0" w:color="auto"/>
        <w:left w:val="none" w:sz="0" w:space="0" w:color="auto"/>
        <w:bottom w:val="none" w:sz="0" w:space="0" w:color="auto"/>
        <w:right w:val="none" w:sz="0" w:space="0" w:color="auto"/>
      </w:divBdr>
    </w:div>
    <w:div w:id="780418143">
      <w:bodyDiv w:val="1"/>
      <w:marLeft w:val="0"/>
      <w:marRight w:val="0"/>
      <w:marTop w:val="0"/>
      <w:marBottom w:val="0"/>
      <w:divBdr>
        <w:top w:val="none" w:sz="0" w:space="0" w:color="auto"/>
        <w:left w:val="none" w:sz="0" w:space="0" w:color="auto"/>
        <w:bottom w:val="none" w:sz="0" w:space="0" w:color="auto"/>
        <w:right w:val="none" w:sz="0" w:space="0" w:color="auto"/>
      </w:divBdr>
    </w:div>
    <w:div w:id="811293612">
      <w:bodyDiv w:val="1"/>
      <w:marLeft w:val="0"/>
      <w:marRight w:val="0"/>
      <w:marTop w:val="0"/>
      <w:marBottom w:val="0"/>
      <w:divBdr>
        <w:top w:val="none" w:sz="0" w:space="0" w:color="auto"/>
        <w:left w:val="none" w:sz="0" w:space="0" w:color="auto"/>
        <w:bottom w:val="none" w:sz="0" w:space="0" w:color="auto"/>
        <w:right w:val="none" w:sz="0" w:space="0" w:color="auto"/>
      </w:divBdr>
    </w:div>
    <w:div w:id="910968073">
      <w:bodyDiv w:val="1"/>
      <w:marLeft w:val="0"/>
      <w:marRight w:val="0"/>
      <w:marTop w:val="0"/>
      <w:marBottom w:val="0"/>
      <w:divBdr>
        <w:top w:val="none" w:sz="0" w:space="0" w:color="auto"/>
        <w:left w:val="none" w:sz="0" w:space="0" w:color="auto"/>
        <w:bottom w:val="none" w:sz="0" w:space="0" w:color="auto"/>
        <w:right w:val="none" w:sz="0" w:space="0" w:color="auto"/>
      </w:divBdr>
    </w:div>
    <w:div w:id="912086294">
      <w:bodyDiv w:val="1"/>
      <w:marLeft w:val="0"/>
      <w:marRight w:val="0"/>
      <w:marTop w:val="0"/>
      <w:marBottom w:val="0"/>
      <w:divBdr>
        <w:top w:val="none" w:sz="0" w:space="0" w:color="auto"/>
        <w:left w:val="none" w:sz="0" w:space="0" w:color="auto"/>
        <w:bottom w:val="none" w:sz="0" w:space="0" w:color="auto"/>
        <w:right w:val="none" w:sz="0" w:space="0" w:color="auto"/>
      </w:divBdr>
    </w:div>
    <w:div w:id="973484375">
      <w:bodyDiv w:val="1"/>
      <w:marLeft w:val="0"/>
      <w:marRight w:val="0"/>
      <w:marTop w:val="0"/>
      <w:marBottom w:val="0"/>
      <w:divBdr>
        <w:top w:val="none" w:sz="0" w:space="0" w:color="auto"/>
        <w:left w:val="none" w:sz="0" w:space="0" w:color="auto"/>
        <w:bottom w:val="none" w:sz="0" w:space="0" w:color="auto"/>
        <w:right w:val="none" w:sz="0" w:space="0" w:color="auto"/>
      </w:divBdr>
    </w:div>
    <w:div w:id="977295454">
      <w:bodyDiv w:val="1"/>
      <w:marLeft w:val="0"/>
      <w:marRight w:val="0"/>
      <w:marTop w:val="0"/>
      <w:marBottom w:val="0"/>
      <w:divBdr>
        <w:top w:val="none" w:sz="0" w:space="0" w:color="auto"/>
        <w:left w:val="none" w:sz="0" w:space="0" w:color="auto"/>
        <w:bottom w:val="none" w:sz="0" w:space="0" w:color="auto"/>
        <w:right w:val="none" w:sz="0" w:space="0" w:color="auto"/>
      </w:divBdr>
    </w:div>
    <w:div w:id="980309391">
      <w:bodyDiv w:val="1"/>
      <w:marLeft w:val="0"/>
      <w:marRight w:val="0"/>
      <w:marTop w:val="0"/>
      <w:marBottom w:val="0"/>
      <w:divBdr>
        <w:top w:val="none" w:sz="0" w:space="0" w:color="auto"/>
        <w:left w:val="none" w:sz="0" w:space="0" w:color="auto"/>
        <w:bottom w:val="none" w:sz="0" w:space="0" w:color="auto"/>
        <w:right w:val="none" w:sz="0" w:space="0" w:color="auto"/>
      </w:divBdr>
    </w:div>
    <w:div w:id="988830195">
      <w:bodyDiv w:val="1"/>
      <w:marLeft w:val="0"/>
      <w:marRight w:val="0"/>
      <w:marTop w:val="0"/>
      <w:marBottom w:val="0"/>
      <w:divBdr>
        <w:top w:val="none" w:sz="0" w:space="0" w:color="auto"/>
        <w:left w:val="none" w:sz="0" w:space="0" w:color="auto"/>
        <w:bottom w:val="none" w:sz="0" w:space="0" w:color="auto"/>
        <w:right w:val="none" w:sz="0" w:space="0" w:color="auto"/>
      </w:divBdr>
    </w:div>
    <w:div w:id="997153122">
      <w:bodyDiv w:val="1"/>
      <w:marLeft w:val="0"/>
      <w:marRight w:val="0"/>
      <w:marTop w:val="0"/>
      <w:marBottom w:val="0"/>
      <w:divBdr>
        <w:top w:val="none" w:sz="0" w:space="0" w:color="auto"/>
        <w:left w:val="none" w:sz="0" w:space="0" w:color="auto"/>
        <w:bottom w:val="none" w:sz="0" w:space="0" w:color="auto"/>
        <w:right w:val="none" w:sz="0" w:space="0" w:color="auto"/>
      </w:divBdr>
    </w:div>
    <w:div w:id="1006982210">
      <w:bodyDiv w:val="1"/>
      <w:marLeft w:val="0"/>
      <w:marRight w:val="0"/>
      <w:marTop w:val="0"/>
      <w:marBottom w:val="0"/>
      <w:divBdr>
        <w:top w:val="none" w:sz="0" w:space="0" w:color="auto"/>
        <w:left w:val="none" w:sz="0" w:space="0" w:color="auto"/>
        <w:bottom w:val="none" w:sz="0" w:space="0" w:color="auto"/>
        <w:right w:val="none" w:sz="0" w:space="0" w:color="auto"/>
      </w:divBdr>
    </w:div>
    <w:div w:id="1011644879">
      <w:bodyDiv w:val="1"/>
      <w:marLeft w:val="0"/>
      <w:marRight w:val="0"/>
      <w:marTop w:val="0"/>
      <w:marBottom w:val="0"/>
      <w:divBdr>
        <w:top w:val="none" w:sz="0" w:space="0" w:color="auto"/>
        <w:left w:val="none" w:sz="0" w:space="0" w:color="auto"/>
        <w:bottom w:val="none" w:sz="0" w:space="0" w:color="auto"/>
        <w:right w:val="none" w:sz="0" w:space="0" w:color="auto"/>
      </w:divBdr>
    </w:div>
    <w:div w:id="1078674701">
      <w:bodyDiv w:val="1"/>
      <w:marLeft w:val="0"/>
      <w:marRight w:val="0"/>
      <w:marTop w:val="0"/>
      <w:marBottom w:val="0"/>
      <w:divBdr>
        <w:top w:val="none" w:sz="0" w:space="0" w:color="auto"/>
        <w:left w:val="none" w:sz="0" w:space="0" w:color="auto"/>
        <w:bottom w:val="none" w:sz="0" w:space="0" w:color="auto"/>
        <w:right w:val="none" w:sz="0" w:space="0" w:color="auto"/>
      </w:divBdr>
    </w:div>
    <w:div w:id="1115976285">
      <w:bodyDiv w:val="1"/>
      <w:marLeft w:val="0"/>
      <w:marRight w:val="0"/>
      <w:marTop w:val="0"/>
      <w:marBottom w:val="0"/>
      <w:divBdr>
        <w:top w:val="none" w:sz="0" w:space="0" w:color="auto"/>
        <w:left w:val="none" w:sz="0" w:space="0" w:color="auto"/>
        <w:bottom w:val="none" w:sz="0" w:space="0" w:color="auto"/>
        <w:right w:val="none" w:sz="0" w:space="0" w:color="auto"/>
      </w:divBdr>
    </w:div>
    <w:div w:id="1211962919">
      <w:bodyDiv w:val="1"/>
      <w:marLeft w:val="0"/>
      <w:marRight w:val="0"/>
      <w:marTop w:val="0"/>
      <w:marBottom w:val="0"/>
      <w:divBdr>
        <w:top w:val="none" w:sz="0" w:space="0" w:color="auto"/>
        <w:left w:val="none" w:sz="0" w:space="0" w:color="auto"/>
        <w:bottom w:val="none" w:sz="0" w:space="0" w:color="auto"/>
        <w:right w:val="none" w:sz="0" w:space="0" w:color="auto"/>
      </w:divBdr>
    </w:div>
    <w:div w:id="1219510770">
      <w:bodyDiv w:val="1"/>
      <w:marLeft w:val="0"/>
      <w:marRight w:val="0"/>
      <w:marTop w:val="0"/>
      <w:marBottom w:val="0"/>
      <w:divBdr>
        <w:top w:val="none" w:sz="0" w:space="0" w:color="auto"/>
        <w:left w:val="none" w:sz="0" w:space="0" w:color="auto"/>
        <w:bottom w:val="none" w:sz="0" w:space="0" w:color="auto"/>
        <w:right w:val="none" w:sz="0" w:space="0" w:color="auto"/>
      </w:divBdr>
    </w:div>
    <w:div w:id="1292325838">
      <w:bodyDiv w:val="1"/>
      <w:marLeft w:val="0"/>
      <w:marRight w:val="0"/>
      <w:marTop w:val="0"/>
      <w:marBottom w:val="0"/>
      <w:divBdr>
        <w:top w:val="none" w:sz="0" w:space="0" w:color="auto"/>
        <w:left w:val="none" w:sz="0" w:space="0" w:color="auto"/>
        <w:bottom w:val="none" w:sz="0" w:space="0" w:color="auto"/>
        <w:right w:val="none" w:sz="0" w:space="0" w:color="auto"/>
      </w:divBdr>
    </w:div>
    <w:div w:id="1318606789">
      <w:bodyDiv w:val="1"/>
      <w:marLeft w:val="0"/>
      <w:marRight w:val="0"/>
      <w:marTop w:val="0"/>
      <w:marBottom w:val="0"/>
      <w:divBdr>
        <w:top w:val="none" w:sz="0" w:space="0" w:color="auto"/>
        <w:left w:val="none" w:sz="0" w:space="0" w:color="auto"/>
        <w:bottom w:val="none" w:sz="0" w:space="0" w:color="auto"/>
        <w:right w:val="none" w:sz="0" w:space="0" w:color="auto"/>
      </w:divBdr>
    </w:div>
    <w:div w:id="1354577367">
      <w:bodyDiv w:val="1"/>
      <w:marLeft w:val="0"/>
      <w:marRight w:val="0"/>
      <w:marTop w:val="0"/>
      <w:marBottom w:val="0"/>
      <w:divBdr>
        <w:top w:val="none" w:sz="0" w:space="0" w:color="auto"/>
        <w:left w:val="none" w:sz="0" w:space="0" w:color="auto"/>
        <w:bottom w:val="none" w:sz="0" w:space="0" w:color="auto"/>
        <w:right w:val="none" w:sz="0" w:space="0" w:color="auto"/>
      </w:divBdr>
    </w:div>
    <w:div w:id="1665283794">
      <w:bodyDiv w:val="1"/>
      <w:marLeft w:val="0"/>
      <w:marRight w:val="0"/>
      <w:marTop w:val="0"/>
      <w:marBottom w:val="0"/>
      <w:divBdr>
        <w:top w:val="none" w:sz="0" w:space="0" w:color="auto"/>
        <w:left w:val="none" w:sz="0" w:space="0" w:color="auto"/>
        <w:bottom w:val="none" w:sz="0" w:space="0" w:color="auto"/>
        <w:right w:val="none" w:sz="0" w:space="0" w:color="auto"/>
      </w:divBdr>
    </w:div>
    <w:div w:id="1678533496">
      <w:bodyDiv w:val="1"/>
      <w:marLeft w:val="0"/>
      <w:marRight w:val="0"/>
      <w:marTop w:val="0"/>
      <w:marBottom w:val="0"/>
      <w:divBdr>
        <w:top w:val="none" w:sz="0" w:space="0" w:color="auto"/>
        <w:left w:val="none" w:sz="0" w:space="0" w:color="auto"/>
        <w:bottom w:val="none" w:sz="0" w:space="0" w:color="auto"/>
        <w:right w:val="none" w:sz="0" w:space="0" w:color="auto"/>
      </w:divBdr>
    </w:div>
    <w:div w:id="1986660274">
      <w:bodyDiv w:val="1"/>
      <w:marLeft w:val="0"/>
      <w:marRight w:val="0"/>
      <w:marTop w:val="0"/>
      <w:marBottom w:val="0"/>
      <w:divBdr>
        <w:top w:val="none" w:sz="0" w:space="0" w:color="auto"/>
        <w:left w:val="none" w:sz="0" w:space="0" w:color="auto"/>
        <w:bottom w:val="none" w:sz="0" w:space="0" w:color="auto"/>
        <w:right w:val="none" w:sz="0" w:space="0" w:color="auto"/>
      </w:divBdr>
    </w:div>
    <w:div w:id="2006081695">
      <w:bodyDiv w:val="1"/>
      <w:marLeft w:val="0"/>
      <w:marRight w:val="0"/>
      <w:marTop w:val="0"/>
      <w:marBottom w:val="0"/>
      <w:divBdr>
        <w:top w:val="none" w:sz="0" w:space="0" w:color="auto"/>
        <w:left w:val="none" w:sz="0" w:space="0" w:color="auto"/>
        <w:bottom w:val="none" w:sz="0" w:space="0" w:color="auto"/>
        <w:right w:val="none" w:sz="0" w:space="0" w:color="auto"/>
      </w:divBdr>
    </w:div>
    <w:div w:id="2135560164">
      <w:bodyDiv w:val="1"/>
      <w:marLeft w:val="0"/>
      <w:marRight w:val="0"/>
      <w:marTop w:val="0"/>
      <w:marBottom w:val="0"/>
      <w:divBdr>
        <w:top w:val="none" w:sz="0" w:space="0" w:color="auto"/>
        <w:left w:val="none" w:sz="0" w:space="0" w:color="auto"/>
        <w:bottom w:val="none" w:sz="0" w:space="0" w:color="auto"/>
        <w:right w:val="none" w:sz="0" w:space="0" w:color="auto"/>
      </w:divBdr>
    </w:div>
    <w:div w:id="21364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sb.gov.lv/lv/statistika/klasifikacijas/institucionalo-sektoru-klasifikacija/ko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inistrija\dokuments_Ministru_kabineta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5228C-2E3B-40B3-B232-861F989D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dokuments_Ministru_kabinetam.dot</Template>
  <TotalTime>6</TotalTime>
  <Pages>15</Pages>
  <Words>5619</Words>
  <Characters>36841</Characters>
  <Application>Microsoft Office Word</Application>
  <DocSecurity>0</DocSecurity>
  <Lines>307</Lines>
  <Paragraphs>84</Paragraphs>
  <ScaleCrop>false</ScaleCrop>
  <HeadingPairs>
    <vt:vector size="2" baseType="variant">
      <vt:variant>
        <vt:lpstr>Title</vt:lpstr>
      </vt:variant>
      <vt:variant>
        <vt:i4>1</vt:i4>
      </vt:variant>
    </vt:vector>
  </HeadingPairs>
  <TitlesOfParts>
    <vt:vector size="1" baseType="lpstr">
      <vt:lpstr>Likuma "Par valsts budžetu 2019.gadam" paskaidrojumi. 2.nodaļa Fiskālais apskats</vt:lpstr>
    </vt:vector>
  </TitlesOfParts>
  <Company>Finanšu ministrija</Company>
  <LinksUpToDate>false</LinksUpToDate>
  <CharactersWithSpaces>42376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2.nodaļa Fiskālais apskats</dc:title>
  <dc:subject>paskaidrojuma raksts</dc:subject>
  <dc:creator>Krista Belija</dc:creator>
  <dc:description>67095625, krista.belija@fm.gov.lv</dc:description>
  <cp:lastModifiedBy>Aija Freiberga</cp:lastModifiedBy>
  <cp:revision>9</cp:revision>
  <cp:lastPrinted>2016-10-03T05:11:00Z</cp:lastPrinted>
  <dcterms:created xsi:type="dcterms:W3CDTF">2019-05-07T11:40:00Z</dcterms:created>
  <dcterms:modified xsi:type="dcterms:W3CDTF">2019-06-06T06:59:00Z</dcterms:modified>
</cp:coreProperties>
</file>