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913AB" w14:textId="7C1E3027" w:rsidR="004D0D42" w:rsidRPr="009D3988" w:rsidRDefault="004D0D42" w:rsidP="004D0D42">
      <w:pPr>
        <w:pStyle w:val="Heading1"/>
        <w:numPr>
          <w:ilvl w:val="0"/>
          <w:numId w:val="0"/>
        </w:numPr>
        <w:jc w:val="both"/>
        <w:rPr>
          <w:rFonts w:asciiTheme="majorBidi" w:hAnsiTheme="majorBidi"/>
        </w:rPr>
      </w:pPr>
      <w:bookmarkStart w:id="0" w:name="_Toc139275789"/>
      <w:r w:rsidRPr="009D3988">
        <w:rPr>
          <w:rFonts w:asciiTheme="majorBidi" w:hAnsiTheme="majorBidi"/>
          <w:noProof/>
          <w:lang w:eastAsia="lv-LV"/>
        </w:rPr>
        <w:drawing>
          <wp:anchor distT="0" distB="0" distL="114300" distR="114300" simplePos="0" relativeHeight="251659264" behindDoc="0" locked="0" layoutInCell="1" allowOverlap="1" wp14:anchorId="486B8CEB" wp14:editId="6109E4D1">
            <wp:simplePos x="0" y="0"/>
            <wp:positionH relativeFrom="page">
              <wp:align>left</wp:align>
            </wp:positionH>
            <wp:positionV relativeFrom="paragraph">
              <wp:posOffset>7593</wp:posOffset>
            </wp:positionV>
            <wp:extent cx="652145" cy="409575"/>
            <wp:effectExtent l="0" t="0" r="0" b="9525"/>
            <wp:wrapSquare wrapText="bothSides"/>
            <wp:docPr id="51" name="Picture 5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b="29502"/>
                    <a:stretch/>
                  </pic:blipFill>
                  <pic:spPr bwMode="auto">
                    <a:xfrm>
                      <a:off x="0" y="0"/>
                      <a:ext cx="652145" cy="409575"/>
                    </a:xfrm>
                    <a:prstGeom prst="rect">
                      <a:avLst/>
                    </a:prstGeom>
                    <a:ln>
                      <a:noFill/>
                    </a:ln>
                    <a:extLst>
                      <a:ext uri="{53640926-AAD7-44D8-BBD7-CCE9431645EC}">
                        <a14:shadowObscured xmlns:a14="http://schemas.microsoft.com/office/drawing/2010/main"/>
                      </a:ext>
                    </a:extLst>
                  </pic:spPr>
                </pic:pic>
              </a:graphicData>
            </a:graphic>
          </wp:anchor>
        </w:drawing>
      </w:r>
      <w:r w:rsidRPr="009D3988">
        <w:rPr>
          <w:rFonts w:asciiTheme="majorBidi" w:hAnsiTheme="majorBidi"/>
        </w:rPr>
        <w:t>Izmantotie jēdzieni / termini</w:t>
      </w:r>
      <w:bookmarkEnd w:id="0"/>
      <w:r w:rsidRPr="009D3988">
        <w:rPr>
          <w:rFonts w:asciiTheme="majorBidi" w:hAnsiTheme="majorBidi"/>
        </w:rPr>
        <w:t xml:space="preserve"> </w:t>
      </w:r>
    </w:p>
    <w:p w14:paraId="22443F9F" w14:textId="77777777" w:rsidR="004D0D42" w:rsidRPr="009D3988" w:rsidRDefault="004D0D42" w:rsidP="004D0D42">
      <w:pPr>
        <w:pStyle w:val="Zilieteksti"/>
        <w:rPr>
          <w:rFonts w:ascii="Times New Roman" w:hAnsi="Times New Roman" w:cs="Times New Roman"/>
          <w:sz w:val="24"/>
          <w:szCs w:val="24"/>
          <w:lang w:val="lv-LV"/>
        </w:rPr>
      </w:pPr>
      <w:r w:rsidRPr="009D3988">
        <w:rPr>
          <w:rFonts w:ascii="Times New Roman" w:hAnsi="Times New Roman" w:cs="Times New Roman"/>
          <w:sz w:val="24"/>
          <w:szCs w:val="24"/>
          <w:lang w:val="lv-LV"/>
        </w:rPr>
        <w:t>Izmantotie jēdzieni/ termini</w:t>
      </w:r>
    </w:p>
    <w:p w14:paraId="2F496897" w14:textId="77777777" w:rsidR="004D0D42" w:rsidRPr="009D3988" w:rsidRDefault="004D0D42" w:rsidP="004D0D42">
      <w:pPr>
        <w:pStyle w:val="Zilieteksti"/>
        <w:jc w:val="both"/>
        <w:rPr>
          <w:rFonts w:ascii="Times New Roman" w:eastAsia="Calibri" w:hAnsi="Times New Roman" w:cs="Times New Roman"/>
          <w:b w:val="0"/>
          <w:noProof w:val="0"/>
          <w:color w:val="000000" w:themeColor="text1"/>
          <w:sz w:val="24"/>
          <w:szCs w:val="24"/>
          <w:lang w:val="lv-LV"/>
        </w:rPr>
      </w:pPr>
      <w:r w:rsidRPr="009D3988">
        <w:rPr>
          <w:rFonts w:ascii="Times New Roman" w:eastAsia="Calibri" w:hAnsi="Times New Roman" w:cs="Times New Roman"/>
          <w:b w:val="0"/>
          <w:noProof w:val="0"/>
          <w:color w:val="000000" w:themeColor="text1"/>
          <w:sz w:val="24"/>
          <w:szCs w:val="24"/>
          <w:lang w:val="lv-LV"/>
        </w:rPr>
        <w:t>Rokasgrāmatā izmantotajiem jēdzieniem norādīts datu avots, bet izmantotie jēdzieni ir mainīti, lai labāk atspoguļotu pašvaldības funkcijas un uzdevumus. Kā datu avoti izmantoti arī normatīvie akti, kas nav pašvaldībām saistoši, bet iekļauti Rokasgrāmatā kā labās prakses piemēri.</w:t>
      </w:r>
    </w:p>
    <w:tbl>
      <w:tblPr>
        <w:tblStyle w:val="PlainTable1"/>
        <w:tblW w:w="9351" w:type="dxa"/>
        <w:tblLook w:val="04A0" w:firstRow="1" w:lastRow="0" w:firstColumn="1" w:lastColumn="0" w:noHBand="0" w:noVBand="1"/>
      </w:tblPr>
      <w:tblGrid>
        <w:gridCol w:w="1832"/>
        <w:gridCol w:w="7519"/>
      </w:tblGrid>
      <w:tr w:rsidR="004D0D42" w:rsidRPr="009D3988" w14:paraId="41541255" w14:textId="77777777" w:rsidTr="0028596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832" w:type="dxa"/>
          </w:tcPr>
          <w:p w14:paraId="2E3E3AAE" w14:textId="77777777" w:rsidR="004D0D42" w:rsidRPr="009D3988" w:rsidRDefault="004D0D42" w:rsidP="00285963">
            <w:pPr>
              <w:pStyle w:val="Zilieteksti"/>
              <w:jc w:val="center"/>
              <w:rPr>
                <w:rFonts w:ascii="Times New Roman" w:hAnsi="Times New Roman" w:cs="Times New Roman"/>
                <w:b/>
                <w:sz w:val="24"/>
                <w:szCs w:val="24"/>
              </w:rPr>
            </w:pPr>
            <w:r w:rsidRPr="009D3988">
              <w:rPr>
                <w:rFonts w:ascii="Times New Roman" w:hAnsi="Times New Roman" w:cs="Times New Roman"/>
                <w:b/>
                <w:sz w:val="24"/>
                <w:szCs w:val="24"/>
              </w:rPr>
              <w:t>Jēdziens/ termins</w:t>
            </w:r>
          </w:p>
        </w:tc>
        <w:tc>
          <w:tcPr>
            <w:tcW w:w="7519" w:type="dxa"/>
          </w:tcPr>
          <w:p w14:paraId="245DE62D" w14:textId="77777777" w:rsidR="004D0D42" w:rsidRPr="009D3988" w:rsidRDefault="004D0D42" w:rsidP="00285963">
            <w:pPr>
              <w:pStyle w:val="Zilietekst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D3988">
              <w:rPr>
                <w:rFonts w:ascii="Times New Roman" w:hAnsi="Times New Roman" w:cs="Times New Roman"/>
                <w:b/>
                <w:sz w:val="24"/>
                <w:szCs w:val="24"/>
              </w:rPr>
              <w:t>Skaidrojums</w:t>
            </w:r>
          </w:p>
        </w:tc>
      </w:tr>
      <w:tr w:rsidR="004D0D42" w:rsidRPr="009D3988" w14:paraId="2A3874CE"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51501361"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Administratīvā pakļautība</w:t>
            </w:r>
          </w:p>
        </w:tc>
        <w:tc>
          <w:tcPr>
            <w:tcW w:w="7519" w:type="dxa"/>
          </w:tcPr>
          <w:p w14:paraId="08045B8A"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Attiecas uz IAN darbu izpildei nepieciešamā tehniskā nodrošinājuma un atbalsta nodrošināšanu.</w:t>
            </w:r>
          </w:p>
        </w:tc>
      </w:tr>
      <w:tr w:rsidR="004D0D42" w:rsidRPr="009D3988" w14:paraId="1A86DA01" w14:textId="77777777" w:rsidTr="00285963">
        <w:trPr>
          <w:trHeight w:val="70"/>
        </w:trPr>
        <w:tc>
          <w:tcPr>
            <w:cnfStyle w:val="001000000000" w:firstRow="0" w:lastRow="0" w:firstColumn="1" w:lastColumn="0" w:oddVBand="0" w:evenVBand="0" w:oddHBand="0" w:evenHBand="0" w:firstRowFirstColumn="0" w:firstRowLastColumn="0" w:lastRowFirstColumn="0" w:lastRowLastColumn="0"/>
            <w:tcW w:w="1832" w:type="dxa"/>
          </w:tcPr>
          <w:p w14:paraId="52E5DB1A"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Funkcionālā pakļautība</w:t>
            </w:r>
          </w:p>
        </w:tc>
        <w:tc>
          <w:tcPr>
            <w:tcW w:w="7519" w:type="dxa"/>
          </w:tcPr>
          <w:p w14:paraId="57134D3C"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Nosaka iekšējā audita funkcijas un uzdevumus.</w:t>
            </w:r>
          </w:p>
        </w:tc>
      </w:tr>
      <w:tr w:rsidR="004D0D42" w:rsidRPr="009D3988" w14:paraId="646AD021"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42661EB9"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Iekšējais audits</w:t>
            </w:r>
          </w:p>
        </w:tc>
        <w:tc>
          <w:tcPr>
            <w:tcW w:w="7519" w:type="dxa"/>
          </w:tcPr>
          <w:p w14:paraId="62B5682F" w14:textId="52386948"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 xml:space="preserve">Neatkarīga, objektīva pārliecības </w:t>
            </w:r>
            <w:r w:rsidR="00E62A04" w:rsidRPr="009D3988">
              <w:rPr>
                <w:rFonts w:ascii="Times New Roman" w:eastAsia="Calibri" w:hAnsi="Times New Roman"/>
                <w:color w:val="000000" w:themeColor="text1"/>
                <w:sz w:val="24"/>
                <w:lang w:val="lv-LV"/>
              </w:rPr>
              <w:t>sniegšana</w:t>
            </w:r>
            <w:r w:rsidRPr="009D3988">
              <w:rPr>
                <w:rFonts w:ascii="Times New Roman" w:eastAsia="Calibri" w:hAnsi="Times New Roman"/>
                <w:color w:val="000000" w:themeColor="text1"/>
                <w:sz w:val="24"/>
                <w:lang w:val="lv-LV"/>
              </w:rPr>
              <w:t xml:space="preserve"> un konsultēšana, lai palielinātu pašvaldības vērtību un pilnveidotu tās darbības. Iekšējais audits palīdz pašvaldībai sasniegt tās mērķus, ieviešot sistemātisku, disciplinētu pieeju, lai novērtētu un pilnveidotu riska vadības, kontroles un pārvaldības procesu efektivitāti.</w:t>
            </w:r>
            <w:r w:rsidRPr="009D3988">
              <w:rPr>
                <w:rStyle w:val="FootnoteReference"/>
                <w:rFonts w:ascii="Times New Roman" w:eastAsia="Calibri" w:hAnsi="Times New Roman"/>
                <w:color w:val="000000" w:themeColor="text1"/>
                <w:sz w:val="24"/>
                <w:lang w:val="lv-LV"/>
              </w:rPr>
              <w:footnoteReference w:id="1"/>
            </w:r>
          </w:p>
        </w:tc>
      </w:tr>
      <w:tr w:rsidR="004D0D42" w:rsidRPr="009D3988" w14:paraId="2E52AB8C" w14:textId="77777777" w:rsidTr="00285963">
        <w:trPr>
          <w:trHeight w:val="85"/>
        </w:trPr>
        <w:tc>
          <w:tcPr>
            <w:cnfStyle w:val="001000000000" w:firstRow="0" w:lastRow="0" w:firstColumn="1" w:lastColumn="0" w:oddVBand="0" w:evenVBand="0" w:oddHBand="0" w:evenHBand="0" w:firstRowFirstColumn="0" w:firstRowLastColumn="0" w:lastRowFirstColumn="0" w:lastRowLastColumn="0"/>
            <w:tcW w:w="1832" w:type="dxa"/>
          </w:tcPr>
          <w:p w14:paraId="70BF61E5"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Iekšējā audita plāns</w:t>
            </w:r>
          </w:p>
        </w:tc>
        <w:tc>
          <w:tcPr>
            <w:tcW w:w="7519" w:type="dxa"/>
          </w:tcPr>
          <w:p w14:paraId="791B7B35"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Iekšējā audita vadītāja izveidots dokuments, kas identificē darba uzdevumus un citus iekšējā audita pakalpojumus, kas tiks sniegti noteiktā laika periodā. Plānam jābūt dinamiskam, atspoguļojot savlaicīgu reakciju uz organizatoriskām izmaiņām.</w:t>
            </w:r>
            <w:r w:rsidRPr="009D3988">
              <w:rPr>
                <w:rStyle w:val="FootnoteReference"/>
                <w:rFonts w:ascii="Times New Roman" w:eastAsia="Calibri" w:hAnsi="Times New Roman"/>
                <w:color w:val="000000" w:themeColor="text1"/>
                <w:sz w:val="24"/>
                <w:lang w:val="lv-LV"/>
              </w:rPr>
              <w:footnoteReference w:id="2"/>
            </w:r>
          </w:p>
        </w:tc>
      </w:tr>
      <w:tr w:rsidR="004D0D42" w:rsidRPr="009D3988" w14:paraId="5DF98DC9"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348BE71D"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Iekšējā kontrole</w:t>
            </w:r>
          </w:p>
        </w:tc>
        <w:tc>
          <w:tcPr>
            <w:tcW w:w="7519" w:type="dxa"/>
          </w:tcPr>
          <w:p w14:paraId="762E016C"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Iekšējā kontrole ir process, ko veic vadība un darbinieki, kas paredzēts, lai sniegtu pamatotu pārliecību par mērķu sasniegšanu saistībā ar darbību, atskaitēm un atbilstību.</w:t>
            </w:r>
            <w:r w:rsidRPr="009D3988">
              <w:rPr>
                <w:rFonts w:ascii="Times New Roman" w:eastAsia="Calibri" w:hAnsi="Times New Roman"/>
                <w:color w:val="000000" w:themeColor="text1"/>
                <w:sz w:val="24"/>
                <w:vertAlign w:val="superscript"/>
                <w:lang w:val="lv-LV"/>
              </w:rPr>
              <w:footnoteReference w:id="3"/>
            </w:r>
          </w:p>
        </w:tc>
      </w:tr>
      <w:tr w:rsidR="004D0D42" w:rsidRPr="009D3988" w14:paraId="4BB88754" w14:textId="77777777" w:rsidTr="00285963">
        <w:trPr>
          <w:trHeight w:val="85"/>
        </w:trPr>
        <w:tc>
          <w:tcPr>
            <w:cnfStyle w:val="001000000000" w:firstRow="0" w:lastRow="0" w:firstColumn="1" w:lastColumn="0" w:oddVBand="0" w:evenVBand="0" w:oddHBand="0" w:evenHBand="0" w:firstRowFirstColumn="0" w:firstRowLastColumn="0" w:lastRowFirstColumn="0" w:lastRowLastColumn="0"/>
            <w:tcW w:w="1832" w:type="dxa"/>
          </w:tcPr>
          <w:p w14:paraId="49C1341B"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Iekšējās kontroles sistēma</w:t>
            </w:r>
          </w:p>
        </w:tc>
        <w:tc>
          <w:tcPr>
            <w:tcW w:w="7519" w:type="dxa"/>
          </w:tcPr>
          <w:p w14:paraId="13F8D2B8"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Risku vadības, kontroles un pārvaldības pasākumu kopums, kura uzdevums ir nodrošināt mērķu sasniegšanu, efektīvu darbību, aktīvu aizsardzību, pārskatu ticamību, darbības atbilstību tiesību aktiem un par kura izveidošanu ir atbildīgs izpilddirektors un institūciju vadītāji.</w:t>
            </w:r>
            <w:r w:rsidRPr="009D3988">
              <w:rPr>
                <w:rFonts w:ascii="Times New Roman" w:eastAsia="Calibri" w:hAnsi="Times New Roman"/>
                <w:color w:val="000000" w:themeColor="text1"/>
                <w:sz w:val="24"/>
                <w:vertAlign w:val="superscript"/>
              </w:rPr>
              <w:footnoteReference w:id="4"/>
            </w:r>
          </w:p>
        </w:tc>
      </w:tr>
      <w:tr w:rsidR="004D0D42" w:rsidRPr="009D3988" w14:paraId="415884DF"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012C7AFC"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Interešu konflikts</w:t>
            </w:r>
          </w:p>
        </w:tc>
        <w:tc>
          <w:tcPr>
            <w:tcW w:w="7519" w:type="dxa"/>
          </w:tcPr>
          <w:p w14:paraId="2276C461"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Situācija, kad atbildīgā amatā ieceltam iekšējam auditoram ir konkurējošas profesionālas vai personīgas intereses, kas nav likuma “Par interešu konflikta novēršanu valsts amatpersonu darbībā”1. panta 5. punkta izpratnē. Šādas konkurējošas intereses var apdraudēt auditora objektivitāti tā pienākumu izpildē. Interešu konflikts pastāv arī tad, ja tas nav izraisījis neētisku vai neatbilstošu darbību. Interešu konflikts var radīt iespaidu par neatbilstību, kas var mazināt uzticību iekšējam auditoram, iekšējā audita struktūrvienībai un profesijai kopumā. Interešu konflikts var mazināt personas spēju neatkarīgi veikt tai uzticētos pienākumus un uzdevumus.</w:t>
            </w:r>
            <w:r w:rsidRPr="009D3988">
              <w:rPr>
                <w:rStyle w:val="FootnoteReference"/>
                <w:rFonts w:ascii="Times New Roman" w:eastAsia="Calibri" w:hAnsi="Times New Roman"/>
                <w:color w:val="000000" w:themeColor="text1"/>
                <w:sz w:val="24"/>
                <w:lang w:val="lv-LV"/>
              </w:rPr>
              <w:footnoteReference w:id="5"/>
            </w:r>
            <w:r w:rsidRPr="009D3988">
              <w:rPr>
                <w:rFonts w:ascii="Times New Roman" w:eastAsia="Calibri" w:hAnsi="Times New Roman"/>
                <w:color w:val="000000" w:themeColor="text1"/>
                <w:sz w:val="24"/>
                <w:lang w:val="lv-LV"/>
              </w:rPr>
              <w:t xml:space="preserve"> </w:t>
            </w:r>
          </w:p>
        </w:tc>
      </w:tr>
      <w:tr w:rsidR="004D0D42" w:rsidRPr="009D3988" w14:paraId="46359C05" w14:textId="77777777" w:rsidTr="00285963">
        <w:trPr>
          <w:trHeight w:val="85"/>
        </w:trPr>
        <w:tc>
          <w:tcPr>
            <w:cnfStyle w:val="001000000000" w:firstRow="0" w:lastRow="0" w:firstColumn="1" w:lastColumn="0" w:oddVBand="0" w:evenVBand="0" w:oddHBand="0" w:evenHBand="0" w:firstRowFirstColumn="0" w:firstRowLastColumn="0" w:lastRowFirstColumn="0" w:lastRowLastColumn="0"/>
            <w:tcW w:w="1832" w:type="dxa"/>
          </w:tcPr>
          <w:p w14:paraId="7BEE36DD"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lastRenderedPageBreak/>
              <w:t>Kompetence</w:t>
            </w:r>
          </w:p>
        </w:tc>
        <w:tc>
          <w:tcPr>
            <w:tcW w:w="7519" w:type="dxa"/>
          </w:tcPr>
          <w:p w14:paraId="7CBBA854"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Zināšanas, prasmes un iemaņas.</w:t>
            </w:r>
            <w:r w:rsidRPr="009D3988">
              <w:rPr>
                <w:rStyle w:val="FootnoteReference"/>
                <w:rFonts w:ascii="Times New Roman" w:eastAsia="Calibri" w:hAnsi="Times New Roman"/>
                <w:color w:val="000000" w:themeColor="text1"/>
                <w:sz w:val="24"/>
                <w:lang w:val="lv-LV"/>
              </w:rPr>
              <w:footnoteReference w:id="6"/>
            </w:r>
          </w:p>
        </w:tc>
      </w:tr>
      <w:tr w:rsidR="004D0D42" w:rsidRPr="009D3988" w14:paraId="0CA4F1D7"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11AF4F40"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Konsultācijas</w:t>
            </w:r>
          </w:p>
        </w:tc>
        <w:tc>
          <w:tcPr>
            <w:tcW w:w="7519" w:type="dxa"/>
          </w:tcPr>
          <w:p w14:paraId="0D7FFF27"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Padomu sniegšanas pakalpojums, kura mērķis ir pilnveidot iekšējās kontroles sistēmu un kura būtību un apjomu ir noteicis izpilddirektors vai pašvaldības institūcijas vadītājs.</w:t>
            </w:r>
            <w:r w:rsidRPr="009D3988">
              <w:rPr>
                <w:rStyle w:val="FootnoteReference"/>
                <w:rFonts w:ascii="Times New Roman" w:hAnsi="Times New Roman"/>
                <w:color w:val="000000" w:themeColor="text1"/>
                <w:sz w:val="24"/>
                <w:shd w:val="clear" w:color="auto" w:fill="FFFFFF"/>
                <w:lang w:val="lv-LV"/>
              </w:rPr>
              <w:footnoteReference w:id="7"/>
            </w:r>
          </w:p>
          <w:p w14:paraId="026C37CA"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highlight w:val="yellow"/>
                <w:lang w:val="lv-LV"/>
              </w:rPr>
            </w:pPr>
            <w:r w:rsidRPr="009D3988">
              <w:rPr>
                <w:rFonts w:ascii="Times New Roman" w:eastAsia="Calibri" w:hAnsi="Times New Roman"/>
                <w:color w:val="000000" w:themeColor="text1"/>
                <w:sz w:val="24"/>
                <w:lang w:val="lv-LV"/>
              </w:rPr>
              <w:t>Konsultācijas un ar tām saistītie pakalpojumi, kuru būtība un apjoms ir saskaņots ar izpilddirektoru vai pašvaldības institūcijas vadītāju un kuri ir paredzēti, lai palielinātu pašvaldības institūcijas pārvaldības, riska vadības un kontroles procesu vērtību un tos uzlabotu, iekšējam auditoram neuzņemoties vadības pienākumus. Šādi pakalpojumi var būt, piemēram, konsultēšana, padomu došana un apmācība.</w:t>
            </w:r>
            <w:r w:rsidRPr="009D3988">
              <w:rPr>
                <w:rStyle w:val="FootnoteReference"/>
                <w:rFonts w:ascii="Times New Roman" w:eastAsia="Calibri" w:hAnsi="Times New Roman"/>
                <w:color w:val="000000" w:themeColor="text1"/>
                <w:sz w:val="24"/>
                <w:lang w:val="lv-LV"/>
              </w:rPr>
              <w:footnoteReference w:id="8"/>
            </w:r>
          </w:p>
        </w:tc>
      </w:tr>
      <w:tr w:rsidR="004D0D42" w:rsidRPr="009D3988" w14:paraId="6CA385BE" w14:textId="77777777" w:rsidTr="00285963">
        <w:trPr>
          <w:trHeight w:val="70"/>
        </w:trPr>
        <w:tc>
          <w:tcPr>
            <w:cnfStyle w:val="001000000000" w:firstRow="0" w:lastRow="0" w:firstColumn="1" w:lastColumn="0" w:oddVBand="0" w:evenVBand="0" w:oddHBand="0" w:evenHBand="0" w:firstRowFirstColumn="0" w:firstRowLastColumn="0" w:lastRowFirstColumn="0" w:lastRowLastColumn="0"/>
            <w:tcW w:w="1832" w:type="dxa"/>
          </w:tcPr>
          <w:p w14:paraId="2EDE7417"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Kontrole</w:t>
            </w:r>
          </w:p>
        </w:tc>
        <w:tc>
          <w:tcPr>
            <w:tcW w:w="7519" w:type="dxa"/>
          </w:tcPr>
          <w:p w14:paraId="27185C8E"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Visas darbības, kuras veic izpilddirektors, pašvaldības institūcijas vadība vai citas puses, lai nodrošinātu riska vadību un palielinātu varbūtību, ka noteiktie mērķi tiks sasniegti. Vadība plāno, organizē un vada tādu darba izpildi, kas ir pietiekama, lai nodrošinātu pamatotu pārliecību par to, ka mērķi tiks sasniegti.</w:t>
            </w:r>
            <w:r w:rsidRPr="009D3988">
              <w:rPr>
                <w:rStyle w:val="FootnoteReference"/>
                <w:rFonts w:ascii="Times New Roman" w:eastAsia="Calibri" w:hAnsi="Times New Roman"/>
                <w:color w:val="000000" w:themeColor="text1"/>
                <w:sz w:val="24"/>
                <w:lang w:val="lv-LV"/>
              </w:rPr>
              <w:footnoteReference w:id="9"/>
            </w:r>
          </w:p>
        </w:tc>
      </w:tr>
      <w:tr w:rsidR="004D0D42" w:rsidRPr="009D3988" w14:paraId="56A679E1" w14:textId="77777777" w:rsidTr="0028596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32" w:type="dxa"/>
          </w:tcPr>
          <w:p w14:paraId="584EBD86"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Krāpšana</w:t>
            </w:r>
          </w:p>
        </w:tc>
        <w:tc>
          <w:tcPr>
            <w:tcW w:w="7519" w:type="dxa"/>
          </w:tcPr>
          <w:p w14:paraId="5FC9AAB3"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Jebkura darbība, ko raksturo maldināšana, slēpšana vai uzticības pārkāpšana, ko veic personas vai organizācijas, lai nodrošinātu personisku vai biznesa labumu.</w:t>
            </w:r>
            <w:r w:rsidRPr="009D3988">
              <w:rPr>
                <w:rStyle w:val="FootnoteReference"/>
                <w:rFonts w:ascii="Times New Roman" w:eastAsia="Calibri" w:hAnsi="Times New Roman"/>
                <w:color w:val="000000" w:themeColor="text1"/>
                <w:sz w:val="24"/>
                <w:lang w:val="lv-LV"/>
              </w:rPr>
              <w:footnoteReference w:id="10"/>
            </w:r>
          </w:p>
        </w:tc>
      </w:tr>
      <w:tr w:rsidR="004D0D42" w:rsidRPr="009D3988" w14:paraId="3BD6E3BE" w14:textId="77777777" w:rsidTr="00285963">
        <w:trPr>
          <w:trHeight w:val="1754"/>
        </w:trPr>
        <w:tc>
          <w:tcPr>
            <w:cnfStyle w:val="001000000000" w:firstRow="0" w:lastRow="0" w:firstColumn="1" w:lastColumn="0" w:oddVBand="0" w:evenVBand="0" w:oddHBand="0" w:evenHBand="0" w:firstRowFirstColumn="0" w:firstRowLastColumn="0" w:lastRowFirstColumn="0" w:lastRowLastColumn="0"/>
            <w:tcW w:w="1832" w:type="dxa"/>
          </w:tcPr>
          <w:p w14:paraId="4B9E994F"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Neatkarība</w:t>
            </w:r>
          </w:p>
        </w:tc>
        <w:tc>
          <w:tcPr>
            <w:tcW w:w="7519" w:type="dxa"/>
          </w:tcPr>
          <w:p w14:paraId="1E6C4D1C" w14:textId="77777777" w:rsidR="004D0D42" w:rsidRPr="009D3988" w:rsidRDefault="004D0D42" w:rsidP="00285963">
            <w:pPr>
              <w:pStyle w:val="BodyTex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Nozīmē to, ka nepastāv apstākļi, kas apdraudētu iekšējā audita struktūrvienības spēju neatkarīgi veikt iekšējā audita pienākumus. Lai nodrošinātu tādu neatkarības līmeni, kāds nepieciešams, lai iekšējā audita struktūrvienība spētu efektīvi veikt savus pienākumus, iekšējā audita vadītājam tieši un neierobežoti ir pieejama augstākā vadība. Draudi neatkarībai ir jārisina auditoru, darba uzdevuma, funkciju un organizācijas līmenī.</w:t>
            </w:r>
            <w:r w:rsidRPr="009D3988">
              <w:rPr>
                <w:rStyle w:val="FootnoteReference"/>
                <w:rFonts w:ascii="Times New Roman" w:eastAsia="Calibri" w:hAnsi="Times New Roman"/>
                <w:color w:val="000000" w:themeColor="text1"/>
                <w:sz w:val="24"/>
                <w:lang w:val="lv-LV"/>
              </w:rPr>
              <w:footnoteReference w:id="11"/>
            </w:r>
          </w:p>
        </w:tc>
      </w:tr>
      <w:tr w:rsidR="004D0D42" w:rsidRPr="009D3988" w14:paraId="0A6892A2"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3DEBCF2F"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Pašvaldība</w:t>
            </w:r>
          </w:p>
        </w:tc>
        <w:tc>
          <w:tcPr>
            <w:tcW w:w="7519" w:type="dxa"/>
          </w:tcPr>
          <w:p w14:paraId="1A780BC7" w14:textId="77777777" w:rsidR="004D0D42" w:rsidRPr="009D3988" w:rsidRDefault="004D0D42" w:rsidP="00285963">
            <w:pPr>
              <w:pStyle w:val="BodyText"/>
              <w:spacing w:before="120" w:after="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Pašvaldība ir atvasināta publiska persona — vietējā pārvalde, kurai ir iedzīvotāju ievēlēta lēmējinstitūcija — dome un kura patstāvīgi nodrošina tai tiesību aktos noteikto funkciju un uzdevumu izpildi savas administratīvās teritorijas iedzīvotāju interesēs un ir atbildīga par to. Pašvaldība ir atbildīga par domes un pašvaldības administrācijas darbību, ja likumos nav noteikts citādi.</w:t>
            </w:r>
            <w:r w:rsidRPr="009D3988">
              <w:rPr>
                <w:rFonts w:ascii="Times New Roman" w:eastAsia="Calibri" w:hAnsi="Times New Roman"/>
                <w:color w:val="000000" w:themeColor="text1"/>
                <w:sz w:val="24"/>
                <w:vertAlign w:val="superscript"/>
              </w:rPr>
              <w:footnoteReference w:id="12"/>
            </w:r>
          </w:p>
        </w:tc>
      </w:tr>
      <w:tr w:rsidR="004D0D42" w:rsidRPr="009D3988" w14:paraId="3E76B0F6" w14:textId="77777777" w:rsidTr="00285963">
        <w:trPr>
          <w:trHeight w:val="85"/>
        </w:trPr>
        <w:tc>
          <w:tcPr>
            <w:cnfStyle w:val="001000000000" w:firstRow="0" w:lastRow="0" w:firstColumn="1" w:lastColumn="0" w:oddVBand="0" w:evenVBand="0" w:oddHBand="0" w:evenHBand="0" w:firstRowFirstColumn="0" w:firstRowLastColumn="0" w:lastRowFirstColumn="0" w:lastRowLastColumn="0"/>
            <w:tcW w:w="1832" w:type="dxa"/>
          </w:tcPr>
          <w:p w14:paraId="68CE1350"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Revīzijas iestāde</w:t>
            </w:r>
          </w:p>
        </w:tc>
        <w:tc>
          <w:tcPr>
            <w:tcW w:w="7519" w:type="dxa"/>
          </w:tcPr>
          <w:p w14:paraId="44C7C253" w14:textId="77777777" w:rsidR="004D0D42" w:rsidRPr="009D3988" w:rsidRDefault="004D0D42" w:rsidP="00285963">
            <w:pPr>
              <w:pStyle w:val="BodyText"/>
              <w:spacing w:before="120" w:after="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Revīzijas iestādes funkcijas pilda Finanšu ministrijas Eiropas Savienības fondu revīzijas departaments. Revīzijas iestādes galvenais uzdevums ir sniegt neatkarīgu un objektīvu atzinumu par Eiropas Savienības fondu un ārvalstu finanšu palīdzības vadības un kontroles sistēmas darbības efektivitāti un deklarēto izdevumu likumību un pareizību Eiropas Komisijai un Donorvalstīm</w:t>
            </w:r>
            <w:r w:rsidRPr="009D3988">
              <w:rPr>
                <w:rStyle w:val="FootnoteReference"/>
                <w:rFonts w:ascii="Times New Roman" w:eastAsia="Calibri" w:hAnsi="Times New Roman"/>
                <w:color w:val="000000" w:themeColor="text1"/>
                <w:sz w:val="24"/>
                <w:lang w:val="lv-LV"/>
              </w:rPr>
              <w:footnoteReference w:id="13"/>
            </w:r>
            <w:r w:rsidRPr="009D3988">
              <w:rPr>
                <w:rFonts w:ascii="Times New Roman" w:eastAsia="Calibri" w:hAnsi="Times New Roman"/>
                <w:color w:val="000000" w:themeColor="text1"/>
                <w:sz w:val="24"/>
                <w:lang w:val="lv-LV"/>
              </w:rPr>
              <w:t>.</w:t>
            </w:r>
          </w:p>
        </w:tc>
      </w:tr>
      <w:tr w:rsidR="004D0D42" w:rsidRPr="009D3988" w14:paraId="043FEC10" w14:textId="77777777" w:rsidTr="0028596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2" w:type="dxa"/>
          </w:tcPr>
          <w:p w14:paraId="6A6F99CB" w14:textId="77777777" w:rsidR="004D0D42" w:rsidRPr="009D3988" w:rsidRDefault="004D0D42" w:rsidP="00285963">
            <w:pPr>
              <w:pStyle w:val="BodyText"/>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lastRenderedPageBreak/>
              <w:t>Risku vadība</w:t>
            </w:r>
          </w:p>
        </w:tc>
        <w:tc>
          <w:tcPr>
            <w:tcW w:w="7519" w:type="dxa"/>
          </w:tcPr>
          <w:p w14:paraId="566BE513" w14:textId="77777777" w:rsidR="004D0D42" w:rsidRPr="009D3988" w:rsidRDefault="004D0D42" w:rsidP="00285963">
            <w:pPr>
              <w:pStyle w:val="BodyTex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 w:val="24"/>
                <w:lang w:val="lv-LV"/>
              </w:rPr>
            </w:pPr>
            <w:r w:rsidRPr="009D3988">
              <w:rPr>
                <w:rFonts w:ascii="Times New Roman" w:eastAsia="Calibri" w:hAnsi="Times New Roman"/>
                <w:color w:val="000000" w:themeColor="text1"/>
                <w:sz w:val="24"/>
                <w:lang w:val="lv-LV"/>
              </w:rPr>
              <w:t>Process, kura mērķis ir identificēt, novērtēt, vadīt un kontrolēt potenciālos notikumus un situācijas, lai nodrošinātu pārliecību par organizācijas mērķu sasniegšanu.</w:t>
            </w:r>
            <w:r w:rsidRPr="009D3988">
              <w:rPr>
                <w:rFonts w:ascii="Times New Roman" w:eastAsia="Calibri" w:hAnsi="Times New Roman"/>
                <w:color w:val="000000" w:themeColor="text1"/>
                <w:sz w:val="24"/>
                <w:vertAlign w:val="superscript"/>
              </w:rPr>
              <w:footnoteReference w:id="14"/>
            </w:r>
          </w:p>
        </w:tc>
      </w:tr>
    </w:tbl>
    <w:p w14:paraId="44763FAD" w14:textId="77777777" w:rsidR="00835668" w:rsidRPr="009D3988" w:rsidRDefault="00835668" w:rsidP="004D0D42">
      <w:pPr>
        <w:rPr>
          <w:rFonts w:asciiTheme="majorBidi" w:hAnsiTheme="majorBidi" w:cstheme="majorBidi"/>
        </w:rPr>
      </w:pPr>
    </w:p>
    <w:sectPr w:rsidR="00835668" w:rsidRPr="009D3988" w:rsidSect="004D0D42">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49BCA" w14:textId="77777777" w:rsidR="000C6FD2" w:rsidRDefault="000C6FD2" w:rsidP="004D0D42">
      <w:pPr>
        <w:spacing w:after="0"/>
      </w:pPr>
      <w:r>
        <w:separator/>
      </w:r>
    </w:p>
  </w:endnote>
  <w:endnote w:type="continuationSeparator" w:id="0">
    <w:p w14:paraId="40FA1C5B" w14:textId="77777777" w:rsidR="000C6FD2" w:rsidRDefault="000C6FD2" w:rsidP="004D0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EA6E" w14:textId="77777777" w:rsidR="00DB49AE" w:rsidRDefault="00DB4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533765"/>
      <w:docPartObj>
        <w:docPartGallery w:val="Page Numbers (Bottom of Page)"/>
        <w:docPartUnique/>
      </w:docPartObj>
    </w:sdtPr>
    <w:sdtEndPr>
      <w:rPr>
        <w:noProof/>
      </w:rPr>
    </w:sdtEndPr>
    <w:sdtContent>
      <w:p w14:paraId="77BE5022" w14:textId="0BDE37AD" w:rsidR="00D64037" w:rsidRDefault="00D64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F14CB" w14:textId="77777777" w:rsidR="00D64037" w:rsidRDefault="00D64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A121" w14:textId="77777777" w:rsidR="00DB49AE" w:rsidRDefault="00DB4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40689" w14:textId="77777777" w:rsidR="000C6FD2" w:rsidRDefault="000C6FD2" w:rsidP="004D0D42">
      <w:pPr>
        <w:spacing w:after="0"/>
      </w:pPr>
      <w:r>
        <w:separator/>
      </w:r>
    </w:p>
  </w:footnote>
  <w:footnote w:type="continuationSeparator" w:id="0">
    <w:p w14:paraId="46115701" w14:textId="77777777" w:rsidR="000C6FD2" w:rsidRDefault="000C6FD2" w:rsidP="004D0D42">
      <w:pPr>
        <w:spacing w:after="0"/>
      </w:pPr>
      <w:r>
        <w:continuationSeparator/>
      </w:r>
    </w:p>
  </w:footnote>
  <w:footnote w:id="1">
    <w:p w14:paraId="539C10C6"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1" w:anchor="definicija" w:history="1">
        <w:r w:rsidRPr="009D3988">
          <w:rPr>
            <w:rFonts w:ascii="Times New Roman" w:eastAsia="Calibri" w:hAnsi="Times New Roman" w:cs="Times New Roman"/>
            <w:color w:val="000000" w:themeColor="text1"/>
            <w:sz w:val="18"/>
            <w:szCs w:val="18"/>
          </w:rPr>
          <w:t>https://iai.lv/lv/obligatie-noradijumi#definicija</w:t>
        </w:r>
      </w:hyperlink>
      <w:r w:rsidRPr="009D3988">
        <w:rPr>
          <w:rFonts w:ascii="Times New Roman" w:eastAsia="Calibri" w:hAnsi="Times New Roman" w:cs="Times New Roman"/>
          <w:color w:val="000000" w:themeColor="text1"/>
          <w:sz w:val="18"/>
          <w:szCs w:val="18"/>
        </w:rPr>
        <w:t xml:space="preserve">  </w:t>
      </w:r>
    </w:p>
  </w:footnote>
  <w:footnote w:id="2">
    <w:p w14:paraId="253C5685"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2" w:history="1">
        <w:r w:rsidRPr="009D3988">
          <w:rPr>
            <w:rFonts w:ascii="Times New Roman" w:eastAsia="Calibri" w:hAnsi="Times New Roman" w:cs="Times New Roman"/>
            <w:color w:val="000000" w:themeColor="text1"/>
            <w:sz w:val="18"/>
            <w:szCs w:val="18"/>
          </w:rPr>
          <w:t>https://www.theiia.org/en/standards/Standards-Public-Comment/</w:t>
        </w:r>
      </w:hyperlink>
      <w:r w:rsidRPr="009D3988">
        <w:rPr>
          <w:rFonts w:ascii="Times New Roman" w:eastAsia="Calibri" w:hAnsi="Times New Roman" w:cs="Times New Roman"/>
          <w:color w:val="000000" w:themeColor="text1"/>
          <w:sz w:val="18"/>
          <w:szCs w:val="18"/>
        </w:rPr>
        <w:t xml:space="preserve"> </w:t>
      </w:r>
    </w:p>
  </w:footnote>
  <w:footnote w:id="3">
    <w:p w14:paraId="16CFF6F3"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3" w:history="1">
        <w:r w:rsidRPr="009D3988">
          <w:rPr>
            <w:rFonts w:ascii="Times New Roman" w:eastAsia="Calibri" w:hAnsi="Times New Roman" w:cs="Times New Roman"/>
            <w:color w:val="000000" w:themeColor="text1"/>
            <w:sz w:val="18"/>
            <w:szCs w:val="18"/>
          </w:rPr>
          <w:t>https://www.coso.org/Shared%20Documents/Framework-Executive-Summary.pdf</w:t>
        </w:r>
      </w:hyperlink>
      <w:r w:rsidRPr="009D3988">
        <w:rPr>
          <w:rFonts w:ascii="Times New Roman" w:eastAsia="Calibri" w:hAnsi="Times New Roman" w:cs="Times New Roman"/>
          <w:color w:val="000000" w:themeColor="text1"/>
          <w:sz w:val="18"/>
          <w:szCs w:val="18"/>
        </w:rPr>
        <w:t xml:space="preserve"> </w:t>
      </w:r>
    </w:p>
  </w:footnote>
  <w:footnote w:id="4">
    <w:p w14:paraId="43417875"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4" w:history="1">
        <w:r w:rsidRPr="009D3988">
          <w:rPr>
            <w:rFonts w:ascii="Times New Roman" w:eastAsia="Calibri" w:hAnsi="Times New Roman" w:cs="Times New Roman"/>
            <w:color w:val="000000" w:themeColor="text1"/>
            <w:sz w:val="18"/>
            <w:szCs w:val="18"/>
          </w:rPr>
          <w:t>https://likumi.lv/ta/id/253680-iekseja-audita-likums</w:t>
        </w:r>
      </w:hyperlink>
      <w:r w:rsidRPr="009D3988">
        <w:rPr>
          <w:rFonts w:ascii="Times New Roman" w:eastAsia="Calibri" w:hAnsi="Times New Roman" w:cs="Times New Roman"/>
          <w:color w:val="000000" w:themeColor="text1"/>
          <w:sz w:val="18"/>
          <w:szCs w:val="18"/>
        </w:rPr>
        <w:t xml:space="preserve"> </w:t>
      </w:r>
    </w:p>
  </w:footnote>
  <w:footnote w:id="5">
    <w:p w14:paraId="41B6F27A"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5" w:history="1">
        <w:r w:rsidRPr="009D3988">
          <w:rPr>
            <w:rFonts w:ascii="Times New Roman" w:eastAsia="Calibri" w:hAnsi="Times New Roman" w:cs="Times New Roman"/>
            <w:color w:val="000000" w:themeColor="text1"/>
            <w:sz w:val="18"/>
            <w:szCs w:val="18"/>
          </w:rPr>
          <w:t>https://www.theiia.org/globalassets/site/standards/mandatory-guidance/ippf/2017/ippf-standards-2017-latvian.pdf</w:t>
        </w:r>
      </w:hyperlink>
      <w:r w:rsidRPr="009D3988">
        <w:rPr>
          <w:rFonts w:ascii="Times New Roman" w:eastAsia="Calibri" w:hAnsi="Times New Roman" w:cs="Times New Roman"/>
          <w:color w:val="000000" w:themeColor="text1"/>
          <w:sz w:val="18"/>
          <w:szCs w:val="18"/>
        </w:rPr>
        <w:t xml:space="preserve"> </w:t>
      </w:r>
    </w:p>
  </w:footnote>
  <w:footnote w:id="6">
    <w:p w14:paraId="22810139" w14:textId="77777777" w:rsidR="004D0D42" w:rsidRPr="00B64A21" w:rsidRDefault="004D0D42" w:rsidP="004D0D42">
      <w:pPr>
        <w:pStyle w:val="FootnoteText"/>
        <w:rPr>
          <w:rFonts w:eastAsia="Calibri" w:cs="Times New Roman"/>
          <w:sz w:val="16"/>
          <w:szCs w:val="16"/>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6" w:history="1">
        <w:r w:rsidRPr="009D3988">
          <w:rPr>
            <w:rFonts w:ascii="Times New Roman" w:eastAsia="Calibri" w:hAnsi="Times New Roman" w:cs="Times New Roman"/>
            <w:color w:val="000000" w:themeColor="text1"/>
            <w:sz w:val="18"/>
            <w:szCs w:val="18"/>
          </w:rPr>
          <w:t>https://www.theiia.org/en/standards/Standards-Public-Comment/</w:t>
        </w:r>
      </w:hyperlink>
      <w:r w:rsidRPr="009D3988">
        <w:rPr>
          <w:rFonts w:eastAsia="Calibri" w:cs="Times New Roman"/>
          <w:color w:val="000000" w:themeColor="text1"/>
          <w:sz w:val="16"/>
          <w:szCs w:val="16"/>
        </w:rPr>
        <w:t xml:space="preserve"> </w:t>
      </w:r>
    </w:p>
  </w:footnote>
  <w:footnote w:id="7">
    <w:p w14:paraId="4A18A573" w14:textId="1C8D6BAD"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r w:rsidR="0015711D">
        <w:rPr>
          <w:rFonts w:ascii="Times New Roman" w:eastAsia="Calibri" w:hAnsi="Times New Roman" w:cs="Times New Roman"/>
          <w:color w:val="000000" w:themeColor="text1"/>
          <w:sz w:val="18"/>
          <w:szCs w:val="18"/>
        </w:rPr>
        <w:t xml:space="preserve"> </w:t>
      </w:r>
      <w:hyperlink r:id="rId7" w:history="1">
        <w:r w:rsidR="0015711D" w:rsidRPr="00641527">
          <w:rPr>
            <w:rStyle w:val="Hyperlink"/>
            <w:rFonts w:ascii="Times New Roman" w:eastAsia="Calibri" w:hAnsi="Times New Roman" w:cs="Times New Roman"/>
            <w:sz w:val="18"/>
            <w:szCs w:val="18"/>
          </w:rPr>
          <w:t>https://likumi.lv/ta/id/253680-iekseja-audita-likums</w:t>
        </w:r>
      </w:hyperlink>
      <w:r w:rsidRPr="009D3988">
        <w:rPr>
          <w:rFonts w:ascii="Times New Roman" w:eastAsia="Calibri" w:hAnsi="Times New Roman" w:cs="Times New Roman"/>
          <w:color w:val="000000" w:themeColor="text1"/>
          <w:sz w:val="18"/>
          <w:szCs w:val="18"/>
        </w:rPr>
        <w:t xml:space="preserve"> </w:t>
      </w:r>
    </w:p>
  </w:footnote>
  <w:footnote w:id="8">
    <w:p w14:paraId="2E8FFA08" w14:textId="05D111F4" w:rsidR="004D0D42" w:rsidRPr="009D3988" w:rsidRDefault="004D0D42" w:rsidP="004D0D42">
      <w:pPr>
        <w:pStyle w:val="FootnoteText"/>
        <w:rPr>
          <w:rFonts w:ascii="Times New Roman"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8" w:history="1">
        <w:r w:rsidRPr="009D3988">
          <w:rPr>
            <w:rFonts w:ascii="Times New Roman" w:eastAsia="Calibri" w:hAnsi="Times New Roman" w:cs="Times New Roman"/>
            <w:color w:val="000000" w:themeColor="text1"/>
            <w:sz w:val="18"/>
            <w:szCs w:val="18"/>
          </w:rPr>
          <w:t>https://www.theiia.org/globalassets/site/standards/mandatory-guidance/ippf/2017/ippf-standards-2017-latvian.pdf</w:t>
        </w:r>
      </w:hyperlink>
      <w:r w:rsidR="0015711D">
        <w:rPr>
          <w:rFonts w:ascii="Times New Roman" w:eastAsia="Calibri" w:hAnsi="Times New Roman" w:cs="Times New Roman"/>
          <w:color w:val="000000" w:themeColor="text1"/>
          <w:sz w:val="18"/>
          <w:szCs w:val="18"/>
        </w:rPr>
        <w:t xml:space="preserve"> </w:t>
      </w:r>
      <w:r w:rsidRPr="009D3988">
        <w:rPr>
          <w:rFonts w:ascii="Times New Roman" w:hAnsi="Times New Roman" w:cs="Times New Roman"/>
          <w:color w:val="000000" w:themeColor="text1"/>
          <w:sz w:val="18"/>
          <w:szCs w:val="18"/>
        </w:rPr>
        <w:t xml:space="preserve"> </w:t>
      </w:r>
    </w:p>
  </w:footnote>
  <w:footnote w:id="9">
    <w:p w14:paraId="6477C2CC" w14:textId="40AA80A0"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9" w:history="1">
        <w:r w:rsidRPr="009D3988">
          <w:rPr>
            <w:rFonts w:ascii="Times New Roman" w:eastAsia="Calibri" w:hAnsi="Times New Roman" w:cs="Times New Roman"/>
            <w:color w:val="000000" w:themeColor="text1"/>
            <w:sz w:val="18"/>
            <w:szCs w:val="18"/>
          </w:rPr>
          <w:t>https://www.theiia.org/globalassets/site/standards/mandatory-guidance/ippf/2017/ippf-standards-2017-latvian.pdf</w:t>
        </w:r>
      </w:hyperlink>
      <w:r w:rsidR="0015711D">
        <w:rPr>
          <w:rFonts w:ascii="Times New Roman" w:eastAsia="Calibri" w:hAnsi="Times New Roman" w:cs="Times New Roman"/>
          <w:color w:val="000000" w:themeColor="text1"/>
          <w:sz w:val="18"/>
          <w:szCs w:val="18"/>
        </w:rPr>
        <w:t xml:space="preserve"> </w:t>
      </w:r>
      <w:r w:rsidRPr="009D3988">
        <w:rPr>
          <w:rFonts w:ascii="Times New Roman" w:eastAsia="Calibri" w:hAnsi="Times New Roman" w:cs="Times New Roman"/>
          <w:color w:val="000000" w:themeColor="text1"/>
          <w:sz w:val="18"/>
          <w:szCs w:val="18"/>
        </w:rPr>
        <w:t xml:space="preserve"> </w:t>
      </w:r>
    </w:p>
  </w:footnote>
  <w:footnote w:id="10">
    <w:p w14:paraId="6178E74C"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10" w:history="1">
        <w:r w:rsidRPr="009D3988">
          <w:rPr>
            <w:rFonts w:ascii="Times New Roman" w:eastAsia="Calibri" w:hAnsi="Times New Roman" w:cs="Times New Roman"/>
            <w:color w:val="000000" w:themeColor="text1"/>
            <w:sz w:val="18"/>
            <w:szCs w:val="18"/>
          </w:rPr>
          <w:t>https://www.theiia.org/en/standards/Standards-Public-Comment/</w:t>
        </w:r>
      </w:hyperlink>
      <w:r w:rsidRPr="009D3988">
        <w:rPr>
          <w:rFonts w:ascii="Times New Roman" w:eastAsia="Calibri" w:hAnsi="Times New Roman" w:cs="Times New Roman"/>
          <w:color w:val="000000" w:themeColor="text1"/>
          <w:sz w:val="18"/>
          <w:szCs w:val="18"/>
        </w:rPr>
        <w:t xml:space="preserve"> </w:t>
      </w:r>
    </w:p>
  </w:footnote>
  <w:footnote w:id="11">
    <w:p w14:paraId="764E2A9E"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11" w:history="1">
        <w:r w:rsidRPr="009D3988">
          <w:rPr>
            <w:rFonts w:ascii="Times New Roman" w:eastAsia="Calibri" w:hAnsi="Times New Roman" w:cs="Times New Roman"/>
            <w:color w:val="000000" w:themeColor="text1"/>
            <w:sz w:val="18"/>
            <w:szCs w:val="18"/>
          </w:rPr>
          <w:t>https://www.theiia.org/globalassets/site/standards/mandatory-guidance/ippf/2017/ippf-standards-2017-latvian.pdf</w:t>
        </w:r>
      </w:hyperlink>
      <w:r w:rsidRPr="009D3988">
        <w:rPr>
          <w:rFonts w:ascii="Times New Roman" w:eastAsia="Calibri" w:hAnsi="Times New Roman" w:cs="Times New Roman"/>
          <w:color w:val="000000" w:themeColor="text1"/>
          <w:sz w:val="18"/>
          <w:szCs w:val="18"/>
        </w:rPr>
        <w:t xml:space="preserve"> </w:t>
      </w:r>
    </w:p>
  </w:footnote>
  <w:footnote w:id="12">
    <w:p w14:paraId="2FC5F1B3" w14:textId="77777777" w:rsidR="004D0D42" w:rsidRPr="009D3988" w:rsidRDefault="004D0D42" w:rsidP="004D0D42">
      <w:pPr>
        <w:pStyle w:val="FootnoteText"/>
        <w:rPr>
          <w:rFonts w:ascii="Times New Roman" w:eastAsia="Calibri" w:hAnsi="Times New Roman" w:cs="Times New Roman"/>
          <w:color w:val="000000" w:themeColor="text1"/>
          <w:sz w:val="18"/>
          <w:szCs w:val="18"/>
        </w:rPr>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12" w:history="1">
        <w:r w:rsidRPr="009D3988">
          <w:rPr>
            <w:rFonts w:ascii="Times New Roman" w:eastAsia="Calibri" w:hAnsi="Times New Roman" w:cs="Times New Roman"/>
            <w:color w:val="000000" w:themeColor="text1"/>
            <w:sz w:val="18"/>
            <w:szCs w:val="18"/>
          </w:rPr>
          <w:t>https://likumi.lv/ta/id/336956-pasvaldibu-likums</w:t>
        </w:r>
      </w:hyperlink>
      <w:r w:rsidRPr="009D3988">
        <w:rPr>
          <w:rFonts w:ascii="Times New Roman" w:eastAsia="Calibri" w:hAnsi="Times New Roman" w:cs="Times New Roman"/>
          <w:color w:val="000000" w:themeColor="text1"/>
          <w:sz w:val="18"/>
          <w:szCs w:val="18"/>
        </w:rPr>
        <w:t xml:space="preserve"> </w:t>
      </w:r>
    </w:p>
  </w:footnote>
  <w:footnote w:id="13">
    <w:p w14:paraId="57D63512" w14:textId="77777777" w:rsidR="004D0D42" w:rsidRPr="009D3988" w:rsidRDefault="004D0D42" w:rsidP="004D0D42">
      <w:pPr>
        <w:pStyle w:val="FootnoteText"/>
        <w:rPr>
          <w:rFonts w:ascii="Times New Roman" w:hAnsi="Times New Roman" w:cs="Times New Roman"/>
          <w:color w:val="000000" w:themeColor="text1"/>
          <w:sz w:val="18"/>
          <w:szCs w:val="18"/>
        </w:rPr>
      </w:pPr>
      <w:r w:rsidRPr="009D3988">
        <w:rPr>
          <w:rStyle w:val="FootnoteReference"/>
          <w:rFonts w:ascii="Times New Roman" w:hAnsi="Times New Roman" w:cs="Times New Roman"/>
          <w:color w:val="000000" w:themeColor="text1"/>
          <w:sz w:val="18"/>
          <w:szCs w:val="18"/>
        </w:rPr>
        <w:footnoteRef/>
      </w:r>
      <w:r w:rsidRPr="009D3988">
        <w:rPr>
          <w:rFonts w:ascii="Times New Roman" w:hAnsi="Times New Roman" w:cs="Times New Roman"/>
          <w:color w:val="000000" w:themeColor="text1"/>
          <w:sz w:val="18"/>
          <w:szCs w:val="18"/>
        </w:rPr>
        <w:t xml:space="preserve"> https://www.fm.gov.lv/lv/es-fondu-revizijas-iestade-0</w:t>
      </w:r>
    </w:p>
  </w:footnote>
  <w:footnote w:id="14">
    <w:p w14:paraId="4FBED399" w14:textId="77777777" w:rsidR="004D0D42" w:rsidRDefault="004D0D42" w:rsidP="004D0D42">
      <w:pPr>
        <w:pStyle w:val="FootnoteText"/>
      </w:pPr>
      <w:r w:rsidRPr="009D3988">
        <w:rPr>
          <w:rFonts w:ascii="Times New Roman" w:eastAsia="Calibri" w:hAnsi="Times New Roman" w:cs="Times New Roman"/>
          <w:color w:val="000000" w:themeColor="text1"/>
          <w:sz w:val="18"/>
          <w:szCs w:val="18"/>
        </w:rPr>
        <w:footnoteRef/>
      </w:r>
      <w:r w:rsidRPr="009D3988">
        <w:rPr>
          <w:rFonts w:ascii="Times New Roman" w:eastAsia="Calibri" w:hAnsi="Times New Roman" w:cs="Times New Roman"/>
          <w:color w:val="000000" w:themeColor="text1"/>
          <w:sz w:val="18"/>
          <w:szCs w:val="18"/>
        </w:rPr>
        <w:t xml:space="preserve"> </w:t>
      </w:r>
      <w:hyperlink r:id="rId13" w:history="1">
        <w:r w:rsidRPr="009D3988">
          <w:rPr>
            <w:rFonts w:ascii="Times New Roman" w:eastAsia="Calibri" w:hAnsi="Times New Roman" w:cs="Times New Roman"/>
            <w:color w:val="000000" w:themeColor="text1"/>
            <w:sz w:val="18"/>
            <w:szCs w:val="18"/>
          </w:rPr>
          <w:t>https://www.theiia.org/globalassets/site/standards/mandatory-guidance/ippf/2017/ippf-standards-2017-latvian.pdf</w:t>
        </w:r>
      </w:hyperlink>
      <w:r w:rsidRPr="009D3988">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CC476" w14:textId="77777777" w:rsidR="00DB49AE" w:rsidRDefault="00DB4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E50A" w14:textId="046326B8" w:rsidR="00D64037" w:rsidRDefault="00D64037" w:rsidP="00D64037">
    <w:pPr>
      <w:pStyle w:val="Header"/>
      <w:jc w:val="right"/>
      <w:rPr>
        <w:rFonts w:asciiTheme="majorBidi" w:hAnsiTheme="majorBidi" w:cstheme="majorBidi"/>
        <w:i/>
        <w:iCs/>
        <w:color w:val="auto"/>
      </w:rPr>
    </w:pPr>
    <w:r w:rsidRPr="00B929DE">
      <w:rPr>
        <w:rFonts w:asciiTheme="majorBidi" w:hAnsiTheme="majorBidi" w:cstheme="majorBidi"/>
        <w:i/>
        <w:iCs/>
        <w:color w:val="auto"/>
      </w:rPr>
      <w:t>Rokasgrāmata</w:t>
    </w:r>
    <w:r>
      <w:rPr>
        <w:rFonts w:asciiTheme="majorBidi" w:hAnsiTheme="majorBidi" w:cstheme="majorBidi"/>
        <w:i/>
        <w:iCs/>
        <w:color w:val="auto"/>
      </w:rPr>
      <w:t xml:space="preserve"> 2024</w:t>
    </w:r>
    <w:r w:rsidRPr="00B929DE">
      <w:rPr>
        <w:rFonts w:asciiTheme="majorBidi" w:hAnsiTheme="majorBidi" w:cstheme="majorBidi"/>
        <w:i/>
        <w:iCs/>
        <w:color w:val="auto"/>
      </w:rPr>
      <w:t xml:space="preserve">: </w:t>
    </w:r>
    <w:r>
      <w:rPr>
        <w:rFonts w:asciiTheme="majorBidi" w:hAnsiTheme="majorBidi" w:cstheme="majorBidi"/>
        <w:i/>
        <w:iCs/>
        <w:color w:val="auto"/>
      </w:rPr>
      <w:t xml:space="preserve">(I) </w:t>
    </w:r>
    <w:r w:rsidRPr="00B929DE">
      <w:rPr>
        <w:rFonts w:asciiTheme="majorBidi" w:hAnsiTheme="majorBidi" w:cstheme="majorBidi"/>
        <w:i/>
        <w:iCs/>
        <w:color w:val="auto"/>
      </w:rPr>
      <w:t>Iekšējā audita sistēma pašvaldībās</w:t>
    </w:r>
  </w:p>
  <w:p w14:paraId="2D07FB9D" w14:textId="77777777" w:rsidR="00DB49AE" w:rsidRDefault="00DB49AE" w:rsidP="00D64037">
    <w:pPr>
      <w:pStyle w:val="Header"/>
      <w:jc w:val="right"/>
      <w:rPr>
        <w:rFonts w:asciiTheme="majorBidi" w:hAnsiTheme="majorBidi" w:cstheme="majorBidi"/>
        <w:i/>
        <w:iCs/>
        <w:color w:val="auto"/>
      </w:rPr>
    </w:pPr>
  </w:p>
  <w:p w14:paraId="6021AE1A" w14:textId="1BD90AC9" w:rsidR="00DB49AE" w:rsidRDefault="00DB49AE" w:rsidP="00D64037">
    <w:pPr>
      <w:pStyle w:val="Header"/>
      <w:jc w:val="right"/>
    </w:pPr>
    <w:r w:rsidRPr="00DB49AE">
      <w:t>RG1_P1_Izmantotie_jēdzieni_2024</w:t>
    </w:r>
  </w:p>
  <w:p w14:paraId="653A7715" w14:textId="77777777" w:rsidR="00DB49AE" w:rsidRDefault="00DB49AE" w:rsidP="00D6403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D4C93" w14:textId="77777777" w:rsidR="00DB49AE" w:rsidRDefault="00DB4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51B14"/>
    <w:multiLevelType w:val="multilevel"/>
    <w:tmpl w:val="33049010"/>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43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42"/>
    <w:rsid w:val="000C6FD2"/>
    <w:rsid w:val="0015711D"/>
    <w:rsid w:val="004D0D42"/>
    <w:rsid w:val="00753BA9"/>
    <w:rsid w:val="00835668"/>
    <w:rsid w:val="008B7864"/>
    <w:rsid w:val="008C7C87"/>
    <w:rsid w:val="009D3988"/>
    <w:rsid w:val="00D64037"/>
    <w:rsid w:val="00DB49AE"/>
    <w:rsid w:val="00E62A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968E"/>
  <w15:chartTrackingRefBased/>
  <w15:docId w15:val="{69015B49-ACDF-48F8-846B-2D45C548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4D0D42"/>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4D0D42"/>
    <w:pPr>
      <w:keepNext/>
      <w:keepLines/>
      <w:numPr>
        <w:numId w:val="1"/>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4D0D42"/>
    <w:pPr>
      <w:keepNext/>
      <w:keepLines/>
      <w:numPr>
        <w:ilvl w:val="1"/>
        <w:numId w:val="1"/>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4D0D42"/>
    <w:pPr>
      <w:keepNext/>
      <w:keepLines/>
      <w:numPr>
        <w:ilvl w:val="2"/>
        <w:numId w:val="1"/>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D42"/>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4D0D42"/>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4D0D42"/>
    <w:rPr>
      <w:rFonts w:ascii="Arial" w:eastAsiaTheme="majorEastAsia" w:hAnsi="Arial" w:cstheme="majorBidi"/>
      <w:b/>
      <w:color w:val="2F5496"/>
      <w:kern w:val="0"/>
      <w:sz w:val="20"/>
      <w:szCs w:val="24"/>
      <w14:ligatures w14:val="none"/>
    </w:rPr>
  </w:style>
  <w:style w:type="paragraph" w:styleId="BodyText">
    <w:name w:val="Body Text"/>
    <w:basedOn w:val="Normal"/>
    <w:link w:val="BodyTextChar"/>
    <w:qFormat/>
    <w:rsid w:val="004D0D42"/>
    <w:pPr>
      <w:spacing w:after="120"/>
      <w:jc w:val="both"/>
    </w:pPr>
    <w:rPr>
      <w:rFonts w:eastAsia="Times New Roman" w:cs="Times New Roman"/>
      <w:szCs w:val="24"/>
      <w:lang w:val="en-US"/>
    </w:rPr>
  </w:style>
  <w:style w:type="character" w:customStyle="1" w:styleId="BodyTextChar">
    <w:name w:val="Body Text Char"/>
    <w:basedOn w:val="DefaultParagraphFont"/>
    <w:link w:val="BodyText"/>
    <w:rsid w:val="004D0D42"/>
    <w:rPr>
      <w:rFonts w:ascii="Arial" w:eastAsia="Times New Roman" w:hAnsi="Arial" w:cs="Times New Roman"/>
      <w:color w:val="5E6175"/>
      <w:kern w:val="0"/>
      <w:sz w:val="20"/>
      <w:szCs w:val="24"/>
      <w:lang w:val="en-US"/>
      <w14:ligatures w14:val="none"/>
    </w:rPr>
  </w:style>
  <w:style w:type="paragraph" w:customStyle="1" w:styleId="Zilieteksti">
    <w:name w:val="Zilie teksti"/>
    <w:basedOn w:val="Normal"/>
    <w:link w:val="ZilietekstiChar"/>
    <w:qFormat/>
    <w:rsid w:val="004D0D42"/>
    <w:rPr>
      <w:b/>
      <w:noProof/>
      <w:color w:val="2F5496"/>
      <w:lang w:val="en-US"/>
    </w:rPr>
  </w:style>
  <w:style w:type="character" w:customStyle="1" w:styleId="ZilietekstiChar">
    <w:name w:val="Zilie teksti Char"/>
    <w:basedOn w:val="DefaultParagraphFont"/>
    <w:link w:val="Zilieteksti"/>
    <w:rsid w:val="004D0D42"/>
    <w:rPr>
      <w:rFonts w:ascii="Arial" w:hAnsi="Arial"/>
      <w:b/>
      <w:noProof/>
      <w:color w:val="2F5496"/>
      <w:kern w:val="0"/>
      <w:sz w:val="20"/>
      <w:lang w:val="en-US"/>
      <w14:ligatures w14:val="none"/>
    </w:rPr>
  </w:style>
  <w:style w:type="paragraph" w:styleId="FootnoteText">
    <w:name w:val="footnote text"/>
    <w:basedOn w:val="Normal"/>
    <w:link w:val="FootnoteTextChar"/>
    <w:uiPriority w:val="99"/>
    <w:semiHidden/>
    <w:unhideWhenUsed/>
    <w:rsid w:val="004D0D42"/>
    <w:pPr>
      <w:spacing w:after="0"/>
    </w:pPr>
    <w:rPr>
      <w:szCs w:val="20"/>
    </w:rPr>
  </w:style>
  <w:style w:type="character" w:customStyle="1" w:styleId="FootnoteTextChar">
    <w:name w:val="Footnote Text Char"/>
    <w:basedOn w:val="DefaultParagraphFont"/>
    <w:link w:val="FootnoteText"/>
    <w:uiPriority w:val="99"/>
    <w:semiHidden/>
    <w:rsid w:val="004D0D42"/>
    <w:rPr>
      <w:rFonts w:ascii="Arial" w:hAnsi="Arial"/>
      <w:color w:val="5E6175"/>
      <w:kern w:val="0"/>
      <w:sz w:val="20"/>
      <w:szCs w:val="20"/>
      <w14:ligatures w14:val="none"/>
    </w:rPr>
  </w:style>
  <w:style w:type="character" w:styleId="FootnoteReference">
    <w:name w:val="footnote reference"/>
    <w:basedOn w:val="DefaultParagraphFont"/>
    <w:uiPriority w:val="99"/>
    <w:semiHidden/>
    <w:unhideWhenUsed/>
    <w:rsid w:val="004D0D42"/>
    <w:rPr>
      <w:vertAlign w:val="superscript"/>
    </w:rPr>
  </w:style>
  <w:style w:type="table" w:styleId="PlainTable1">
    <w:name w:val="Plain Table 1"/>
    <w:basedOn w:val="TableNormal"/>
    <w:uiPriority w:val="41"/>
    <w:rsid w:val="004D0D42"/>
    <w:pPr>
      <w:spacing w:after="0" w:line="240" w:lineRule="auto"/>
    </w:pPr>
    <w:rPr>
      <w:rFonts w:ascii="Arial" w:hAnsi="Arial"/>
      <w:color w:val="5E6175"/>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64037"/>
    <w:pPr>
      <w:tabs>
        <w:tab w:val="center" w:pos="4153"/>
        <w:tab w:val="right" w:pos="8306"/>
      </w:tabs>
      <w:spacing w:after="0"/>
    </w:pPr>
  </w:style>
  <w:style w:type="character" w:customStyle="1" w:styleId="HeaderChar">
    <w:name w:val="Header Char"/>
    <w:basedOn w:val="DefaultParagraphFont"/>
    <w:link w:val="Header"/>
    <w:uiPriority w:val="99"/>
    <w:rsid w:val="00D64037"/>
    <w:rPr>
      <w:rFonts w:ascii="Arial" w:hAnsi="Arial"/>
      <w:color w:val="5E6175"/>
      <w:kern w:val="0"/>
      <w:sz w:val="20"/>
      <w14:ligatures w14:val="none"/>
    </w:rPr>
  </w:style>
  <w:style w:type="paragraph" w:styleId="Footer">
    <w:name w:val="footer"/>
    <w:basedOn w:val="Normal"/>
    <w:link w:val="FooterChar"/>
    <w:uiPriority w:val="99"/>
    <w:unhideWhenUsed/>
    <w:rsid w:val="00D64037"/>
    <w:pPr>
      <w:tabs>
        <w:tab w:val="center" w:pos="4153"/>
        <w:tab w:val="right" w:pos="8306"/>
      </w:tabs>
      <w:spacing w:after="0"/>
    </w:pPr>
  </w:style>
  <w:style w:type="character" w:customStyle="1" w:styleId="FooterChar">
    <w:name w:val="Footer Char"/>
    <w:basedOn w:val="DefaultParagraphFont"/>
    <w:link w:val="Footer"/>
    <w:uiPriority w:val="99"/>
    <w:rsid w:val="00D64037"/>
    <w:rPr>
      <w:rFonts w:ascii="Arial" w:hAnsi="Arial"/>
      <w:color w:val="5E6175"/>
      <w:kern w:val="0"/>
      <w:sz w:val="20"/>
      <w14:ligatures w14:val="none"/>
    </w:rPr>
  </w:style>
  <w:style w:type="character" w:styleId="Hyperlink">
    <w:name w:val="Hyperlink"/>
    <w:basedOn w:val="DefaultParagraphFont"/>
    <w:uiPriority w:val="99"/>
    <w:unhideWhenUsed/>
    <w:rsid w:val="0015711D"/>
    <w:rPr>
      <w:color w:val="0563C1" w:themeColor="hyperlink"/>
      <w:u w:val="single"/>
    </w:rPr>
  </w:style>
  <w:style w:type="character" w:styleId="UnresolvedMention">
    <w:name w:val="Unresolved Mention"/>
    <w:basedOn w:val="DefaultParagraphFont"/>
    <w:uiPriority w:val="99"/>
    <w:semiHidden/>
    <w:unhideWhenUsed/>
    <w:rsid w:val="0015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theiia.org/globalassets/site/standards/mandatory-guidance/ippf/2017/ippf-standards-2017-latvian.pdf" TargetMode="External"/><Relationship Id="rId13" Type="http://schemas.openxmlformats.org/officeDocument/2006/relationships/hyperlink" Target="https://www.theiia.org/globalassets/site/standards/mandatory-guidance/ippf/2017/ippf-standards-2017-latvian.pdf" TargetMode="External"/><Relationship Id="rId3" Type="http://schemas.openxmlformats.org/officeDocument/2006/relationships/hyperlink" Target="https://www.coso.org/Shared%20Documents/Framework-Executive-Summary.pdf" TargetMode="External"/><Relationship Id="rId7" Type="http://schemas.openxmlformats.org/officeDocument/2006/relationships/hyperlink" Target="https://likumi.lv/ta/id/253680-iekseja-audita-likums" TargetMode="External"/><Relationship Id="rId12" Type="http://schemas.openxmlformats.org/officeDocument/2006/relationships/hyperlink" Target="https://likumi.lv/ta/id/336956-pasvaldibu-likums" TargetMode="External"/><Relationship Id="rId2" Type="http://schemas.openxmlformats.org/officeDocument/2006/relationships/hyperlink" Target="https://www.theiia.org/en/standards/Standards-Public-Comment/" TargetMode="External"/><Relationship Id="rId1" Type="http://schemas.openxmlformats.org/officeDocument/2006/relationships/hyperlink" Target="https://iai.lv/lv/obligatie-noradijumi" TargetMode="External"/><Relationship Id="rId6" Type="http://schemas.openxmlformats.org/officeDocument/2006/relationships/hyperlink" Target="https://www.theiia.org/en/standards/Standards-Public-Comment/" TargetMode="External"/><Relationship Id="rId11" Type="http://schemas.openxmlformats.org/officeDocument/2006/relationships/hyperlink" Target="https://www.theiia.org/globalassets/site/standards/mandatory-guidance/ippf/2017/ippf-standards-2017-latvian.pdf" TargetMode="External"/><Relationship Id="rId5" Type="http://schemas.openxmlformats.org/officeDocument/2006/relationships/hyperlink" Target="https://www.theiia.org/globalassets/site/standards/mandatory-guidance/ippf/2017/ippf-standards-2017-latvian.pdf" TargetMode="External"/><Relationship Id="rId10" Type="http://schemas.openxmlformats.org/officeDocument/2006/relationships/hyperlink" Target="https://www.theiia.org/en/standards/Standards-Public-Comment/" TargetMode="External"/><Relationship Id="rId4" Type="http://schemas.openxmlformats.org/officeDocument/2006/relationships/hyperlink" Target="https://likumi.lv/ta/id/253680-iekseja-audita-likums" TargetMode="External"/><Relationship Id="rId9" Type="http://schemas.openxmlformats.org/officeDocument/2006/relationships/hyperlink" Target="https://www.theiia.org/globalassets/site/standards/mandatory-guidance/ippf/2017/ippf-standards-2017-latvi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482AC-5FA0-4AD2-8943-0B56D94B0572}">
  <ds:schemaRefs>
    <ds:schemaRef ds:uri="http://schemas.microsoft.com/sharepoint/v3/contenttype/forms"/>
  </ds:schemaRefs>
</ds:datastoreItem>
</file>

<file path=customXml/itemProps2.xml><?xml version="1.0" encoding="utf-8"?>
<ds:datastoreItem xmlns:ds="http://schemas.openxmlformats.org/officeDocument/2006/customXml" ds:itemID="{94F6C030-6DF2-41D0-8019-76597CCC4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3126</Words>
  <Characters>1783</Characters>
  <Application>Microsoft Office Word</Application>
  <DocSecurity>0</DocSecurity>
  <Lines>14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6</cp:revision>
  <dcterms:created xsi:type="dcterms:W3CDTF">2023-07-03T08:29:00Z</dcterms:created>
  <dcterms:modified xsi:type="dcterms:W3CDTF">2025-01-27T17:18:00Z</dcterms:modified>
</cp:coreProperties>
</file>