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2.xml" ContentType="application/vnd.openxmlformats-officedocument.drawingml.chartshapes+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4A3" w:rsidRDefault="009264A3" w:rsidP="00985129">
      <w:pPr>
        <w:pStyle w:val="Heading1"/>
        <w:spacing w:before="0" w:line="240" w:lineRule="auto"/>
        <w:jc w:val="center"/>
        <w:rPr>
          <w:rFonts w:ascii="Times New Roman" w:hAnsi="Times New Roman" w:cs="Times New Roman"/>
          <w:b/>
          <w:color w:val="auto"/>
          <w:sz w:val="44"/>
          <w:szCs w:val="44"/>
        </w:rPr>
      </w:pPr>
      <w:bookmarkStart w:id="0" w:name="_Toc279341936"/>
      <w:r w:rsidRPr="00FB4822">
        <w:rPr>
          <w:rFonts w:ascii="Times New Roman" w:hAnsi="Times New Roman" w:cs="Times New Roman"/>
          <w:b/>
          <w:color w:val="auto"/>
          <w:sz w:val="44"/>
          <w:szCs w:val="44"/>
        </w:rPr>
        <w:t>1. Makroekonomiskās attīstības apraksts</w:t>
      </w:r>
      <w:bookmarkEnd w:id="0"/>
      <w:r w:rsidRPr="00FB4822">
        <w:rPr>
          <w:rStyle w:val="FootnoteReference"/>
          <w:rFonts w:ascii="Times New Roman" w:hAnsi="Times New Roman" w:cs="Times New Roman"/>
          <w:b/>
          <w:color w:val="auto"/>
          <w:sz w:val="44"/>
          <w:szCs w:val="44"/>
        </w:rPr>
        <w:footnoteReference w:id="1"/>
      </w:r>
    </w:p>
    <w:p w:rsidR="0002693A" w:rsidRDefault="0002693A" w:rsidP="0002693A">
      <w:pPr>
        <w:rPr>
          <w:rFonts w:ascii="Times New Roman" w:hAnsi="Times New Roman" w:cs="Times New Roman"/>
          <w:sz w:val="24"/>
          <w:szCs w:val="24"/>
        </w:rPr>
      </w:pPr>
    </w:p>
    <w:p w:rsidR="0002693A" w:rsidRPr="0002693A" w:rsidRDefault="0002693A" w:rsidP="0002693A">
      <w:pPr>
        <w:spacing w:after="120" w:line="240" w:lineRule="auto"/>
        <w:ind w:firstLine="709"/>
        <w:jc w:val="both"/>
        <w:rPr>
          <w:rFonts w:ascii="Times New Roman" w:hAnsi="Times New Roman" w:cs="Times New Roman"/>
          <w:sz w:val="24"/>
          <w:szCs w:val="24"/>
        </w:rPr>
      </w:pPr>
      <w:r w:rsidRPr="0002693A">
        <w:rPr>
          <w:rFonts w:ascii="Times New Roman" w:hAnsi="Times New Roman" w:cs="Times New Roman"/>
          <w:sz w:val="24"/>
          <w:szCs w:val="24"/>
        </w:rPr>
        <w:t>Pēc ekonomiskās izaugsmes tempu sabremzēšanās 2016.gadā līdz 2,1%, nākamajos divos gados bija vērojama būtiska Latvijas iekšzemes kopprodukta pieauguma paātrināšanās. Latvijas ekonomiskā izaugsme 2017.gadā sasniedza 4,6%, ko veicināja augošais ārējais pieprasījums un investīciju plūsmas atjaunošanās, un tas bija straujākais kāpums pēdējo sešu gadu laikā. Līdzīga strauja ekonomikas izaugsme saglabājās 2018.gadā, kad IKP palielinājās par 4,8% salīdzināmās cenās.</w:t>
      </w:r>
    </w:p>
    <w:p w:rsidR="0002693A" w:rsidRPr="0002693A" w:rsidRDefault="0002693A" w:rsidP="0002693A">
      <w:pPr>
        <w:spacing w:after="120" w:line="240" w:lineRule="auto"/>
        <w:ind w:firstLine="709"/>
        <w:jc w:val="both"/>
        <w:rPr>
          <w:rFonts w:ascii="Times New Roman" w:hAnsi="Times New Roman" w:cs="Times New Roman"/>
          <w:sz w:val="24"/>
          <w:szCs w:val="24"/>
        </w:rPr>
      </w:pPr>
      <w:r w:rsidRPr="0002693A">
        <w:rPr>
          <w:rFonts w:ascii="Times New Roman" w:hAnsi="Times New Roman" w:cs="Times New Roman"/>
          <w:sz w:val="24"/>
          <w:szCs w:val="24"/>
        </w:rPr>
        <w:t>Lielāko devumu ekonomikas izaugsmē 2018.gadā nodrošināja būvniecības nozare, palielinoties par 22,6%, ko nodrošināja straujāka ES fondu ieplūde, kā arī privāto investīciju aktivitātes pieaugums. No citām nozarēm lielākos ieguldījumus ekonomikas izaugsmē deva informācijas un komunikācijas pakalpojumu, transporta un tirdzniecības nozares. Samazinājums 2018.gadā fiksēts tikai finanšu pakalpojumu nozarē, samazinoties nerezidentu apkalpošanai banku sektorā.</w:t>
      </w:r>
    </w:p>
    <w:p w:rsidR="0002693A" w:rsidRPr="0002693A" w:rsidRDefault="0002693A" w:rsidP="0002693A">
      <w:pPr>
        <w:spacing w:after="120" w:line="240" w:lineRule="auto"/>
        <w:ind w:firstLine="709"/>
        <w:jc w:val="both"/>
        <w:rPr>
          <w:rFonts w:ascii="Times New Roman" w:hAnsi="Times New Roman" w:cs="Times New Roman"/>
          <w:sz w:val="24"/>
          <w:szCs w:val="24"/>
        </w:rPr>
      </w:pPr>
      <w:r w:rsidRPr="0002693A">
        <w:rPr>
          <w:rFonts w:ascii="Times New Roman" w:hAnsi="Times New Roman" w:cs="Times New Roman"/>
          <w:sz w:val="24"/>
          <w:szCs w:val="24"/>
        </w:rPr>
        <w:t>Atbilstoši Finanšu ministrijas (turpmāk – FM) prognozēm</w:t>
      </w:r>
      <w:r w:rsidRPr="0002693A">
        <w:rPr>
          <w:rStyle w:val="FootnoteReference"/>
          <w:rFonts w:ascii="Times New Roman" w:hAnsi="Times New Roman" w:cs="Times New Roman"/>
          <w:sz w:val="24"/>
          <w:szCs w:val="24"/>
        </w:rPr>
        <w:footnoteReference w:id="2"/>
      </w:r>
      <w:r w:rsidRPr="0002693A">
        <w:rPr>
          <w:rFonts w:ascii="Times New Roman" w:hAnsi="Times New Roman" w:cs="Times New Roman"/>
          <w:sz w:val="24"/>
          <w:szCs w:val="24"/>
        </w:rPr>
        <w:t xml:space="preserve"> 2019.gadā IKP pieaugums veidos 3,0%. Salīdzinājumā ar iepriekšējām prognozēm, kas tika izstrādātas 2018.gada februārī, 2019.gada izaugsmes prognoze ir samazināta par 0,4 procentpunktiem. Tā kā IKP pieaugums 2018.gadā ir saistīts ar spēcīgāku, nekā sagaidīts iepriekš, būvniecības nozares un investīciju attīstību, kā arī labvēlīgāku, nekā prognozēts, attīstību transporta un finanšu pakalpojumu nozarēs, tad ņemot vērā šos bāzes efektus, izaugsme 2019.gadā būs nedaudz lēnāka, nekā tika prognozēts iepriekš, un izaugsmes tempus samazinās arī nedaudz mazāk labvēlīgā situācija pasaules ekonomikā.</w:t>
      </w:r>
    </w:p>
    <w:p w:rsidR="009264A3" w:rsidRDefault="009264A3" w:rsidP="00985129">
      <w:pPr>
        <w:pStyle w:val="Heading2"/>
        <w:spacing w:before="240"/>
        <w:jc w:val="center"/>
        <w:rPr>
          <w:rFonts w:ascii="Times New Roman" w:hAnsi="Times New Roman" w:cs="Times New Roman"/>
          <w:b/>
          <w:color w:val="auto"/>
          <w:sz w:val="36"/>
          <w:szCs w:val="36"/>
        </w:rPr>
      </w:pPr>
      <w:bookmarkStart w:id="1" w:name="_Toc279341937"/>
      <w:bookmarkStart w:id="2" w:name="_Toc279341938"/>
      <w:bookmarkStart w:id="3" w:name="_Toc279341940"/>
      <w:r w:rsidRPr="00D84B12">
        <w:rPr>
          <w:rFonts w:ascii="Times New Roman" w:hAnsi="Times New Roman" w:cs="Times New Roman"/>
          <w:b/>
          <w:color w:val="auto"/>
          <w:sz w:val="36"/>
          <w:szCs w:val="36"/>
        </w:rPr>
        <w:t>1.1. Ārējā ekonomiskā vide</w:t>
      </w:r>
      <w:bookmarkEnd w:id="1"/>
    </w:p>
    <w:p w:rsidR="00D84B12" w:rsidRDefault="00D84B12" w:rsidP="0002693A">
      <w:pPr>
        <w:spacing w:after="120" w:line="240" w:lineRule="auto"/>
        <w:rPr>
          <w:rFonts w:ascii="Times New Roman" w:hAnsi="Times New Roman" w:cs="Times New Roman"/>
          <w:sz w:val="24"/>
          <w:szCs w:val="24"/>
        </w:rPr>
      </w:pPr>
    </w:p>
    <w:p w:rsidR="0002693A" w:rsidRPr="0002693A" w:rsidRDefault="0002693A" w:rsidP="0002693A">
      <w:pPr>
        <w:spacing w:after="120" w:line="240" w:lineRule="auto"/>
        <w:ind w:firstLine="709"/>
        <w:jc w:val="both"/>
        <w:rPr>
          <w:rFonts w:ascii="Times New Roman" w:hAnsi="Times New Roman" w:cs="Times New Roman"/>
          <w:sz w:val="24"/>
          <w:szCs w:val="24"/>
        </w:rPr>
      </w:pPr>
      <w:r w:rsidRPr="0002693A">
        <w:rPr>
          <w:rFonts w:ascii="Times New Roman" w:hAnsi="Times New Roman" w:cs="Times New Roman"/>
          <w:sz w:val="24"/>
          <w:szCs w:val="24"/>
        </w:rPr>
        <w:t>Pasaules ekonomika 2017.gadā sasniedza straujāko kāpumu pēdējo sešu gadu laikā, salīdzinājumā ar iepriekšējo gadu palielinoties par 3,7% (Starptautiskā Valūtas fonda (turpmāk - SVF) dati). Izaugsmes paātrināšanos pasaulē nodrošināja galvenokārt straujāka izaugsme attīstītajās valstīs, tajā skaitā Eiropas Savienībā (turpmāk – ES), kur IKP pieauga par 2,4%. ES ekonomikai tas bija straujākais kāpums pēdējo desmit gadu laikā, un pirmo reizi pēc krīzes ekonomikas izaugsme tika sasniegta pilnīgi visās ES valstīs.</w:t>
      </w:r>
    </w:p>
    <w:p w:rsidR="0002693A" w:rsidRPr="0002693A" w:rsidRDefault="0002693A" w:rsidP="0002693A">
      <w:pPr>
        <w:spacing w:after="120" w:line="240" w:lineRule="auto"/>
        <w:ind w:firstLine="709"/>
        <w:jc w:val="both"/>
        <w:rPr>
          <w:rFonts w:ascii="Times New Roman" w:hAnsi="Times New Roman" w:cs="Times New Roman"/>
          <w:sz w:val="24"/>
          <w:szCs w:val="24"/>
        </w:rPr>
      </w:pPr>
      <w:r w:rsidRPr="0002693A">
        <w:rPr>
          <w:rFonts w:ascii="Times New Roman" w:hAnsi="Times New Roman" w:cs="Times New Roman"/>
          <w:sz w:val="24"/>
          <w:szCs w:val="24"/>
        </w:rPr>
        <w:t>2018. gadam pasaules ekonomikas kopējā izaugsme tiek novērtēta 3,5% apmērā, bet 2019.gadam prognozēta 3,7% apmērā (SVF dati). Tas ir lēnāk, nekā SVF un Eiropas Komisija (turpmāk – EK) paredzēja 2018.gada sākumā, un ekonomikas izaugsmes prognozes 2018.gada laikā ir tikušas pastāvīgi pazeminātas. Tas saistīts ar 2018.gada sākumā f</w:t>
      </w:r>
      <w:r w:rsidR="000D14DF">
        <w:rPr>
          <w:rFonts w:ascii="Times New Roman" w:hAnsi="Times New Roman" w:cs="Times New Roman"/>
          <w:sz w:val="24"/>
          <w:szCs w:val="24"/>
        </w:rPr>
        <w:t>iksēto zemāku</w:t>
      </w:r>
      <w:r w:rsidRPr="0002693A">
        <w:rPr>
          <w:rFonts w:ascii="Times New Roman" w:hAnsi="Times New Roman" w:cs="Times New Roman"/>
          <w:sz w:val="24"/>
          <w:szCs w:val="24"/>
        </w:rPr>
        <w:t xml:space="preserve"> IKP pieaugumu vairākās būtiskās pasaules valstīs, pasaules tirdzniecības ierobežojumiem, mazāk labvēlīgiem kreditēšanas nosacījumiem, naftas cenu svārstībām, kā arī ar ģeopolitiskās spriedzes pieaugumu atsevišķos pasaules reģionos un augošo nenoteiktību saistībā ar Lielbritānijas i</w:t>
      </w:r>
      <w:r w:rsidR="000D14DF">
        <w:rPr>
          <w:rFonts w:ascii="Times New Roman" w:hAnsi="Times New Roman" w:cs="Times New Roman"/>
          <w:sz w:val="24"/>
          <w:szCs w:val="24"/>
        </w:rPr>
        <w:t xml:space="preserve">zstāšanos no Eiropas Savienības. </w:t>
      </w:r>
      <w:r w:rsidRPr="0002693A">
        <w:rPr>
          <w:rFonts w:ascii="Times New Roman" w:hAnsi="Times New Roman" w:cs="Times New Roman"/>
          <w:sz w:val="24"/>
          <w:szCs w:val="24"/>
        </w:rPr>
        <w:t>Arī ES ekonomikas izaugsmes tempi 2018.gadā kļuvuši lēnāki, un izaugsmes prognozes ES ekonomikai kopumā un atsevišķām lielajām ES valstīm pēdējā pusgada laikā tikušas pazeminātas.</w:t>
      </w:r>
    </w:p>
    <w:p w:rsidR="0002693A" w:rsidRPr="0002693A" w:rsidRDefault="0002693A" w:rsidP="0002693A">
      <w:pPr>
        <w:spacing w:after="120" w:line="240" w:lineRule="auto"/>
        <w:ind w:firstLine="709"/>
        <w:jc w:val="both"/>
        <w:rPr>
          <w:rFonts w:ascii="Times New Roman" w:hAnsi="Times New Roman" w:cs="Times New Roman"/>
          <w:sz w:val="24"/>
          <w:szCs w:val="24"/>
        </w:rPr>
      </w:pPr>
      <w:r w:rsidRPr="0002693A">
        <w:rPr>
          <w:rFonts w:ascii="Times New Roman" w:hAnsi="Times New Roman" w:cs="Times New Roman"/>
          <w:sz w:val="24"/>
          <w:szCs w:val="24"/>
        </w:rPr>
        <w:t xml:space="preserve">Būtiskākā ietekme uz Eiropas kopējās izaugsmes palēnināšanos 2018.gadā bija Vācijai, kuras IKP pieauguma prognoze jau 2018.gada vasarā tika pazemināta no 2,3% uz 1,7%, un </w:t>
      </w:r>
      <w:r w:rsidRPr="0002693A">
        <w:rPr>
          <w:rFonts w:ascii="Times New Roman" w:hAnsi="Times New Roman" w:cs="Times New Roman"/>
          <w:sz w:val="24"/>
          <w:szCs w:val="24"/>
        </w:rPr>
        <w:lastRenderedPageBreak/>
        <w:t xml:space="preserve">Francijai, kur pazeminājums bija no 2,0% uz 1,7%. SVF 2019.gada janvārī publiskotajās prognozēs </w:t>
      </w:r>
      <w:proofErr w:type="spellStart"/>
      <w:r w:rsidRPr="0002693A">
        <w:rPr>
          <w:rFonts w:ascii="Times New Roman" w:hAnsi="Times New Roman" w:cs="Times New Roman"/>
          <w:sz w:val="24"/>
          <w:szCs w:val="24"/>
        </w:rPr>
        <w:t>eirozonas</w:t>
      </w:r>
      <w:proofErr w:type="spellEnd"/>
      <w:r w:rsidRPr="0002693A">
        <w:rPr>
          <w:rFonts w:ascii="Times New Roman" w:hAnsi="Times New Roman" w:cs="Times New Roman"/>
          <w:sz w:val="24"/>
          <w:szCs w:val="24"/>
        </w:rPr>
        <w:t xml:space="preserve"> ekonomikas izaugsmes novērtējums 2018.gadam un prognoze 2019.gadam, salīdzinot ar 2018.gada oktobra prognozēm, ir pazemināti attiecīgi par 0,2 un 0,3 procentpunktiem līdz 1,8% un 1,6%.</w:t>
      </w:r>
    </w:p>
    <w:p w:rsidR="0002693A" w:rsidRPr="0002693A" w:rsidRDefault="0002693A" w:rsidP="0002693A">
      <w:pPr>
        <w:spacing w:after="120" w:line="240" w:lineRule="auto"/>
        <w:ind w:firstLine="709"/>
        <w:jc w:val="both"/>
        <w:rPr>
          <w:rFonts w:ascii="Times New Roman" w:hAnsi="Times New Roman" w:cs="Times New Roman"/>
          <w:sz w:val="24"/>
          <w:szCs w:val="24"/>
        </w:rPr>
      </w:pPr>
      <w:r w:rsidRPr="0002693A">
        <w:rPr>
          <w:rFonts w:ascii="Times New Roman" w:hAnsi="Times New Roman" w:cs="Times New Roman"/>
          <w:sz w:val="24"/>
          <w:szCs w:val="24"/>
        </w:rPr>
        <w:t xml:space="preserve">2018.gada pirmajā pusē, salīdzinot ar attiecīgo laika periodu pirms gada, ES IKP palielinājās par 2,2%, bet trešajā ceturksnī IKP pieaugums noslīdēja līdz 1,8%, kas ir zemākais pieauguma temps pēdējo divu gadu laikā. Neskatoties uz šo pazeminājumu, ES ekonomikas izaugsmes tempi 2018.gadā joprojām bija </w:t>
      </w:r>
      <w:proofErr w:type="spellStart"/>
      <w:r w:rsidRPr="0002693A">
        <w:rPr>
          <w:rFonts w:ascii="Times New Roman" w:hAnsi="Times New Roman" w:cs="Times New Roman"/>
          <w:sz w:val="24"/>
          <w:szCs w:val="24"/>
        </w:rPr>
        <w:t>pēckrīzes</w:t>
      </w:r>
      <w:proofErr w:type="spellEnd"/>
      <w:r w:rsidRPr="0002693A">
        <w:rPr>
          <w:rFonts w:ascii="Times New Roman" w:hAnsi="Times New Roman" w:cs="Times New Roman"/>
          <w:sz w:val="24"/>
          <w:szCs w:val="24"/>
        </w:rPr>
        <w:t xml:space="preserve"> periodam salīdzinoši augstā līmenī, un arī uzņēmēju un patērētāju konfidences rādītāji saglabājās salīdzinoši augstā līmenī, gan uzrādot stabilu samazinājuma tendenci. Pamatnosacījumi ES ekonomikas izaugsmei 2018.gadā saglabājās pozitīvi, attīstību veicinot zemajām procentu likmēm, darba tirgus uzlabojumiem, augošajiem mājsaimniecību ieņēmumiem. Vienlaikus kopš 2018.gada otrās puses pastiprinājušies negatīvie riski saistībā ar ieviestajām tirdzniecības sankcijām, Lielbritānijas izstāšanās procesu no ES, Vācijas ekonomiskās izaugsmes palēnināšanos, finanšu risku pieaugumu Itālijā un Ķīnas izaugsmes palēnināšanos līdz zemākajam līmenim pēdējo 28 gadu laikā. T</w:t>
      </w:r>
      <w:r w:rsidR="00AB3AC0">
        <w:rPr>
          <w:rFonts w:ascii="Times New Roman" w:hAnsi="Times New Roman" w:cs="Times New Roman"/>
          <w:sz w:val="24"/>
          <w:szCs w:val="24"/>
        </w:rPr>
        <w:t>as ir par pamatu, ka jaunākajās</w:t>
      </w:r>
      <w:r w:rsidRPr="0002693A">
        <w:rPr>
          <w:rFonts w:ascii="Times New Roman" w:hAnsi="Times New Roman" w:cs="Times New Roman"/>
          <w:sz w:val="24"/>
          <w:szCs w:val="24"/>
        </w:rPr>
        <w:t xml:space="preserve"> EK 2019.gada ziemas prognozēs ES ekonomikas izaugsmes tempi ir samazināti līdz 1,5% un 1,7% attiecīgi 2019. un 2020.gadā, kas ir attiecīgi par 0,4 un 0,2 procentpunktiem mazāk nekā EK 2018.gada rudens prognozēs.</w:t>
      </w:r>
    </w:p>
    <w:p w:rsidR="0002693A" w:rsidRPr="0002693A" w:rsidRDefault="0002693A" w:rsidP="0002693A">
      <w:pPr>
        <w:spacing w:after="120" w:line="240" w:lineRule="auto"/>
        <w:ind w:firstLine="709"/>
        <w:jc w:val="both"/>
        <w:rPr>
          <w:rFonts w:ascii="Times New Roman" w:hAnsi="Times New Roman" w:cs="Times New Roman"/>
          <w:sz w:val="24"/>
          <w:szCs w:val="24"/>
        </w:rPr>
      </w:pPr>
      <w:r w:rsidRPr="0002693A">
        <w:rPr>
          <w:rFonts w:ascii="Times New Roman" w:hAnsi="Times New Roman" w:cs="Times New Roman"/>
          <w:sz w:val="24"/>
          <w:szCs w:val="24"/>
        </w:rPr>
        <w:t xml:space="preserve">Inflācijas līmenis </w:t>
      </w:r>
      <w:proofErr w:type="spellStart"/>
      <w:r w:rsidRPr="0002693A">
        <w:rPr>
          <w:rFonts w:ascii="Times New Roman" w:hAnsi="Times New Roman" w:cs="Times New Roman"/>
          <w:sz w:val="24"/>
          <w:szCs w:val="24"/>
        </w:rPr>
        <w:t>eirozonā</w:t>
      </w:r>
      <w:proofErr w:type="spellEnd"/>
      <w:r w:rsidRPr="0002693A">
        <w:rPr>
          <w:rFonts w:ascii="Times New Roman" w:hAnsi="Times New Roman" w:cs="Times New Roman"/>
          <w:sz w:val="24"/>
          <w:szCs w:val="24"/>
        </w:rPr>
        <w:t xml:space="preserve"> 2018.gadā ir nedaudz paaugstinājies, sasniedzot 1,7%, galvenokārt naftas cenu kāpuma un eiro kursa pazemināšanās ietekmē, taču joprojām vēl nesasniedzot Eiropas Centrālās bankas (ECB) noteikto vēlamo inflācijas līmeni, kas ir tuvu, bet nedaudz zem 2%. 2019.gadam EK savās 2019.gada ziemas prognozēs inflācijas līmeni </w:t>
      </w:r>
      <w:proofErr w:type="spellStart"/>
      <w:r w:rsidRPr="0002693A">
        <w:rPr>
          <w:rFonts w:ascii="Times New Roman" w:hAnsi="Times New Roman" w:cs="Times New Roman"/>
          <w:sz w:val="24"/>
          <w:szCs w:val="24"/>
        </w:rPr>
        <w:t>eirozonā</w:t>
      </w:r>
      <w:proofErr w:type="spellEnd"/>
      <w:r w:rsidRPr="0002693A">
        <w:rPr>
          <w:rFonts w:ascii="Times New Roman" w:hAnsi="Times New Roman" w:cs="Times New Roman"/>
          <w:sz w:val="24"/>
          <w:szCs w:val="24"/>
        </w:rPr>
        <w:t xml:space="preserve"> prognozē 1,4% apmērā, par 0,4 procentpunktiem mazāk nekā 2018.g. rudens prognozēs.</w:t>
      </w:r>
    </w:p>
    <w:p w:rsidR="00C32B29" w:rsidRPr="0002693A" w:rsidRDefault="0002693A" w:rsidP="0002693A">
      <w:pPr>
        <w:spacing w:after="120" w:line="240" w:lineRule="auto"/>
        <w:ind w:firstLine="709"/>
        <w:jc w:val="both"/>
        <w:rPr>
          <w:rFonts w:ascii="Times New Roman" w:eastAsia="Times New Roman" w:hAnsi="Times New Roman" w:cs="Times New Roman"/>
          <w:sz w:val="24"/>
          <w:szCs w:val="24"/>
        </w:rPr>
      </w:pPr>
      <w:r w:rsidRPr="0002693A">
        <w:rPr>
          <w:rFonts w:ascii="Times New Roman" w:hAnsi="Times New Roman" w:cs="Times New Roman"/>
          <w:sz w:val="24"/>
          <w:szCs w:val="24"/>
        </w:rPr>
        <w:t xml:space="preserve">Vērtējot situāciju ārējā vidē, Latvijas ekonomikas izaugsmei būtiski ir tas, ka ekonomiskā attīstība tās galvenajās eksporta partnervalstīs pēdējo divu gadu laikā bija augstāka par ES vidējo, un šādas situācijas saglabāšanās prognozēta arī 2018.gadā kopumā un 2019.gadā. Attiecīgi arī Latvijas ekonomikas izaugsme 2019.gadā, pēc FM prognozēm, turpinās </w:t>
      </w:r>
      <w:r w:rsidRPr="0002693A">
        <w:rPr>
          <w:rFonts w:ascii="Times New Roman" w:hAnsi="Times New Roman" w:cs="Times New Roman"/>
          <w:noProof/>
          <w:sz w:val="24"/>
          <w:szCs w:val="24"/>
        </w:rPr>
        <w:t>uzrādīt straujāku pieaugumu nekā ES kopumā.</w:t>
      </w:r>
    </w:p>
    <w:p w:rsidR="0002693A" w:rsidRPr="00DC1FEB" w:rsidRDefault="0002693A" w:rsidP="00961EB9">
      <w:pPr>
        <w:spacing w:after="120"/>
        <w:rPr>
          <w:rFonts w:ascii="Times New Roman" w:hAnsi="Times New Roman" w:cs="Times New Roman"/>
          <w:sz w:val="24"/>
          <w:szCs w:val="24"/>
        </w:rPr>
      </w:pPr>
    </w:p>
    <w:p w:rsidR="009264A3" w:rsidRPr="00FB4822" w:rsidRDefault="009264A3" w:rsidP="00FB4822">
      <w:pPr>
        <w:pStyle w:val="Heading2"/>
        <w:jc w:val="center"/>
        <w:rPr>
          <w:rFonts w:ascii="Times New Roman" w:hAnsi="Times New Roman" w:cs="Times New Roman"/>
          <w:b/>
          <w:color w:val="auto"/>
          <w:sz w:val="36"/>
          <w:szCs w:val="36"/>
        </w:rPr>
      </w:pPr>
      <w:r w:rsidRPr="00FB4822">
        <w:rPr>
          <w:rFonts w:ascii="Times New Roman" w:hAnsi="Times New Roman" w:cs="Times New Roman"/>
          <w:b/>
          <w:color w:val="auto"/>
          <w:sz w:val="36"/>
          <w:szCs w:val="36"/>
        </w:rPr>
        <w:t>1.2. Latvijas tautsaimniecības attīstība</w:t>
      </w:r>
    </w:p>
    <w:bookmarkEnd w:id="2"/>
    <w:bookmarkEnd w:id="3"/>
    <w:p w:rsidR="003050A6" w:rsidRDefault="009264A3" w:rsidP="00DC1FEB">
      <w:pPr>
        <w:pStyle w:val="Heading3"/>
        <w:spacing w:before="240"/>
        <w:jc w:val="center"/>
        <w:rPr>
          <w:rFonts w:ascii="Times New Roman" w:hAnsi="Times New Roman" w:cs="Times New Roman"/>
          <w:b/>
          <w:color w:val="auto"/>
          <w:sz w:val="32"/>
          <w:szCs w:val="32"/>
        </w:rPr>
      </w:pPr>
      <w:r w:rsidRPr="00FB4822">
        <w:rPr>
          <w:rFonts w:ascii="Times New Roman" w:hAnsi="Times New Roman" w:cs="Times New Roman"/>
          <w:b/>
          <w:color w:val="auto"/>
          <w:sz w:val="32"/>
          <w:szCs w:val="32"/>
        </w:rPr>
        <w:t xml:space="preserve">1.2.1. </w:t>
      </w:r>
      <w:r w:rsidR="0002693A">
        <w:rPr>
          <w:rFonts w:ascii="Times New Roman" w:hAnsi="Times New Roman" w:cs="Times New Roman"/>
          <w:b/>
          <w:color w:val="auto"/>
          <w:sz w:val="32"/>
          <w:szCs w:val="32"/>
        </w:rPr>
        <w:t>Nozaru attīstība</w:t>
      </w:r>
    </w:p>
    <w:p w:rsidR="0077634F" w:rsidRPr="000D75FD" w:rsidRDefault="0077634F" w:rsidP="0002693A">
      <w:pPr>
        <w:spacing w:after="120" w:line="240" w:lineRule="auto"/>
        <w:rPr>
          <w:rFonts w:ascii="Times New Roman" w:hAnsi="Times New Roman" w:cs="Times New Roman"/>
          <w:sz w:val="24"/>
          <w:szCs w:val="24"/>
        </w:rPr>
      </w:pPr>
    </w:p>
    <w:p w:rsidR="0002693A" w:rsidRPr="0002693A" w:rsidRDefault="0002693A" w:rsidP="0002693A">
      <w:pPr>
        <w:spacing w:after="120" w:line="240" w:lineRule="auto"/>
        <w:ind w:firstLine="709"/>
        <w:jc w:val="both"/>
        <w:rPr>
          <w:rFonts w:ascii="Times New Roman" w:hAnsi="Times New Roman" w:cs="Times New Roman"/>
          <w:sz w:val="24"/>
          <w:szCs w:val="24"/>
        </w:rPr>
      </w:pPr>
      <w:r w:rsidRPr="000D75FD">
        <w:rPr>
          <w:rFonts w:ascii="Times New Roman" w:hAnsi="Times New Roman" w:cs="Times New Roman"/>
          <w:sz w:val="24"/>
          <w:szCs w:val="24"/>
        </w:rPr>
        <w:t>Gandrīz</w:t>
      </w:r>
      <w:r w:rsidRPr="0002693A">
        <w:rPr>
          <w:rFonts w:ascii="Times New Roman" w:hAnsi="Times New Roman" w:cs="Times New Roman"/>
          <w:sz w:val="24"/>
          <w:szCs w:val="24"/>
        </w:rPr>
        <w:t xml:space="preserve"> visās Latvijas tautsaimniecības nozarēs 2018.gada pirmajos trīs ceturkšņos tika reģistrēta  izaugsme. Investīciju pieaugums un noturīgais iekšējais pieprasījums veicināja uz iekšējo tirgu vērsto nozaru attīstību, kā, piemēram, būvniecība, informācijas un komunikācijas pakalpojumi, kā arī sabiedriskā sektora pakalpojumu nozares. Labu izaugsmi spēja sasniegt transporta sektors, taču apstrādes rūpniecības pieaugums bija mērens, ko noteica ārējās ekonomiskās vides pasliktināšanās, īpaši gada otrajā pusē. Sašaurinoties nerezidentu biznesu apkalpojošajam banku sektoram, pievienotās vērtības sarukums turpinājās finanšu nozarē.</w:t>
      </w:r>
    </w:p>
    <w:p w:rsidR="0002693A" w:rsidRPr="0002693A" w:rsidRDefault="0002693A" w:rsidP="0002693A">
      <w:pPr>
        <w:spacing w:after="120" w:line="240" w:lineRule="auto"/>
        <w:ind w:firstLine="709"/>
        <w:jc w:val="both"/>
        <w:rPr>
          <w:rFonts w:ascii="Times New Roman" w:hAnsi="Times New Roman" w:cs="Times New Roman"/>
          <w:sz w:val="24"/>
          <w:szCs w:val="24"/>
        </w:rPr>
      </w:pPr>
      <w:r w:rsidRPr="0002693A">
        <w:rPr>
          <w:rFonts w:ascii="Times New Roman" w:hAnsi="Times New Roman" w:cs="Times New Roman"/>
          <w:b/>
          <w:sz w:val="24"/>
          <w:szCs w:val="24"/>
        </w:rPr>
        <w:t xml:space="preserve">Rūpniecība </w:t>
      </w:r>
      <w:r w:rsidRPr="0002693A">
        <w:rPr>
          <w:rFonts w:ascii="Times New Roman" w:hAnsi="Times New Roman" w:cs="Times New Roman"/>
          <w:sz w:val="24"/>
          <w:szCs w:val="24"/>
        </w:rPr>
        <w:t>2018.gadā turpināja uzrādīt pieaugumu, lai gan izaugsmes tempi bija ievērojami vājāki nekā iepriekšējā gadā. 2018.gadā rūpniecības apjomi palielinājās par 2,0%, pretstatā 8,5% kāpumam 2017.gadā. Rūpniecības izaugsmi pērn pamatā noteica apstrādes rūpniecības pieaugums par 3,4% gada griezumā. Tikmēr ieguves rūpniecība uzrādīja izlaides kāpumu par 4,3%, taču elektroenerģijas un gāzes apgādes apjomi pērn bija par 1,9% zemāki nekā pirms gada, ko ietekmēja elektroenerģijas ražošanai nelabvēlīgie laikapstākļi, ko raksturo zems nokrišņu līmenis, kas bija novērojams 2018.gada vasarā un rudenī.</w:t>
      </w:r>
    </w:p>
    <w:p w:rsidR="0002693A" w:rsidRPr="0002693A" w:rsidRDefault="0002693A" w:rsidP="0002693A">
      <w:pPr>
        <w:spacing w:after="120" w:line="240" w:lineRule="auto"/>
        <w:ind w:firstLine="709"/>
        <w:jc w:val="both"/>
        <w:rPr>
          <w:rFonts w:ascii="Times New Roman" w:hAnsi="Times New Roman" w:cs="Times New Roman"/>
          <w:sz w:val="24"/>
          <w:szCs w:val="24"/>
        </w:rPr>
      </w:pPr>
      <w:r w:rsidRPr="0002693A">
        <w:rPr>
          <w:rFonts w:ascii="Times New Roman" w:hAnsi="Times New Roman" w:cs="Times New Roman"/>
          <w:b/>
          <w:sz w:val="24"/>
          <w:szCs w:val="24"/>
        </w:rPr>
        <w:lastRenderedPageBreak/>
        <w:t>Apstrādes rūpniecība</w:t>
      </w:r>
      <w:r w:rsidRPr="0002693A">
        <w:rPr>
          <w:rFonts w:ascii="Times New Roman" w:hAnsi="Times New Roman" w:cs="Times New Roman"/>
          <w:sz w:val="24"/>
          <w:szCs w:val="24"/>
        </w:rPr>
        <w:t xml:space="preserve">, 2017.gadā uzrādot pēdējo piecu gadu straujāko izaugsmi (8,2%) un sasniedzot ļoti augstus izlaides apjomus, pērn attīstījās mērenāk (skat. 1.1.att.). 2018.gadā apstrādes rūpniecības ražošanas apjomi gada griezumā palielinājās par 3,4%. Par apstrādes rūpniecības izaugsmes galveno dzinējspēku 2018.gadā atkal izvirzījās lielākā tās </w:t>
      </w:r>
      <w:proofErr w:type="spellStart"/>
      <w:r w:rsidRPr="0002693A">
        <w:rPr>
          <w:rFonts w:ascii="Times New Roman" w:hAnsi="Times New Roman" w:cs="Times New Roman"/>
          <w:sz w:val="24"/>
          <w:szCs w:val="24"/>
        </w:rPr>
        <w:t>apakšnozare</w:t>
      </w:r>
      <w:proofErr w:type="spellEnd"/>
      <w:r w:rsidRPr="0002693A">
        <w:rPr>
          <w:rFonts w:ascii="Times New Roman" w:hAnsi="Times New Roman" w:cs="Times New Roman"/>
          <w:sz w:val="24"/>
          <w:szCs w:val="24"/>
        </w:rPr>
        <w:t xml:space="preserve"> - kokrūpniecība, kuras izlaides apjomi gada laikā pieauga par 5,3%. 2017.gadā koksnes un koka izstrādājumu ražošana uzrādīja daudz vājāku kāpumu, taču laika posmā no 2014. līdz 2016.gadam šīs </w:t>
      </w:r>
      <w:proofErr w:type="spellStart"/>
      <w:r w:rsidRPr="0002693A">
        <w:rPr>
          <w:rFonts w:ascii="Times New Roman" w:hAnsi="Times New Roman" w:cs="Times New Roman"/>
          <w:sz w:val="24"/>
          <w:szCs w:val="24"/>
        </w:rPr>
        <w:t>apakšnozares</w:t>
      </w:r>
      <w:proofErr w:type="spellEnd"/>
      <w:r w:rsidRPr="0002693A">
        <w:rPr>
          <w:rFonts w:ascii="Times New Roman" w:hAnsi="Times New Roman" w:cs="Times New Roman"/>
          <w:sz w:val="24"/>
          <w:szCs w:val="24"/>
        </w:rPr>
        <w:t xml:space="preserve"> pieauguma tempi svārstījušies 6-8% robežās. Būtisku devumu apstrādes rūpniecības izaugsmē nodrošinājušas arī metālapstrāde un mašīnbūvi apvienojošās </w:t>
      </w:r>
      <w:proofErr w:type="spellStart"/>
      <w:r w:rsidRPr="0002693A">
        <w:rPr>
          <w:rFonts w:ascii="Times New Roman" w:hAnsi="Times New Roman" w:cs="Times New Roman"/>
          <w:sz w:val="24"/>
          <w:szCs w:val="24"/>
        </w:rPr>
        <w:t>apakšnozares</w:t>
      </w:r>
      <w:proofErr w:type="spellEnd"/>
      <w:r w:rsidRPr="0002693A">
        <w:rPr>
          <w:rFonts w:ascii="Times New Roman" w:hAnsi="Times New Roman" w:cs="Times New Roman"/>
          <w:sz w:val="24"/>
          <w:szCs w:val="24"/>
        </w:rPr>
        <w:t xml:space="preserve">. Metālapstrāde un mašīnbūve spēcīgu izaugsmi uzrāda jau trešo gadu pēc kārtas, un 2018.gadā izlaides apjomi, piemēram, gatavo metālizstrādājumu ražošanā bija par 5,1% augstāki nekā pirms gada, iekārtu, mehānismu un darba mašīnu ražošanā – par 7,9%, elektrisko iekārtu ražošanā – par 24,4%. Būvniecības sektora augstā aktivitāte pērn bija veicinājusi strauju būvmateriālu ražošanas pieaugumu gada pirmajā pusē, taču, sākot ar jūliju, nemetālisko minerālu izstrādājumu ražošanas apjomi mazinājās, tādējādi 2018.gadā kopā salīdzinājumā ar 2017.gadu </w:t>
      </w:r>
      <w:proofErr w:type="spellStart"/>
      <w:r w:rsidRPr="0002693A">
        <w:rPr>
          <w:rFonts w:ascii="Times New Roman" w:hAnsi="Times New Roman" w:cs="Times New Roman"/>
          <w:sz w:val="24"/>
          <w:szCs w:val="24"/>
        </w:rPr>
        <w:t>apakšnozares</w:t>
      </w:r>
      <w:proofErr w:type="spellEnd"/>
      <w:r w:rsidRPr="0002693A">
        <w:rPr>
          <w:rFonts w:ascii="Times New Roman" w:hAnsi="Times New Roman" w:cs="Times New Roman"/>
          <w:sz w:val="24"/>
          <w:szCs w:val="24"/>
        </w:rPr>
        <w:t xml:space="preserve"> izlaide palielinājās tikai par 1,9%. Labu izaugsmi 2018.gadā uzrādīja ķīmisko vielu un produktu ražošana, kā arī gumijas un plastmasas izstrādājumu ražošana.</w:t>
      </w:r>
    </w:p>
    <w:p w:rsidR="0002693A" w:rsidRDefault="0002693A" w:rsidP="0002693A">
      <w:r>
        <w:rPr>
          <w:noProof/>
          <w:lang w:eastAsia="lv-LV"/>
        </w:rPr>
        <w:drawing>
          <wp:inline distT="0" distB="0" distL="0" distR="0" wp14:anchorId="5D7CF81F" wp14:editId="1E47A75D">
            <wp:extent cx="5760085" cy="3295291"/>
            <wp:effectExtent l="0" t="0" r="0" b="63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2693A" w:rsidRPr="000D75FD" w:rsidRDefault="0002693A" w:rsidP="0002693A">
      <w:pPr>
        <w:spacing w:after="120"/>
        <w:jc w:val="center"/>
        <w:rPr>
          <w:rFonts w:ascii="Times New Roman" w:hAnsi="Times New Roman" w:cs="Times New Roman"/>
          <w:b/>
          <w:i/>
          <w:sz w:val="24"/>
          <w:szCs w:val="24"/>
        </w:rPr>
      </w:pPr>
      <w:r w:rsidRPr="000D75FD">
        <w:rPr>
          <w:rFonts w:ascii="Times New Roman" w:hAnsi="Times New Roman" w:cs="Times New Roman"/>
          <w:b/>
          <w:i/>
          <w:sz w:val="24"/>
          <w:szCs w:val="24"/>
        </w:rPr>
        <w:t>1.1.att.</w:t>
      </w:r>
      <w:r w:rsidRPr="000D75FD">
        <w:rPr>
          <w:rFonts w:ascii="Times New Roman" w:hAnsi="Times New Roman" w:cs="Times New Roman"/>
          <w:sz w:val="24"/>
          <w:szCs w:val="24"/>
        </w:rPr>
        <w:t xml:space="preserve"> </w:t>
      </w:r>
      <w:r w:rsidRPr="000D75FD">
        <w:rPr>
          <w:rFonts w:ascii="Times New Roman" w:hAnsi="Times New Roman" w:cs="Times New Roman"/>
          <w:b/>
          <w:i/>
          <w:sz w:val="24"/>
          <w:szCs w:val="24"/>
        </w:rPr>
        <w:t>Rūpniecības</w:t>
      </w:r>
      <w:r w:rsidRPr="000D75FD">
        <w:rPr>
          <w:rFonts w:ascii="Times New Roman" w:eastAsia="Times New Roman" w:hAnsi="Times New Roman" w:cs="Times New Roman"/>
          <w:b/>
          <w:i/>
          <w:sz w:val="24"/>
          <w:szCs w:val="24"/>
        </w:rPr>
        <w:t xml:space="preserve"> </w:t>
      </w:r>
      <w:r w:rsidRPr="000D75FD">
        <w:rPr>
          <w:rFonts w:ascii="Times New Roman" w:hAnsi="Times New Roman" w:cs="Times New Roman"/>
          <w:b/>
          <w:i/>
          <w:sz w:val="24"/>
          <w:szCs w:val="24"/>
        </w:rPr>
        <w:t>produkcijas apjoma indekss (sezonāli izlīdzināti dati) un tā pieaugums pret iepriekšējā gada attiecīgo mēnesi (kalendāri izlīdzināti dati, %)</w:t>
      </w:r>
    </w:p>
    <w:p w:rsidR="0002693A" w:rsidRPr="000D75FD" w:rsidRDefault="0002693A" w:rsidP="000D75FD">
      <w:pPr>
        <w:spacing w:after="120" w:line="240" w:lineRule="auto"/>
        <w:ind w:firstLine="709"/>
        <w:jc w:val="both"/>
        <w:rPr>
          <w:rFonts w:ascii="Times New Roman" w:hAnsi="Times New Roman" w:cs="Times New Roman"/>
          <w:sz w:val="24"/>
          <w:szCs w:val="24"/>
        </w:rPr>
      </w:pPr>
      <w:r w:rsidRPr="000D75FD">
        <w:rPr>
          <w:rFonts w:ascii="Times New Roman" w:hAnsi="Times New Roman" w:cs="Times New Roman"/>
          <w:sz w:val="24"/>
          <w:szCs w:val="24"/>
        </w:rPr>
        <w:t xml:space="preserve">Savukārt iepriekšējos astoņus gadus strauji augošā datoru, elektronisko un optisko iekārtu ražošana (2017.gadā </w:t>
      </w:r>
      <w:proofErr w:type="spellStart"/>
      <w:r w:rsidRPr="000D75FD">
        <w:rPr>
          <w:rFonts w:ascii="Times New Roman" w:hAnsi="Times New Roman" w:cs="Times New Roman"/>
          <w:sz w:val="24"/>
          <w:szCs w:val="24"/>
        </w:rPr>
        <w:t>apakšnozares</w:t>
      </w:r>
      <w:proofErr w:type="spellEnd"/>
      <w:r w:rsidRPr="000D75FD">
        <w:rPr>
          <w:rFonts w:ascii="Times New Roman" w:hAnsi="Times New Roman" w:cs="Times New Roman"/>
          <w:sz w:val="24"/>
          <w:szCs w:val="24"/>
        </w:rPr>
        <w:t xml:space="preserve"> izlaide, salīdzinot ar 2009.gadu, pieauga 5,5 reizes), sasniedzot ļoti augstu izlaides līmeni, 2018.gadā uzrādīja ievērojami mērenāku pieaugumu, tās izlaidei palielinoties par 5,5%. Turklāt dažas apstrādes rūpniecības </w:t>
      </w:r>
      <w:proofErr w:type="spellStart"/>
      <w:r w:rsidRPr="000D75FD">
        <w:rPr>
          <w:rFonts w:ascii="Times New Roman" w:hAnsi="Times New Roman" w:cs="Times New Roman"/>
          <w:sz w:val="24"/>
          <w:szCs w:val="24"/>
        </w:rPr>
        <w:t>apakšnozares</w:t>
      </w:r>
      <w:proofErr w:type="spellEnd"/>
      <w:r w:rsidRPr="000D75FD">
        <w:rPr>
          <w:rFonts w:ascii="Times New Roman" w:hAnsi="Times New Roman" w:cs="Times New Roman"/>
          <w:sz w:val="24"/>
          <w:szCs w:val="24"/>
        </w:rPr>
        <w:t xml:space="preserve"> pērn uzrādīja izlaides sarukumu. Piemēram, pārtikas produktu ražošanas samazināšanos par 2,0% lielā mērā noteica piena produktu ražošanas kritums. Ražošanas apjomi 2018.gadā samazinājušies arī dzērienu ražošanā, iekārtu un ierīču remontā un uzstādīšanā, poligrāfijā un ierakstu reproducēšanā un citās īpatsvara ziņā nelielās </w:t>
      </w:r>
      <w:proofErr w:type="spellStart"/>
      <w:r w:rsidRPr="000D75FD">
        <w:rPr>
          <w:rFonts w:ascii="Times New Roman" w:hAnsi="Times New Roman" w:cs="Times New Roman"/>
          <w:sz w:val="24"/>
          <w:szCs w:val="24"/>
        </w:rPr>
        <w:t>apakšnozarēs</w:t>
      </w:r>
      <w:proofErr w:type="spellEnd"/>
      <w:r w:rsidRPr="000D75FD">
        <w:rPr>
          <w:rFonts w:ascii="Times New Roman" w:hAnsi="Times New Roman" w:cs="Times New Roman"/>
          <w:sz w:val="24"/>
          <w:szCs w:val="24"/>
        </w:rPr>
        <w:t>.</w:t>
      </w:r>
    </w:p>
    <w:p w:rsidR="0002693A" w:rsidRPr="000D75FD" w:rsidRDefault="0002693A" w:rsidP="000D75FD">
      <w:pPr>
        <w:spacing w:after="120" w:line="240" w:lineRule="auto"/>
        <w:ind w:firstLine="709"/>
        <w:jc w:val="both"/>
        <w:rPr>
          <w:rFonts w:ascii="Times New Roman" w:hAnsi="Times New Roman" w:cs="Times New Roman"/>
          <w:sz w:val="24"/>
          <w:szCs w:val="24"/>
        </w:rPr>
      </w:pPr>
      <w:r w:rsidRPr="000D75FD">
        <w:rPr>
          <w:rFonts w:ascii="Times New Roman" w:hAnsi="Times New Roman" w:cs="Times New Roman"/>
          <w:sz w:val="24"/>
          <w:szCs w:val="24"/>
        </w:rPr>
        <w:t xml:space="preserve">Līdzīgi kā 2017.gadā, arī 2018.gadā straujāko izaugsmi uzrādīja </w:t>
      </w:r>
      <w:r w:rsidRPr="000D75FD">
        <w:rPr>
          <w:rFonts w:ascii="Times New Roman" w:hAnsi="Times New Roman" w:cs="Times New Roman"/>
          <w:b/>
          <w:sz w:val="24"/>
          <w:szCs w:val="24"/>
        </w:rPr>
        <w:t>būvniecība</w:t>
      </w:r>
      <w:r w:rsidRPr="000D75FD">
        <w:rPr>
          <w:rFonts w:ascii="Times New Roman" w:hAnsi="Times New Roman" w:cs="Times New Roman"/>
          <w:sz w:val="24"/>
          <w:szCs w:val="24"/>
        </w:rPr>
        <w:t xml:space="preserve">, pērn būvniecības apjomiem faktiskajās cenās pieaugot par 25,5% (skat. 1.2.att.). Šo izaugsmi galvenokārt noteica ES fondu investīciju ieplūde, kas veicināja publisko būvniecības projektu īstenošanu, kā rezultātā inženierbūvju celtniecības apjomi bija par 25,5% augstāki nekā </w:t>
      </w:r>
      <w:r w:rsidRPr="000D75FD">
        <w:rPr>
          <w:rFonts w:ascii="Times New Roman" w:hAnsi="Times New Roman" w:cs="Times New Roman"/>
          <w:sz w:val="24"/>
          <w:szCs w:val="24"/>
        </w:rPr>
        <w:lastRenderedPageBreak/>
        <w:t>iepriekšējā gadā. Gandrīz tikpat lielu devumu būvniecības sektora izaugsmē 2018.gadā nodrošināja nedzīvojamo ēku celtniecības kāpums par 21,8%, ko veicināja gan sabiedriskās, gan privātās investīcijas, piemēram, strauji pieaugumi pērn bija reģistrēti muzeju un bibliotēku, tirdzniecības, veselības aizsardzības un sociālās nodrošināšanas, kā arī administratīvo ēku būvniecībā. Spēcīgu izaugsmi uzrādīja arī dzīvojamo ēku būvniecība, to celtniecības apjomiem 2018.gadā palielinoties par 38,7%. Latvijas būvnieku konfidence pērn saglabājās stabili augstā līmenī, turklāt pagājušajā gadā ievērojami palielinājās izsniegtajās būvatļaujās paredzamā būvniecības platība, liecinot, ka būvniecības nozarē turpināsies izaugsme.</w:t>
      </w:r>
    </w:p>
    <w:p w:rsidR="0002693A" w:rsidRDefault="0002693A" w:rsidP="0002693A">
      <w:r>
        <w:rPr>
          <w:noProof/>
          <w:lang w:eastAsia="lv-LV"/>
        </w:rPr>
        <w:drawing>
          <wp:inline distT="0" distB="0" distL="0" distR="0" wp14:anchorId="3DEC560E" wp14:editId="2EAE2490">
            <wp:extent cx="5686425" cy="3529013"/>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2693A" w:rsidRPr="0002693A" w:rsidRDefault="0002693A" w:rsidP="000D75FD">
      <w:pPr>
        <w:spacing w:after="120" w:line="240" w:lineRule="auto"/>
        <w:ind w:firstLine="709"/>
        <w:jc w:val="center"/>
        <w:rPr>
          <w:rFonts w:ascii="Times New Roman" w:eastAsia="Times New Roman" w:hAnsi="Times New Roman" w:cs="Times New Roman"/>
          <w:b/>
          <w:i/>
          <w:sz w:val="24"/>
          <w:szCs w:val="24"/>
        </w:rPr>
      </w:pPr>
      <w:r w:rsidRPr="0002693A">
        <w:rPr>
          <w:rFonts w:ascii="Times New Roman" w:eastAsia="Times New Roman" w:hAnsi="Times New Roman" w:cs="Times New Roman"/>
          <w:b/>
          <w:i/>
          <w:sz w:val="24"/>
          <w:szCs w:val="24"/>
        </w:rPr>
        <w:t>1.2.att.</w:t>
      </w:r>
      <w:r w:rsidRPr="0002693A">
        <w:rPr>
          <w:rFonts w:ascii="Times New Roman" w:hAnsi="Times New Roman" w:cs="Times New Roman"/>
          <w:sz w:val="24"/>
          <w:szCs w:val="24"/>
        </w:rPr>
        <w:t xml:space="preserve"> </w:t>
      </w:r>
      <w:r w:rsidRPr="0002693A">
        <w:rPr>
          <w:rFonts w:ascii="Times New Roman" w:eastAsia="Times New Roman" w:hAnsi="Times New Roman" w:cs="Times New Roman"/>
          <w:b/>
          <w:i/>
          <w:sz w:val="24"/>
          <w:szCs w:val="24"/>
        </w:rPr>
        <w:t xml:space="preserve">Būvniecības nozares izlaides apjoms un struktūra faktiskajās cenās pa ceturkšņiem, milj. </w:t>
      </w:r>
      <w:proofErr w:type="spellStart"/>
      <w:r w:rsidRPr="0002693A">
        <w:rPr>
          <w:rFonts w:ascii="Times New Roman" w:eastAsia="Times New Roman" w:hAnsi="Times New Roman" w:cs="Times New Roman"/>
          <w:b/>
          <w:i/>
          <w:sz w:val="24"/>
          <w:szCs w:val="24"/>
        </w:rPr>
        <w:t>euro</w:t>
      </w:r>
      <w:proofErr w:type="spellEnd"/>
    </w:p>
    <w:p w:rsidR="0002693A" w:rsidRPr="0002693A" w:rsidRDefault="0002693A" w:rsidP="0002693A">
      <w:pPr>
        <w:spacing w:after="120" w:line="240" w:lineRule="auto"/>
        <w:ind w:firstLine="709"/>
        <w:jc w:val="both"/>
        <w:rPr>
          <w:rFonts w:ascii="Times New Roman" w:hAnsi="Times New Roman" w:cs="Times New Roman"/>
          <w:sz w:val="24"/>
          <w:szCs w:val="24"/>
        </w:rPr>
      </w:pPr>
      <w:r w:rsidRPr="0002693A">
        <w:rPr>
          <w:rFonts w:ascii="Times New Roman" w:hAnsi="Times New Roman" w:cs="Times New Roman"/>
          <w:b/>
          <w:sz w:val="24"/>
          <w:szCs w:val="24"/>
        </w:rPr>
        <w:t>Transporta un uzglabāšanas nozare</w:t>
      </w:r>
      <w:r w:rsidRPr="0002693A">
        <w:rPr>
          <w:rFonts w:ascii="Times New Roman" w:hAnsi="Times New Roman" w:cs="Times New Roman"/>
          <w:sz w:val="24"/>
          <w:szCs w:val="24"/>
        </w:rPr>
        <w:t xml:space="preserve"> 2017.gadā, neskatoties uz Krievijas kravu tranzīta apjomu samazināšanos, spēja sasniegt 7,3% pieaugumu, ko nodrošināja augošie autotransporta kravu pārvadājumi, kā arī lidostas “Rīga” straujā attīstība un augošā prāmju un kruīza kuģu satiksme. Pieaugums transporta nozarē turpinājās arī 2018.gadā, kad gada pirmajos trīs ceturkšņos nozares pievienotā vērtība palielinājās par 3,4%.</w:t>
      </w:r>
    </w:p>
    <w:p w:rsidR="0002693A" w:rsidRPr="0002693A" w:rsidRDefault="0002693A" w:rsidP="0002693A">
      <w:pPr>
        <w:spacing w:after="120" w:line="240" w:lineRule="auto"/>
        <w:ind w:firstLine="709"/>
        <w:jc w:val="both"/>
        <w:rPr>
          <w:rFonts w:ascii="Times New Roman" w:hAnsi="Times New Roman" w:cs="Times New Roman"/>
          <w:sz w:val="24"/>
          <w:szCs w:val="24"/>
        </w:rPr>
      </w:pPr>
      <w:r w:rsidRPr="0002693A">
        <w:rPr>
          <w:rFonts w:ascii="Times New Roman" w:hAnsi="Times New Roman" w:cs="Times New Roman"/>
          <w:sz w:val="24"/>
          <w:szCs w:val="24"/>
        </w:rPr>
        <w:t xml:space="preserve">2018.gadā kravu apgrozījums Latvijas ostās palielinājies par 7,0%, bet dzelzceļā pārvadāto kravu apjoms audzis par 11,8%. Ostu un dzelzceļa kravu apgrozījuma pieaugumu nodrošinājis galvenokārt ogļu tranzīta pieaugums kopš 2018.gada maija, Krievijas ostām remontdarbu dēļ ierobežojot savu darbību, kā arī stabilais </w:t>
      </w:r>
      <w:proofErr w:type="spellStart"/>
      <w:r w:rsidRPr="0002693A">
        <w:rPr>
          <w:rFonts w:ascii="Times New Roman" w:hAnsi="Times New Roman" w:cs="Times New Roman"/>
          <w:sz w:val="24"/>
          <w:szCs w:val="24"/>
        </w:rPr>
        <w:t>ģenerālkravu</w:t>
      </w:r>
      <w:proofErr w:type="spellEnd"/>
      <w:r w:rsidRPr="0002693A">
        <w:rPr>
          <w:rFonts w:ascii="Times New Roman" w:hAnsi="Times New Roman" w:cs="Times New Roman"/>
          <w:sz w:val="24"/>
          <w:szCs w:val="24"/>
        </w:rPr>
        <w:t xml:space="preserve"> apjomu pieaugums un strauji pieaugušie kravu apjomi no Baltkrievijas. Ogļu kravu apjoms Latvijas ostās 2018.gadā palielinājies par 19,0%, </w:t>
      </w:r>
      <w:proofErr w:type="spellStart"/>
      <w:r w:rsidRPr="0002693A">
        <w:rPr>
          <w:rFonts w:ascii="Times New Roman" w:hAnsi="Times New Roman" w:cs="Times New Roman"/>
          <w:sz w:val="24"/>
          <w:szCs w:val="24"/>
        </w:rPr>
        <w:t>ģenerālkravu</w:t>
      </w:r>
      <w:proofErr w:type="spellEnd"/>
      <w:r w:rsidRPr="0002693A">
        <w:rPr>
          <w:rFonts w:ascii="Times New Roman" w:hAnsi="Times New Roman" w:cs="Times New Roman"/>
          <w:sz w:val="24"/>
          <w:szCs w:val="24"/>
        </w:rPr>
        <w:t xml:space="preserve"> apjoms audzis par 20,3%, bet Baltkrievijas dzelzceļa kravu pārvadājumi pieauguši par 28,2%.  Naftas produktu tranzīts caur Latviju tajā pašā laikā turpina kristies, salīdzinājumā ar 2017.gadu samazinoties par 12,1%. Kravu apgrozība autotransportā 2018.gada pirmajos trīs ceturkšņos, salīdzinot ar attiecīgo periodu pirms gada, ir samazinājusies par 1,7%. Pasažieru skaits lidostā “Rīga” 2018.gada trīs ceturkšņos audzis par 16,8%, jūras ostās – par 6,6%, bet pasažieru skaits sauszemes transportā saglabājies 2017.gada līmenī.</w:t>
      </w:r>
    </w:p>
    <w:p w:rsidR="0002693A" w:rsidRPr="0002693A" w:rsidRDefault="0002693A" w:rsidP="0002693A">
      <w:pPr>
        <w:spacing w:after="120" w:line="240" w:lineRule="auto"/>
        <w:ind w:firstLine="709"/>
        <w:jc w:val="both"/>
        <w:rPr>
          <w:rFonts w:ascii="Times New Roman" w:hAnsi="Times New Roman" w:cs="Times New Roman"/>
          <w:sz w:val="24"/>
          <w:szCs w:val="24"/>
        </w:rPr>
      </w:pPr>
      <w:r w:rsidRPr="0002693A">
        <w:rPr>
          <w:rFonts w:ascii="Times New Roman" w:hAnsi="Times New Roman" w:cs="Times New Roman"/>
          <w:sz w:val="24"/>
          <w:szCs w:val="24"/>
        </w:rPr>
        <w:t xml:space="preserve">Neskatoties uz salīdzinoši labajiem 2018.gada rezultātiem, transporta nozares tālākas perspektīvas jāvērtē piesardzīgi, ņemot vērā, ka Krievija nav atteikusies no savas stratēģijas </w:t>
      </w:r>
      <w:r w:rsidRPr="0002693A">
        <w:rPr>
          <w:rFonts w:ascii="Times New Roman" w:hAnsi="Times New Roman" w:cs="Times New Roman"/>
          <w:sz w:val="24"/>
          <w:szCs w:val="24"/>
        </w:rPr>
        <w:lastRenderedPageBreak/>
        <w:t>pārorientēt naftas un ogļu kravas uz savām Baltijas jūras ostām, un 2018.gadā vērojamais kravu apjomu kāpums, visticamāk, ir īstermiņa parādība. Tajā pašā laikā labākas perspektīvas līdz ar straujāku tirdzniecības attīstību ir konteineru pārvadājumiem, kā arī kravu autopārvadājumiem kopumā, un līdz ar tūrisma attīstību turpinās palielināties arī pasažieru satiksme lidostā un ostās. Līdz ar to nozare kopumā tuvākajos gados varētu izvairīties no kopējā pievienotās vērtības krituma.</w:t>
      </w:r>
    </w:p>
    <w:p w:rsidR="0002693A" w:rsidRPr="0002693A" w:rsidRDefault="0002693A" w:rsidP="0002693A">
      <w:pPr>
        <w:spacing w:after="120" w:line="240" w:lineRule="auto"/>
        <w:ind w:firstLine="709"/>
        <w:jc w:val="both"/>
        <w:rPr>
          <w:rFonts w:ascii="Times New Roman" w:hAnsi="Times New Roman" w:cs="Times New Roman"/>
          <w:sz w:val="24"/>
          <w:szCs w:val="24"/>
        </w:rPr>
      </w:pPr>
      <w:r w:rsidRPr="0002693A">
        <w:rPr>
          <w:rFonts w:ascii="Times New Roman" w:hAnsi="Times New Roman" w:cs="Times New Roman"/>
          <w:sz w:val="24"/>
          <w:szCs w:val="24"/>
        </w:rPr>
        <w:t xml:space="preserve">2018.gadā </w:t>
      </w:r>
      <w:r w:rsidRPr="0002693A">
        <w:rPr>
          <w:rFonts w:ascii="Times New Roman" w:hAnsi="Times New Roman" w:cs="Times New Roman"/>
          <w:b/>
          <w:sz w:val="24"/>
          <w:szCs w:val="24"/>
        </w:rPr>
        <w:t>mazumtirdzniecības attīstība</w:t>
      </w:r>
      <w:r w:rsidRPr="0002693A">
        <w:rPr>
          <w:rFonts w:ascii="Times New Roman" w:hAnsi="Times New Roman" w:cs="Times New Roman"/>
          <w:sz w:val="24"/>
          <w:szCs w:val="24"/>
        </w:rPr>
        <w:t xml:space="preserve"> bija nedaudz vājāka par iepriekšējā gadā novērotajām tirdzniecības tendencēm. Pērn mazumtirdzniecības izaugsme bija 4,0% apmērā, kamēr 2017.gadā tā bija 4,4% līmenī (skat. 1.3.att.). Mazumtirdzniecības pieaugumu 2018.gadā nodrošināja gan pārtikas preču apgrozījuma kāpums, gan augošie nepārtikas pārdošanas apjomi. Tirdzniecība pārtikas produktu veikalos 2018.gadā bija par 4,2% augstāka nekā pirms gada, savukārt kopējie nepārtikas preču pārdošanas apjomi bija palielinājušies par 3,8%. Straujāku nepārtikas preču mazumtirdzniecības pieaugumu pērn ierobežoja degvielas apgrozījuma rezultāti, kuri, sākot ar pērnā gada augustu, kļuva vāji un atsevišķos mēnešos pat uzrādīja pārdošanas apjomu kritumu, kas varētu būt saistīts ar straujo degvielas cenu pieaugumu. Tādējādi autodegvielas mazumtirdzniecība pērn kopumā pieauga par 2,9%. Līdzīgi kā iepriekšējos gados, arī 2018.gadā iekšējā pieprasījuma pieaugumu noteica strādājošo reālās darba samaksas kāpums, kas pozitīvi ietekmēja iedzīvotāju pirktspēju un turpinās veicināt tirdzniecības pieaugumu arī šogad.</w:t>
      </w:r>
    </w:p>
    <w:p w:rsidR="0002693A" w:rsidRDefault="0002693A" w:rsidP="0002693A">
      <w:r>
        <w:rPr>
          <w:noProof/>
          <w:lang w:eastAsia="lv-LV"/>
        </w:rPr>
        <w:drawing>
          <wp:inline distT="0" distB="0" distL="0" distR="0" wp14:anchorId="69BD7B1B" wp14:editId="2528B000">
            <wp:extent cx="5760085" cy="3201742"/>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2693A" w:rsidRPr="0002693A" w:rsidRDefault="0002693A" w:rsidP="0002693A">
      <w:pPr>
        <w:spacing w:after="120" w:line="240" w:lineRule="auto"/>
        <w:ind w:firstLine="709"/>
        <w:jc w:val="center"/>
        <w:rPr>
          <w:rFonts w:ascii="Times New Roman" w:hAnsi="Times New Roman" w:cs="Times New Roman"/>
          <w:i/>
          <w:sz w:val="24"/>
          <w:szCs w:val="24"/>
        </w:rPr>
      </w:pPr>
      <w:r w:rsidRPr="0002693A">
        <w:rPr>
          <w:rFonts w:ascii="Times New Roman" w:hAnsi="Times New Roman" w:cs="Times New Roman"/>
          <w:b/>
          <w:i/>
          <w:sz w:val="24"/>
          <w:szCs w:val="24"/>
        </w:rPr>
        <w:t>1.3.att. Mazumtirdzniecības apgrozījuma pārmaiņas pret iepriekšējā gada attiecīgo mēnesi, %</w:t>
      </w:r>
    </w:p>
    <w:p w:rsidR="0002693A" w:rsidRPr="0002693A" w:rsidRDefault="0002693A" w:rsidP="000D75FD">
      <w:pPr>
        <w:spacing w:after="120" w:line="240" w:lineRule="auto"/>
        <w:ind w:firstLine="709"/>
        <w:jc w:val="both"/>
        <w:rPr>
          <w:rFonts w:ascii="Times New Roman" w:hAnsi="Times New Roman" w:cs="Times New Roman"/>
          <w:sz w:val="24"/>
          <w:szCs w:val="24"/>
        </w:rPr>
      </w:pPr>
      <w:r w:rsidRPr="0002693A">
        <w:rPr>
          <w:rFonts w:ascii="Times New Roman" w:hAnsi="Times New Roman" w:cs="Times New Roman"/>
          <w:b/>
          <w:bCs/>
          <w:sz w:val="24"/>
          <w:szCs w:val="24"/>
        </w:rPr>
        <w:t>Finanšu nozarei</w:t>
      </w:r>
      <w:r w:rsidRPr="0002693A">
        <w:rPr>
          <w:rFonts w:ascii="Times New Roman" w:hAnsi="Times New Roman" w:cs="Times New Roman"/>
          <w:sz w:val="24"/>
          <w:szCs w:val="24"/>
        </w:rPr>
        <w:t xml:space="preserve"> 2018.gads ir bijis stipru satricinājumu un līdz ar to arī strauju pārmaiņu gads. Samazinoties nerezidentu apkalpošanai banku sektorā, nozares kopējā pievienotā vērtība gada pirmajos trīs ceturkšņos kopā, salīdzinot ar attiecīgo periodu pirms gada, ir samazinājusies par 9,0%, tomēr divos pēdējos ceturkšņos lejupslīde jau praktiski ir apstājusies.</w:t>
      </w:r>
    </w:p>
    <w:p w:rsidR="0002693A" w:rsidRPr="0002693A" w:rsidRDefault="0002693A" w:rsidP="000D75FD">
      <w:pPr>
        <w:spacing w:after="120" w:line="240" w:lineRule="auto"/>
        <w:ind w:firstLine="709"/>
        <w:jc w:val="both"/>
        <w:rPr>
          <w:rFonts w:ascii="Times New Roman" w:hAnsi="Times New Roman" w:cs="Times New Roman"/>
          <w:sz w:val="24"/>
          <w:szCs w:val="24"/>
        </w:rPr>
      </w:pPr>
      <w:r w:rsidRPr="0002693A">
        <w:rPr>
          <w:rFonts w:ascii="Times New Roman" w:hAnsi="Times New Roman" w:cs="Times New Roman"/>
          <w:sz w:val="24"/>
          <w:szCs w:val="24"/>
        </w:rPr>
        <w:t xml:space="preserve"> Latvijas banku sektoram jau sākot no 2015.gada ir vērojams ārvalstu noguldījumu pakāpenisks samazinājums. 2015.gada beigās ārvalstu noguldījumu apjoms bija  12,4 miljardi </w:t>
      </w:r>
      <w:proofErr w:type="spellStart"/>
      <w:r w:rsidRPr="0002693A">
        <w:rPr>
          <w:rFonts w:ascii="Times New Roman" w:hAnsi="Times New Roman" w:cs="Times New Roman"/>
          <w:i/>
          <w:iCs/>
          <w:sz w:val="24"/>
          <w:szCs w:val="24"/>
        </w:rPr>
        <w:t>euro</w:t>
      </w:r>
      <w:proofErr w:type="spellEnd"/>
      <w:r w:rsidRPr="0002693A">
        <w:rPr>
          <w:rFonts w:ascii="Times New Roman" w:hAnsi="Times New Roman" w:cs="Times New Roman"/>
          <w:sz w:val="24"/>
          <w:szCs w:val="24"/>
        </w:rPr>
        <w:t xml:space="preserve">, bet 2018. gada novembra beigās šis apjoms ir sarucis līdz aptuveni 3,0 miljardiem </w:t>
      </w:r>
      <w:proofErr w:type="spellStart"/>
      <w:r w:rsidRPr="0002693A">
        <w:rPr>
          <w:rFonts w:ascii="Times New Roman" w:hAnsi="Times New Roman" w:cs="Times New Roman"/>
          <w:i/>
          <w:iCs/>
          <w:sz w:val="24"/>
          <w:szCs w:val="24"/>
        </w:rPr>
        <w:t>euro</w:t>
      </w:r>
      <w:proofErr w:type="spellEnd"/>
      <w:r w:rsidRPr="0002693A">
        <w:rPr>
          <w:rFonts w:ascii="Times New Roman" w:hAnsi="Times New Roman" w:cs="Times New Roman"/>
          <w:sz w:val="24"/>
          <w:szCs w:val="24"/>
        </w:rPr>
        <w:t xml:space="preserve"> jeb par 75%. Šāds samazinājums ir skaidrojams ar mērķtiecīgu Finanšu un kapitāla tirgus komisijas darbu attīrot banku sistēmu no čaulu veidojumu noguldījumiem. Atšķirībā  no iepriekšējiem gadiem, 2018.gadā šādu tendenci pastiprināja ārējo apstākļu iedarbība – gada </w:t>
      </w:r>
      <w:r w:rsidRPr="0002693A">
        <w:rPr>
          <w:rFonts w:ascii="Times New Roman" w:hAnsi="Times New Roman" w:cs="Times New Roman"/>
          <w:sz w:val="24"/>
          <w:szCs w:val="24"/>
        </w:rPr>
        <w:lastRenderedPageBreak/>
        <w:t xml:space="preserve">sākumā ASV Valsts kase/FINCEN publicēja ziņojumu par ABLV banku, kā rezultātā Eiropas Centrālā banka jūlijā anulēja ABLV bankai izsniegto licenci. Vienlaicīgi arī Finanšu ministrija nāca klajā ar likumdošanas iniciatīvu, pastiprinot Noziedzīgi iegūtu līdzekļu legalizācijas un terorisma finansēšanas novēršanas likuma prasības, nosakot aizliegumu sadarboties ar čaulu veidojumiem, kas vienlaikus atbilst vismaz divām likumā noteiktām pazīmēm. 2019.gadā ir jāturpina sāktais darbs pie finanšu sektora sakārtošanas un banku biznesa modeļu pilnveidošanas. </w:t>
      </w:r>
    </w:p>
    <w:p w:rsidR="0002693A" w:rsidRPr="0002693A" w:rsidRDefault="0002693A" w:rsidP="000D75FD">
      <w:pPr>
        <w:spacing w:after="120" w:line="240" w:lineRule="auto"/>
        <w:ind w:firstLine="709"/>
        <w:jc w:val="both"/>
        <w:rPr>
          <w:rFonts w:ascii="Times New Roman" w:hAnsi="Times New Roman" w:cs="Times New Roman"/>
          <w:sz w:val="24"/>
          <w:szCs w:val="24"/>
        </w:rPr>
      </w:pPr>
      <w:r w:rsidRPr="0002693A">
        <w:rPr>
          <w:rFonts w:ascii="Times New Roman" w:hAnsi="Times New Roman" w:cs="Times New Roman"/>
          <w:sz w:val="24"/>
          <w:szCs w:val="24"/>
        </w:rPr>
        <w:t xml:space="preserve">Sākot no 2018. gada jūlija no statistikas rādītājiem ir izslēgta ABLV banka, tāpēc  rezidentu kredītportfelis 2018.gadā uzrādīja samazinājumu – kopējais samazinājums 12 mēnešos bija 490,4 milj. </w:t>
      </w:r>
      <w:proofErr w:type="spellStart"/>
      <w:r w:rsidRPr="0002693A">
        <w:rPr>
          <w:rFonts w:ascii="Times New Roman" w:hAnsi="Times New Roman" w:cs="Times New Roman"/>
          <w:i/>
          <w:iCs/>
          <w:sz w:val="24"/>
          <w:szCs w:val="24"/>
        </w:rPr>
        <w:t>euro</w:t>
      </w:r>
      <w:proofErr w:type="spellEnd"/>
      <w:r w:rsidRPr="0002693A">
        <w:rPr>
          <w:rFonts w:ascii="Times New Roman" w:hAnsi="Times New Roman" w:cs="Times New Roman"/>
          <w:sz w:val="24"/>
          <w:szCs w:val="24"/>
        </w:rPr>
        <w:t xml:space="preserve"> jeb 3,9%, t.sk. privāto </w:t>
      </w:r>
      <w:proofErr w:type="spellStart"/>
      <w:r w:rsidRPr="0002693A">
        <w:rPr>
          <w:rFonts w:ascii="Times New Roman" w:hAnsi="Times New Roman" w:cs="Times New Roman"/>
          <w:sz w:val="24"/>
          <w:szCs w:val="24"/>
        </w:rPr>
        <w:t>nefinanšu</w:t>
      </w:r>
      <w:proofErr w:type="spellEnd"/>
      <w:r w:rsidRPr="0002693A">
        <w:rPr>
          <w:rFonts w:ascii="Times New Roman" w:hAnsi="Times New Roman" w:cs="Times New Roman"/>
          <w:sz w:val="24"/>
          <w:szCs w:val="24"/>
        </w:rPr>
        <w:t xml:space="preserve"> sabiedrību kredītu samazinājums par 402,2 milj. </w:t>
      </w:r>
      <w:proofErr w:type="spellStart"/>
      <w:r w:rsidRPr="0002693A">
        <w:rPr>
          <w:rFonts w:ascii="Times New Roman" w:hAnsi="Times New Roman" w:cs="Times New Roman"/>
          <w:i/>
          <w:iCs/>
          <w:sz w:val="24"/>
          <w:szCs w:val="24"/>
        </w:rPr>
        <w:t>euro</w:t>
      </w:r>
      <w:proofErr w:type="spellEnd"/>
      <w:r w:rsidRPr="0002693A">
        <w:rPr>
          <w:rFonts w:ascii="Times New Roman" w:hAnsi="Times New Roman" w:cs="Times New Roman"/>
          <w:sz w:val="24"/>
          <w:szCs w:val="24"/>
        </w:rPr>
        <w:t xml:space="preserve"> un mājsaimniecību par 275,3 milj. </w:t>
      </w:r>
      <w:proofErr w:type="spellStart"/>
      <w:r w:rsidRPr="0002693A">
        <w:rPr>
          <w:rFonts w:ascii="Times New Roman" w:hAnsi="Times New Roman" w:cs="Times New Roman"/>
          <w:i/>
          <w:iCs/>
          <w:sz w:val="24"/>
          <w:szCs w:val="24"/>
        </w:rPr>
        <w:t>euro</w:t>
      </w:r>
      <w:proofErr w:type="spellEnd"/>
      <w:r w:rsidRPr="0002693A">
        <w:rPr>
          <w:rFonts w:ascii="Times New Roman" w:hAnsi="Times New Roman" w:cs="Times New Roman"/>
          <w:sz w:val="24"/>
          <w:szCs w:val="24"/>
        </w:rPr>
        <w:t xml:space="preserve"> jeb attiecīgi par 7,5% un 5,3%. Taču tai pat laikā sākot no jūlija ir vērojama kredītportfeļa stabilizācija un rezultātā uz gada beigām pret jūlija rādītājiem tas ir pat nedaudz pieaudzis - par 1,2%.</w:t>
      </w:r>
    </w:p>
    <w:p w:rsidR="0002693A" w:rsidRPr="0002693A" w:rsidRDefault="0002693A" w:rsidP="000D75FD">
      <w:pPr>
        <w:spacing w:after="120" w:line="240" w:lineRule="auto"/>
        <w:ind w:firstLine="709"/>
        <w:jc w:val="both"/>
        <w:rPr>
          <w:rFonts w:ascii="Times New Roman" w:hAnsi="Times New Roman" w:cs="Times New Roman"/>
          <w:sz w:val="24"/>
          <w:szCs w:val="24"/>
        </w:rPr>
      </w:pPr>
      <w:r w:rsidRPr="0002693A">
        <w:rPr>
          <w:rFonts w:ascii="Times New Roman" w:hAnsi="Times New Roman" w:cs="Times New Roman"/>
          <w:sz w:val="24"/>
          <w:szCs w:val="24"/>
        </w:rPr>
        <w:t xml:space="preserve">Saskaņā ar FKTK datiem, 2018.gada pirmajos trīs ceturkšņos apdrošināšanas sabiedrību parakstītās bruto prēmijas pieauga par 17,7%, salīdzinot ar iepriekšējā gada attiecīgo periodu, un sasniedza 568 milj. </w:t>
      </w:r>
      <w:proofErr w:type="spellStart"/>
      <w:r w:rsidRPr="0002693A">
        <w:rPr>
          <w:rFonts w:ascii="Times New Roman" w:hAnsi="Times New Roman" w:cs="Times New Roman"/>
          <w:i/>
          <w:iCs/>
          <w:sz w:val="24"/>
          <w:szCs w:val="24"/>
        </w:rPr>
        <w:t>euro</w:t>
      </w:r>
      <w:proofErr w:type="spellEnd"/>
      <w:r w:rsidRPr="0002693A">
        <w:rPr>
          <w:rFonts w:ascii="Times New Roman" w:hAnsi="Times New Roman" w:cs="Times New Roman"/>
          <w:sz w:val="24"/>
          <w:szCs w:val="24"/>
        </w:rPr>
        <w:t xml:space="preserve">. Apdrošināšanas tirgus attīstību kopumā nodrošināja gan Latvijas ekonomikas augšupeja, gan apdrošinātāju aktīva darbība ārpus Latvijas. Savukārt apdrošināšanas sabiedrību </w:t>
      </w:r>
      <w:proofErr w:type="spellStart"/>
      <w:r w:rsidRPr="0002693A">
        <w:rPr>
          <w:rFonts w:ascii="Times New Roman" w:hAnsi="Times New Roman" w:cs="Times New Roman"/>
          <w:sz w:val="24"/>
          <w:szCs w:val="24"/>
        </w:rPr>
        <w:t>pelnītspēja</w:t>
      </w:r>
      <w:proofErr w:type="spellEnd"/>
      <w:r w:rsidRPr="0002693A">
        <w:rPr>
          <w:rFonts w:ascii="Times New Roman" w:hAnsi="Times New Roman" w:cs="Times New Roman"/>
          <w:sz w:val="24"/>
          <w:szCs w:val="24"/>
        </w:rPr>
        <w:t xml:space="preserve"> nedaudz pasliktinājās. Kopš gada sākuma apdrošināšanas sabiedrības kopumā nopelnīja 9,3 milj. </w:t>
      </w:r>
      <w:proofErr w:type="spellStart"/>
      <w:r w:rsidRPr="0002693A">
        <w:rPr>
          <w:rFonts w:ascii="Times New Roman" w:hAnsi="Times New Roman" w:cs="Times New Roman"/>
          <w:i/>
          <w:iCs/>
          <w:sz w:val="24"/>
          <w:szCs w:val="24"/>
        </w:rPr>
        <w:t>euro</w:t>
      </w:r>
      <w:proofErr w:type="spellEnd"/>
      <w:r w:rsidRPr="0002693A">
        <w:rPr>
          <w:rFonts w:ascii="Times New Roman" w:hAnsi="Times New Roman" w:cs="Times New Roman"/>
          <w:sz w:val="24"/>
          <w:szCs w:val="24"/>
        </w:rPr>
        <w:t>, t.i., gandrīz par ceturtdaļu mazāk nekā gadu iepriekš.</w:t>
      </w:r>
    </w:p>
    <w:p w:rsidR="0002693A" w:rsidRPr="0002693A" w:rsidRDefault="0002693A" w:rsidP="000D75FD">
      <w:pPr>
        <w:spacing w:after="120" w:line="240" w:lineRule="auto"/>
        <w:ind w:firstLine="709"/>
        <w:jc w:val="both"/>
        <w:rPr>
          <w:rFonts w:ascii="Times New Roman" w:hAnsi="Times New Roman" w:cs="Times New Roman"/>
          <w:color w:val="1F497D"/>
          <w:sz w:val="24"/>
          <w:szCs w:val="24"/>
        </w:rPr>
      </w:pPr>
      <w:r w:rsidRPr="0002693A">
        <w:rPr>
          <w:rFonts w:ascii="Times New Roman" w:hAnsi="Times New Roman" w:cs="Times New Roman"/>
          <w:sz w:val="24"/>
          <w:szCs w:val="24"/>
        </w:rPr>
        <w:t xml:space="preserve">2018.gada pirmajos trīs ceturkšņos ieguldījumu fondu ieguldītāji vairāk pārdeva sev piederošās ieguldījumu fondu apliecības nekā tās iegādājās un līdz ar to gada deviņos mēnešos ieguldījumu fondu aktīvi samazinājās par 3,1%, septembra beigās sasniedzot 209,5 milj. </w:t>
      </w:r>
      <w:proofErr w:type="spellStart"/>
      <w:r w:rsidRPr="0002693A">
        <w:rPr>
          <w:rFonts w:ascii="Times New Roman" w:hAnsi="Times New Roman" w:cs="Times New Roman"/>
          <w:i/>
          <w:iCs/>
          <w:sz w:val="24"/>
          <w:szCs w:val="24"/>
        </w:rPr>
        <w:t>euro</w:t>
      </w:r>
      <w:proofErr w:type="spellEnd"/>
      <w:r w:rsidRPr="0002693A">
        <w:rPr>
          <w:rFonts w:ascii="Times New Roman" w:hAnsi="Times New Roman" w:cs="Times New Roman"/>
          <w:sz w:val="24"/>
          <w:szCs w:val="24"/>
        </w:rPr>
        <w:t>. Obligāciju fondu aktīvi samazinājās par 4,6%, turpretī jaukto fondu un akciju fondu aktīvi pieauga attiecīgi par 5,1% un 3,3%. Līdz ar pieaugumu finanšu tirgos mainījās iepriekšējā ceturkšņa negatīvā tendence un vairums ieguldījumu fondu gada deviņus mēnešus noslēdza ar pozitīvu ienesīgumu. Septembra beigās obligāciju fondu deviņu mēnešu ienesīgums bija robežās no -2,6% līdz +3,3%, jauktajiem fondiem tas bija no 0% līdz +4,5%, savukārt akciju fondiem – no -5,1% līdz +12,7%.</w:t>
      </w:r>
    </w:p>
    <w:p w:rsidR="00057613" w:rsidRPr="00057613" w:rsidRDefault="0002693A" w:rsidP="00057613">
      <w:pPr>
        <w:spacing w:after="120" w:line="240" w:lineRule="auto"/>
        <w:ind w:firstLine="709"/>
        <w:jc w:val="both"/>
        <w:rPr>
          <w:rFonts w:ascii="Times New Roman" w:eastAsia="Times New Roman" w:hAnsi="Times New Roman" w:cs="Times New Roman"/>
          <w:sz w:val="24"/>
          <w:szCs w:val="24"/>
        </w:rPr>
      </w:pPr>
      <w:r w:rsidRPr="0002693A">
        <w:rPr>
          <w:rFonts w:ascii="Times New Roman" w:hAnsi="Times New Roman" w:cs="Times New Roman"/>
          <w:b/>
          <w:sz w:val="24"/>
          <w:szCs w:val="24"/>
        </w:rPr>
        <w:t>Lauksaimniecības nozare</w:t>
      </w:r>
      <w:r w:rsidRPr="0002693A">
        <w:rPr>
          <w:rFonts w:ascii="Times New Roman" w:hAnsi="Times New Roman" w:cs="Times New Roman"/>
          <w:sz w:val="24"/>
          <w:szCs w:val="24"/>
        </w:rPr>
        <w:t xml:space="preserve"> (ieskaitot lauksaimniecību, mežsaimniecību un zivsaimniecību), 2017.gadā uzrādot vāju izaugsmi (1,9%), 2018.gadā ir attīstījusies ievērojami straujāk. Nozares pievienotā vērtība pērnā gada pirmajos trīs ceturkšņos, salīdzinot ar iepriekšējā gada attiecīgo periodu, bija palielinājusies par 5,5%, ko noteica mežsaimniecības un mežizstrādes spēcīgā izaugsme par 22,2%. Tajā pašā laikā augkopība un lopkopība bija sarukusi par 2,0%, savukārt salīdzinoši nelielās zivsaimniecības nozares pievienotā vērtība saglabājās 2017.gada līmenī. Pērn, tāpat kā citus gadus, lauksaimniecību būtiski ietekmējuši laikapstākļi – gada pirmā puse bijusi labvēlīga mežsaimniecībai, taču ilgstoši sausā vasara negatīvi ietekmēja augkopības ražu. Tāpat, vērtējot lauksaimniecības nozares turpmāko attīstību, jāņem vērā, ka ceturkšņa dati ietver tikai operatīvo informāciju un kopējie ražošanas apjomi var būtiski mainīties pēc gada faktisko datu saņemšanas.</w:t>
      </w:r>
    </w:p>
    <w:p w:rsidR="00057613" w:rsidRPr="0002693A" w:rsidRDefault="00057613" w:rsidP="00057613">
      <w:pPr>
        <w:spacing w:after="120" w:line="240" w:lineRule="auto"/>
        <w:rPr>
          <w:rFonts w:ascii="Times New Roman" w:hAnsi="Times New Roman" w:cs="Times New Roman"/>
          <w:sz w:val="24"/>
          <w:szCs w:val="24"/>
        </w:rPr>
      </w:pPr>
    </w:p>
    <w:p w:rsidR="009264A3" w:rsidRDefault="009264A3" w:rsidP="00A37BFA">
      <w:pPr>
        <w:pStyle w:val="Heading3"/>
        <w:jc w:val="center"/>
        <w:rPr>
          <w:rFonts w:ascii="Times New Roman" w:hAnsi="Times New Roman" w:cs="Times New Roman"/>
          <w:b/>
          <w:color w:val="auto"/>
          <w:sz w:val="32"/>
          <w:szCs w:val="32"/>
        </w:rPr>
      </w:pPr>
      <w:r w:rsidRPr="00A37BFA">
        <w:rPr>
          <w:rFonts w:ascii="Times New Roman" w:hAnsi="Times New Roman" w:cs="Times New Roman"/>
          <w:b/>
          <w:color w:val="auto"/>
          <w:sz w:val="32"/>
          <w:szCs w:val="32"/>
        </w:rPr>
        <w:t xml:space="preserve">1.2.2. </w:t>
      </w:r>
      <w:r w:rsidR="000D75FD">
        <w:rPr>
          <w:rFonts w:ascii="Times New Roman" w:hAnsi="Times New Roman" w:cs="Times New Roman"/>
          <w:b/>
          <w:color w:val="auto"/>
          <w:sz w:val="32"/>
          <w:szCs w:val="32"/>
        </w:rPr>
        <w:t>Ārējā tirdzniecība un maksājumu bilance</w:t>
      </w:r>
    </w:p>
    <w:p w:rsidR="000D75FD" w:rsidRPr="000D75FD" w:rsidRDefault="000D75FD" w:rsidP="000D75FD">
      <w:pPr>
        <w:spacing w:after="120" w:line="240" w:lineRule="auto"/>
        <w:ind w:firstLine="709"/>
        <w:jc w:val="both"/>
        <w:rPr>
          <w:rFonts w:ascii="Times New Roman" w:hAnsi="Times New Roman" w:cs="Times New Roman"/>
          <w:sz w:val="24"/>
          <w:szCs w:val="24"/>
        </w:rPr>
      </w:pPr>
    </w:p>
    <w:p w:rsidR="000D75FD" w:rsidRPr="000D75FD" w:rsidRDefault="000D75FD" w:rsidP="000D75FD">
      <w:pPr>
        <w:spacing w:after="120" w:line="240" w:lineRule="auto"/>
        <w:ind w:firstLine="709"/>
        <w:jc w:val="both"/>
        <w:rPr>
          <w:rFonts w:ascii="Times New Roman" w:hAnsi="Times New Roman" w:cs="Times New Roman"/>
          <w:sz w:val="24"/>
          <w:szCs w:val="24"/>
        </w:rPr>
      </w:pPr>
      <w:r w:rsidRPr="000D75FD">
        <w:rPr>
          <w:rFonts w:ascii="Times New Roman" w:hAnsi="Times New Roman" w:cs="Times New Roman"/>
          <w:sz w:val="24"/>
          <w:szCs w:val="24"/>
        </w:rPr>
        <w:t xml:space="preserve">2017.gadā situācija starptautiskajā preču tirdzniecībā manāmi uzlabojās. Pirmo reizi kopš pasaules finanšu krīzes visas ES dalībvalstis uzrādīja pozitīvu ekonomikas izaugsmi. Savukārt vidējā ES ekonomikas izaugsme 2017.gadā sasniedza 2,4%, kas ir straujākais kāpums kopš 2008.gada. Latvijas preču eksporta vērtība uz ES, kas ir lielākais Latvijas preču noieta tirgus, 2017.gadā palielinājās par 6,8%, sasniedzot 70,2% kopējā preču eksportā. Absolūtā </w:t>
      </w:r>
      <w:r w:rsidRPr="000D75FD">
        <w:rPr>
          <w:rFonts w:ascii="Times New Roman" w:hAnsi="Times New Roman" w:cs="Times New Roman"/>
          <w:sz w:val="24"/>
          <w:szCs w:val="24"/>
        </w:rPr>
        <w:lastRenderedPageBreak/>
        <w:t>izteiksmē lielākais preču eksporta kāpums no visām ES valstīm bija eksportā uz Vāciju, Igauniju un Zviedriju, eksportam attiecīgi palielinoties par 13,3%, 7,7% un 13,4%. Savukārt, preču eksporta pieaugums uz Lietuvu, kas ir lielākais eksporta tirgus Latvijas precēm ne tikai Eiropā, bet arī kopumā, 2017.gadā bija būtiski zemāks nekā vidējais pieaugums uz ES un veidoja vien 1,2%. Tādējādi, Lietuvas īpatsvars Latvijas preču eksporta struktūrā 2017.gadā samazinājās līdz 16,0%. Otrais lielākais eksporta tirgus gan ES, gan kopumā bija Igaunija ar 11,5% īpatsvaru.</w:t>
      </w:r>
    </w:p>
    <w:p w:rsidR="000D75FD" w:rsidRPr="000D75FD" w:rsidRDefault="000D75FD" w:rsidP="000D75FD">
      <w:pPr>
        <w:spacing w:after="120" w:line="240" w:lineRule="auto"/>
        <w:ind w:firstLine="709"/>
        <w:jc w:val="both"/>
        <w:rPr>
          <w:rFonts w:ascii="Times New Roman" w:hAnsi="Times New Roman" w:cs="Times New Roman"/>
          <w:sz w:val="24"/>
          <w:szCs w:val="24"/>
        </w:rPr>
      </w:pPr>
      <w:r w:rsidRPr="000D75FD">
        <w:rPr>
          <w:rFonts w:ascii="Times New Roman" w:hAnsi="Times New Roman" w:cs="Times New Roman"/>
          <w:sz w:val="24"/>
          <w:szCs w:val="24"/>
        </w:rPr>
        <w:t xml:space="preserve">Spēcīgs preču eksporta kāpums fiksēts arī pārējos Latvijai nozīmīgos eksporta tirgos. 2017.gadā pēc divu gadu recesijas atjaunojās ekonomikas izaugsme Krievijā, kas labvēlīgi atspoguļojās šīs valsts iedzīvotāju pirktspējas pieaugumā. Tas kopā ar labvēlīgāku valūtas kursu nekā 2016.gadā, ļāva kāpināt Latvijas preču eksportu uz Krieviju par 32,2% jeb 255 milj. </w:t>
      </w:r>
      <w:proofErr w:type="spellStart"/>
      <w:r w:rsidRPr="000D75FD">
        <w:rPr>
          <w:rFonts w:ascii="Times New Roman" w:hAnsi="Times New Roman" w:cs="Times New Roman"/>
          <w:i/>
          <w:sz w:val="24"/>
          <w:szCs w:val="24"/>
        </w:rPr>
        <w:t>euro</w:t>
      </w:r>
      <w:proofErr w:type="spellEnd"/>
      <w:r w:rsidRPr="000D75FD">
        <w:rPr>
          <w:rFonts w:ascii="Times New Roman" w:hAnsi="Times New Roman" w:cs="Times New Roman"/>
          <w:sz w:val="24"/>
          <w:szCs w:val="24"/>
        </w:rPr>
        <w:t xml:space="preserve">. Tādējādi, eksporta kāpums uz šo valsti 2017.gadā bija straujākais starp visām valstīm un nodrošināja būtisku devumu kopējā preču eksporta izaugsmē un ar 9,1% īpatsvaru Krievija saglabāja savu pozīciju kā trešais lielākais Latvijas eksporta tirgus aiz Lietuvas un Igaunijas. Analizējot eksporta pieauguma struktūru valstu griezumā 2017.gadā, īpaši jāatzīmē arī eksporta kāpums uz ASV, preču eksporta vērtībai uz šo valsti gada laikā dubultojoties un sasniedzot vēsturiski augstāko līmeni jeb 312 milj. </w:t>
      </w:r>
      <w:proofErr w:type="spellStart"/>
      <w:r w:rsidRPr="000D75FD">
        <w:rPr>
          <w:rFonts w:ascii="Times New Roman" w:hAnsi="Times New Roman" w:cs="Times New Roman"/>
          <w:i/>
          <w:sz w:val="24"/>
          <w:szCs w:val="24"/>
        </w:rPr>
        <w:t>euro</w:t>
      </w:r>
      <w:proofErr w:type="spellEnd"/>
      <w:r w:rsidRPr="000D75FD">
        <w:rPr>
          <w:rFonts w:ascii="Times New Roman" w:hAnsi="Times New Roman" w:cs="Times New Roman"/>
          <w:sz w:val="24"/>
          <w:szCs w:val="24"/>
        </w:rPr>
        <w:t>.</w:t>
      </w:r>
    </w:p>
    <w:p w:rsidR="000D75FD" w:rsidRPr="000D75FD" w:rsidRDefault="000D75FD" w:rsidP="000D75FD">
      <w:pPr>
        <w:spacing w:after="120" w:line="240" w:lineRule="auto"/>
        <w:ind w:firstLine="709"/>
        <w:jc w:val="both"/>
        <w:rPr>
          <w:rFonts w:ascii="Times New Roman" w:hAnsi="Times New Roman" w:cs="Times New Roman"/>
          <w:sz w:val="24"/>
          <w:szCs w:val="24"/>
        </w:rPr>
      </w:pPr>
      <w:r w:rsidRPr="000D75FD">
        <w:rPr>
          <w:rFonts w:ascii="Times New Roman" w:hAnsi="Times New Roman" w:cs="Times New Roman"/>
          <w:sz w:val="24"/>
          <w:szCs w:val="24"/>
        </w:rPr>
        <w:t xml:space="preserve">Kopumā </w:t>
      </w:r>
      <w:r w:rsidRPr="000D75FD">
        <w:rPr>
          <w:rFonts w:ascii="Times New Roman" w:hAnsi="Times New Roman" w:cs="Times New Roman"/>
          <w:b/>
          <w:color w:val="000000" w:themeColor="text1"/>
          <w:sz w:val="24"/>
          <w:szCs w:val="24"/>
        </w:rPr>
        <w:t>preču eksports</w:t>
      </w:r>
      <w:r w:rsidRPr="000D75FD">
        <w:rPr>
          <w:rFonts w:ascii="Times New Roman" w:hAnsi="Times New Roman" w:cs="Times New Roman"/>
          <w:color w:val="000000" w:themeColor="text1"/>
          <w:sz w:val="24"/>
          <w:szCs w:val="24"/>
        </w:rPr>
        <w:t xml:space="preserve"> </w:t>
      </w:r>
      <w:r w:rsidRPr="000D75FD">
        <w:rPr>
          <w:rFonts w:ascii="Times New Roman" w:hAnsi="Times New Roman" w:cs="Times New Roman"/>
          <w:sz w:val="24"/>
          <w:szCs w:val="24"/>
        </w:rPr>
        <w:t xml:space="preserve">2017.gadā palielinājās par 11,1%, sasniedzot 11,5 miljardu </w:t>
      </w:r>
      <w:proofErr w:type="spellStart"/>
      <w:r w:rsidRPr="000D75FD">
        <w:rPr>
          <w:rFonts w:ascii="Times New Roman" w:hAnsi="Times New Roman" w:cs="Times New Roman"/>
          <w:i/>
          <w:sz w:val="24"/>
          <w:szCs w:val="24"/>
        </w:rPr>
        <w:t>euro</w:t>
      </w:r>
      <w:proofErr w:type="spellEnd"/>
      <w:r w:rsidRPr="000D75FD">
        <w:rPr>
          <w:rFonts w:ascii="Times New Roman" w:hAnsi="Times New Roman" w:cs="Times New Roman"/>
          <w:sz w:val="24"/>
          <w:szCs w:val="24"/>
        </w:rPr>
        <w:t xml:space="preserve"> vērtību un tādējādi uzstādot rekordu, gada ietvaros eksporta vērtībai palielinoties līdz augstākajam līmenim kopš statistikas uzskaites sākuma 1995.gadā</w:t>
      </w:r>
      <w:r w:rsidRPr="000D75FD">
        <w:rPr>
          <w:rStyle w:val="FootnoteReference"/>
          <w:rFonts w:ascii="Times New Roman" w:hAnsi="Times New Roman" w:cs="Times New Roman"/>
          <w:sz w:val="24"/>
          <w:szCs w:val="24"/>
        </w:rPr>
        <w:footnoteReference w:id="3"/>
      </w:r>
      <w:r w:rsidRPr="000D75FD">
        <w:rPr>
          <w:rFonts w:ascii="Times New Roman" w:hAnsi="Times New Roman" w:cs="Times New Roman"/>
          <w:sz w:val="24"/>
          <w:szCs w:val="24"/>
        </w:rPr>
        <w:t xml:space="preserve">. Jāatzīmē, ka pēdējo desmit gadu laikā Latvijas eksportētāji spējuši kāpināt eksportēto preču vērtību tieši divas reizes. Preču eksporta vērtības kāpums tika sasniegts visās lielākajās preču kategorijās. </w:t>
      </w:r>
    </w:p>
    <w:p w:rsidR="000D75FD" w:rsidRPr="000D75FD" w:rsidRDefault="000D75FD" w:rsidP="000D75FD">
      <w:pPr>
        <w:spacing w:after="120" w:line="240" w:lineRule="auto"/>
        <w:ind w:firstLine="709"/>
        <w:jc w:val="both"/>
        <w:rPr>
          <w:rFonts w:ascii="Times New Roman" w:hAnsi="Times New Roman" w:cs="Times New Roman"/>
          <w:sz w:val="24"/>
          <w:szCs w:val="24"/>
        </w:rPr>
      </w:pPr>
      <w:r w:rsidRPr="000D75FD">
        <w:rPr>
          <w:rFonts w:ascii="Times New Roman" w:hAnsi="Times New Roman" w:cs="Times New Roman"/>
          <w:sz w:val="24"/>
          <w:szCs w:val="24"/>
        </w:rPr>
        <w:t xml:space="preserve">2017.gadā </w:t>
      </w:r>
      <w:r w:rsidRPr="000D75FD">
        <w:rPr>
          <w:rFonts w:ascii="Times New Roman" w:hAnsi="Times New Roman" w:cs="Times New Roman"/>
          <w:b/>
          <w:sz w:val="24"/>
          <w:szCs w:val="24"/>
        </w:rPr>
        <w:t>pakalpojumu eksports</w:t>
      </w:r>
      <w:r w:rsidRPr="000D75FD">
        <w:rPr>
          <w:rFonts w:ascii="Times New Roman" w:hAnsi="Times New Roman" w:cs="Times New Roman"/>
          <w:sz w:val="24"/>
          <w:szCs w:val="24"/>
        </w:rPr>
        <w:t xml:space="preserve">, neskatoties uz būtisko finanšu pakalpojumu eksporta kritumu (-16,9%), palielinājās par 8,0%, sasniedzot 4,9 miljardus </w:t>
      </w:r>
      <w:proofErr w:type="spellStart"/>
      <w:r w:rsidRPr="000D75FD">
        <w:rPr>
          <w:rFonts w:ascii="Times New Roman" w:hAnsi="Times New Roman" w:cs="Times New Roman"/>
          <w:i/>
          <w:sz w:val="24"/>
          <w:szCs w:val="24"/>
        </w:rPr>
        <w:t>euro</w:t>
      </w:r>
      <w:proofErr w:type="spellEnd"/>
      <w:r w:rsidRPr="000D75FD">
        <w:rPr>
          <w:rFonts w:ascii="Times New Roman" w:hAnsi="Times New Roman" w:cs="Times New Roman"/>
          <w:sz w:val="24"/>
          <w:szCs w:val="24"/>
        </w:rPr>
        <w:t xml:space="preserve">, kas ir visu laiku augstākais pakalpojumu eksporta apjoms. To visbūtiskāk veicināja ieņēmumu kāpums no transporta pakalpojumu, būvniecības pakalpojumu, kā arī no informācijas un </w:t>
      </w:r>
      <w:proofErr w:type="spellStart"/>
      <w:r w:rsidRPr="000D75FD">
        <w:rPr>
          <w:rFonts w:ascii="Times New Roman" w:hAnsi="Times New Roman" w:cs="Times New Roman"/>
          <w:sz w:val="24"/>
          <w:szCs w:val="24"/>
        </w:rPr>
        <w:t>datorpakalpojumu</w:t>
      </w:r>
      <w:proofErr w:type="spellEnd"/>
      <w:r w:rsidRPr="000D75FD">
        <w:rPr>
          <w:rFonts w:ascii="Times New Roman" w:hAnsi="Times New Roman" w:cs="Times New Roman"/>
          <w:sz w:val="24"/>
          <w:szCs w:val="24"/>
        </w:rPr>
        <w:t xml:space="preserve"> eksporta.</w:t>
      </w:r>
    </w:p>
    <w:p w:rsidR="000D75FD" w:rsidRPr="000D75FD" w:rsidRDefault="000D75FD" w:rsidP="000D75FD">
      <w:pPr>
        <w:spacing w:after="120" w:line="240" w:lineRule="auto"/>
        <w:ind w:firstLine="709"/>
        <w:jc w:val="both"/>
        <w:rPr>
          <w:rFonts w:ascii="Times New Roman" w:hAnsi="Times New Roman" w:cs="Times New Roman"/>
          <w:sz w:val="24"/>
          <w:szCs w:val="24"/>
        </w:rPr>
      </w:pPr>
      <w:r w:rsidRPr="000D75FD">
        <w:rPr>
          <w:rFonts w:ascii="Times New Roman" w:hAnsi="Times New Roman" w:cs="Times New Roman"/>
          <w:sz w:val="24"/>
          <w:szCs w:val="24"/>
        </w:rPr>
        <w:t xml:space="preserve">Vērtējot Latvijas preču un pakalpojumu eksporta attīstību kopumā, jānorāda, ka 2017.gadā bija straujākais eksporta kāpums kopš 2013.gada, kopējai eksporta vērtībai pieaugot par 10,0% faktiskajās cenās. Sasniegtais pieaugums bija straujāks nekā eksporta kāpums ES vidēji (7,0%). Ņemot vērā, ka Latvijas eksporta pieaugums bija straujāks par ekonomikas izaugsmi kopumā, eksporta īpatsvars iekšzemes kopproduktā, salīdzinot ar 2016.gadu, palielinājies par 1,1 procentpunktu līdz 61,1%. Latvija šajā ziņā jau vēsturiski atpaliek no kaimiņvalstīm, jo Lietuvā un Igaunijā eksporta īpatsvars IKP ir būtiski lielāks, 2017.gadā tas veidoja attiecīgi 80,9% un 76,5%. Igaunija, valsts ar zemāku iedzīvotāju skaitu, 2017.gadā absolūtā izteiksmē spēja eksportēt par 1,5 miljardu </w:t>
      </w:r>
      <w:proofErr w:type="spellStart"/>
      <w:r w:rsidRPr="000D75FD">
        <w:rPr>
          <w:rFonts w:ascii="Times New Roman" w:hAnsi="Times New Roman" w:cs="Times New Roman"/>
          <w:i/>
          <w:sz w:val="24"/>
          <w:szCs w:val="24"/>
        </w:rPr>
        <w:t>euro</w:t>
      </w:r>
      <w:proofErr w:type="spellEnd"/>
      <w:r w:rsidRPr="000D75FD">
        <w:rPr>
          <w:rFonts w:ascii="Times New Roman" w:hAnsi="Times New Roman" w:cs="Times New Roman"/>
          <w:sz w:val="24"/>
          <w:szCs w:val="24"/>
        </w:rPr>
        <w:t xml:space="preserve"> vairāk nekā Latvija. Savukārt Lietuvas ienākumi no eksporta vairāk nekā divas reizes pārsniedz Latvijas ienākumus.</w:t>
      </w:r>
    </w:p>
    <w:p w:rsidR="000D75FD" w:rsidRPr="000D75FD" w:rsidRDefault="000D75FD" w:rsidP="000D75FD">
      <w:pPr>
        <w:spacing w:after="120" w:line="240" w:lineRule="auto"/>
        <w:ind w:firstLine="709"/>
        <w:jc w:val="both"/>
        <w:rPr>
          <w:rFonts w:ascii="Times New Roman" w:hAnsi="Times New Roman" w:cs="Times New Roman"/>
          <w:sz w:val="24"/>
          <w:szCs w:val="24"/>
        </w:rPr>
      </w:pPr>
      <w:r w:rsidRPr="000D75FD">
        <w:rPr>
          <w:rFonts w:ascii="Times New Roman" w:hAnsi="Times New Roman" w:cs="Times New Roman"/>
          <w:sz w:val="24"/>
          <w:szCs w:val="24"/>
        </w:rPr>
        <w:t xml:space="preserve">Tikmēr preču </w:t>
      </w:r>
      <w:r w:rsidRPr="000D75FD">
        <w:rPr>
          <w:rFonts w:ascii="Times New Roman" w:hAnsi="Times New Roman" w:cs="Times New Roman"/>
          <w:b/>
          <w:sz w:val="24"/>
          <w:szCs w:val="24"/>
        </w:rPr>
        <w:t>importa pieaugums</w:t>
      </w:r>
      <w:r w:rsidRPr="000D75FD">
        <w:rPr>
          <w:rFonts w:ascii="Times New Roman" w:hAnsi="Times New Roman" w:cs="Times New Roman"/>
          <w:sz w:val="24"/>
          <w:szCs w:val="24"/>
        </w:rPr>
        <w:t xml:space="preserve"> 2017.gadā gadā bija augstāks par eksporta kāpumu, sasniedzot 14,6%. Ir svarīgi atzīmēt, ka straujāks preču importa kāpums 2017.gadā kopumā ir saistīts ar būtiski straujāku ekonomisko izaugsmi. Latvijas ekonomikas izaugsmes temps faktiskajās cenās 2017.gadā paātrinājies līdz 8,0%, salīdzinot ar 2,9% 2016.gadā. Straujāka ekonomikas izaugsme atspoguļojusies arī būtiski augstākā investīciju un būvniecības aktivitātē, tāpēc ir likumsakarīgi, ka pieprasījums pēc tehnikas, metāliem un būvmateriāliem pieaug, tādā veidā stimulējot arī importa pieaugumu. Savukārt pakalpojumu imports 2017.gadā palielinājies par 8,6%. Tāpat kā pakalpojumu eksportā, arī </w:t>
      </w:r>
      <w:r w:rsidRPr="000D75FD">
        <w:rPr>
          <w:rFonts w:ascii="Times New Roman" w:hAnsi="Times New Roman" w:cs="Times New Roman"/>
          <w:b/>
          <w:sz w:val="24"/>
          <w:szCs w:val="24"/>
        </w:rPr>
        <w:t>pakalpojumu importa</w:t>
      </w:r>
      <w:r w:rsidRPr="000D75FD">
        <w:rPr>
          <w:rFonts w:ascii="Times New Roman" w:hAnsi="Times New Roman" w:cs="Times New Roman"/>
          <w:sz w:val="24"/>
          <w:szCs w:val="24"/>
        </w:rPr>
        <w:t xml:space="preserve"> attīstībā būtisku devumu nodrošināja transporta pakalpojumu importa kāpums par 7,4%. Papildus tam pieauga arī </w:t>
      </w:r>
      <w:proofErr w:type="spellStart"/>
      <w:r w:rsidRPr="000D75FD">
        <w:rPr>
          <w:rFonts w:ascii="Times New Roman" w:hAnsi="Times New Roman" w:cs="Times New Roman"/>
          <w:sz w:val="24"/>
          <w:szCs w:val="24"/>
        </w:rPr>
        <w:t>datorpakalpojumu</w:t>
      </w:r>
      <w:proofErr w:type="spellEnd"/>
      <w:r w:rsidRPr="000D75FD">
        <w:rPr>
          <w:rFonts w:ascii="Times New Roman" w:hAnsi="Times New Roman" w:cs="Times New Roman"/>
          <w:sz w:val="24"/>
          <w:szCs w:val="24"/>
        </w:rPr>
        <w:t xml:space="preserve">, būvniecības, finanšu pakalpojumu imports, kā arī Latvijas iedzīvotāju tēriņi </w:t>
      </w:r>
      <w:r w:rsidRPr="000D75FD">
        <w:rPr>
          <w:rFonts w:ascii="Times New Roman" w:hAnsi="Times New Roman" w:cs="Times New Roman"/>
          <w:sz w:val="24"/>
          <w:szCs w:val="24"/>
        </w:rPr>
        <w:lastRenderedPageBreak/>
        <w:t>ārvalstīs. Preču un pakalpojumu importa vērtība 2017.gadā faktiskajās cenās kopumā pieauga par 12,0%, un tās īpatsvars IKP palielinājās līdz 61,0%.</w:t>
      </w:r>
    </w:p>
    <w:p w:rsidR="000D75FD" w:rsidRDefault="000D75FD" w:rsidP="000D75FD">
      <w:r>
        <w:rPr>
          <w:noProof/>
          <w:lang w:eastAsia="lv-LV"/>
        </w:rPr>
        <w:drawing>
          <wp:inline distT="0" distB="0" distL="0" distR="0" wp14:anchorId="2E1ACD84" wp14:editId="554B0A88">
            <wp:extent cx="5695950" cy="3819526"/>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D75FD" w:rsidRPr="000D75FD" w:rsidRDefault="000D75FD" w:rsidP="000D75FD">
      <w:pPr>
        <w:ind w:firstLine="709"/>
        <w:jc w:val="center"/>
        <w:rPr>
          <w:rFonts w:ascii="Times New Roman" w:hAnsi="Times New Roman" w:cs="Times New Roman"/>
          <w:b/>
          <w:i/>
          <w:sz w:val="24"/>
          <w:szCs w:val="24"/>
        </w:rPr>
      </w:pPr>
      <w:r w:rsidRPr="000D75FD">
        <w:rPr>
          <w:rFonts w:ascii="Times New Roman" w:hAnsi="Times New Roman" w:cs="Times New Roman"/>
          <w:b/>
          <w:i/>
          <w:sz w:val="24"/>
          <w:szCs w:val="24"/>
        </w:rPr>
        <w:t xml:space="preserve">1.4.att. Latvijas preču ārējās tirdzniecības bilance, faktiskajās cenās pa gadiem, milj. </w:t>
      </w:r>
      <w:proofErr w:type="spellStart"/>
      <w:r w:rsidRPr="000D75FD">
        <w:rPr>
          <w:rFonts w:ascii="Times New Roman" w:hAnsi="Times New Roman" w:cs="Times New Roman"/>
          <w:b/>
          <w:i/>
          <w:sz w:val="24"/>
          <w:szCs w:val="24"/>
        </w:rPr>
        <w:t>euro</w:t>
      </w:r>
      <w:proofErr w:type="spellEnd"/>
    </w:p>
    <w:p w:rsidR="000D75FD" w:rsidRPr="000D75FD" w:rsidRDefault="000D75FD" w:rsidP="000D75FD">
      <w:pPr>
        <w:spacing w:after="120" w:line="240" w:lineRule="auto"/>
        <w:ind w:firstLine="709"/>
        <w:jc w:val="both"/>
        <w:rPr>
          <w:rFonts w:ascii="Times New Roman" w:hAnsi="Times New Roman" w:cs="Times New Roman"/>
          <w:color w:val="000000" w:themeColor="text1"/>
          <w:sz w:val="24"/>
          <w:szCs w:val="24"/>
        </w:rPr>
      </w:pPr>
      <w:r w:rsidRPr="000D75FD">
        <w:rPr>
          <w:rFonts w:ascii="Times New Roman" w:hAnsi="Times New Roman" w:cs="Times New Roman"/>
          <w:b/>
          <w:sz w:val="24"/>
          <w:szCs w:val="24"/>
        </w:rPr>
        <w:t>Preču eksporta</w:t>
      </w:r>
      <w:r w:rsidRPr="000D75FD">
        <w:rPr>
          <w:rFonts w:ascii="Times New Roman" w:hAnsi="Times New Roman" w:cs="Times New Roman"/>
          <w:sz w:val="24"/>
          <w:szCs w:val="24"/>
        </w:rPr>
        <w:t xml:space="preserve"> dinamika 2018.gadā parāda, ka eksporta izaugsme turpinās, pat neskatoties uz to, ka iepriekšējā gadā preču eksporta pieauguma tempi bija visai strauji. Pateicoties noturīgai ekonomikas izaugsmei Latvijas lielākajos eksporta tirgos, preču eksporta vērtība 2018.gadā sasniedza 12,3 miljardus </w:t>
      </w:r>
      <w:proofErr w:type="spellStart"/>
      <w:r w:rsidRPr="000D75FD">
        <w:rPr>
          <w:rFonts w:ascii="Times New Roman" w:hAnsi="Times New Roman" w:cs="Times New Roman"/>
          <w:i/>
          <w:sz w:val="24"/>
          <w:szCs w:val="24"/>
        </w:rPr>
        <w:t>euro</w:t>
      </w:r>
      <w:proofErr w:type="spellEnd"/>
      <w:r w:rsidRPr="000D75FD">
        <w:rPr>
          <w:rFonts w:ascii="Times New Roman" w:hAnsi="Times New Roman" w:cs="Times New Roman"/>
          <w:sz w:val="24"/>
          <w:szCs w:val="24"/>
        </w:rPr>
        <w:t xml:space="preserve">, kas ir par 7,2% vairāk salīdzinājumā ar 2017.gadu. Zīmīgi, ka eksporta kāpums ir fiksēts visās lielākajās preču grupās (koksne, metāli, mehāniskās ierīces), izņemot pārtikas produktus. Lai arī preču eksporta izaugsme 2018.gadā kopumā turpināja palielināties, eksporta dati pērnā gada nogalē </w:t>
      </w:r>
      <w:r w:rsidRPr="000D75FD">
        <w:rPr>
          <w:rFonts w:ascii="Times New Roman" w:hAnsi="Times New Roman" w:cs="Times New Roman"/>
          <w:color w:val="000000" w:themeColor="text1"/>
          <w:sz w:val="24"/>
          <w:szCs w:val="24"/>
        </w:rPr>
        <w:t xml:space="preserve">liecina par ārējā pieprasījuma sašaurināšanos. Ja vēl 2018.gadā pirmajā pusē eksporta izaugsmē bija vērtējama ar </w:t>
      </w:r>
      <w:proofErr w:type="spellStart"/>
      <w:r w:rsidRPr="000D75FD">
        <w:rPr>
          <w:rFonts w:ascii="Times New Roman" w:hAnsi="Times New Roman" w:cs="Times New Roman"/>
          <w:color w:val="000000" w:themeColor="text1"/>
          <w:sz w:val="24"/>
          <w:szCs w:val="24"/>
        </w:rPr>
        <w:t>divciparu</w:t>
      </w:r>
      <w:proofErr w:type="spellEnd"/>
      <w:r w:rsidRPr="000D75FD">
        <w:rPr>
          <w:rFonts w:ascii="Times New Roman" w:hAnsi="Times New Roman" w:cs="Times New Roman"/>
          <w:color w:val="000000" w:themeColor="text1"/>
          <w:sz w:val="24"/>
          <w:szCs w:val="24"/>
        </w:rPr>
        <w:t xml:space="preserve"> skaitli, proti, 10,2%, salīdzinot ar 2017.gada pirmo pusgadu, tad jau rudens mēnešos vidējā eksporta izaugsme piebremzējās līdz 3,8% salīdzinājumā ar iepriekšējā gada attiecīgo periodu. Savukārt, decembrī preču eksporta vērtība gada griezumā samazinājās par 1,3%.</w:t>
      </w:r>
    </w:p>
    <w:p w:rsidR="000D75FD" w:rsidRPr="000D75FD" w:rsidRDefault="000D75FD" w:rsidP="000D75FD">
      <w:pPr>
        <w:spacing w:after="120" w:line="240" w:lineRule="auto"/>
        <w:ind w:firstLine="709"/>
        <w:jc w:val="both"/>
        <w:rPr>
          <w:rFonts w:ascii="Times New Roman" w:hAnsi="Times New Roman" w:cs="Times New Roman"/>
          <w:sz w:val="24"/>
          <w:szCs w:val="24"/>
        </w:rPr>
      </w:pPr>
      <w:r w:rsidRPr="000D75FD">
        <w:rPr>
          <w:rFonts w:ascii="Times New Roman" w:hAnsi="Times New Roman" w:cs="Times New Roman"/>
          <w:color w:val="000000" w:themeColor="text1"/>
          <w:sz w:val="24"/>
          <w:szCs w:val="24"/>
        </w:rPr>
        <w:t>Pērnais, 2018.gads</w:t>
      </w:r>
      <w:r w:rsidR="00057613">
        <w:rPr>
          <w:rFonts w:ascii="Times New Roman" w:hAnsi="Times New Roman" w:cs="Times New Roman"/>
          <w:color w:val="000000" w:themeColor="text1"/>
          <w:sz w:val="24"/>
          <w:szCs w:val="24"/>
        </w:rPr>
        <w:t>,</w:t>
      </w:r>
      <w:r w:rsidRPr="000D75FD">
        <w:rPr>
          <w:rFonts w:ascii="Times New Roman" w:hAnsi="Times New Roman" w:cs="Times New Roman"/>
          <w:color w:val="000000" w:themeColor="text1"/>
          <w:sz w:val="24"/>
          <w:szCs w:val="24"/>
        </w:rPr>
        <w:t xml:space="preserve"> bija zīmīgs ar </w:t>
      </w:r>
      <w:r w:rsidRPr="000D75FD">
        <w:rPr>
          <w:rFonts w:ascii="Times New Roman" w:hAnsi="Times New Roman" w:cs="Times New Roman"/>
          <w:sz w:val="24"/>
          <w:szCs w:val="24"/>
        </w:rPr>
        <w:t>protekcionisma pieaugumu pasaules tirdzniecībā. Ja vēl gada vidū ASV ieviestie importa muitas tarifi</w:t>
      </w:r>
      <w:r w:rsidRPr="000D75FD">
        <w:rPr>
          <w:rFonts w:ascii="Times New Roman" w:hAnsi="Times New Roman" w:cs="Times New Roman"/>
          <w:color w:val="000000" w:themeColor="text1"/>
          <w:sz w:val="24"/>
          <w:szCs w:val="24"/>
        </w:rPr>
        <w:t xml:space="preserve"> tēraudam, alumīnijam un citām </w:t>
      </w:r>
      <w:r w:rsidRPr="000D75FD">
        <w:rPr>
          <w:rFonts w:ascii="Times New Roman" w:hAnsi="Times New Roman" w:cs="Times New Roman"/>
          <w:sz w:val="24"/>
          <w:szCs w:val="24"/>
        </w:rPr>
        <w:t>atsevišķām precēm no ES, Ķīnas un pārējām pasaules valstīm un šo valstu atbildes reakcija būtiski neietekmēja pasaules tirdzniecību</w:t>
      </w:r>
      <w:r w:rsidRPr="000D75FD">
        <w:rPr>
          <w:rFonts w:ascii="Times New Roman" w:hAnsi="Times New Roman" w:cs="Times New Roman"/>
          <w:color w:val="000000" w:themeColor="text1"/>
          <w:sz w:val="24"/>
          <w:szCs w:val="24"/>
        </w:rPr>
        <w:t xml:space="preserve">, tad šobrīd var skaidri redzēt, ka 2018.gada nogalē šo faktoru negatīvā ietekme pastiprinājās. </w:t>
      </w:r>
      <w:r w:rsidRPr="000D75FD">
        <w:rPr>
          <w:rFonts w:ascii="Times New Roman" w:hAnsi="Times New Roman" w:cs="Times New Roman"/>
          <w:sz w:val="24"/>
          <w:szCs w:val="24"/>
        </w:rPr>
        <w:t xml:space="preserve">ES reālā IKP pieaugums 2018.gada trešajā ceturksnī gada griezumā pirmo reizi kopš 2017.gada sākuma noslīdēja zem 2%. Savukārt preču eksporta izaugsme samazinājās līdz 2,2%, kamēr 2018.gada pirmajā pusē pieaugums bija tuvu 4%. Lēnāka ekonomikas izaugsme ES, kas ar 70,8% īpatsvaru ir galvenais Latvijas preču noieta tirgus, var mazināt pieprasījumu pēc Latvijas eksporta. Sagaidāms, ka Latvijas preču eksporta pieaugums turpināsies arī 2019.gadā, taču izaugsme būs mērenāka salīdzinājumā ar iepriekšējo gadu. </w:t>
      </w:r>
    </w:p>
    <w:p w:rsidR="000D75FD" w:rsidRDefault="000D75FD" w:rsidP="000D75FD">
      <w:r>
        <w:rPr>
          <w:noProof/>
          <w:lang w:eastAsia="lv-LV"/>
        </w:rPr>
        <w:lastRenderedPageBreak/>
        <w:drawing>
          <wp:inline distT="0" distB="0" distL="0" distR="0" wp14:anchorId="3ADFEB7B" wp14:editId="3B59B2FD">
            <wp:extent cx="5839460" cy="3588589"/>
            <wp:effectExtent l="0" t="0" r="889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D75FD" w:rsidRPr="000D75FD" w:rsidRDefault="000D75FD" w:rsidP="000D75FD">
      <w:pPr>
        <w:spacing w:after="120"/>
        <w:jc w:val="center"/>
        <w:rPr>
          <w:rFonts w:ascii="Times New Roman" w:hAnsi="Times New Roman" w:cs="Times New Roman"/>
          <w:b/>
          <w:i/>
          <w:sz w:val="24"/>
          <w:szCs w:val="24"/>
        </w:rPr>
      </w:pPr>
      <w:r w:rsidRPr="000D75FD">
        <w:rPr>
          <w:rFonts w:ascii="Times New Roman" w:eastAsia="Calibri" w:hAnsi="Times New Roman" w:cs="Times New Roman"/>
          <w:b/>
          <w:i/>
          <w:sz w:val="24"/>
          <w:szCs w:val="24"/>
        </w:rPr>
        <w:t>1</w:t>
      </w:r>
      <w:r w:rsidRPr="000D75FD">
        <w:rPr>
          <w:rFonts w:ascii="Times New Roman" w:hAnsi="Times New Roman" w:cs="Times New Roman"/>
          <w:b/>
          <w:i/>
          <w:sz w:val="24"/>
          <w:szCs w:val="24"/>
        </w:rPr>
        <w:t xml:space="preserve">.5.att. Latvijas preču eksports pa preču grupām, faktiskajās cenās milj. </w:t>
      </w:r>
      <w:proofErr w:type="spellStart"/>
      <w:r w:rsidRPr="000D75FD">
        <w:rPr>
          <w:rFonts w:ascii="Times New Roman" w:hAnsi="Times New Roman" w:cs="Times New Roman"/>
          <w:b/>
          <w:i/>
          <w:sz w:val="24"/>
          <w:szCs w:val="24"/>
        </w:rPr>
        <w:t>euro</w:t>
      </w:r>
      <w:proofErr w:type="spellEnd"/>
    </w:p>
    <w:p w:rsidR="000D75FD" w:rsidRPr="000D75FD" w:rsidRDefault="000D75FD" w:rsidP="000D75FD">
      <w:pPr>
        <w:spacing w:after="120" w:line="240" w:lineRule="auto"/>
        <w:ind w:firstLine="709"/>
        <w:jc w:val="both"/>
        <w:rPr>
          <w:rFonts w:ascii="Times New Roman" w:hAnsi="Times New Roman" w:cs="Times New Roman"/>
          <w:sz w:val="24"/>
          <w:szCs w:val="24"/>
        </w:rPr>
      </w:pPr>
      <w:r w:rsidRPr="000D75FD">
        <w:rPr>
          <w:rFonts w:ascii="Times New Roman" w:hAnsi="Times New Roman" w:cs="Times New Roman"/>
          <w:sz w:val="24"/>
          <w:szCs w:val="24"/>
        </w:rPr>
        <w:t xml:space="preserve">Lielāko devumu preču eksporta kāpumā 2018.gadā starp visām preču grupām nodrošināja koks un koka izstrādājumi, to eksporta vērtībai palielinoties par 17,8%, salīdzinot ar iepriekšējo gadu, tādējādi nodrošinot 2,9 procentpunktus no kopējā eksporta pieauguma pērnajā gadā. Koksnes un koka materiālu eksports nepārtraukti palielinās jau devīto gadu pēc kārtas un 2018.gadā pirmo reizi šo preču eksporta vērtība pārsniedza 2 miljardus </w:t>
      </w:r>
      <w:proofErr w:type="spellStart"/>
      <w:r w:rsidRPr="000D75FD">
        <w:rPr>
          <w:rFonts w:ascii="Times New Roman" w:hAnsi="Times New Roman" w:cs="Times New Roman"/>
          <w:i/>
          <w:sz w:val="24"/>
          <w:szCs w:val="24"/>
        </w:rPr>
        <w:t>euro</w:t>
      </w:r>
      <w:proofErr w:type="spellEnd"/>
      <w:r w:rsidRPr="000D75FD">
        <w:rPr>
          <w:rFonts w:ascii="Times New Roman" w:hAnsi="Times New Roman" w:cs="Times New Roman"/>
          <w:sz w:val="24"/>
          <w:szCs w:val="24"/>
        </w:rPr>
        <w:t xml:space="preserve">. Savukārt, pēdējo desmit gadu laikā – kopš 2009.gada, koka un koka izstrādājumu eksports gandrīz trīskāršojies. 2018.gadā koka un koka izstrādājumu eksporta vērtību palielināja gan izejvielu sadārdzinājums, gan arī preču fiziskā apjoma kāpums. Lielākais eksporta vērtības kāpums fiksēts uz Zviedriju, ko veicināja neapstrādāto kokmateriālu eksporta pieaugums. Savukārt uz Apvienoto Karalisti koka un koka izstrādājumu eksportu veicināja garumā sazāģēto kokmateriālu, kā arī malkas un koksnes šķeldas eksporta pieaugums. Svarīgi arī tas, ka tā ir vienīgā no lielajām eksporta preču grupām, kurai bija pozitīva ārējās tirdzniecības bilance, proti, eksporta vērtība pārsniedza importa vērtību. Koksnes gadījumā šis pārsvars ir ievērojams. 2018.gadā koka un koka izstrādājumu eksporta vērtība bija 2244 milj. </w:t>
      </w:r>
      <w:proofErr w:type="spellStart"/>
      <w:r w:rsidRPr="000D75FD">
        <w:rPr>
          <w:rFonts w:ascii="Times New Roman" w:hAnsi="Times New Roman" w:cs="Times New Roman"/>
          <w:i/>
          <w:sz w:val="24"/>
          <w:szCs w:val="24"/>
        </w:rPr>
        <w:t>euro</w:t>
      </w:r>
      <w:proofErr w:type="spellEnd"/>
      <w:r w:rsidRPr="000D75FD">
        <w:rPr>
          <w:rFonts w:ascii="Times New Roman" w:hAnsi="Times New Roman" w:cs="Times New Roman"/>
          <w:sz w:val="24"/>
          <w:szCs w:val="24"/>
        </w:rPr>
        <w:t xml:space="preserve">, savukārt importa vērtība vien 587 milj. </w:t>
      </w:r>
      <w:proofErr w:type="spellStart"/>
      <w:r w:rsidRPr="000D75FD">
        <w:rPr>
          <w:rFonts w:ascii="Times New Roman" w:hAnsi="Times New Roman" w:cs="Times New Roman"/>
          <w:i/>
          <w:sz w:val="24"/>
          <w:szCs w:val="24"/>
        </w:rPr>
        <w:t>euro</w:t>
      </w:r>
      <w:proofErr w:type="spellEnd"/>
      <w:r w:rsidRPr="000D75FD">
        <w:rPr>
          <w:rFonts w:ascii="Times New Roman" w:hAnsi="Times New Roman" w:cs="Times New Roman"/>
          <w:sz w:val="24"/>
          <w:szCs w:val="24"/>
        </w:rPr>
        <w:t xml:space="preserve">, tādējādi par 1657 milj. </w:t>
      </w:r>
      <w:proofErr w:type="spellStart"/>
      <w:r w:rsidRPr="000D75FD">
        <w:rPr>
          <w:rFonts w:ascii="Times New Roman" w:hAnsi="Times New Roman" w:cs="Times New Roman"/>
          <w:i/>
          <w:sz w:val="24"/>
          <w:szCs w:val="24"/>
        </w:rPr>
        <w:t>euro</w:t>
      </w:r>
      <w:proofErr w:type="spellEnd"/>
      <w:r w:rsidRPr="000D75FD">
        <w:rPr>
          <w:rFonts w:ascii="Times New Roman" w:hAnsi="Times New Roman" w:cs="Times New Roman"/>
          <w:sz w:val="24"/>
          <w:szCs w:val="24"/>
        </w:rPr>
        <w:t xml:space="preserve"> kompensējot kopējo preču ārējās tirdzniecības deficītu, kuru veido pārējās lielākās preču grupas kā satiksmes līdzekļi, mehāniskās ierīces un </w:t>
      </w:r>
      <w:proofErr w:type="spellStart"/>
      <w:r w:rsidRPr="000D75FD">
        <w:rPr>
          <w:rFonts w:ascii="Times New Roman" w:hAnsi="Times New Roman" w:cs="Times New Roman"/>
          <w:sz w:val="24"/>
          <w:szCs w:val="24"/>
        </w:rPr>
        <w:t>minerālprodukti</w:t>
      </w:r>
      <w:proofErr w:type="spellEnd"/>
      <w:r w:rsidRPr="000D75FD">
        <w:rPr>
          <w:rFonts w:ascii="Times New Roman" w:hAnsi="Times New Roman" w:cs="Times New Roman"/>
          <w:sz w:val="24"/>
          <w:szCs w:val="24"/>
        </w:rPr>
        <w:t>.</w:t>
      </w:r>
    </w:p>
    <w:p w:rsidR="000D75FD" w:rsidRPr="000D75FD" w:rsidRDefault="000D75FD" w:rsidP="000D75FD">
      <w:pPr>
        <w:spacing w:after="120" w:line="240" w:lineRule="auto"/>
        <w:ind w:firstLine="709"/>
        <w:jc w:val="both"/>
        <w:rPr>
          <w:rFonts w:ascii="Times New Roman" w:hAnsi="Times New Roman" w:cs="Times New Roman"/>
          <w:sz w:val="24"/>
          <w:szCs w:val="24"/>
        </w:rPr>
      </w:pPr>
      <w:r w:rsidRPr="000D75FD">
        <w:rPr>
          <w:rFonts w:ascii="Times New Roman" w:hAnsi="Times New Roman" w:cs="Times New Roman"/>
          <w:sz w:val="24"/>
          <w:szCs w:val="24"/>
        </w:rPr>
        <w:t xml:space="preserve">Otro lielāko devumu preču eksporta pieaugumā noteica mehānismu un mehānisko ierīču eksporta palielinājums par 26,3%, salīdzinot ar 2017.gadu. Tik iespaidīgu pieaugumu ietekmēja turboreaktīvo dzinēju un </w:t>
      </w:r>
      <w:proofErr w:type="spellStart"/>
      <w:r w:rsidRPr="000D75FD">
        <w:rPr>
          <w:rFonts w:ascii="Times New Roman" w:hAnsi="Times New Roman" w:cs="Times New Roman"/>
          <w:sz w:val="24"/>
          <w:szCs w:val="24"/>
        </w:rPr>
        <w:t>turbopropelleru</w:t>
      </w:r>
      <w:proofErr w:type="spellEnd"/>
      <w:r w:rsidRPr="000D75FD">
        <w:rPr>
          <w:rFonts w:ascii="Times New Roman" w:hAnsi="Times New Roman" w:cs="Times New Roman"/>
          <w:sz w:val="24"/>
          <w:szCs w:val="24"/>
        </w:rPr>
        <w:t xml:space="preserve"> eksporta pieaugums. Jāatzīmē, ka šo preču eksporta pieaugumam kopumā ir neitrāla ietekme uz ārējo tirdzniecības bilanci vidējā termiņā, jo turboreaktīvo dzinēju un </w:t>
      </w:r>
      <w:proofErr w:type="spellStart"/>
      <w:r w:rsidRPr="000D75FD">
        <w:rPr>
          <w:rFonts w:ascii="Times New Roman" w:hAnsi="Times New Roman" w:cs="Times New Roman"/>
          <w:sz w:val="24"/>
          <w:szCs w:val="24"/>
        </w:rPr>
        <w:t>turbopropelleru</w:t>
      </w:r>
      <w:proofErr w:type="spellEnd"/>
      <w:r w:rsidRPr="000D75FD">
        <w:rPr>
          <w:rFonts w:ascii="Times New Roman" w:hAnsi="Times New Roman" w:cs="Times New Roman"/>
          <w:sz w:val="24"/>
          <w:szCs w:val="24"/>
        </w:rPr>
        <w:t xml:space="preserve"> eksports ir saistīts ar šo preču remontu ASV un tajā brīdī, kad remonts būs pabeigts, šīs preces tiks atgrieztas atpakaļ Latvijā, kas atspoguļosies importa datos.</w:t>
      </w:r>
    </w:p>
    <w:p w:rsidR="000D75FD" w:rsidRPr="000D75FD" w:rsidRDefault="000D75FD" w:rsidP="000D75FD">
      <w:pPr>
        <w:spacing w:after="120" w:line="240" w:lineRule="auto"/>
        <w:ind w:firstLine="709"/>
        <w:jc w:val="both"/>
        <w:rPr>
          <w:rFonts w:ascii="Times New Roman" w:hAnsi="Times New Roman" w:cs="Times New Roman"/>
          <w:sz w:val="24"/>
          <w:szCs w:val="24"/>
        </w:rPr>
      </w:pPr>
      <w:r w:rsidRPr="000D75FD">
        <w:rPr>
          <w:rFonts w:ascii="Times New Roman" w:hAnsi="Times New Roman" w:cs="Times New Roman"/>
          <w:sz w:val="24"/>
          <w:szCs w:val="24"/>
        </w:rPr>
        <w:t xml:space="preserve">Par 14,0% palielinājies metālu un metālu izstrādājumu eksports, ko noteica alumīnija </w:t>
      </w:r>
      <w:proofErr w:type="spellStart"/>
      <w:r w:rsidRPr="000D75FD">
        <w:rPr>
          <w:rFonts w:ascii="Times New Roman" w:hAnsi="Times New Roman" w:cs="Times New Roman"/>
          <w:sz w:val="24"/>
          <w:szCs w:val="24"/>
        </w:rPr>
        <w:t>metālkonstrukciju</w:t>
      </w:r>
      <w:proofErr w:type="spellEnd"/>
      <w:r w:rsidRPr="000D75FD">
        <w:rPr>
          <w:rFonts w:ascii="Times New Roman" w:hAnsi="Times New Roman" w:cs="Times New Roman"/>
          <w:sz w:val="24"/>
          <w:szCs w:val="24"/>
        </w:rPr>
        <w:t xml:space="preserve"> eksporta pieaugums uz Apvienoto Karalisti, dzelzs atkritumu un lūžņu eksports uz Igauniju un Lietuvu, kā arī dzelzs un tērauda velmējumu un cauruļu eksporta kāpums uz Zviedriju, Igauniju un Lietuvu.</w:t>
      </w:r>
    </w:p>
    <w:p w:rsidR="000D75FD" w:rsidRPr="000D75FD" w:rsidRDefault="000D75FD" w:rsidP="000D75FD">
      <w:pPr>
        <w:spacing w:after="120" w:line="240" w:lineRule="auto"/>
        <w:ind w:firstLine="709"/>
        <w:jc w:val="both"/>
        <w:rPr>
          <w:rFonts w:ascii="Times New Roman" w:hAnsi="Times New Roman" w:cs="Times New Roman"/>
          <w:sz w:val="24"/>
          <w:szCs w:val="24"/>
        </w:rPr>
      </w:pPr>
      <w:r w:rsidRPr="000D75FD">
        <w:rPr>
          <w:rFonts w:ascii="Times New Roman" w:hAnsi="Times New Roman" w:cs="Times New Roman"/>
          <w:sz w:val="24"/>
          <w:szCs w:val="24"/>
        </w:rPr>
        <w:lastRenderedPageBreak/>
        <w:t xml:space="preserve">Pārtikas preču eksporta vērtība 2018.gadā samazinājusies par 0,5% salīdzinot ar 2017.gadu. Ja vēl 2018.gada pirmajā pusē pārtikas eksports bija augošs, ko galvenokārt nodrošināja alkoholisko dzērienu eksporta kāpums uz Krieviju, kā arī augļu eksports uz ES valstīm un dārzeņu eksports uz trešajām valstīm, rudens mēnešos būtiskais graudaugu eksporta kritums jau pārsniedza pārējo preču eksporta pieaugumu. </w:t>
      </w:r>
      <w:r w:rsidRPr="000D75FD">
        <w:rPr>
          <w:rFonts w:ascii="Times New Roman" w:hAnsi="Times New Roman" w:cs="Times New Roman"/>
          <w:color w:val="000000" w:themeColor="text1"/>
          <w:sz w:val="24"/>
          <w:szCs w:val="24"/>
        </w:rPr>
        <w:t xml:space="preserve">Tradicionāli graudaugi tiek eksportēti tieši rudenī, taču </w:t>
      </w:r>
      <w:r w:rsidRPr="000D75FD">
        <w:rPr>
          <w:rFonts w:ascii="Times New Roman" w:hAnsi="Times New Roman" w:cs="Times New Roman"/>
          <w:sz w:val="24"/>
          <w:szCs w:val="24"/>
        </w:rPr>
        <w:t xml:space="preserve">sausie laika apstākļi pērnā gada vasarā negatīvi ietekmēja ražas apjomu Latvijā, līdz ar to mazinot arī pārtikas eksportu. Graudaugu eksports 2018.gadā kopumā samazinājies par 15,8%, bet tieši rudens mēnešos, kad tiek eksportēta lielākā daļa no graudaugu gada eksporta kopumā, kritās par 43,0%, salīdzinot ar attiecīgo periodu 2017.gadā. Tādējādi, graudaugu eksporta vērtība 2018.gadā bija 345 milj. </w:t>
      </w:r>
      <w:proofErr w:type="spellStart"/>
      <w:r w:rsidRPr="000D75FD">
        <w:rPr>
          <w:rFonts w:ascii="Times New Roman" w:hAnsi="Times New Roman" w:cs="Times New Roman"/>
          <w:i/>
          <w:sz w:val="24"/>
          <w:szCs w:val="24"/>
        </w:rPr>
        <w:t>euro</w:t>
      </w:r>
      <w:proofErr w:type="spellEnd"/>
      <w:r w:rsidRPr="000D75FD">
        <w:rPr>
          <w:rFonts w:ascii="Times New Roman" w:hAnsi="Times New Roman" w:cs="Times New Roman"/>
          <w:sz w:val="24"/>
          <w:szCs w:val="24"/>
        </w:rPr>
        <w:t xml:space="preserve">, kas ir zemākais sniegums kopš 2015.gadā. Par 46,6% samazinājies augu sēklu eksports, ko lielā mērā negatīvi ietekmēja arī vājā graudaugu raža. </w:t>
      </w:r>
    </w:p>
    <w:p w:rsidR="000D75FD" w:rsidRPr="000D75FD" w:rsidRDefault="000D75FD" w:rsidP="000D75FD">
      <w:pPr>
        <w:spacing w:after="120" w:line="240" w:lineRule="auto"/>
        <w:ind w:firstLine="709"/>
        <w:jc w:val="both"/>
        <w:rPr>
          <w:rFonts w:ascii="Times New Roman" w:hAnsi="Times New Roman" w:cs="Times New Roman"/>
          <w:sz w:val="24"/>
          <w:szCs w:val="24"/>
        </w:rPr>
      </w:pPr>
      <w:r w:rsidRPr="000D75FD">
        <w:rPr>
          <w:rFonts w:ascii="Times New Roman" w:hAnsi="Times New Roman" w:cs="Times New Roman"/>
          <w:sz w:val="24"/>
          <w:szCs w:val="24"/>
        </w:rPr>
        <w:t xml:space="preserve">Graudaugu un augu sēklu eksporta kritumu nedaudz kompensēja alkoholisko dzērienu eksporta pieaugums par 5,9%, ko galvenokārt nodrošināja stipro alkoholisko dzērienu eksporta kāpums uz Ukrainu, Lietuvu un Krieviju.    </w:t>
      </w:r>
    </w:p>
    <w:p w:rsidR="000D75FD" w:rsidRPr="000D75FD" w:rsidRDefault="000D75FD" w:rsidP="000D75FD">
      <w:pPr>
        <w:spacing w:after="120" w:line="240" w:lineRule="auto"/>
        <w:ind w:firstLine="709"/>
        <w:jc w:val="both"/>
        <w:rPr>
          <w:rFonts w:ascii="Times New Roman" w:hAnsi="Times New Roman" w:cs="Times New Roman"/>
          <w:sz w:val="24"/>
          <w:szCs w:val="24"/>
        </w:rPr>
      </w:pPr>
      <w:r w:rsidRPr="000D75FD">
        <w:rPr>
          <w:rFonts w:ascii="Times New Roman" w:hAnsi="Times New Roman" w:cs="Times New Roman"/>
          <w:sz w:val="24"/>
          <w:szCs w:val="24"/>
        </w:rPr>
        <w:t xml:space="preserve">2018.gadā </w:t>
      </w:r>
      <w:r w:rsidRPr="000D75FD">
        <w:rPr>
          <w:rFonts w:ascii="Times New Roman" w:hAnsi="Times New Roman" w:cs="Times New Roman"/>
          <w:b/>
          <w:sz w:val="24"/>
          <w:szCs w:val="24"/>
        </w:rPr>
        <w:t>preču importa</w:t>
      </w:r>
      <w:r w:rsidRPr="000D75FD">
        <w:rPr>
          <w:rFonts w:ascii="Times New Roman" w:hAnsi="Times New Roman" w:cs="Times New Roman"/>
          <w:sz w:val="24"/>
          <w:szCs w:val="24"/>
        </w:rPr>
        <w:t xml:space="preserve"> pieaugums nedaudz piebremzējies, salīdzinot ar iepriekšējā gada vidējo kāpumu, taču joprojām saglabājas augstāks par preču eksporta kāpumu, pieaugot par 10,1%, salīdzinot ar iepriekšējo gadu. Gandrīz trešo daļu no kopējā preču importa kāpuma nodrošināja mehānismu un mehānisko ierīču importa pieaugums par 24,5% jeb 355 milj. </w:t>
      </w:r>
      <w:proofErr w:type="spellStart"/>
      <w:r w:rsidRPr="000D75FD">
        <w:rPr>
          <w:rFonts w:ascii="Times New Roman" w:hAnsi="Times New Roman" w:cs="Times New Roman"/>
          <w:i/>
          <w:sz w:val="24"/>
          <w:szCs w:val="24"/>
        </w:rPr>
        <w:t>euro</w:t>
      </w:r>
      <w:proofErr w:type="spellEnd"/>
      <w:r w:rsidRPr="000D75FD">
        <w:rPr>
          <w:rFonts w:ascii="Times New Roman" w:hAnsi="Times New Roman" w:cs="Times New Roman"/>
          <w:sz w:val="24"/>
          <w:szCs w:val="24"/>
        </w:rPr>
        <w:t xml:space="preserve">, ko galvenokārt noteica turboreaktīvo dzinēju un </w:t>
      </w:r>
      <w:proofErr w:type="spellStart"/>
      <w:r w:rsidRPr="000D75FD">
        <w:rPr>
          <w:rFonts w:ascii="Times New Roman" w:hAnsi="Times New Roman" w:cs="Times New Roman"/>
          <w:sz w:val="24"/>
          <w:szCs w:val="24"/>
        </w:rPr>
        <w:t>turbopropelleru</w:t>
      </w:r>
      <w:proofErr w:type="spellEnd"/>
      <w:r w:rsidRPr="000D75FD">
        <w:rPr>
          <w:rFonts w:ascii="Times New Roman" w:hAnsi="Times New Roman" w:cs="Times New Roman"/>
          <w:sz w:val="24"/>
          <w:szCs w:val="24"/>
        </w:rPr>
        <w:t xml:space="preserve"> imports. Kopš 2016.gada beigām Latvijas lidsabiedrība </w:t>
      </w:r>
      <w:proofErr w:type="spellStart"/>
      <w:r w:rsidRPr="000D75FD">
        <w:rPr>
          <w:rFonts w:ascii="Times New Roman" w:hAnsi="Times New Roman" w:cs="Times New Roman"/>
          <w:i/>
          <w:sz w:val="24"/>
          <w:szCs w:val="24"/>
        </w:rPr>
        <w:t>Air</w:t>
      </w:r>
      <w:proofErr w:type="spellEnd"/>
      <w:r w:rsidRPr="000D75FD">
        <w:rPr>
          <w:rFonts w:ascii="Times New Roman" w:hAnsi="Times New Roman" w:cs="Times New Roman"/>
          <w:i/>
          <w:sz w:val="24"/>
          <w:szCs w:val="24"/>
        </w:rPr>
        <w:t xml:space="preserve"> </w:t>
      </w:r>
      <w:proofErr w:type="spellStart"/>
      <w:r w:rsidRPr="000D75FD">
        <w:rPr>
          <w:rFonts w:ascii="Times New Roman" w:hAnsi="Times New Roman" w:cs="Times New Roman"/>
          <w:i/>
          <w:sz w:val="24"/>
          <w:szCs w:val="24"/>
        </w:rPr>
        <w:t>Baltic</w:t>
      </w:r>
      <w:proofErr w:type="spellEnd"/>
      <w:r w:rsidRPr="000D75FD">
        <w:rPr>
          <w:rFonts w:ascii="Times New Roman" w:hAnsi="Times New Roman" w:cs="Times New Roman"/>
          <w:i/>
          <w:sz w:val="24"/>
          <w:szCs w:val="24"/>
        </w:rPr>
        <w:t xml:space="preserve"> </w:t>
      </w:r>
      <w:proofErr w:type="spellStart"/>
      <w:r w:rsidRPr="000D75FD">
        <w:rPr>
          <w:rFonts w:ascii="Times New Roman" w:hAnsi="Times New Roman" w:cs="Times New Roman"/>
          <w:i/>
          <w:sz w:val="24"/>
          <w:szCs w:val="24"/>
        </w:rPr>
        <w:t>Corporation</w:t>
      </w:r>
      <w:proofErr w:type="spellEnd"/>
      <w:r w:rsidRPr="000D75FD">
        <w:rPr>
          <w:rFonts w:ascii="Times New Roman" w:hAnsi="Times New Roman" w:cs="Times New Roman"/>
          <w:i/>
          <w:sz w:val="24"/>
          <w:szCs w:val="24"/>
        </w:rPr>
        <w:t xml:space="preserve"> AS</w:t>
      </w:r>
      <w:r w:rsidRPr="000D75FD">
        <w:rPr>
          <w:rFonts w:ascii="Times New Roman" w:hAnsi="Times New Roman" w:cs="Times New Roman"/>
          <w:sz w:val="24"/>
          <w:szCs w:val="24"/>
        </w:rPr>
        <w:t xml:space="preserve"> uzsāka lidaparātu flotes modernizāciju, iegādājoties jaunas lidmašīnas. 2017.gadā bija iegādātas sešas jaunas lidmašīnas. Veicot lidmašīnu testēšanu un apkopi, to dzinēji tika aizsūtīti atpakaļ uz rūpnīcu, kas ietekmēja ārējās tirdzniecības datus.</w:t>
      </w:r>
    </w:p>
    <w:p w:rsidR="000D75FD" w:rsidRPr="000D75FD" w:rsidRDefault="000D75FD" w:rsidP="000D75FD">
      <w:pPr>
        <w:spacing w:after="120" w:line="240" w:lineRule="auto"/>
        <w:ind w:firstLine="709"/>
        <w:jc w:val="both"/>
        <w:rPr>
          <w:rFonts w:ascii="Times New Roman" w:hAnsi="Times New Roman" w:cs="Times New Roman"/>
          <w:sz w:val="24"/>
          <w:szCs w:val="24"/>
        </w:rPr>
      </w:pPr>
      <w:r w:rsidRPr="000D75FD">
        <w:rPr>
          <w:rFonts w:ascii="Times New Roman" w:hAnsi="Times New Roman" w:cs="Times New Roman"/>
          <w:sz w:val="24"/>
          <w:szCs w:val="24"/>
        </w:rPr>
        <w:t>Būtiski palielinājies arī pārtikas un lauksaimniecības preču imports, ko ietekmēja alkoholisko dzērienu importa kāpums no Lielbritānijas un Itālijas, kā arī graudaugu imports no Krievijas un Lietuvas. Kopējais pārtikas un lauksaimniecības preču imports pērnajā gadā pieauga par 8,6%. Analizējot citas preču importa grupas, jāatzīmē metāla un to izstrādājumu importa kāpums par 19,3%, koksnes importa pieaugums par 30,6% un minerālā kurināmā, naftas un tās pārstrādes produktu importa kāpums par 11,1%.</w:t>
      </w:r>
    </w:p>
    <w:p w:rsidR="000D75FD" w:rsidRPr="000D75FD" w:rsidRDefault="000D75FD" w:rsidP="000D75FD">
      <w:pPr>
        <w:spacing w:after="120" w:line="240" w:lineRule="auto"/>
        <w:ind w:firstLine="709"/>
        <w:jc w:val="both"/>
        <w:rPr>
          <w:rFonts w:ascii="Times New Roman" w:hAnsi="Times New Roman" w:cs="Times New Roman"/>
          <w:sz w:val="24"/>
          <w:szCs w:val="24"/>
        </w:rPr>
      </w:pPr>
      <w:r w:rsidRPr="000D75FD">
        <w:rPr>
          <w:rFonts w:ascii="Times New Roman" w:hAnsi="Times New Roman" w:cs="Times New Roman"/>
          <w:sz w:val="24"/>
          <w:szCs w:val="24"/>
        </w:rPr>
        <w:t xml:space="preserve">Kopumā jāsecina, ka 2018.gadā preču importa attīstības dinamika bija līdzīga iepriekšējam gadam, ko pirmkārt, nodrošināja augošs privātais pieprasījums, līdz ar to starppatēriņa preču imports pērnajā gadā pieauga par 11,5%. Otrkārt, augstā investīciju aktivitāte Latvijas tautsaimniecībā, kas atspoguļojās lielo infrastruktūras objektu celtniecībā, noteica </w:t>
      </w:r>
      <w:proofErr w:type="spellStart"/>
      <w:r w:rsidRPr="000D75FD">
        <w:rPr>
          <w:rFonts w:ascii="Times New Roman" w:hAnsi="Times New Roman" w:cs="Times New Roman"/>
          <w:sz w:val="24"/>
          <w:szCs w:val="24"/>
        </w:rPr>
        <w:t>kapitālpreču</w:t>
      </w:r>
      <w:proofErr w:type="spellEnd"/>
      <w:r w:rsidRPr="000D75FD">
        <w:rPr>
          <w:rFonts w:ascii="Times New Roman" w:hAnsi="Times New Roman" w:cs="Times New Roman"/>
          <w:sz w:val="24"/>
          <w:szCs w:val="24"/>
        </w:rPr>
        <w:t xml:space="preserve"> importa pieaugumu par 7,4%.   </w:t>
      </w:r>
    </w:p>
    <w:p w:rsidR="000D75FD" w:rsidRPr="000D75FD" w:rsidRDefault="000D75FD" w:rsidP="000D75FD">
      <w:pPr>
        <w:spacing w:after="120" w:line="240" w:lineRule="auto"/>
        <w:ind w:firstLine="709"/>
        <w:jc w:val="both"/>
        <w:rPr>
          <w:rFonts w:ascii="Times New Roman" w:hAnsi="Times New Roman" w:cs="Times New Roman"/>
          <w:sz w:val="24"/>
          <w:szCs w:val="24"/>
        </w:rPr>
      </w:pPr>
      <w:r w:rsidRPr="000D75FD">
        <w:rPr>
          <w:rFonts w:ascii="Times New Roman" w:hAnsi="Times New Roman" w:cs="Times New Roman"/>
          <w:b/>
          <w:sz w:val="24"/>
          <w:szCs w:val="24"/>
        </w:rPr>
        <w:t>Pakalpojumu eksporta</w:t>
      </w:r>
      <w:r w:rsidRPr="000D75FD">
        <w:rPr>
          <w:rFonts w:ascii="Times New Roman" w:hAnsi="Times New Roman" w:cs="Times New Roman"/>
          <w:sz w:val="24"/>
          <w:szCs w:val="24"/>
        </w:rPr>
        <w:t xml:space="preserve"> pieauguma temps 2018.gadā piebremzējās līdz 4,8%, salīdzinot ar 8,0% pieaugumu 2017.gadā, ko galvenokārt noteica ārvalstīs sniegto transporta pakalpojumu pieauguma tempa palēninājums. Taču reģistrētais pakalpojumu eksporta pieaugums pērnajā gada kopumā atbilst pēdējo piecu gadu vidējam pieaugumam un vērtējams kā stabils. Zīmīgi arī tas, ka eksporta kāpums fiksēts visās lielākajās pakalpojumu grupās. Transporta pakalpojumu eksports, kas 2018.gadā veidoja 40,5% no kopējā pakalpojumu eksporta, palielinājās par 1,9%.</w:t>
      </w:r>
    </w:p>
    <w:p w:rsidR="000D75FD" w:rsidRDefault="000D75FD" w:rsidP="000D75FD">
      <w:r>
        <w:rPr>
          <w:noProof/>
          <w:lang w:eastAsia="lv-LV"/>
        </w:rPr>
        <w:lastRenderedPageBreak/>
        <w:drawing>
          <wp:inline distT="0" distB="0" distL="0" distR="0" wp14:anchorId="7B345D90" wp14:editId="22F64C5C">
            <wp:extent cx="5760085" cy="3588589"/>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D75FD" w:rsidRPr="000D75FD" w:rsidRDefault="000D75FD" w:rsidP="000D75FD">
      <w:pPr>
        <w:spacing w:after="120" w:line="240" w:lineRule="auto"/>
        <w:ind w:firstLine="709"/>
        <w:jc w:val="center"/>
        <w:rPr>
          <w:rFonts w:ascii="Times New Roman" w:eastAsia="Calibri" w:hAnsi="Times New Roman" w:cs="Times New Roman"/>
          <w:b/>
          <w:i/>
          <w:sz w:val="24"/>
          <w:szCs w:val="24"/>
        </w:rPr>
      </w:pPr>
      <w:r w:rsidRPr="000D75FD">
        <w:rPr>
          <w:rFonts w:ascii="Times New Roman" w:eastAsia="Calibri" w:hAnsi="Times New Roman" w:cs="Times New Roman"/>
          <w:b/>
          <w:i/>
          <w:sz w:val="24"/>
          <w:szCs w:val="24"/>
        </w:rPr>
        <w:t>1.6.att. Pakalpojumu eksporta pieaugums faktiskajās cenās (%) un devums par pakalpojumu veidiem (procentpunkti)</w:t>
      </w:r>
    </w:p>
    <w:p w:rsidR="000D75FD" w:rsidRPr="000D75FD" w:rsidRDefault="000D75FD" w:rsidP="000D75FD">
      <w:pPr>
        <w:spacing w:after="120" w:line="240" w:lineRule="auto"/>
        <w:ind w:firstLine="709"/>
        <w:jc w:val="both"/>
        <w:rPr>
          <w:rFonts w:ascii="Times New Roman" w:hAnsi="Times New Roman" w:cs="Times New Roman"/>
          <w:sz w:val="24"/>
          <w:szCs w:val="24"/>
        </w:rPr>
      </w:pPr>
      <w:r w:rsidRPr="000D75FD">
        <w:rPr>
          <w:rFonts w:ascii="Times New Roman" w:hAnsi="Times New Roman" w:cs="Times New Roman"/>
          <w:sz w:val="24"/>
          <w:szCs w:val="24"/>
        </w:rPr>
        <w:t xml:space="preserve">Ārvalstu viesu tēriņu pieaugumu par 6,7% pērnajā gadā veicināja ārvalstu viesu skaita un viņu uzturēšanās ilguma kāpums. Visvairāk ārvalstu viesu Latvijā ierodas no Vācijas, Krievijas, Apvienotās Karalistes Lietuvas, Igaunijas. Būtisks kāpums starp visiem ārvalstniekiem sniegtajiem pakalpojumiem fiksēts informācijas un </w:t>
      </w:r>
      <w:proofErr w:type="spellStart"/>
      <w:r w:rsidRPr="000D75FD">
        <w:rPr>
          <w:rFonts w:ascii="Times New Roman" w:hAnsi="Times New Roman" w:cs="Times New Roman"/>
          <w:sz w:val="24"/>
          <w:szCs w:val="24"/>
        </w:rPr>
        <w:t>datorpakalpojumiem</w:t>
      </w:r>
      <w:proofErr w:type="spellEnd"/>
      <w:r w:rsidRPr="000D75FD">
        <w:rPr>
          <w:rFonts w:ascii="Times New Roman" w:hAnsi="Times New Roman" w:cs="Times New Roman"/>
          <w:sz w:val="24"/>
          <w:szCs w:val="24"/>
        </w:rPr>
        <w:t xml:space="preserve">, kā arī telesakaru pakalpojumiem. Ņemot vērā datu publicēšanas regularitāti un metodoloģiju, eksporta dati par šiem pakalpojumiem ir pieejami tikai par 2018.gada trīs ceturkšņiem. 2018.gada pirmajos trīs ceturkšņos informācijas un </w:t>
      </w:r>
      <w:proofErr w:type="spellStart"/>
      <w:r w:rsidRPr="000D75FD">
        <w:rPr>
          <w:rFonts w:ascii="Times New Roman" w:hAnsi="Times New Roman" w:cs="Times New Roman"/>
          <w:sz w:val="24"/>
          <w:szCs w:val="24"/>
        </w:rPr>
        <w:t>datorpakalpojumu</w:t>
      </w:r>
      <w:proofErr w:type="spellEnd"/>
      <w:r w:rsidRPr="000D75FD">
        <w:rPr>
          <w:rFonts w:ascii="Times New Roman" w:hAnsi="Times New Roman" w:cs="Times New Roman"/>
          <w:sz w:val="24"/>
          <w:szCs w:val="24"/>
        </w:rPr>
        <w:t xml:space="preserve"> eksports palielinājies par 13,7%, savukārt telesakaru pakalpojumu eksports par 31,0%. Kopējā pakalpojumu eksporta kāpumu nedaudz mazināja iepriekš paredzēts finanšu pakalpojumu eksporta kritums, kopumā par 9,1% salīdzinājumā ar 2017.gada trīs ceturkšņiem. </w:t>
      </w:r>
    </w:p>
    <w:p w:rsidR="000D75FD" w:rsidRPr="000D75FD" w:rsidRDefault="000D75FD" w:rsidP="000D75FD">
      <w:pPr>
        <w:spacing w:after="120" w:line="240" w:lineRule="auto"/>
        <w:ind w:firstLine="709"/>
        <w:jc w:val="both"/>
        <w:rPr>
          <w:rFonts w:ascii="Times New Roman" w:hAnsi="Times New Roman" w:cs="Times New Roman"/>
          <w:sz w:val="24"/>
          <w:szCs w:val="24"/>
        </w:rPr>
      </w:pPr>
      <w:r w:rsidRPr="000D75FD">
        <w:rPr>
          <w:rFonts w:ascii="Times New Roman" w:hAnsi="Times New Roman" w:cs="Times New Roman"/>
          <w:sz w:val="24"/>
          <w:szCs w:val="24"/>
        </w:rPr>
        <w:t xml:space="preserve">Balstoties uz operatīvajiem datiem, kopējais preču un pakalpojumu eksports faktiskajās cenās 2018.gadā bija 17 553 milj. </w:t>
      </w:r>
      <w:proofErr w:type="spellStart"/>
      <w:r w:rsidRPr="000D75FD">
        <w:rPr>
          <w:rFonts w:ascii="Times New Roman" w:hAnsi="Times New Roman" w:cs="Times New Roman"/>
          <w:i/>
          <w:sz w:val="24"/>
          <w:szCs w:val="24"/>
        </w:rPr>
        <w:t>euro</w:t>
      </w:r>
      <w:proofErr w:type="spellEnd"/>
      <w:r w:rsidRPr="000D75FD">
        <w:rPr>
          <w:rFonts w:ascii="Times New Roman" w:hAnsi="Times New Roman" w:cs="Times New Roman"/>
          <w:sz w:val="24"/>
          <w:szCs w:val="24"/>
        </w:rPr>
        <w:t xml:space="preserve">, kas ir par 6,5% jeb 1073 milj. </w:t>
      </w:r>
      <w:proofErr w:type="spellStart"/>
      <w:r w:rsidRPr="000D75FD">
        <w:rPr>
          <w:rFonts w:ascii="Times New Roman" w:hAnsi="Times New Roman" w:cs="Times New Roman"/>
          <w:i/>
          <w:sz w:val="24"/>
          <w:szCs w:val="24"/>
        </w:rPr>
        <w:t>euro</w:t>
      </w:r>
      <w:proofErr w:type="spellEnd"/>
      <w:r w:rsidRPr="000D75FD">
        <w:rPr>
          <w:rFonts w:ascii="Times New Roman" w:hAnsi="Times New Roman" w:cs="Times New Roman"/>
          <w:sz w:val="24"/>
          <w:szCs w:val="24"/>
        </w:rPr>
        <w:t xml:space="preserve"> vairāk nekā 2017.gadā. Preču eksportam pieaugot straujāk par pakalpojumu eksportu, tā īpatsvars kopējā eksportā pieauga līdz 70,3%.</w:t>
      </w:r>
    </w:p>
    <w:p w:rsidR="000D75FD" w:rsidRPr="000D75FD" w:rsidRDefault="000D75FD" w:rsidP="000D75FD">
      <w:pPr>
        <w:spacing w:after="120" w:line="240" w:lineRule="auto"/>
        <w:ind w:firstLine="709"/>
        <w:jc w:val="both"/>
        <w:rPr>
          <w:rFonts w:ascii="Times New Roman" w:hAnsi="Times New Roman" w:cs="Times New Roman"/>
          <w:sz w:val="24"/>
          <w:szCs w:val="24"/>
        </w:rPr>
      </w:pPr>
      <w:r w:rsidRPr="000D75FD">
        <w:rPr>
          <w:rFonts w:ascii="Times New Roman" w:hAnsi="Times New Roman" w:cs="Times New Roman"/>
          <w:sz w:val="24"/>
          <w:szCs w:val="24"/>
        </w:rPr>
        <w:t xml:space="preserve">Pozitīva attīstības dinamika vērojama arī </w:t>
      </w:r>
      <w:r w:rsidRPr="000D75FD">
        <w:rPr>
          <w:rFonts w:ascii="Times New Roman" w:hAnsi="Times New Roman" w:cs="Times New Roman"/>
          <w:b/>
          <w:sz w:val="24"/>
          <w:szCs w:val="24"/>
        </w:rPr>
        <w:t>pakalpojumu importā</w:t>
      </w:r>
      <w:r w:rsidRPr="000D75FD">
        <w:rPr>
          <w:rFonts w:ascii="Times New Roman" w:hAnsi="Times New Roman" w:cs="Times New Roman"/>
          <w:sz w:val="24"/>
          <w:szCs w:val="24"/>
        </w:rPr>
        <w:t xml:space="preserve">, 2018.gadā pakalpojumu imports palielinājies par 7,2%, salīdzinot ar iepriekšējo gadu. Importa pieaugumu galvenokārt noteica transporta pakalpojumu importa kāpums par 9,5%. Zīmīgi, ka imports strauji pieaudzis gandrīz visos transporta veidos (gaisa, dzelzceļa un autotransportā), izņemot jūras transportu, kur tas saglabājies 2017.gada līmenī. Vērā ņemams importa palielinājums fiksēts arī informācijas un komunikācijas tehnoloģiju pakalpojumiem. Tā, telesakaru pakalpojumu imports 2018.gada trīs ceturkšņos palielinājies par 24,3%, bet informācijas un </w:t>
      </w:r>
      <w:proofErr w:type="spellStart"/>
      <w:r w:rsidRPr="000D75FD">
        <w:rPr>
          <w:rFonts w:ascii="Times New Roman" w:hAnsi="Times New Roman" w:cs="Times New Roman"/>
          <w:sz w:val="24"/>
          <w:szCs w:val="24"/>
        </w:rPr>
        <w:t>datorpakalpojumu</w:t>
      </w:r>
      <w:proofErr w:type="spellEnd"/>
      <w:r w:rsidRPr="000D75FD">
        <w:rPr>
          <w:rFonts w:ascii="Times New Roman" w:hAnsi="Times New Roman" w:cs="Times New Roman"/>
          <w:sz w:val="24"/>
          <w:szCs w:val="24"/>
        </w:rPr>
        <w:t xml:space="preserve"> imports par 20,5%. </w:t>
      </w:r>
    </w:p>
    <w:p w:rsidR="008D077D" w:rsidRDefault="000D75FD" w:rsidP="000D75FD">
      <w:pPr>
        <w:spacing w:after="120" w:line="240" w:lineRule="auto"/>
        <w:ind w:firstLine="709"/>
        <w:jc w:val="both"/>
        <w:rPr>
          <w:rFonts w:ascii="Times New Roman" w:hAnsi="Times New Roman" w:cs="Times New Roman"/>
          <w:sz w:val="24"/>
          <w:szCs w:val="24"/>
        </w:rPr>
      </w:pPr>
      <w:r w:rsidRPr="000D75FD">
        <w:rPr>
          <w:rFonts w:ascii="Times New Roman" w:hAnsi="Times New Roman" w:cs="Times New Roman"/>
          <w:sz w:val="24"/>
          <w:szCs w:val="24"/>
        </w:rPr>
        <w:t xml:space="preserve">Balstoties uz operatīvajiem datiem, preču un pakalpojuma importa vērtība faktiskajās cenās 2018.gadā palielinājās par 9,7% jeb 1610 milj. </w:t>
      </w:r>
      <w:proofErr w:type="spellStart"/>
      <w:r w:rsidRPr="000D75FD">
        <w:rPr>
          <w:rFonts w:ascii="Times New Roman" w:hAnsi="Times New Roman" w:cs="Times New Roman"/>
          <w:i/>
          <w:sz w:val="24"/>
          <w:szCs w:val="24"/>
        </w:rPr>
        <w:t>euro</w:t>
      </w:r>
      <w:proofErr w:type="spellEnd"/>
      <w:r w:rsidRPr="000D75FD">
        <w:rPr>
          <w:rFonts w:ascii="Times New Roman" w:hAnsi="Times New Roman" w:cs="Times New Roman"/>
          <w:sz w:val="24"/>
          <w:szCs w:val="24"/>
        </w:rPr>
        <w:t xml:space="preserve">. Importa struktūra 2018.gadā praktiski nav mainījusies, lielāko daļu kopējā importā joprojām veido preču imports, kura īpatsvars ir 84,5%. Ņemot vērā, ka kopējā importa vērtība pieauga straujāk par eksporta vērtību, </w:t>
      </w:r>
      <w:r w:rsidRPr="000D75FD">
        <w:rPr>
          <w:rFonts w:ascii="Times New Roman" w:hAnsi="Times New Roman" w:cs="Times New Roman"/>
          <w:sz w:val="24"/>
          <w:szCs w:val="24"/>
        </w:rPr>
        <w:lastRenderedPageBreak/>
        <w:t xml:space="preserve">ārējās tirdzniecības bilance pasliktinājās, deficītam palielinoties par 537 milj. </w:t>
      </w:r>
      <w:proofErr w:type="spellStart"/>
      <w:r w:rsidRPr="000D75FD">
        <w:rPr>
          <w:rFonts w:ascii="Times New Roman" w:hAnsi="Times New Roman" w:cs="Times New Roman"/>
          <w:i/>
          <w:sz w:val="24"/>
          <w:szCs w:val="24"/>
        </w:rPr>
        <w:t>euro</w:t>
      </w:r>
      <w:proofErr w:type="spellEnd"/>
      <w:r w:rsidRPr="000D75FD">
        <w:rPr>
          <w:rFonts w:ascii="Times New Roman" w:hAnsi="Times New Roman" w:cs="Times New Roman"/>
          <w:sz w:val="24"/>
          <w:szCs w:val="24"/>
        </w:rPr>
        <w:t xml:space="preserve"> salīdzinājumā ar 2017.gadu, līdz 739 milj. </w:t>
      </w:r>
      <w:proofErr w:type="spellStart"/>
      <w:r w:rsidRPr="000D75FD">
        <w:rPr>
          <w:rFonts w:ascii="Times New Roman" w:hAnsi="Times New Roman" w:cs="Times New Roman"/>
          <w:i/>
          <w:sz w:val="24"/>
          <w:szCs w:val="24"/>
        </w:rPr>
        <w:t>euro</w:t>
      </w:r>
      <w:proofErr w:type="spellEnd"/>
      <w:r w:rsidRPr="000D75FD">
        <w:rPr>
          <w:rFonts w:ascii="Times New Roman" w:hAnsi="Times New Roman" w:cs="Times New Roman"/>
          <w:sz w:val="24"/>
          <w:szCs w:val="24"/>
        </w:rPr>
        <w:t>.</w:t>
      </w:r>
    </w:p>
    <w:p w:rsidR="00057613" w:rsidRPr="000D75FD" w:rsidRDefault="00057613" w:rsidP="000D75FD">
      <w:pPr>
        <w:spacing w:after="120" w:line="240" w:lineRule="auto"/>
        <w:ind w:firstLine="709"/>
        <w:jc w:val="both"/>
        <w:rPr>
          <w:rFonts w:ascii="Times New Roman" w:hAnsi="Times New Roman" w:cs="Times New Roman"/>
          <w:sz w:val="24"/>
          <w:szCs w:val="24"/>
        </w:rPr>
      </w:pPr>
    </w:p>
    <w:p w:rsidR="00883A53" w:rsidRPr="00417552" w:rsidRDefault="00883A53" w:rsidP="00417552">
      <w:pPr>
        <w:pStyle w:val="Heading3"/>
        <w:jc w:val="center"/>
        <w:rPr>
          <w:rFonts w:ascii="Times New Roman" w:hAnsi="Times New Roman" w:cs="Times New Roman"/>
          <w:b/>
          <w:color w:val="auto"/>
          <w:sz w:val="32"/>
          <w:szCs w:val="32"/>
        </w:rPr>
      </w:pPr>
      <w:r w:rsidRPr="00417552">
        <w:rPr>
          <w:rFonts w:ascii="Times New Roman" w:hAnsi="Times New Roman" w:cs="Times New Roman"/>
          <w:b/>
          <w:color w:val="auto"/>
          <w:sz w:val="32"/>
          <w:szCs w:val="32"/>
        </w:rPr>
        <w:t xml:space="preserve">1.2.3. </w:t>
      </w:r>
      <w:r w:rsidR="00F15AF0">
        <w:rPr>
          <w:rFonts w:ascii="Times New Roman" w:hAnsi="Times New Roman" w:cs="Times New Roman"/>
          <w:b/>
          <w:color w:val="auto"/>
          <w:sz w:val="32"/>
          <w:szCs w:val="32"/>
        </w:rPr>
        <w:t>Investīcijas</w:t>
      </w:r>
    </w:p>
    <w:p w:rsidR="00417552" w:rsidRPr="00F15AF0" w:rsidRDefault="00417552" w:rsidP="00F15AF0">
      <w:pPr>
        <w:spacing w:after="120" w:line="240" w:lineRule="auto"/>
        <w:ind w:firstLine="709"/>
        <w:jc w:val="both"/>
        <w:rPr>
          <w:rFonts w:ascii="Times New Roman" w:hAnsi="Times New Roman" w:cs="Times New Roman"/>
          <w:sz w:val="24"/>
          <w:szCs w:val="24"/>
        </w:rPr>
      </w:pPr>
    </w:p>
    <w:p w:rsidR="00F15AF0" w:rsidRPr="00F15AF0" w:rsidRDefault="00F15AF0" w:rsidP="00F15AF0">
      <w:pPr>
        <w:spacing w:after="120" w:line="240" w:lineRule="auto"/>
        <w:ind w:firstLine="709"/>
        <w:jc w:val="both"/>
        <w:rPr>
          <w:rFonts w:ascii="Times New Roman" w:hAnsi="Times New Roman" w:cs="Times New Roman"/>
          <w:sz w:val="24"/>
          <w:szCs w:val="24"/>
        </w:rPr>
      </w:pPr>
      <w:r w:rsidRPr="00F15AF0">
        <w:rPr>
          <w:rFonts w:ascii="Times New Roman" w:hAnsi="Times New Roman" w:cs="Times New Roman"/>
          <w:sz w:val="24"/>
          <w:szCs w:val="24"/>
        </w:rPr>
        <w:t xml:space="preserve">2017.gadā spēcīgi palielinājās investīciju aktivitāte, ieguldījumiem bruto pamatkapitālā salīdzināmajās cenās palielinoties par 13,1%. Pēc stagnācijas 2013. un 2015.gadā un ievērojamā krituma 2016.gadā investīciju kāpumu 2017.gadā lielā mērā noteica 2014. – 2020.gada plānošanas perioda ES fondu investīciju aktivitāte, kas nodrošināja investīciju pieaugumu arī 2018.gadā. Neskatoties uz to, ka 2017.gadā bija spēcīgs investīciju kāpums, 2018.gada pirmajos trīs ceturkšņos investīciju pieaugums paātrinājās un sasniedza 15,4%. Kopējais investīciju apjoms absolūtā izteiksmē 2018.gada pirmajos trīs ceturkšņos salīdzināmajās cenās bija 3841 milj. </w:t>
      </w:r>
      <w:proofErr w:type="spellStart"/>
      <w:r w:rsidRPr="00F15AF0">
        <w:rPr>
          <w:rFonts w:ascii="Times New Roman" w:hAnsi="Times New Roman" w:cs="Times New Roman"/>
          <w:i/>
          <w:sz w:val="24"/>
          <w:szCs w:val="24"/>
        </w:rPr>
        <w:t>euro</w:t>
      </w:r>
      <w:proofErr w:type="spellEnd"/>
      <w:r w:rsidRPr="00F15AF0">
        <w:rPr>
          <w:rFonts w:ascii="Times New Roman" w:hAnsi="Times New Roman" w:cs="Times New Roman"/>
          <w:sz w:val="24"/>
          <w:szCs w:val="24"/>
        </w:rPr>
        <w:t xml:space="preserve">. Savukārt investīciju apjoms faktiskajās cenās jeb ņemot vērā cenu izmaiņu ietekmi bija 4633 milj. </w:t>
      </w:r>
      <w:proofErr w:type="spellStart"/>
      <w:r w:rsidRPr="00F15AF0">
        <w:rPr>
          <w:rFonts w:ascii="Times New Roman" w:hAnsi="Times New Roman" w:cs="Times New Roman"/>
          <w:i/>
          <w:sz w:val="24"/>
          <w:szCs w:val="24"/>
        </w:rPr>
        <w:t>euro</w:t>
      </w:r>
      <w:proofErr w:type="spellEnd"/>
      <w:r w:rsidRPr="00F15AF0">
        <w:rPr>
          <w:rFonts w:ascii="Times New Roman" w:hAnsi="Times New Roman" w:cs="Times New Roman"/>
          <w:sz w:val="24"/>
          <w:szCs w:val="24"/>
        </w:rPr>
        <w:t xml:space="preserve">, kas ir par 17,9% vairāk nekā 2017.gada attiecīgajā periodā.  </w:t>
      </w:r>
    </w:p>
    <w:p w:rsidR="00F15AF0" w:rsidRPr="00F15AF0" w:rsidRDefault="00F15AF0" w:rsidP="00F15AF0">
      <w:pPr>
        <w:spacing w:after="120" w:line="240" w:lineRule="auto"/>
        <w:ind w:firstLine="709"/>
        <w:jc w:val="both"/>
        <w:rPr>
          <w:rFonts w:ascii="Times New Roman" w:hAnsi="Times New Roman" w:cs="Times New Roman"/>
          <w:sz w:val="24"/>
          <w:szCs w:val="24"/>
        </w:rPr>
      </w:pPr>
      <w:r w:rsidRPr="00F15AF0">
        <w:rPr>
          <w:rFonts w:ascii="Times New Roman" w:hAnsi="Times New Roman" w:cs="Times New Roman"/>
          <w:sz w:val="24"/>
          <w:szCs w:val="24"/>
        </w:rPr>
        <w:t xml:space="preserve">Vairāk par trešdaļu (40,3%) no kopējiem ieguldījumiem bruto pamatkapitālā faktiskajās cenās pērnā gada pirmajos trīs ceturkšņos veidoja </w:t>
      </w:r>
      <w:proofErr w:type="spellStart"/>
      <w:r w:rsidRPr="00F15AF0">
        <w:rPr>
          <w:rFonts w:ascii="Times New Roman" w:hAnsi="Times New Roman" w:cs="Times New Roman"/>
          <w:sz w:val="24"/>
          <w:szCs w:val="24"/>
        </w:rPr>
        <w:t>nefinanšu</w:t>
      </w:r>
      <w:proofErr w:type="spellEnd"/>
      <w:r w:rsidRPr="00F15AF0">
        <w:rPr>
          <w:rFonts w:ascii="Times New Roman" w:hAnsi="Times New Roman" w:cs="Times New Roman"/>
          <w:sz w:val="24"/>
          <w:szCs w:val="24"/>
        </w:rPr>
        <w:t xml:space="preserve"> investīcijas jeb uzņēmumu veiktās investīcijas, un to apjoms, salīdzinot ar 2017.gadā pirmajiem trīs ceturkšņiem, palielinājās par 263 milj. </w:t>
      </w:r>
      <w:proofErr w:type="spellStart"/>
      <w:r w:rsidRPr="00F15AF0">
        <w:rPr>
          <w:rFonts w:ascii="Times New Roman" w:hAnsi="Times New Roman" w:cs="Times New Roman"/>
          <w:i/>
          <w:sz w:val="24"/>
          <w:szCs w:val="24"/>
        </w:rPr>
        <w:t>euro</w:t>
      </w:r>
      <w:proofErr w:type="spellEnd"/>
      <w:r w:rsidRPr="00F15AF0">
        <w:rPr>
          <w:rFonts w:ascii="Times New Roman" w:hAnsi="Times New Roman" w:cs="Times New Roman"/>
          <w:sz w:val="24"/>
          <w:szCs w:val="24"/>
        </w:rPr>
        <w:t xml:space="preserve"> jeb 16,4%, veidojot 1866 milj. </w:t>
      </w:r>
      <w:proofErr w:type="spellStart"/>
      <w:r w:rsidRPr="00F15AF0">
        <w:rPr>
          <w:rFonts w:ascii="Times New Roman" w:hAnsi="Times New Roman" w:cs="Times New Roman"/>
          <w:i/>
          <w:sz w:val="24"/>
          <w:szCs w:val="24"/>
        </w:rPr>
        <w:t>euro</w:t>
      </w:r>
      <w:proofErr w:type="spellEnd"/>
      <w:r w:rsidRPr="00F15AF0">
        <w:rPr>
          <w:rFonts w:ascii="Times New Roman" w:hAnsi="Times New Roman" w:cs="Times New Roman"/>
          <w:sz w:val="24"/>
          <w:szCs w:val="24"/>
        </w:rPr>
        <w:t xml:space="preserve">. </w:t>
      </w:r>
    </w:p>
    <w:p w:rsidR="00F15AF0" w:rsidRPr="00F15AF0" w:rsidRDefault="00F15AF0" w:rsidP="00F15AF0">
      <w:pPr>
        <w:spacing w:after="120" w:line="240" w:lineRule="auto"/>
        <w:ind w:firstLine="709"/>
        <w:jc w:val="both"/>
        <w:rPr>
          <w:rFonts w:ascii="Times New Roman" w:hAnsi="Times New Roman" w:cs="Times New Roman"/>
          <w:sz w:val="24"/>
          <w:szCs w:val="24"/>
        </w:rPr>
      </w:pPr>
      <w:r w:rsidRPr="00F15AF0">
        <w:rPr>
          <w:rFonts w:ascii="Times New Roman" w:hAnsi="Times New Roman" w:cs="Times New Roman"/>
          <w:sz w:val="24"/>
          <w:szCs w:val="24"/>
        </w:rPr>
        <w:t xml:space="preserve">Lielākais </w:t>
      </w:r>
      <w:proofErr w:type="spellStart"/>
      <w:r w:rsidRPr="00F15AF0">
        <w:rPr>
          <w:rFonts w:ascii="Times New Roman" w:hAnsi="Times New Roman" w:cs="Times New Roman"/>
          <w:sz w:val="24"/>
          <w:szCs w:val="24"/>
        </w:rPr>
        <w:t>nefinanšu</w:t>
      </w:r>
      <w:proofErr w:type="spellEnd"/>
      <w:r w:rsidRPr="00F15AF0">
        <w:rPr>
          <w:rFonts w:ascii="Times New Roman" w:hAnsi="Times New Roman" w:cs="Times New Roman"/>
          <w:sz w:val="24"/>
          <w:szCs w:val="24"/>
        </w:rPr>
        <w:t xml:space="preserve"> investīciju īpatsvars reģistrēts šādās nozarēs – valsts pārvalde un aizsardzība (18,3% no kopējām </w:t>
      </w:r>
      <w:proofErr w:type="spellStart"/>
      <w:r w:rsidRPr="00F15AF0">
        <w:rPr>
          <w:rFonts w:ascii="Times New Roman" w:hAnsi="Times New Roman" w:cs="Times New Roman"/>
          <w:sz w:val="24"/>
          <w:szCs w:val="24"/>
        </w:rPr>
        <w:t>nefinanšu</w:t>
      </w:r>
      <w:proofErr w:type="spellEnd"/>
      <w:r w:rsidRPr="00F15AF0">
        <w:rPr>
          <w:rFonts w:ascii="Times New Roman" w:hAnsi="Times New Roman" w:cs="Times New Roman"/>
          <w:sz w:val="24"/>
          <w:szCs w:val="24"/>
        </w:rPr>
        <w:t xml:space="preserve"> investīcijām 2018.gada trīs ceturkšņos), transports un uzglabāšana (12,4%), operācijas ar nekustamo īpašumu (10,7%), apstrādes rūpniecība (9,7%), kā arī elektroenerģija un gāzes apgāde (9,4%). Visās no augstākminētajām nozarēm, izņemot transportu un uzglabāšanu, 2018.gada trīs ceturkšņos salīdzinājumā ar iepriekšējā gada attiecīgo periodu bija fiksēts </w:t>
      </w:r>
      <w:proofErr w:type="spellStart"/>
      <w:r w:rsidRPr="00F15AF0">
        <w:rPr>
          <w:rFonts w:ascii="Times New Roman" w:hAnsi="Times New Roman" w:cs="Times New Roman"/>
          <w:sz w:val="24"/>
          <w:szCs w:val="24"/>
        </w:rPr>
        <w:t>nefinanšu</w:t>
      </w:r>
      <w:proofErr w:type="spellEnd"/>
      <w:r w:rsidRPr="00F15AF0">
        <w:rPr>
          <w:rFonts w:ascii="Times New Roman" w:hAnsi="Times New Roman" w:cs="Times New Roman"/>
          <w:sz w:val="24"/>
          <w:szCs w:val="24"/>
        </w:rPr>
        <w:t xml:space="preserve"> investīciju kāpums. Tā, investīciju apjoms valsts pārvaldē attiecīgajā periodā palielinājies par 21,4%, operācijās ar nekustamo īpašumu par 42,5%, apstrādes rūpniecībā par 6,8% un elektroenerģijas un gāzes apgādē par 41,4%. Taču straujākais kāpums ir fiksēts būvniecības un izglītības nozarēs, kur investīciju apjoms palielinājies attiecīgi 3,5 un 2,5 reizes, tādējādi būtiski palielinot īpatsvaru kopējā investīciju apjomā, līdz 6,7% un 3,3%. Savukārt investīciju apjoms transporta un uzglabāšanas nozarē samazinājies par 25,5%.</w:t>
      </w:r>
    </w:p>
    <w:p w:rsidR="00F15AF0" w:rsidRPr="00F15AF0" w:rsidRDefault="00F15AF0" w:rsidP="00F15AF0">
      <w:pPr>
        <w:spacing w:after="120" w:line="240" w:lineRule="auto"/>
        <w:ind w:firstLine="709"/>
        <w:jc w:val="both"/>
        <w:rPr>
          <w:rFonts w:ascii="Times New Roman" w:hAnsi="Times New Roman" w:cs="Times New Roman"/>
          <w:sz w:val="24"/>
          <w:szCs w:val="24"/>
        </w:rPr>
      </w:pPr>
      <w:r w:rsidRPr="00F15AF0">
        <w:rPr>
          <w:rFonts w:ascii="Times New Roman" w:hAnsi="Times New Roman" w:cs="Times New Roman"/>
          <w:sz w:val="24"/>
          <w:szCs w:val="24"/>
        </w:rPr>
        <w:t xml:space="preserve">Analizējot investīcijas, svarīga ir ne tikai kopējā investīciju dinamika, bet arī tas, kādos aktīvos tiek investēts. Jāsecina, ka investīciju kāpums 2018.gada pirmajos trīs ceturkšņos galvenokārt ir saistīts ar būvniecības aktivitātes palielināšanos, jo būtisks </w:t>
      </w:r>
      <w:proofErr w:type="spellStart"/>
      <w:r w:rsidRPr="00F15AF0">
        <w:rPr>
          <w:rFonts w:ascii="Times New Roman" w:hAnsi="Times New Roman" w:cs="Times New Roman"/>
          <w:sz w:val="24"/>
          <w:szCs w:val="24"/>
        </w:rPr>
        <w:t>nefinanšu</w:t>
      </w:r>
      <w:proofErr w:type="spellEnd"/>
      <w:r w:rsidRPr="00F15AF0">
        <w:rPr>
          <w:rFonts w:ascii="Times New Roman" w:hAnsi="Times New Roman" w:cs="Times New Roman"/>
          <w:sz w:val="24"/>
          <w:szCs w:val="24"/>
        </w:rPr>
        <w:t xml:space="preserve"> investīciju pieaugums fiksēts tieši ēkās, būvēs un pārējās celtnēs - par 224 milj. </w:t>
      </w:r>
      <w:proofErr w:type="spellStart"/>
      <w:r w:rsidRPr="00F15AF0">
        <w:rPr>
          <w:rFonts w:ascii="Times New Roman" w:hAnsi="Times New Roman" w:cs="Times New Roman"/>
          <w:i/>
          <w:sz w:val="24"/>
          <w:szCs w:val="24"/>
        </w:rPr>
        <w:t>euro</w:t>
      </w:r>
      <w:proofErr w:type="spellEnd"/>
      <w:r w:rsidRPr="00F15AF0">
        <w:rPr>
          <w:rFonts w:ascii="Times New Roman" w:hAnsi="Times New Roman" w:cs="Times New Roman"/>
          <w:sz w:val="24"/>
          <w:szCs w:val="24"/>
        </w:rPr>
        <w:t xml:space="preserve"> jeb 34,6%, salīdzinot ar 2017.gada trīs ceturkšņiem, tādējādi veidojot 872 milj. </w:t>
      </w:r>
      <w:proofErr w:type="spellStart"/>
      <w:r w:rsidRPr="00F15AF0">
        <w:rPr>
          <w:rFonts w:ascii="Times New Roman" w:hAnsi="Times New Roman" w:cs="Times New Roman"/>
          <w:i/>
          <w:sz w:val="24"/>
          <w:szCs w:val="24"/>
        </w:rPr>
        <w:t>euro</w:t>
      </w:r>
      <w:proofErr w:type="spellEnd"/>
      <w:r w:rsidRPr="00F15AF0">
        <w:rPr>
          <w:rFonts w:ascii="Times New Roman" w:hAnsi="Times New Roman" w:cs="Times New Roman"/>
          <w:sz w:val="24"/>
          <w:szCs w:val="24"/>
        </w:rPr>
        <w:t xml:space="preserve"> jeb gandrīz pusi no </w:t>
      </w:r>
      <w:proofErr w:type="spellStart"/>
      <w:r w:rsidRPr="00F15AF0">
        <w:rPr>
          <w:rFonts w:ascii="Times New Roman" w:hAnsi="Times New Roman" w:cs="Times New Roman"/>
          <w:sz w:val="24"/>
          <w:szCs w:val="24"/>
        </w:rPr>
        <w:t>nefinanšu</w:t>
      </w:r>
      <w:proofErr w:type="spellEnd"/>
      <w:r w:rsidRPr="00F15AF0">
        <w:rPr>
          <w:rFonts w:ascii="Times New Roman" w:hAnsi="Times New Roman" w:cs="Times New Roman"/>
          <w:sz w:val="24"/>
          <w:szCs w:val="24"/>
        </w:rPr>
        <w:t xml:space="preserve"> investīciju kopapjoma. Lielākas ES fondu investīcijas labvēlīgi ietekmē būvniecības nozari, jo pieprasījums pēc būvniecības pakalpojumiem aug gan no uzņēmēju, gan no valsts puses. Līdz ar investīciju kāpumu ēku būvniecībā, ceļu būvniecībā un renovācijā būvniecības produkcijas apjoms 2018.gada pirmajos trīs ceturkšņos faktiskajās cenās palielinājies par 27,3%, salīdzinot ar iepriekšējā gada attiecīgo periodu.</w:t>
      </w:r>
    </w:p>
    <w:p w:rsidR="00F15AF0" w:rsidRDefault="00F15AF0" w:rsidP="00F15AF0">
      <w:r>
        <w:rPr>
          <w:noProof/>
          <w:lang w:eastAsia="lv-LV"/>
        </w:rPr>
        <w:lastRenderedPageBreak/>
        <w:drawing>
          <wp:inline distT="0" distB="0" distL="0" distR="0" wp14:anchorId="2A41FECC" wp14:editId="40D89F97">
            <wp:extent cx="5760085" cy="3579962"/>
            <wp:effectExtent l="0" t="0" r="0" b="190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15AF0" w:rsidRPr="00F15AF0" w:rsidRDefault="00F15AF0" w:rsidP="00F15AF0">
      <w:pPr>
        <w:spacing w:after="120"/>
        <w:jc w:val="center"/>
        <w:rPr>
          <w:rFonts w:ascii="Times New Roman" w:eastAsia="Calibri" w:hAnsi="Times New Roman" w:cs="Times New Roman"/>
          <w:b/>
          <w:i/>
          <w:sz w:val="24"/>
          <w:szCs w:val="24"/>
        </w:rPr>
      </w:pPr>
      <w:r w:rsidRPr="00F15AF0">
        <w:rPr>
          <w:rFonts w:ascii="Times New Roman" w:eastAsia="Calibri" w:hAnsi="Times New Roman" w:cs="Times New Roman"/>
          <w:b/>
          <w:i/>
          <w:sz w:val="24"/>
          <w:szCs w:val="24"/>
        </w:rPr>
        <w:t xml:space="preserve">1.7.att. </w:t>
      </w:r>
      <w:proofErr w:type="spellStart"/>
      <w:r w:rsidRPr="00F15AF0">
        <w:rPr>
          <w:rFonts w:ascii="Times New Roman" w:eastAsia="Calibri" w:hAnsi="Times New Roman" w:cs="Times New Roman"/>
          <w:b/>
          <w:i/>
          <w:sz w:val="24"/>
          <w:szCs w:val="24"/>
        </w:rPr>
        <w:t>Nefinanšu</w:t>
      </w:r>
      <w:proofErr w:type="spellEnd"/>
      <w:r w:rsidRPr="00F15AF0">
        <w:rPr>
          <w:rFonts w:ascii="Times New Roman" w:eastAsia="Calibri" w:hAnsi="Times New Roman" w:cs="Times New Roman"/>
          <w:b/>
          <w:i/>
          <w:sz w:val="24"/>
          <w:szCs w:val="24"/>
        </w:rPr>
        <w:t xml:space="preserve"> investīciju sadalījums pēc to izlietojuma, milj. </w:t>
      </w:r>
      <w:proofErr w:type="spellStart"/>
      <w:r w:rsidRPr="00F15AF0">
        <w:rPr>
          <w:rFonts w:ascii="Times New Roman" w:eastAsia="Calibri" w:hAnsi="Times New Roman" w:cs="Times New Roman"/>
          <w:b/>
          <w:i/>
          <w:sz w:val="24"/>
          <w:szCs w:val="24"/>
        </w:rPr>
        <w:t>euro</w:t>
      </w:r>
      <w:proofErr w:type="spellEnd"/>
    </w:p>
    <w:p w:rsidR="00F15AF0" w:rsidRPr="000410B5" w:rsidRDefault="00F15AF0" w:rsidP="000410B5">
      <w:pPr>
        <w:spacing w:after="120" w:line="240" w:lineRule="auto"/>
        <w:ind w:firstLine="709"/>
        <w:jc w:val="both"/>
        <w:rPr>
          <w:rFonts w:ascii="Times New Roman" w:hAnsi="Times New Roman" w:cs="Times New Roman"/>
          <w:sz w:val="24"/>
          <w:szCs w:val="24"/>
        </w:rPr>
      </w:pPr>
      <w:r w:rsidRPr="000410B5">
        <w:rPr>
          <w:rFonts w:ascii="Times New Roman" w:hAnsi="Times New Roman" w:cs="Times New Roman"/>
          <w:sz w:val="24"/>
          <w:szCs w:val="24"/>
        </w:rPr>
        <w:t xml:space="preserve">Investīcijas iekārtās un mašīnās 2017.gadā sasniedza zemāko līmeni kopš 2008.gada jeb 498 milj. </w:t>
      </w:r>
      <w:proofErr w:type="spellStart"/>
      <w:r w:rsidRPr="000410B5">
        <w:rPr>
          <w:rFonts w:ascii="Times New Roman" w:hAnsi="Times New Roman" w:cs="Times New Roman"/>
          <w:i/>
          <w:sz w:val="24"/>
          <w:szCs w:val="24"/>
        </w:rPr>
        <w:t>euro</w:t>
      </w:r>
      <w:proofErr w:type="spellEnd"/>
      <w:r w:rsidRPr="000410B5">
        <w:rPr>
          <w:rFonts w:ascii="Times New Roman" w:hAnsi="Times New Roman" w:cs="Times New Roman"/>
          <w:i/>
          <w:sz w:val="24"/>
          <w:szCs w:val="24"/>
        </w:rPr>
        <w:t xml:space="preserve">. </w:t>
      </w:r>
      <w:r w:rsidRPr="000410B5">
        <w:rPr>
          <w:rFonts w:ascii="Times New Roman" w:hAnsi="Times New Roman" w:cs="Times New Roman"/>
          <w:sz w:val="24"/>
          <w:szCs w:val="24"/>
        </w:rPr>
        <w:t xml:space="preserve">Tomēr 2018.gadā pēc divu gadu pārtraukuma investīcijas iekārtās un mašīnās atsāka palielināties. Pērnā gada pirmajos trīs ceturkšņos investīcijas iekārtās un mašīnās pieauga par 23,4% jeb 72 milj. </w:t>
      </w:r>
      <w:proofErr w:type="spellStart"/>
      <w:r w:rsidRPr="000410B5">
        <w:rPr>
          <w:rFonts w:ascii="Times New Roman" w:hAnsi="Times New Roman" w:cs="Times New Roman"/>
          <w:i/>
          <w:sz w:val="24"/>
          <w:szCs w:val="24"/>
        </w:rPr>
        <w:t>euro</w:t>
      </w:r>
      <w:proofErr w:type="spellEnd"/>
      <w:r w:rsidRPr="000410B5">
        <w:rPr>
          <w:rFonts w:ascii="Times New Roman" w:hAnsi="Times New Roman" w:cs="Times New Roman"/>
          <w:i/>
          <w:sz w:val="24"/>
          <w:szCs w:val="24"/>
        </w:rPr>
        <w:t xml:space="preserve">. </w:t>
      </w:r>
      <w:r w:rsidRPr="000410B5">
        <w:rPr>
          <w:rFonts w:ascii="Times New Roman" w:hAnsi="Times New Roman" w:cs="Times New Roman"/>
          <w:sz w:val="24"/>
          <w:szCs w:val="24"/>
        </w:rPr>
        <w:t xml:space="preserve">Tajā pašā laikā jāatzīmē, ka ieguldījumu apjoms šajos aktīvos joprojām saglabājies nestabils un zems. To apliecina fakts, ka investīciju kāpums pērnā gada trīs ceturkšņos kopumā bija sasniegts tieši trešajā ceturksnī, realizējot dažus projektus elektroenerģijas apgādes, kokrūpniecības un transporta nozarēs. Neskatoties uz augstajiem tautsaimniecības attīstības tempiem un labvēlīgo ārējo konjunktūru pēdējos gados, ieguldījumu aktivitāte tehnoloģijās un ražošanas paplašināšanā ir vāja. Šo pamatlīdzekļu ieguldījumu īpatsvars kopējās </w:t>
      </w:r>
      <w:proofErr w:type="spellStart"/>
      <w:r w:rsidRPr="000410B5">
        <w:rPr>
          <w:rFonts w:ascii="Times New Roman" w:hAnsi="Times New Roman" w:cs="Times New Roman"/>
          <w:sz w:val="24"/>
          <w:szCs w:val="24"/>
        </w:rPr>
        <w:t>nefinanšu</w:t>
      </w:r>
      <w:proofErr w:type="spellEnd"/>
      <w:r w:rsidRPr="000410B5">
        <w:rPr>
          <w:rFonts w:ascii="Times New Roman" w:hAnsi="Times New Roman" w:cs="Times New Roman"/>
          <w:sz w:val="24"/>
          <w:szCs w:val="24"/>
        </w:rPr>
        <w:t xml:space="preserve"> investīcijās 2018.gada trīs ceturkšņos veidoja vien 20,4%. Salīdzinoši, 2008.gadā investīcijas iekārtās un mašīnās bija 1299 milj. </w:t>
      </w:r>
      <w:proofErr w:type="spellStart"/>
      <w:r w:rsidRPr="000410B5">
        <w:rPr>
          <w:rFonts w:ascii="Times New Roman" w:hAnsi="Times New Roman" w:cs="Times New Roman"/>
          <w:i/>
          <w:sz w:val="24"/>
          <w:szCs w:val="24"/>
        </w:rPr>
        <w:t>euro</w:t>
      </w:r>
      <w:proofErr w:type="spellEnd"/>
      <w:r w:rsidRPr="000410B5">
        <w:rPr>
          <w:rFonts w:ascii="Times New Roman" w:hAnsi="Times New Roman" w:cs="Times New Roman"/>
          <w:sz w:val="24"/>
          <w:szCs w:val="24"/>
        </w:rPr>
        <w:t xml:space="preserve">, kas veidoja 32,3% no kopējām </w:t>
      </w:r>
      <w:proofErr w:type="spellStart"/>
      <w:r w:rsidRPr="000410B5">
        <w:rPr>
          <w:rFonts w:ascii="Times New Roman" w:hAnsi="Times New Roman" w:cs="Times New Roman"/>
          <w:sz w:val="24"/>
          <w:szCs w:val="24"/>
        </w:rPr>
        <w:t>nefinanšu</w:t>
      </w:r>
      <w:proofErr w:type="spellEnd"/>
      <w:r w:rsidRPr="000410B5">
        <w:rPr>
          <w:rFonts w:ascii="Times New Roman" w:hAnsi="Times New Roman" w:cs="Times New Roman"/>
          <w:sz w:val="24"/>
          <w:szCs w:val="24"/>
        </w:rPr>
        <w:t xml:space="preserve"> investīcijām attiecīgajā gadā. Lai arī rūpniecības produkcijas apjoms pēdējos gados uzrāda pieaugumu, vājās investīcijas tehnoloģiskajās iekārtās un mašīnās var radīt šķēršļus turpmākai apstrādes rūpniecības attīstībai. Ņemot vērā, ka jaudu noslodze apstrādes rūpniecībā atrodas savā vēsturiskajā maksimumā, zemas investīcijas kopā ar ierobežoto darbaspēka potenciālu iekšējā tirgū var mazināt tautsaimniecības potenciālo izaugsmi vidējā termiņā.</w:t>
      </w:r>
    </w:p>
    <w:p w:rsidR="002E6188" w:rsidRDefault="00F15AF0" w:rsidP="000410B5">
      <w:pPr>
        <w:spacing w:after="120" w:line="240" w:lineRule="auto"/>
        <w:ind w:firstLine="709"/>
        <w:jc w:val="both"/>
        <w:rPr>
          <w:rFonts w:ascii="Times New Roman" w:eastAsia="Times New Roman" w:hAnsi="Times New Roman" w:cs="Times New Roman"/>
          <w:sz w:val="24"/>
          <w:szCs w:val="24"/>
        </w:rPr>
      </w:pPr>
      <w:r w:rsidRPr="000410B5">
        <w:rPr>
          <w:rFonts w:ascii="Times New Roman" w:hAnsi="Times New Roman" w:cs="Times New Roman"/>
          <w:sz w:val="24"/>
          <w:szCs w:val="24"/>
        </w:rPr>
        <w:t xml:space="preserve">Analizējot mājsaimniecībām no jauna izsniegto kredītu apjomu, kas daļēji raksturo tieši iedzīvotāju veiktās investīcijas, var secināt, ka no jauna izsniegto kredītu apjoma pieaugums ir noturīgs jau vairākus gadus. Tā 2017.gadā kopumā mājsaimniecībām no jauna izsniegto kredītu apjoms gada griezumā palielinājies par 13,1% sasniedzot 617,2 milj. </w:t>
      </w:r>
      <w:proofErr w:type="spellStart"/>
      <w:r w:rsidRPr="000410B5">
        <w:rPr>
          <w:rFonts w:ascii="Times New Roman" w:hAnsi="Times New Roman" w:cs="Times New Roman"/>
          <w:i/>
          <w:sz w:val="24"/>
          <w:szCs w:val="24"/>
        </w:rPr>
        <w:t>euro</w:t>
      </w:r>
      <w:proofErr w:type="spellEnd"/>
      <w:r w:rsidRPr="000410B5">
        <w:rPr>
          <w:rFonts w:ascii="Times New Roman" w:hAnsi="Times New Roman" w:cs="Times New Roman"/>
          <w:sz w:val="24"/>
          <w:szCs w:val="24"/>
        </w:rPr>
        <w:t xml:space="preserve">. Savukārt, 2018.gada pirmajā pusē no jauna izsniegto kredītu apjoms bija 331,3 milj. </w:t>
      </w:r>
      <w:proofErr w:type="spellStart"/>
      <w:r w:rsidRPr="000410B5">
        <w:rPr>
          <w:rFonts w:ascii="Times New Roman" w:hAnsi="Times New Roman" w:cs="Times New Roman"/>
          <w:i/>
          <w:sz w:val="24"/>
          <w:szCs w:val="24"/>
        </w:rPr>
        <w:t>euro</w:t>
      </w:r>
      <w:proofErr w:type="spellEnd"/>
      <w:r w:rsidRPr="000410B5">
        <w:rPr>
          <w:rFonts w:ascii="Times New Roman" w:hAnsi="Times New Roman" w:cs="Times New Roman"/>
          <w:i/>
          <w:sz w:val="24"/>
          <w:szCs w:val="24"/>
        </w:rPr>
        <w:t xml:space="preserve">, </w:t>
      </w:r>
      <w:r w:rsidRPr="000410B5">
        <w:rPr>
          <w:rFonts w:ascii="Times New Roman" w:hAnsi="Times New Roman" w:cs="Times New Roman"/>
          <w:sz w:val="24"/>
          <w:szCs w:val="24"/>
        </w:rPr>
        <w:t xml:space="preserve">kas bija par 10,1% vairāk nekā iepriekšējā gada attiecīgajā periodā, īpaši pieaugot kredītiem mājokļa iegādei un remontam, kā arī kredītiem patēriņa preču iegādei. Pašreiz ir visi priekšnosacījumi, lai šī augošā tendence saglabātos arī turpmāk. Par to liecina gan augošā darba samaksa, gan Latvijas iedzīvotāju noguldījumu apjoms komercbankās, kas 2018.gada otrā ceturkšņa beigās sasniedza 6,5 mljrd. </w:t>
      </w:r>
      <w:proofErr w:type="spellStart"/>
      <w:r w:rsidRPr="000410B5">
        <w:rPr>
          <w:rFonts w:ascii="Times New Roman" w:hAnsi="Times New Roman" w:cs="Times New Roman"/>
          <w:i/>
          <w:sz w:val="24"/>
          <w:szCs w:val="24"/>
        </w:rPr>
        <w:t>euro</w:t>
      </w:r>
      <w:proofErr w:type="spellEnd"/>
      <w:r w:rsidRPr="000410B5">
        <w:rPr>
          <w:rFonts w:ascii="Times New Roman" w:hAnsi="Times New Roman" w:cs="Times New Roman"/>
          <w:i/>
          <w:sz w:val="24"/>
          <w:szCs w:val="24"/>
        </w:rPr>
        <w:t xml:space="preserve"> </w:t>
      </w:r>
      <w:r w:rsidRPr="000410B5">
        <w:rPr>
          <w:rFonts w:ascii="Times New Roman" w:hAnsi="Times New Roman" w:cs="Times New Roman"/>
          <w:sz w:val="24"/>
          <w:szCs w:val="24"/>
        </w:rPr>
        <w:t xml:space="preserve">atzīmi un, salīdzinot ar 2017.gada otro ceturksni, palielinājās par 8,6%. Tādējādi </w:t>
      </w:r>
      <w:r w:rsidRPr="000410B5">
        <w:rPr>
          <w:rFonts w:ascii="Times New Roman" w:hAnsi="Times New Roman" w:cs="Times New Roman"/>
          <w:sz w:val="24"/>
          <w:szCs w:val="24"/>
        </w:rPr>
        <w:lastRenderedPageBreak/>
        <w:t>mājsaimniecībām kopumā ir resursi, kuri var tikt izmantoti kredīta līdzfinansējumam, piemēram, mājokļa iegādei.</w:t>
      </w:r>
    </w:p>
    <w:p w:rsidR="000410B5" w:rsidRPr="000410B5" w:rsidRDefault="000410B5" w:rsidP="000410B5">
      <w:pPr>
        <w:spacing w:after="120" w:line="240" w:lineRule="auto"/>
        <w:ind w:firstLine="709"/>
        <w:jc w:val="both"/>
        <w:rPr>
          <w:rFonts w:ascii="Times New Roman" w:eastAsia="Times New Roman" w:hAnsi="Times New Roman" w:cs="Times New Roman"/>
          <w:sz w:val="24"/>
          <w:szCs w:val="24"/>
        </w:rPr>
      </w:pPr>
    </w:p>
    <w:p w:rsidR="00883A53" w:rsidRDefault="00883A53" w:rsidP="008465CD">
      <w:pPr>
        <w:pStyle w:val="Heading3"/>
        <w:jc w:val="center"/>
        <w:rPr>
          <w:rFonts w:ascii="Times New Roman" w:hAnsi="Times New Roman" w:cs="Times New Roman"/>
          <w:b/>
          <w:color w:val="auto"/>
          <w:sz w:val="32"/>
          <w:szCs w:val="32"/>
        </w:rPr>
      </w:pPr>
      <w:r w:rsidRPr="008465CD">
        <w:rPr>
          <w:rFonts w:ascii="Times New Roman" w:hAnsi="Times New Roman" w:cs="Times New Roman"/>
          <w:b/>
          <w:color w:val="auto"/>
          <w:sz w:val="32"/>
          <w:szCs w:val="32"/>
        </w:rPr>
        <w:t>1.2.4. </w:t>
      </w:r>
      <w:r w:rsidR="000410B5">
        <w:rPr>
          <w:rFonts w:ascii="Times New Roman" w:hAnsi="Times New Roman" w:cs="Times New Roman"/>
          <w:b/>
          <w:color w:val="auto"/>
          <w:sz w:val="32"/>
          <w:szCs w:val="32"/>
        </w:rPr>
        <w:t>Darba tirgus</w:t>
      </w:r>
    </w:p>
    <w:p w:rsidR="00A85480" w:rsidRPr="000410B5" w:rsidRDefault="00A85480" w:rsidP="000410B5">
      <w:pPr>
        <w:spacing w:after="120" w:line="240" w:lineRule="auto"/>
        <w:ind w:firstLine="709"/>
        <w:jc w:val="both"/>
        <w:rPr>
          <w:rFonts w:ascii="Times New Roman" w:hAnsi="Times New Roman" w:cs="Times New Roman"/>
          <w:sz w:val="24"/>
          <w:szCs w:val="24"/>
        </w:rPr>
      </w:pPr>
    </w:p>
    <w:p w:rsidR="000410B5" w:rsidRPr="000410B5" w:rsidRDefault="000410B5" w:rsidP="000410B5">
      <w:pPr>
        <w:spacing w:after="120" w:line="240" w:lineRule="auto"/>
        <w:ind w:firstLine="709"/>
        <w:jc w:val="both"/>
        <w:rPr>
          <w:rFonts w:ascii="Times New Roman" w:hAnsi="Times New Roman" w:cs="Times New Roman"/>
          <w:sz w:val="24"/>
          <w:szCs w:val="24"/>
        </w:rPr>
      </w:pPr>
      <w:r w:rsidRPr="000410B5">
        <w:rPr>
          <w:rFonts w:ascii="Times New Roman" w:hAnsi="Times New Roman" w:cs="Times New Roman"/>
          <w:sz w:val="24"/>
          <w:szCs w:val="24"/>
        </w:rPr>
        <w:t>Līdz ar ekonomiskās izaugsmes paātrināšanos pēdējo gadu laikā būtiski straujāka kļuvusi arī bezdarba līmeņa samazināšanās un spēcīgāk audzis arī  tautsaimniecībā nodarbināto iedzīvotāju skaits. Augot ekonomiskajai aktivitātei un pieprasījumam pēc strādājošajiem, vienlaikus palielinājies arī brīvo darba vietu skaits un atsevišķās nozarēs un profesijās sācis iezīmēties darbinieku trūkums.</w:t>
      </w:r>
    </w:p>
    <w:p w:rsidR="000410B5" w:rsidRPr="000410B5" w:rsidRDefault="000410B5" w:rsidP="000410B5">
      <w:pPr>
        <w:spacing w:after="120" w:line="240" w:lineRule="auto"/>
        <w:ind w:firstLine="709"/>
        <w:jc w:val="both"/>
        <w:rPr>
          <w:rFonts w:ascii="Times New Roman" w:hAnsi="Times New Roman" w:cs="Times New Roman"/>
          <w:sz w:val="24"/>
          <w:szCs w:val="24"/>
        </w:rPr>
      </w:pPr>
      <w:r w:rsidRPr="000410B5">
        <w:rPr>
          <w:rFonts w:ascii="Times New Roman" w:hAnsi="Times New Roman" w:cs="Times New Roman"/>
          <w:sz w:val="24"/>
          <w:szCs w:val="24"/>
        </w:rPr>
        <w:t xml:space="preserve">Bezdarba līmenis pēc darbaspēka </w:t>
      </w:r>
      <w:proofErr w:type="spellStart"/>
      <w:r w:rsidRPr="000410B5">
        <w:rPr>
          <w:rFonts w:ascii="Times New Roman" w:hAnsi="Times New Roman" w:cs="Times New Roman"/>
          <w:sz w:val="24"/>
          <w:szCs w:val="24"/>
        </w:rPr>
        <w:t>apsekojuma</w:t>
      </w:r>
      <w:proofErr w:type="spellEnd"/>
      <w:r w:rsidRPr="000410B5">
        <w:rPr>
          <w:rFonts w:ascii="Times New Roman" w:hAnsi="Times New Roman" w:cs="Times New Roman"/>
          <w:sz w:val="24"/>
          <w:szCs w:val="24"/>
        </w:rPr>
        <w:t xml:space="preserve"> 2017.gadā samazinājās par 0,9 procentpunktiem līdz 8,7% no ekonomiski aktīvajiem iedzīvotājiem. 2018.gadā bezdarba samazināšanās ir kļuvusi vēl nedaudz straujāka – 2018.gada pirmajos trīs ceturkšņos bezdarba līmenis pēc darbaspēka </w:t>
      </w:r>
      <w:proofErr w:type="spellStart"/>
      <w:r w:rsidRPr="000410B5">
        <w:rPr>
          <w:rFonts w:ascii="Times New Roman" w:hAnsi="Times New Roman" w:cs="Times New Roman"/>
          <w:sz w:val="24"/>
          <w:szCs w:val="24"/>
        </w:rPr>
        <w:t>apsekojuma</w:t>
      </w:r>
      <w:proofErr w:type="spellEnd"/>
      <w:r w:rsidRPr="000410B5">
        <w:rPr>
          <w:rFonts w:ascii="Times New Roman" w:hAnsi="Times New Roman" w:cs="Times New Roman"/>
          <w:sz w:val="24"/>
          <w:szCs w:val="24"/>
        </w:rPr>
        <w:t xml:space="preserve"> datiem samazinājies līdz 7,6%, kas ir par 1,3 procentpunktiem mazāk nekā attiecīgajā laika periodā pirms gada. Reģistrētā bezdarba līmenis 2018.gada decembra beigās ir samazinājies līdz 6,4%, kas ir par 0,4 procentpunktiem zemāks nekā 2017.gada decembra beigās. Kopējais reģistrēto bezdarbnieku skaits decembra beigās bija samazinājies līdz 59,6 tūkstošiem un bija par 5,6% mazāks nekā pirms gada.</w:t>
      </w:r>
    </w:p>
    <w:p w:rsidR="000410B5" w:rsidRDefault="000410B5" w:rsidP="000410B5">
      <w:r w:rsidRPr="00CA32E4">
        <w:rPr>
          <w:noProof/>
          <w:lang w:eastAsia="lv-LV"/>
        </w:rPr>
        <w:drawing>
          <wp:inline distT="0" distB="0" distL="0" distR="0" wp14:anchorId="7C4AB615" wp14:editId="59384D7F">
            <wp:extent cx="5781675" cy="3183255"/>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410B5" w:rsidRPr="000410B5" w:rsidRDefault="000410B5" w:rsidP="000410B5">
      <w:pPr>
        <w:spacing w:after="120" w:line="240" w:lineRule="auto"/>
        <w:ind w:firstLine="709"/>
        <w:jc w:val="center"/>
        <w:rPr>
          <w:rFonts w:ascii="Times New Roman" w:hAnsi="Times New Roman" w:cs="Times New Roman"/>
          <w:i/>
          <w:sz w:val="24"/>
          <w:szCs w:val="24"/>
        </w:rPr>
      </w:pPr>
      <w:r w:rsidRPr="000410B5">
        <w:rPr>
          <w:rFonts w:ascii="Times New Roman" w:eastAsia="Calibri" w:hAnsi="Times New Roman" w:cs="Times New Roman"/>
          <w:b/>
          <w:i/>
          <w:sz w:val="24"/>
          <w:szCs w:val="24"/>
        </w:rPr>
        <w:t>1.8.att. Reģistrētā bezdarba līmenis un darba meklētāju īpatsvars, % no ekonomiski aktīvajiem iedzīvotājiem</w:t>
      </w:r>
    </w:p>
    <w:p w:rsidR="000410B5" w:rsidRPr="000410B5" w:rsidRDefault="000410B5" w:rsidP="000410B5">
      <w:pPr>
        <w:spacing w:after="120" w:line="240" w:lineRule="auto"/>
        <w:ind w:firstLine="709"/>
        <w:jc w:val="both"/>
        <w:rPr>
          <w:rFonts w:ascii="Times New Roman" w:hAnsi="Times New Roman" w:cs="Times New Roman"/>
          <w:sz w:val="24"/>
          <w:szCs w:val="24"/>
        </w:rPr>
      </w:pPr>
      <w:r w:rsidRPr="000410B5">
        <w:rPr>
          <w:rFonts w:ascii="Times New Roman" w:hAnsi="Times New Roman" w:cs="Times New Roman"/>
          <w:sz w:val="24"/>
          <w:szCs w:val="24"/>
        </w:rPr>
        <w:t xml:space="preserve">Tautsaimniecībā nodarbināto iedzīvotāju skaits 2017.gadā palielinājās par 0,2% līdz 894,8 tūkstošiem, bet 2018.gada pirmajos trīs ceturkšņos pieauguma temps sasniedza jau 1,9%, nodarbināto iedzīvotāju skaitam palielinoties līdz 909,2 tūkstošiem. Darbspējas vecuma iedzīvotāju skaitam turpinot samazināties, strādājošo skaita pieaugumu līdzās zemākam bezdarba līmenim nodrošinājis arī iedzīvotāju ekonomiskās aktivitātes pieaugums, kad nodarbināto un darba meklētāju īpatsvars starp visiem darbspējas vecuma iedzīvotājiem 2017.gadā sasniedza 68,9%, bet 2018.gada trešajā ceturksnī sasniedza jau 70,1%, kas ir vēsturiski augstākais ekonomiskās aktivitātes līmenis. Situāciju, kad iedzīvotāju līdzdalība darba tirgū kā nodarbinātajiem vai darba meklētājiem arvien pieaug, veicina gan straujā </w:t>
      </w:r>
      <w:r w:rsidRPr="000410B5">
        <w:rPr>
          <w:rFonts w:ascii="Times New Roman" w:hAnsi="Times New Roman" w:cs="Times New Roman"/>
          <w:sz w:val="24"/>
          <w:szCs w:val="24"/>
        </w:rPr>
        <w:lastRenderedPageBreak/>
        <w:t>ekonomikas izaugsme un labākas iespējas atrast labi apmaksātu darbu, gan pensionēšanās vecuma pakāpeniskā paaugstināšana, gan iedzīvotāju vecuma struktūras izmaiņas, kad samazinās ekonomiski mazāk aktīvo jauniešu īpatsvars starp visiem darbaspējas vecuma iedzīvotājiem.</w:t>
      </w:r>
    </w:p>
    <w:p w:rsidR="000410B5" w:rsidRPr="000410B5" w:rsidRDefault="000410B5" w:rsidP="000410B5">
      <w:pPr>
        <w:spacing w:after="120" w:line="240" w:lineRule="auto"/>
        <w:ind w:firstLine="709"/>
        <w:jc w:val="both"/>
        <w:rPr>
          <w:rFonts w:ascii="Times New Roman" w:hAnsi="Times New Roman" w:cs="Times New Roman"/>
          <w:sz w:val="24"/>
          <w:szCs w:val="24"/>
        </w:rPr>
      </w:pPr>
      <w:r w:rsidRPr="000410B5">
        <w:rPr>
          <w:rFonts w:ascii="Times New Roman" w:hAnsi="Times New Roman" w:cs="Times New Roman"/>
          <w:sz w:val="24"/>
          <w:szCs w:val="24"/>
        </w:rPr>
        <w:t>Kā liecina dati par aizņemtajām darba vietām, visstraujāk jaunas darba vietas pēdējā gada laikā veidojušās informācijas un komunikācijas pakalpojumu nozarē, būvniecībā, kā arī izmitināšanas un ēdināšanas pakalpojumu nozarē, kur aizņemto darba vietu skaits 2018.gada trešā ceturkšņa beigās bijis attiecīgi par 6,6%, 5,3% un 5,5% lielāks nekā pirms gada. Savukārt neliels darba vietu skaita samazinājums pēdējā gada laikā bijis finanšu pakalpojumu, transporta un energoapgādes nozarēs.</w:t>
      </w:r>
    </w:p>
    <w:p w:rsidR="000410B5" w:rsidRPr="000410B5" w:rsidRDefault="000410B5" w:rsidP="000410B5">
      <w:pPr>
        <w:spacing w:after="120" w:line="240" w:lineRule="auto"/>
        <w:ind w:firstLine="709"/>
        <w:jc w:val="both"/>
        <w:rPr>
          <w:rFonts w:ascii="Times New Roman" w:hAnsi="Times New Roman" w:cs="Times New Roman"/>
          <w:sz w:val="24"/>
          <w:szCs w:val="24"/>
        </w:rPr>
      </w:pPr>
      <w:r w:rsidRPr="000410B5">
        <w:rPr>
          <w:rFonts w:ascii="Times New Roman" w:hAnsi="Times New Roman" w:cs="Times New Roman"/>
          <w:sz w:val="24"/>
          <w:szCs w:val="24"/>
        </w:rPr>
        <w:t>Ekonomikai strauji attīstoties, pēdējā gada laikā strauji audzis pieprasījums pēc darbiniekiem, un Nodarbinātības valsts aģentūrā (turpmāk - NVA) reģistrēto brīvo darba vietu skaits 2018.gadā kopumā bijis divas reizes lielāks nekā pirms gada. Lai gan atsevišķās nozarēs un profesijās jau izjūtams darbinieku skaita trūkums, darbaspēka resursi Latvijā šobrīd vēl nav pilnībā izmantoti, un kā liecina NVA dati, 2018.gada decembra beigās kā bezdarbnieki bija reģistrējušies 12,1 tūkstoši cilvēku ar augstāko izglītību (20,4% no visiem reģistrētajiem bezdarbniekiem), bet 20,5 tūkstošiem bija vidējā profesionālā izglītība (36,2%). Ja kopējais bezdarbnieku skaits pēdējā gada laikā ir krities par 5,6%, bezdarbnieku skaits ar augstāko izglītību tajā pašā laikā ir pat nedaudz pieaudzis (par 4,4%), ko ietekmējusi darba vietu samazināšanās nerezidentus apkalpojošajā finanšu sektorā.</w:t>
      </w:r>
    </w:p>
    <w:p w:rsidR="000410B5" w:rsidRPr="000410B5" w:rsidRDefault="000410B5" w:rsidP="000410B5">
      <w:pPr>
        <w:spacing w:after="120" w:line="240" w:lineRule="auto"/>
        <w:ind w:firstLine="709"/>
        <w:jc w:val="both"/>
        <w:rPr>
          <w:rFonts w:ascii="Times New Roman" w:hAnsi="Times New Roman" w:cs="Times New Roman"/>
          <w:sz w:val="24"/>
          <w:szCs w:val="24"/>
        </w:rPr>
      </w:pPr>
      <w:r w:rsidRPr="000410B5">
        <w:rPr>
          <w:rFonts w:ascii="Times New Roman" w:hAnsi="Times New Roman" w:cs="Times New Roman"/>
          <w:sz w:val="24"/>
          <w:szCs w:val="24"/>
        </w:rPr>
        <w:t xml:space="preserve">Pēc neliela palēninājuma 2016.gadā, no 2017.gada stabili turpina palielināties vidējā darba samaksa. 2017.gadā kopā mēneša vidējā bruto darba samaksa bija augusi par 7,8%, sasniedzot 926 </w:t>
      </w:r>
      <w:proofErr w:type="spellStart"/>
      <w:r w:rsidRPr="000410B5">
        <w:rPr>
          <w:rFonts w:ascii="Times New Roman" w:hAnsi="Times New Roman" w:cs="Times New Roman"/>
          <w:i/>
          <w:sz w:val="24"/>
          <w:szCs w:val="24"/>
        </w:rPr>
        <w:t>euro</w:t>
      </w:r>
      <w:proofErr w:type="spellEnd"/>
      <w:r w:rsidRPr="000410B5">
        <w:rPr>
          <w:rFonts w:ascii="Times New Roman" w:hAnsi="Times New Roman" w:cs="Times New Roman"/>
          <w:sz w:val="24"/>
          <w:szCs w:val="24"/>
        </w:rPr>
        <w:t xml:space="preserve">. 2018.gada pirmajos trīs ceturkšņos darba samaksas pieaugums ir paātrinājies līdz 8,4%, un mēneša vidējā bruto darba samaksa ir sasniegusi 991 </w:t>
      </w:r>
      <w:proofErr w:type="spellStart"/>
      <w:r w:rsidRPr="000410B5">
        <w:rPr>
          <w:rFonts w:ascii="Times New Roman" w:hAnsi="Times New Roman" w:cs="Times New Roman"/>
          <w:i/>
          <w:sz w:val="24"/>
          <w:szCs w:val="24"/>
        </w:rPr>
        <w:t>euro</w:t>
      </w:r>
      <w:proofErr w:type="spellEnd"/>
      <w:r w:rsidRPr="000410B5">
        <w:rPr>
          <w:rFonts w:ascii="Times New Roman" w:hAnsi="Times New Roman" w:cs="Times New Roman"/>
          <w:sz w:val="24"/>
          <w:szCs w:val="24"/>
        </w:rPr>
        <w:t xml:space="preserve">. Darba samaksa 2018.gadā gandrīz vienādi strauji palielinājusies gan sabiedriskajā, gan privātajā sektorā – attiecīgi par 8,4% līdz 1013 </w:t>
      </w:r>
      <w:proofErr w:type="spellStart"/>
      <w:r w:rsidRPr="000410B5">
        <w:rPr>
          <w:rFonts w:ascii="Times New Roman" w:hAnsi="Times New Roman" w:cs="Times New Roman"/>
          <w:i/>
          <w:sz w:val="24"/>
          <w:szCs w:val="24"/>
        </w:rPr>
        <w:t>euro</w:t>
      </w:r>
      <w:proofErr w:type="spellEnd"/>
      <w:r w:rsidRPr="000410B5">
        <w:rPr>
          <w:rFonts w:ascii="Times New Roman" w:hAnsi="Times New Roman" w:cs="Times New Roman"/>
          <w:i/>
          <w:sz w:val="24"/>
          <w:szCs w:val="24"/>
        </w:rPr>
        <w:t xml:space="preserve"> </w:t>
      </w:r>
      <w:r w:rsidRPr="000410B5">
        <w:rPr>
          <w:rFonts w:ascii="Times New Roman" w:hAnsi="Times New Roman" w:cs="Times New Roman"/>
          <w:sz w:val="24"/>
          <w:szCs w:val="24"/>
        </w:rPr>
        <w:t xml:space="preserve">un 8,3% līdz 980 </w:t>
      </w:r>
      <w:proofErr w:type="spellStart"/>
      <w:r w:rsidRPr="000410B5">
        <w:rPr>
          <w:rFonts w:ascii="Times New Roman" w:hAnsi="Times New Roman" w:cs="Times New Roman"/>
          <w:i/>
          <w:sz w:val="24"/>
          <w:szCs w:val="24"/>
        </w:rPr>
        <w:t>euro</w:t>
      </w:r>
      <w:proofErr w:type="spellEnd"/>
      <w:r w:rsidRPr="000410B5">
        <w:rPr>
          <w:rFonts w:ascii="Times New Roman" w:hAnsi="Times New Roman" w:cs="Times New Roman"/>
          <w:sz w:val="24"/>
          <w:szCs w:val="24"/>
        </w:rPr>
        <w:t xml:space="preserve">, salīdzinot ar 2017.gada pirmajiem trim ceturkšņiem. Straujāku  vidējās algas kāpumu 2018.gadā nosaka ekonomikas izaugsme un augošais pieprasījums pēc darbiniekiem, minimālās algas paaugstinājums par 50 </w:t>
      </w:r>
      <w:proofErr w:type="spellStart"/>
      <w:r w:rsidRPr="000410B5">
        <w:rPr>
          <w:rFonts w:ascii="Times New Roman" w:hAnsi="Times New Roman" w:cs="Times New Roman"/>
          <w:i/>
          <w:sz w:val="24"/>
          <w:szCs w:val="24"/>
        </w:rPr>
        <w:t>euro</w:t>
      </w:r>
      <w:proofErr w:type="spellEnd"/>
      <w:r w:rsidRPr="000410B5">
        <w:rPr>
          <w:rFonts w:ascii="Times New Roman" w:hAnsi="Times New Roman" w:cs="Times New Roman"/>
          <w:sz w:val="24"/>
          <w:szCs w:val="24"/>
        </w:rPr>
        <w:t xml:space="preserve"> līdz 430 </w:t>
      </w:r>
      <w:proofErr w:type="spellStart"/>
      <w:r w:rsidRPr="000410B5">
        <w:rPr>
          <w:rFonts w:ascii="Times New Roman" w:hAnsi="Times New Roman" w:cs="Times New Roman"/>
          <w:sz w:val="24"/>
          <w:szCs w:val="24"/>
        </w:rPr>
        <w:t>euro</w:t>
      </w:r>
      <w:proofErr w:type="spellEnd"/>
      <w:r w:rsidRPr="000410B5">
        <w:rPr>
          <w:rFonts w:ascii="Times New Roman" w:hAnsi="Times New Roman" w:cs="Times New Roman"/>
          <w:sz w:val="24"/>
          <w:szCs w:val="24"/>
        </w:rPr>
        <w:t>, kā arī finansējuma palielinājums darba samaksai atsevišķām sabiedriskā sektora strādājošo kategorijām aizsardzības un veselības resoros, kā arī Valsts ieņēmumu dienestā.</w:t>
      </w:r>
    </w:p>
    <w:p w:rsidR="000410B5" w:rsidRPr="000410B5" w:rsidRDefault="000410B5" w:rsidP="000410B5">
      <w:pPr>
        <w:spacing w:after="120" w:line="240" w:lineRule="auto"/>
        <w:ind w:firstLine="709"/>
        <w:jc w:val="both"/>
        <w:rPr>
          <w:rFonts w:ascii="Times New Roman" w:hAnsi="Times New Roman" w:cs="Times New Roman"/>
          <w:sz w:val="24"/>
          <w:szCs w:val="24"/>
        </w:rPr>
      </w:pPr>
      <w:r w:rsidRPr="000410B5">
        <w:rPr>
          <w:rFonts w:ascii="Times New Roman" w:hAnsi="Times New Roman" w:cs="Times New Roman"/>
          <w:sz w:val="24"/>
          <w:szCs w:val="24"/>
        </w:rPr>
        <w:t xml:space="preserve">Līdz ar bruto algas pieaugumu, kā arī pateicoties zemajai inflācijai, pēdējos gados būtiski palielinājusies strādājošo iedzīvotāju pirktspēja, reālajai neto darba samaksai 2017.gadā pieaugot par 7,0%. 2018.gada pirmajos trīs ceturkšņos reālās neto darba samaksas pieaugums paātrinājās līdz 7,3%, ko noteica bruto darba samaksas pieaugums, iedzīvotāju ienākuma nodokļa pazeminājums 2018.gada sākumā un mērenais inflācijas līmenis. No otras puses, būtiskais darba samaksas pieaugums veicinājis arī darbaspēka izmaksu kāpumu, kas mazina Latvijas uzņēmēju ārējo konkurētspēju. Vienības darbaspēka izmaksu pieaugums Latvijā jau kopš 2015.gada ir pārsniedzis </w:t>
      </w:r>
      <w:proofErr w:type="spellStart"/>
      <w:r w:rsidRPr="000410B5">
        <w:rPr>
          <w:rFonts w:ascii="Times New Roman" w:hAnsi="Times New Roman" w:cs="Times New Roman"/>
          <w:sz w:val="24"/>
          <w:szCs w:val="24"/>
        </w:rPr>
        <w:t>eirozonas</w:t>
      </w:r>
      <w:proofErr w:type="spellEnd"/>
      <w:r w:rsidRPr="000410B5">
        <w:rPr>
          <w:rFonts w:ascii="Times New Roman" w:hAnsi="Times New Roman" w:cs="Times New Roman"/>
          <w:sz w:val="24"/>
          <w:szCs w:val="24"/>
        </w:rPr>
        <w:t xml:space="preserve"> valstīm  noteikto limitu, kas ir 9% trīs gadu laikā. 2017.gadā šis rādītājs Latvijai bija 14,7%, un arī 2018.gadā saglabājās augstāks par šo robežu.</w:t>
      </w:r>
    </w:p>
    <w:p w:rsidR="002E6188" w:rsidRPr="000410B5" w:rsidRDefault="000410B5" w:rsidP="000410B5">
      <w:pPr>
        <w:spacing w:after="120" w:line="240" w:lineRule="auto"/>
        <w:ind w:firstLine="709"/>
        <w:jc w:val="both"/>
        <w:rPr>
          <w:rFonts w:ascii="Times New Roman" w:eastAsia="Times New Roman" w:hAnsi="Times New Roman" w:cs="Times New Roman"/>
          <w:sz w:val="24"/>
          <w:szCs w:val="24"/>
        </w:rPr>
      </w:pPr>
      <w:r w:rsidRPr="000410B5">
        <w:rPr>
          <w:rFonts w:ascii="Times New Roman" w:hAnsi="Times New Roman" w:cs="Times New Roman"/>
          <w:sz w:val="24"/>
          <w:szCs w:val="24"/>
        </w:rPr>
        <w:t xml:space="preserve">Vērtējot darba tirgus attīstības perspektīvas, bezdarba līmenis šogad un nākamajos trīs gados turpinās samazināties, ko veicinās spēcīgā ekonomikas izaugsme, bet nodarbināto iedzīvotāju skaita pieaugumu ierobežos darbaspējas vecuma cilvēku skaita samazināšanās, radot pamatu salīdzinoši straujam darba samaksas pieaugumam. Lai gan vairākus iepriekšējos gadus reālās darba samaksas pieaugums ir bijis straujāks par produktivitātes kāpumu, to lielā mērā ietekmēja vairāki vienreizēji faktori, tajā skaitā minimālās darba samaksas celšana un zemais inflācijas līmenis, bet 2017.gadā produktivitāte jau bija augusi praktiski vienādā tempā ar vidējo algu. 2018.gadā algu pieaugums atkal kļuvis straujāks, bet arī šeit liela ietekme bija </w:t>
      </w:r>
      <w:r w:rsidRPr="000410B5">
        <w:rPr>
          <w:rFonts w:ascii="Times New Roman" w:hAnsi="Times New Roman" w:cs="Times New Roman"/>
          <w:sz w:val="24"/>
          <w:szCs w:val="24"/>
        </w:rPr>
        <w:lastRenderedPageBreak/>
        <w:t>gada sākumā veiktajai krasajai minimālās algas paaugstināšanai, un sagaidāms, ka vidējā termiņā darba samaksas pieaugums atkal sāks tuvināties produktivitātes kāpumam.</w:t>
      </w:r>
    </w:p>
    <w:p w:rsidR="00823CE7" w:rsidRPr="000410B5" w:rsidRDefault="00823CE7" w:rsidP="000410B5">
      <w:pPr>
        <w:spacing w:after="120" w:line="240" w:lineRule="auto"/>
        <w:ind w:firstLine="709"/>
        <w:jc w:val="both"/>
        <w:rPr>
          <w:rFonts w:ascii="Times New Roman" w:eastAsia="Times New Roman" w:hAnsi="Times New Roman" w:cs="Times New Roman"/>
          <w:sz w:val="24"/>
          <w:szCs w:val="24"/>
        </w:rPr>
      </w:pPr>
    </w:p>
    <w:p w:rsidR="00883A53" w:rsidRPr="00823CE7" w:rsidRDefault="00883A53" w:rsidP="003167F3">
      <w:pPr>
        <w:pStyle w:val="Heading3"/>
        <w:spacing w:before="120" w:line="240" w:lineRule="auto"/>
        <w:jc w:val="center"/>
        <w:rPr>
          <w:rFonts w:ascii="Times New Roman" w:hAnsi="Times New Roman" w:cs="Times New Roman"/>
          <w:b/>
          <w:color w:val="auto"/>
          <w:sz w:val="32"/>
          <w:szCs w:val="32"/>
        </w:rPr>
      </w:pPr>
      <w:r w:rsidRPr="00823CE7">
        <w:rPr>
          <w:rFonts w:ascii="Times New Roman" w:hAnsi="Times New Roman" w:cs="Times New Roman"/>
          <w:b/>
          <w:color w:val="auto"/>
          <w:sz w:val="32"/>
          <w:szCs w:val="32"/>
        </w:rPr>
        <w:t>1.2.5. I</w:t>
      </w:r>
      <w:r w:rsidR="000410B5">
        <w:rPr>
          <w:rFonts w:ascii="Times New Roman" w:hAnsi="Times New Roman" w:cs="Times New Roman"/>
          <w:b/>
          <w:color w:val="auto"/>
          <w:sz w:val="32"/>
          <w:szCs w:val="32"/>
        </w:rPr>
        <w:t>nflācija</w:t>
      </w:r>
    </w:p>
    <w:p w:rsidR="00823CE7" w:rsidRPr="000410B5" w:rsidRDefault="00823CE7" w:rsidP="000410B5">
      <w:pPr>
        <w:spacing w:after="120" w:line="240" w:lineRule="auto"/>
        <w:ind w:firstLine="709"/>
        <w:jc w:val="both"/>
        <w:rPr>
          <w:rFonts w:ascii="Times New Roman" w:hAnsi="Times New Roman" w:cs="Times New Roman"/>
          <w:sz w:val="24"/>
          <w:szCs w:val="24"/>
        </w:rPr>
      </w:pPr>
    </w:p>
    <w:p w:rsidR="000410B5" w:rsidRPr="000410B5" w:rsidRDefault="000410B5" w:rsidP="000410B5">
      <w:pPr>
        <w:spacing w:after="120" w:line="240" w:lineRule="auto"/>
        <w:ind w:firstLine="709"/>
        <w:jc w:val="both"/>
        <w:rPr>
          <w:rFonts w:ascii="Times New Roman" w:hAnsi="Times New Roman" w:cs="Times New Roman"/>
          <w:sz w:val="24"/>
          <w:szCs w:val="24"/>
        </w:rPr>
      </w:pPr>
      <w:r w:rsidRPr="000410B5">
        <w:rPr>
          <w:rFonts w:ascii="Times New Roman" w:hAnsi="Times New Roman" w:cs="Times New Roman"/>
          <w:sz w:val="24"/>
          <w:szCs w:val="24"/>
        </w:rPr>
        <w:t>2017.gadā vidējā inflācija Latvijā palielinājās līdz 2,9%, kas salīdzinājumā ar iepriekšējiem gadiem, kad inflācija svārstījās ap nulli, ir uzskatāms par samērā spēcīgu pieaugumu. Straujāks patēriņa cenu kāpums bija fiksēts 2017.gada pirmajā pusē, kad vidējā inflācija bija 3,1%. Mazinoties pārtikas un degvielas cenu kāpumam, gada otrajā pusē lēnāks kļuva arī patēriņa cenu pieaugums, šajā periodā pazeminoties vidēji līdz 2,7%. Lielāko devumu patēriņa cenu izmaiņās 2017.gadā kopumā noteica pārtikas cenu kāpums, īpaši palielinoties piena un eļļas produktu cenām. Naftas cenas, kas pasaules tirgos 2017.gadā bija augstākas nekā 2016.gadā, tiešā veidā ietekmēja degvielas cenu kāpumu Latvijā. Kopumā 2017.gadā preču cenas bija par 2,8% augstākas nekā 2016.gadā, un to pamatā ietekmēja ārējie faktori. Savukārt pakalpojumu cenas, kas vairāk atspoguļo ekonomiskās norises Latvijas tirgū, 2017.gadā palielinājās par 3,2%. Spēcīgāks darba samaksas un privātā patēriņa kāpums 2017. gadā palielināja pamatinflāciju līdz 1,6% no 0,7% 2016.gadā.</w:t>
      </w:r>
    </w:p>
    <w:p w:rsidR="000410B5" w:rsidRPr="000410B5" w:rsidRDefault="000410B5" w:rsidP="000410B5">
      <w:pPr>
        <w:spacing w:after="120" w:line="240" w:lineRule="auto"/>
        <w:ind w:firstLine="709"/>
        <w:jc w:val="both"/>
        <w:rPr>
          <w:rFonts w:ascii="Times New Roman" w:hAnsi="Times New Roman" w:cs="Times New Roman"/>
          <w:sz w:val="24"/>
          <w:szCs w:val="24"/>
        </w:rPr>
      </w:pPr>
      <w:r w:rsidRPr="000410B5">
        <w:rPr>
          <w:rFonts w:ascii="Times New Roman" w:hAnsi="Times New Roman" w:cs="Times New Roman"/>
          <w:sz w:val="24"/>
          <w:szCs w:val="24"/>
        </w:rPr>
        <w:t>2018.gadā patēriņa cenas pieauga par 2,5% salīdzinājumā ar iepriekšējo gadu. Zīmīgi, ka atšķirībā no 2017.gada tendencēm, kad patēriņa cenu pieaugumu noteica galvenokārt pārtikas cenu kāpums, 2018.gadā cenu izmaiņu struktūra ir sabalansētāka starp pārtikas, alkoholisko dzērienu, energoresursu un atsevišķu komerciālo pakalpojumu cenu pieaugumu.</w:t>
      </w:r>
    </w:p>
    <w:p w:rsidR="000410B5" w:rsidRPr="000410B5" w:rsidRDefault="000410B5" w:rsidP="000410B5">
      <w:pPr>
        <w:spacing w:after="120" w:line="240" w:lineRule="auto"/>
        <w:ind w:firstLine="709"/>
        <w:jc w:val="both"/>
        <w:rPr>
          <w:rFonts w:ascii="Times New Roman" w:hAnsi="Times New Roman" w:cs="Times New Roman"/>
          <w:sz w:val="24"/>
          <w:szCs w:val="24"/>
        </w:rPr>
      </w:pPr>
      <w:r w:rsidRPr="000410B5">
        <w:rPr>
          <w:rFonts w:ascii="Times New Roman" w:hAnsi="Times New Roman" w:cs="Times New Roman"/>
          <w:sz w:val="24"/>
          <w:szCs w:val="24"/>
        </w:rPr>
        <w:t xml:space="preserve">Lielāko devumu patēriņa cenu izmaiņās 2018.gadā noteica degvielas cenu kāpums par 12,3%, salīdzinot ar iepriekšējo gadu, tādējādi palielinot inflāciju par 0,7 procentpunktiem. Degvielas cenu īstermiņa svārstības galvenokārt nosaka jēlnaftas cenas pasaules biržās. Pērnajā gadā tika sasniegta augstākā naftas cena kopš 2014.gada decembra, proti vidējā </w:t>
      </w:r>
      <w:proofErr w:type="spellStart"/>
      <w:r w:rsidRPr="000410B5">
        <w:rPr>
          <w:rFonts w:ascii="Times New Roman" w:hAnsi="Times New Roman" w:cs="Times New Roman"/>
          <w:i/>
          <w:sz w:val="24"/>
          <w:szCs w:val="24"/>
        </w:rPr>
        <w:t>Brent</w:t>
      </w:r>
      <w:proofErr w:type="spellEnd"/>
      <w:r w:rsidRPr="000410B5">
        <w:rPr>
          <w:rFonts w:ascii="Times New Roman" w:hAnsi="Times New Roman" w:cs="Times New Roman"/>
          <w:sz w:val="24"/>
          <w:szCs w:val="24"/>
        </w:rPr>
        <w:t xml:space="preserve"> markas jēlnaftas cena 2018.gadā bija 71,9 ASV dolāri par vienu barelu. Salīdzinot ar 2017.gadu, kad vidējā jēlnaftas cena par barelu bija 54 ASV dolāri, pieaugums ir būtisks -  31,2%, tādējādi būtiski ietekmējot arī degvielas cenas Latvijā. Naftas cenu pieaugumu 2018.gadā noteica vairāki faktori. Pirmkārt, vienošanās starp naftas eksportētājvalstu organizāciju OPEC un 11 citām  pasaulē lielākajām naftas ieguves un eksporta valstīm nepalielināt naftas ieguves apjomus līdz 2018.gada beigām. Otrkārt, naftas krājumu kritums ASV un treškārt, - saasinātā politiskā situācija Tuvajos Austrumos, reģionā, kur atrodas vienas no lielākajām naftas ieguves vietām. Nelielu paaugstinošu ietekmi uz degvielas cenu kāpumu Latvijā atstāja arī akcīzes nodokļa likmju paaugstināšana naftas produktiem, sākot no 2018.gada sākuma. </w:t>
      </w:r>
    </w:p>
    <w:p w:rsidR="000410B5" w:rsidRPr="000410B5" w:rsidRDefault="000410B5" w:rsidP="000410B5">
      <w:pPr>
        <w:spacing w:after="120" w:line="240" w:lineRule="auto"/>
        <w:ind w:firstLine="709"/>
        <w:jc w:val="both"/>
        <w:rPr>
          <w:rFonts w:ascii="Times New Roman" w:hAnsi="Times New Roman" w:cs="Times New Roman"/>
          <w:sz w:val="24"/>
          <w:szCs w:val="24"/>
        </w:rPr>
      </w:pPr>
      <w:r w:rsidRPr="000410B5">
        <w:rPr>
          <w:rFonts w:ascii="Times New Roman" w:hAnsi="Times New Roman" w:cs="Times New Roman"/>
          <w:sz w:val="24"/>
          <w:szCs w:val="24"/>
        </w:rPr>
        <w:t>Būtisku devumu patēriņa cenu kāpumā 2018.gadā noteica arī ar mājokli saistīto preču un pakalpojumu cenas. Piemēram, tādu komunālo pakalpojumu kā gāzes un siltumenerģijas piegādes cenas palielinājās attiecīgi par 5,4% un 2,3%, ko lielā mērā arī noteica energoresursu cenu pieaugums pasaulē. Gāzes un siltumenerģijas cenu kāpumu arī izskaidro naftas cenu palielinājums pasaules tirgos. Taču, ņemot vērā, ka šo pakalpojumu tarifu aprēķināšanas metodoloģija atšķiras no degvielas cenu veidošanās mehānisma, šo preču cenu pieaugumi ir atšķirīgi. No komunālajiem pakalpojumiem vēl jāatzīmē visai straujais ūdensapgādes pakalpojumu cenu kāpums – par 5,3%, ko ietekmēja jaunie SIA “Rīgas ūdens” ūdenssaimniecības pakalpojumu tarifi, kuri stājās spēkā no 2018.gada 1.jūnija. Ņemot vērā bāzes efektu, līdzīgs kāpums sagaidāms arī 2019.gadā. Tāpat, mājsaimniecību tēriņus ietekmēja būtisks cietā kurināmā cenu pieaugums (+16,9%), salīdzinot ar 2017.gadu, ko ietekmēja koksnes cenu palielinājums.</w:t>
      </w:r>
    </w:p>
    <w:p w:rsidR="000410B5" w:rsidRPr="000410B5" w:rsidRDefault="000410B5" w:rsidP="000410B5">
      <w:pPr>
        <w:spacing w:after="120" w:line="240" w:lineRule="auto"/>
        <w:ind w:firstLine="709"/>
        <w:jc w:val="both"/>
        <w:rPr>
          <w:rFonts w:ascii="Times New Roman" w:hAnsi="Times New Roman" w:cs="Times New Roman"/>
          <w:sz w:val="24"/>
          <w:szCs w:val="24"/>
        </w:rPr>
      </w:pPr>
      <w:r w:rsidRPr="000410B5">
        <w:rPr>
          <w:rFonts w:ascii="Times New Roman" w:hAnsi="Times New Roman" w:cs="Times New Roman"/>
          <w:sz w:val="24"/>
          <w:szCs w:val="24"/>
        </w:rPr>
        <w:t xml:space="preserve">No citiem pakalpojumiem vēl jāatzīmē apdrošināšanas pakalpojumu sadārdzinājums par 24,8%, ko noteica transportlīdzekļu īpašnieku civiltiesiskās atbildības obligātās apdrošināšanas </w:t>
      </w:r>
      <w:r w:rsidRPr="000410B5">
        <w:rPr>
          <w:rFonts w:ascii="Times New Roman" w:hAnsi="Times New Roman" w:cs="Times New Roman"/>
          <w:sz w:val="24"/>
          <w:szCs w:val="24"/>
        </w:rPr>
        <w:lastRenderedPageBreak/>
        <w:t xml:space="preserve">cenu pieaugums. Veselības aprūpes pakalpojumu cenas pieauga  par 3,3%, kas galvenokārt ir saistīts ar ambulatoro pakalpojumu cenu pieaugumu. Savukārt ēdināšanas un kultūras pakalpojumu cenas palielinājās attiecīgi par 3,2% un 3,4%. Kopumā, visu pakalpojumu cenas 2018.gadā pieauga par 3,2%. Izņemot komunālo pakalpojumu cenu pieaugumu, pārējo pakalpojumu cenu kāpums galvenokārt ir saistīts ar noturīgu privātā patēriņa pieaugumu un norisēm darba tirgu, kas atspoguļojas straujā darba samaksas pieaugumā. </w:t>
      </w:r>
    </w:p>
    <w:p w:rsidR="000410B5" w:rsidRPr="000410B5" w:rsidRDefault="000410B5" w:rsidP="000410B5">
      <w:pPr>
        <w:spacing w:after="120" w:line="240" w:lineRule="auto"/>
        <w:ind w:firstLine="709"/>
        <w:jc w:val="both"/>
        <w:rPr>
          <w:rFonts w:ascii="Times New Roman" w:hAnsi="Times New Roman" w:cs="Times New Roman"/>
          <w:sz w:val="24"/>
          <w:szCs w:val="24"/>
        </w:rPr>
      </w:pPr>
      <w:r w:rsidRPr="000410B5">
        <w:rPr>
          <w:rFonts w:ascii="Times New Roman" w:hAnsi="Times New Roman" w:cs="Times New Roman"/>
          <w:sz w:val="24"/>
          <w:szCs w:val="24"/>
        </w:rPr>
        <w:t>Sasniegtās augstās bāzes dēļ 2017.gadā, pārtikas cenu spiediens uz inflāciju 2018.gadā mazinājies. Pārtikas cenas kopumā 2018.gadā palielinājās vien par 0,7%. Lai arī pārtikas cenu kāpums pērnajā gadā bija minimāls, tomēr dziļāka analīze norāda uz diezgan būtiskām cenu izmaiņām atsevišķiem produktiem. Piemēram, cūkgaļa gada laikā sadārdzinājās par 3,4%, piens – par 4,9%, sviests – par 13,2%. Savukārt, augļi, dārzeņi un cukurs bija attiecīgi par 0,4%, 4,6% un 29,5% lētāki. Šāda cenu dinamika var radīt ļoti dažādus priekšstatus par cenu līmeņa reālajām pārmaiņām atkarībā no katra iedzīvotāja individuālā patēriņa.</w:t>
      </w:r>
    </w:p>
    <w:p w:rsidR="000410B5" w:rsidRPr="000410B5" w:rsidRDefault="000410B5" w:rsidP="000410B5">
      <w:pPr>
        <w:spacing w:after="120" w:line="240" w:lineRule="auto"/>
        <w:ind w:firstLine="709"/>
        <w:jc w:val="both"/>
        <w:rPr>
          <w:rFonts w:ascii="Times New Roman" w:hAnsi="Times New Roman" w:cs="Times New Roman"/>
          <w:sz w:val="24"/>
          <w:szCs w:val="24"/>
        </w:rPr>
      </w:pPr>
      <w:r w:rsidRPr="000410B5">
        <w:rPr>
          <w:rFonts w:ascii="Times New Roman" w:hAnsi="Times New Roman" w:cs="Times New Roman"/>
          <w:sz w:val="24"/>
          <w:szCs w:val="24"/>
        </w:rPr>
        <w:t xml:space="preserve">Saistībā ar akcīzes nodokļa likmju palielināšanu jūtami sadārdzinājās  alkoholiskie dzērieni un tabakas izstrādājumi. 2018.gadā alkoholisko dzērienu cenas bija vidēji par 3,7%, bet tabakas izstrādājumu cenas - par 5,1% augstākas nekā iepriekšējā gadā, tādējādi izskaidrojot 0,4 procentpunktus no kopējām patēriņa cenu izmaiņām. Šo preču cenas ietekmēja ne tikai akcīzes likmju izmaiņas, bet arī augošais pieprasījums, it īpaši alkoholiskajiem dzērieniem. To apliecina augošie akcīzes nodokļa ieņēmumi. Tā, iekasētie akcīzes nodokļa ieņēmumi no alkoholisko dzērienu pārdošanas 2018.gadā pieauga par 17,2%, savukārt no tabakas izstrādājumu pārdošanas - par 8,9%. </w:t>
      </w:r>
    </w:p>
    <w:p w:rsidR="000410B5" w:rsidRPr="000410B5" w:rsidRDefault="000410B5" w:rsidP="000410B5">
      <w:pPr>
        <w:spacing w:after="120" w:line="240" w:lineRule="auto"/>
        <w:ind w:firstLine="709"/>
        <w:jc w:val="both"/>
        <w:rPr>
          <w:rFonts w:ascii="Times New Roman" w:hAnsi="Times New Roman" w:cs="Times New Roman"/>
          <w:sz w:val="24"/>
          <w:szCs w:val="24"/>
        </w:rPr>
      </w:pPr>
      <w:r w:rsidRPr="000410B5">
        <w:rPr>
          <w:rFonts w:ascii="Times New Roman" w:hAnsi="Times New Roman" w:cs="Times New Roman"/>
          <w:sz w:val="24"/>
          <w:szCs w:val="24"/>
        </w:rPr>
        <w:t>Nodokļu izmaiņas kopš 2018.gada sākuma, proti, akcīzes nodokļa likmes palielināšanas naftas produktiem janvārī, alkoholiskajiem dzērieniem martā un tabakas izstrādājumiem jūlijā ietekmēja patēriņa cenas palielinošā virzienā. Savukārt  PVN likmes samazināšana Latvijai raksturīgiem augļiem un dārzeņiem līdz 5% no janvāra nedaudz mīkstināja citu nodokļu likmju pieaugumu, tādējādi nodokļu likmju izmaiņas 2018.gadā palielināja patēriņa cenas kopumā par 0,4 procentpunktiem.</w:t>
      </w:r>
    </w:p>
    <w:p w:rsidR="000410B5" w:rsidRPr="002D4180" w:rsidRDefault="000410B5" w:rsidP="000410B5">
      <w:r>
        <w:rPr>
          <w:noProof/>
          <w:lang w:eastAsia="lv-LV"/>
        </w:rPr>
        <w:drawing>
          <wp:inline distT="0" distB="0" distL="0" distR="0" wp14:anchorId="51223E72" wp14:editId="29C26BF7">
            <wp:extent cx="5760085" cy="3347050"/>
            <wp:effectExtent l="0" t="0" r="0" b="63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410B5" w:rsidRPr="000410B5" w:rsidRDefault="000410B5" w:rsidP="000410B5">
      <w:pPr>
        <w:spacing w:after="120"/>
        <w:jc w:val="center"/>
        <w:rPr>
          <w:rFonts w:ascii="Times New Roman" w:eastAsia="Calibri" w:hAnsi="Times New Roman" w:cs="Times New Roman"/>
          <w:b/>
          <w:i/>
          <w:color w:val="000000"/>
          <w:sz w:val="24"/>
          <w:szCs w:val="24"/>
        </w:rPr>
      </w:pPr>
      <w:r w:rsidRPr="000410B5">
        <w:rPr>
          <w:rFonts w:ascii="Times New Roman" w:eastAsia="Calibri" w:hAnsi="Times New Roman" w:cs="Times New Roman"/>
          <w:b/>
          <w:i/>
          <w:sz w:val="24"/>
          <w:szCs w:val="24"/>
        </w:rPr>
        <w:t xml:space="preserve">1.9.att. Gada </w:t>
      </w:r>
      <w:r w:rsidRPr="000410B5">
        <w:rPr>
          <w:rFonts w:ascii="Times New Roman" w:eastAsia="Calibri" w:hAnsi="Times New Roman" w:cs="Times New Roman"/>
          <w:b/>
          <w:i/>
          <w:color w:val="000000"/>
          <w:sz w:val="24"/>
          <w:szCs w:val="24"/>
        </w:rPr>
        <w:t>inflācija pēc izcelsmes avota, %</w:t>
      </w:r>
    </w:p>
    <w:p w:rsidR="000410B5" w:rsidRPr="000410B5" w:rsidRDefault="000410B5" w:rsidP="000410B5">
      <w:pPr>
        <w:spacing w:after="120" w:line="240" w:lineRule="auto"/>
        <w:ind w:firstLine="709"/>
        <w:jc w:val="both"/>
        <w:rPr>
          <w:rFonts w:ascii="Times New Roman" w:hAnsi="Times New Roman" w:cs="Times New Roman"/>
          <w:sz w:val="24"/>
          <w:szCs w:val="24"/>
        </w:rPr>
      </w:pPr>
      <w:r w:rsidRPr="000410B5">
        <w:rPr>
          <w:rFonts w:ascii="Times New Roman" w:hAnsi="Times New Roman" w:cs="Times New Roman"/>
          <w:sz w:val="24"/>
          <w:szCs w:val="24"/>
        </w:rPr>
        <w:lastRenderedPageBreak/>
        <w:t xml:space="preserve">Pēc neliela inflācijas palēninājuma 2018.gada nogalē, kad patēriņa cenu kāpums decembrī, salīdzinot ar iepriekšējiem mēnešiem, piebremzējās un sasniedza 2,6% gada griezumā, mājsaimniecību patēriņa cenu pieaugums 2019.gada janvārī atkal paātrinājās, sasniedzot 3,0% salīdzinājumā ar 2018.gada attiecīgo mēnesi. Atšķirībā no iepriekšējā gadā patēriņa cenas ietekmējošiem faktoriem, 2019.gada janvārī būtiski paātrinājās ar mājokļa uzturēšanu saistīto preču un pakalpojumu cenu kāpums, īpaši strauji auga komunālo pakalpojumu cenas. Šo preču un pakalpojumu cenu kāpums izskaidro 1 procentpunktu no janvāra inflācijas. Papildus tam, patēriņa cenu pieaugumu ietekmēja arī alkoholisko dzērienu, tabakas izstrādājumu un pārtikas cenu kāpums. </w:t>
      </w:r>
    </w:p>
    <w:p w:rsidR="000410B5" w:rsidRPr="000410B5" w:rsidRDefault="000410B5" w:rsidP="000410B5">
      <w:pPr>
        <w:spacing w:after="120" w:line="240" w:lineRule="auto"/>
        <w:ind w:firstLine="709"/>
        <w:jc w:val="both"/>
        <w:rPr>
          <w:rFonts w:ascii="Times New Roman" w:hAnsi="Times New Roman" w:cs="Times New Roman"/>
          <w:sz w:val="24"/>
          <w:szCs w:val="24"/>
        </w:rPr>
      </w:pPr>
      <w:r w:rsidRPr="000410B5">
        <w:rPr>
          <w:rFonts w:ascii="Times New Roman" w:hAnsi="Times New Roman" w:cs="Times New Roman"/>
          <w:color w:val="000000" w:themeColor="text1"/>
          <w:sz w:val="24"/>
          <w:szCs w:val="24"/>
          <w:shd w:val="clear" w:color="auto" w:fill="FFFFFF"/>
        </w:rPr>
        <w:t xml:space="preserve">Ar 2019.gada 1. janvāri spēkā ir stājušies jaunie divpakāpju dabasgāzes sadales sistēmas pakalpojumu tarifi, ieviešot fiksētu maksu par </w:t>
      </w:r>
      <w:proofErr w:type="spellStart"/>
      <w:r w:rsidRPr="000410B5">
        <w:rPr>
          <w:rFonts w:ascii="Times New Roman" w:hAnsi="Times New Roman" w:cs="Times New Roman"/>
          <w:color w:val="000000" w:themeColor="text1"/>
          <w:sz w:val="24"/>
          <w:szCs w:val="24"/>
          <w:shd w:val="clear" w:color="auto" w:fill="FFFFFF"/>
        </w:rPr>
        <w:t>pieslēgumu</w:t>
      </w:r>
      <w:proofErr w:type="spellEnd"/>
      <w:r w:rsidRPr="000410B5">
        <w:rPr>
          <w:rFonts w:ascii="Times New Roman" w:hAnsi="Times New Roman" w:cs="Times New Roman"/>
          <w:color w:val="000000" w:themeColor="text1"/>
          <w:sz w:val="24"/>
          <w:szCs w:val="24"/>
          <w:shd w:val="clear" w:color="auto" w:fill="FFFFFF"/>
        </w:rPr>
        <w:t xml:space="preserve"> atbilstoši </w:t>
      </w:r>
      <w:proofErr w:type="spellStart"/>
      <w:r w:rsidRPr="000410B5">
        <w:rPr>
          <w:rFonts w:ascii="Times New Roman" w:hAnsi="Times New Roman" w:cs="Times New Roman"/>
          <w:color w:val="000000" w:themeColor="text1"/>
          <w:sz w:val="24"/>
          <w:szCs w:val="24"/>
          <w:shd w:val="clear" w:color="auto" w:fill="FFFFFF"/>
        </w:rPr>
        <w:t>pieslēguma</w:t>
      </w:r>
      <w:proofErr w:type="spellEnd"/>
      <w:r w:rsidRPr="000410B5">
        <w:rPr>
          <w:rFonts w:ascii="Times New Roman" w:hAnsi="Times New Roman" w:cs="Times New Roman"/>
          <w:color w:val="000000" w:themeColor="text1"/>
          <w:sz w:val="24"/>
          <w:szCs w:val="24"/>
          <w:shd w:val="clear" w:color="auto" w:fill="FFFFFF"/>
        </w:rPr>
        <w:t xml:space="preserve"> atļautajai slodzei neatkarīgi no dabasgāzes patēriņa apjoma. Papildus tam, d</w:t>
      </w:r>
      <w:r w:rsidRPr="000410B5">
        <w:rPr>
          <w:rFonts w:ascii="Times New Roman" w:hAnsi="Times New Roman" w:cs="Times New Roman"/>
          <w:sz w:val="24"/>
          <w:szCs w:val="24"/>
        </w:rPr>
        <w:t xml:space="preserve">abasgāzes tarifu mājsaimniecībām pārskata divas reizes gadā (janvārī un jūlijā), un tas ir atkarīgs no iepriekšējo deviņu mēnešu mazuta un dīzeļdegvielas vidējās cenas naftas produktu biržās. Līdz ar to gāzes tarifu 2019.gadā pirmajā pusē vēl ietekmēs augstā naftas cena iepriekšējā gadā. Tādējādi, gāzes cena 2019.gada janvārī būtiski palielinājās, par 19,8% salīdzinot ar pērnā gada janvāri. </w:t>
      </w:r>
    </w:p>
    <w:p w:rsidR="000410B5" w:rsidRPr="000410B5" w:rsidRDefault="000410B5" w:rsidP="000410B5">
      <w:pPr>
        <w:spacing w:after="120" w:line="240" w:lineRule="auto"/>
        <w:ind w:firstLine="709"/>
        <w:jc w:val="both"/>
        <w:rPr>
          <w:rFonts w:ascii="Times New Roman" w:hAnsi="Times New Roman" w:cs="Times New Roman"/>
          <w:sz w:val="24"/>
          <w:szCs w:val="24"/>
        </w:rPr>
      </w:pPr>
      <w:r w:rsidRPr="000410B5">
        <w:rPr>
          <w:rFonts w:ascii="Times New Roman" w:hAnsi="Times New Roman" w:cs="Times New Roman"/>
          <w:sz w:val="24"/>
          <w:szCs w:val="24"/>
        </w:rPr>
        <w:t xml:space="preserve">2019.gada janvārī būtiski pieauga arī elektroenerģijas cena, kopumā par 8,2% gada griezumā. Kāpums ir saistīts ar to, ka 2018.gadā elektroenerģijas cena </w:t>
      </w:r>
      <w:r w:rsidRPr="000410B5">
        <w:rPr>
          <w:rFonts w:ascii="Times New Roman" w:hAnsi="Times New Roman" w:cs="Times New Roman"/>
          <w:i/>
          <w:sz w:val="24"/>
          <w:szCs w:val="24"/>
        </w:rPr>
        <w:t xml:space="preserve">Nord </w:t>
      </w:r>
      <w:proofErr w:type="spellStart"/>
      <w:r w:rsidRPr="000410B5">
        <w:rPr>
          <w:rFonts w:ascii="Times New Roman" w:hAnsi="Times New Roman" w:cs="Times New Roman"/>
          <w:i/>
          <w:sz w:val="24"/>
          <w:szCs w:val="24"/>
        </w:rPr>
        <w:t>Pool</w:t>
      </w:r>
      <w:proofErr w:type="spellEnd"/>
      <w:r w:rsidRPr="000410B5">
        <w:rPr>
          <w:rFonts w:ascii="Times New Roman" w:hAnsi="Times New Roman" w:cs="Times New Roman"/>
          <w:i/>
          <w:sz w:val="24"/>
          <w:szCs w:val="24"/>
        </w:rPr>
        <w:t xml:space="preserve"> </w:t>
      </w:r>
      <w:proofErr w:type="spellStart"/>
      <w:r w:rsidRPr="000410B5">
        <w:rPr>
          <w:rFonts w:ascii="Times New Roman" w:hAnsi="Times New Roman" w:cs="Times New Roman"/>
          <w:i/>
          <w:sz w:val="24"/>
          <w:szCs w:val="24"/>
        </w:rPr>
        <w:t>Spot</w:t>
      </w:r>
      <w:proofErr w:type="spellEnd"/>
      <w:r w:rsidRPr="000410B5">
        <w:rPr>
          <w:rFonts w:ascii="Times New Roman" w:hAnsi="Times New Roman" w:cs="Times New Roman"/>
          <w:sz w:val="24"/>
          <w:szCs w:val="24"/>
        </w:rPr>
        <w:t xml:space="preserve"> biržas ievērojami palielinājās (+44% salīdzinot ar 2017.gadu) un pērnā gada nogalē lielākajai daļai mājsaimniecību tika noslēgti jauni līgumi par elektroenerģijas piegādi 2019.gadam, kuros cena balstījās uz straujo elektroenerģijas cenu kāpumu biržā. </w:t>
      </w:r>
    </w:p>
    <w:p w:rsidR="000410B5" w:rsidRPr="000410B5" w:rsidRDefault="000410B5" w:rsidP="000410B5">
      <w:pPr>
        <w:spacing w:after="120" w:line="240" w:lineRule="auto"/>
        <w:ind w:firstLine="709"/>
        <w:jc w:val="both"/>
        <w:rPr>
          <w:rFonts w:ascii="Times New Roman" w:hAnsi="Times New Roman" w:cs="Times New Roman"/>
          <w:sz w:val="24"/>
          <w:szCs w:val="24"/>
        </w:rPr>
      </w:pPr>
      <w:r w:rsidRPr="000410B5">
        <w:rPr>
          <w:rFonts w:ascii="Times New Roman" w:hAnsi="Times New Roman" w:cs="Times New Roman"/>
          <w:sz w:val="24"/>
          <w:szCs w:val="24"/>
        </w:rPr>
        <w:t xml:space="preserve">No citiem komunālajiem pakalpojumiem vēl jāatzīmē ūdensapgādes pakalpojumu cenu kāpums par 13,8%, ko ietekmēja jaunie SIA “Rīgas ūdens” ūdenssaimniecības pakalpojumu tarifi un kuri stājās spēkā no 2018. gada 1.jūnija. Savukārt, atkritumu savākšanas pakalpojumu sadārdzinājumu par 16,1% noteica dabas resursa nodokļa likmes palielinājums no š.g. janvāra. </w:t>
      </w:r>
    </w:p>
    <w:p w:rsidR="000410B5" w:rsidRPr="000410B5" w:rsidRDefault="000410B5" w:rsidP="000410B5">
      <w:pPr>
        <w:spacing w:after="120" w:line="240" w:lineRule="auto"/>
        <w:ind w:firstLine="709"/>
        <w:jc w:val="both"/>
        <w:rPr>
          <w:rFonts w:ascii="Times New Roman" w:hAnsi="Times New Roman" w:cs="Times New Roman"/>
          <w:sz w:val="24"/>
          <w:szCs w:val="24"/>
        </w:rPr>
      </w:pPr>
      <w:r w:rsidRPr="000410B5">
        <w:rPr>
          <w:rFonts w:ascii="Times New Roman" w:hAnsi="Times New Roman" w:cs="Times New Roman"/>
          <w:sz w:val="24"/>
          <w:szCs w:val="24"/>
        </w:rPr>
        <w:t>Paaugstinošu ietekmi uz patēriņa cenām 2019.gada janvārī atstāja arī alkoholisko dzērienu un tabakas izstrādājumu cenu pieaugums attiecīgi par 6,6% un 9,9%, salīdzinot ar 2018.gada janvāri. Lielā mērā pieaugumu noteica akcīzes nodokļa likmes pacelšana vēl pagājušā gada martā alkoholiskajiem dzērieniem un jūlijā cigaretēm.</w:t>
      </w:r>
    </w:p>
    <w:p w:rsidR="000410B5" w:rsidRPr="000410B5" w:rsidRDefault="000410B5" w:rsidP="000410B5">
      <w:pPr>
        <w:spacing w:after="120" w:line="240" w:lineRule="auto"/>
        <w:ind w:firstLine="709"/>
        <w:jc w:val="both"/>
        <w:rPr>
          <w:rFonts w:ascii="Times New Roman" w:hAnsi="Times New Roman" w:cs="Times New Roman"/>
          <w:sz w:val="24"/>
          <w:szCs w:val="24"/>
        </w:rPr>
      </w:pPr>
      <w:r w:rsidRPr="000410B5">
        <w:rPr>
          <w:rFonts w:ascii="Times New Roman" w:hAnsi="Times New Roman" w:cs="Times New Roman"/>
          <w:sz w:val="24"/>
          <w:szCs w:val="24"/>
        </w:rPr>
        <w:t xml:space="preserve">Kā gaidīts, 2019.gada janvārī paātrinājies arī pārtikas cenu kāpums, salīdzinot ar 2018.gada vidējo. Ja iepriekšējā gadā pārtikas cenas palielinājās par 0,7%, tad š.g. janvārī pieaugums gada griezumā </w:t>
      </w:r>
      <w:r w:rsidRPr="000410B5">
        <w:rPr>
          <w:rFonts w:ascii="Times New Roman" w:hAnsi="Times New Roman" w:cs="Times New Roman"/>
          <w:color w:val="000000" w:themeColor="text1"/>
          <w:sz w:val="24"/>
          <w:szCs w:val="24"/>
        </w:rPr>
        <w:t xml:space="preserve">veidoja jau 1,4%, ko lielā mērā noteica straujāks maizes, liellopu gaļas un svaigo dārzeņu cenu pieaugums. </w:t>
      </w:r>
      <w:r w:rsidRPr="000410B5">
        <w:rPr>
          <w:rFonts w:ascii="Times New Roman" w:hAnsi="Times New Roman" w:cs="Times New Roman"/>
          <w:sz w:val="24"/>
          <w:szCs w:val="24"/>
        </w:rPr>
        <w:t xml:space="preserve">Netipiski sausie laika apstākļi pērnā gada vasarā ne tikai Latvijā, bet arī Eiropas valstīs un Krievijā negatīvi ietekmēja novāktās graudaugu ražas apjomu, līdz ar to būtiski samazinot piedāvājumu pasaules tirgos. Tā rezultātā graudaugi samērā būtiski sadārdzinājās gan Eiropā, gan arī pārējos pasaules reģionos. Maizes cena Latvijā š.g. janvārī bija par 11,0% augstāka, salīdzinot ar iepriekšējā gada attiecīgo mēnesi. </w:t>
      </w:r>
    </w:p>
    <w:p w:rsidR="003E684C" w:rsidRPr="000410B5" w:rsidRDefault="000410B5" w:rsidP="000410B5">
      <w:pPr>
        <w:spacing w:after="120" w:line="240" w:lineRule="auto"/>
        <w:ind w:firstLine="709"/>
        <w:jc w:val="both"/>
        <w:rPr>
          <w:rFonts w:ascii="Times New Roman" w:eastAsia="Times New Roman" w:hAnsi="Times New Roman" w:cs="Times New Roman"/>
          <w:sz w:val="24"/>
          <w:szCs w:val="24"/>
        </w:rPr>
      </w:pPr>
      <w:r w:rsidRPr="000410B5">
        <w:rPr>
          <w:rFonts w:ascii="Times New Roman" w:hAnsi="Times New Roman" w:cs="Times New Roman"/>
          <w:sz w:val="24"/>
          <w:szCs w:val="24"/>
        </w:rPr>
        <w:t>Cenu kāpums ir fiksēts arī tādiem pakalpojumiem kā veselības aprūpe, izglītība, restorānu un atpūtas pakalpojumi, un to lielā mērā nosaka augstais nodarbinātības līmenis un augošā darba samaksa.</w:t>
      </w:r>
    </w:p>
    <w:p w:rsidR="000410B5" w:rsidRPr="000410B5" w:rsidRDefault="000410B5" w:rsidP="00057613">
      <w:pPr>
        <w:spacing w:after="120" w:line="240" w:lineRule="auto"/>
        <w:jc w:val="both"/>
        <w:rPr>
          <w:rFonts w:ascii="Times New Roman" w:eastAsia="Times New Roman" w:hAnsi="Times New Roman" w:cs="Times New Roman"/>
          <w:sz w:val="24"/>
          <w:szCs w:val="24"/>
        </w:rPr>
      </w:pPr>
    </w:p>
    <w:p w:rsidR="00001C00" w:rsidRPr="00906834" w:rsidRDefault="00614DB4" w:rsidP="00906834">
      <w:pPr>
        <w:pStyle w:val="Heading2"/>
        <w:jc w:val="center"/>
        <w:rPr>
          <w:rFonts w:ascii="Times New Roman" w:hAnsi="Times New Roman" w:cs="Times New Roman"/>
          <w:b/>
          <w:color w:val="auto"/>
          <w:sz w:val="36"/>
          <w:szCs w:val="36"/>
        </w:rPr>
      </w:pPr>
      <w:r w:rsidRPr="00906834">
        <w:rPr>
          <w:rFonts w:ascii="Times New Roman" w:hAnsi="Times New Roman" w:cs="Times New Roman"/>
          <w:b/>
          <w:color w:val="auto"/>
          <w:sz w:val="36"/>
          <w:szCs w:val="36"/>
        </w:rPr>
        <w:t>1.</w:t>
      </w:r>
      <w:r w:rsidR="00F06256" w:rsidRPr="00906834">
        <w:rPr>
          <w:rFonts w:ascii="Times New Roman" w:hAnsi="Times New Roman" w:cs="Times New Roman"/>
          <w:b/>
          <w:color w:val="auto"/>
          <w:sz w:val="36"/>
          <w:szCs w:val="36"/>
        </w:rPr>
        <w:t>3</w:t>
      </w:r>
      <w:r w:rsidRPr="00906834">
        <w:rPr>
          <w:rFonts w:ascii="Times New Roman" w:hAnsi="Times New Roman" w:cs="Times New Roman"/>
          <w:b/>
          <w:color w:val="auto"/>
          <w:sz w:val="36"/>
          <w:szCs w:val="36"/>
        </w:rPr>
        <w:t xml:space="preserve">. </w:t>
      </w:r>
      <w:r w:rsidR="00001C00" w:rsidRPr="00906834">
        <w:rPr>
          <w:rFonts w:ascii="Times New Roman" w:hAnsi="Times New Roman" w:cs="Times New Roman"/>
          <w:b/>
          <w:color w:val="auto"/>
          <w:sz w:val="36"/>
          <w:szCs w:val="36"/>
        </w:rPr>
        <w:t>Makroekonomisko nelīdzsvarotību uzraudzība ES</w:t>
      </w:r>
    </w:p>
    <w:p w:rsidR="00C74F53" w:rsidRDefault="00C74F53" w:rsidP="00726C72">
      <w:pPr>
        <w:spacing w:after="0" w:line="240" w:lineRule="auto"/>
        <w:jc w:val="both"/>
        <w:rPr>
          <w:rFonts w:ascii="Times New Roman" w:hAnsi="Times New Roman" w:cs="Times New Roman"/>
          <w:bCs/>
          <w:sz w:val="24"/>
          <w:szCs w:val="24"/>
        </w:rPr>
      </w:pPr>
    </w:p>
    <w:p w:rsidR="000410B5" w:rsidRPr="00707C80" w:rsidRDefault="000410B5" w:rsidP="00707C80">
      <w:pPr>
        <w:spacing w:after="120" w:line="240" w:lineRule="auto"/>
        <w:ind w:firstLine="709"/>
        <w:jc w:val="both"/>
        <w:rPr>
          <w:rFonts w:ascii="Times New Roman" w:hAnsi="Times New Roman" w:cs="Times New Roman"/>
          <w:bCs/>
          <w:sz w:val="24"/>
          <w:szCs w:val="24"/>
        </w:rPr>
      </w:pPr>
      <w:r w:rsidRPr="00707C80">
        <w:rPr>
          <w:rFonts w:ascii="Times New Roman" w:hAnsi="Times New Roman" w:cs="Times New Roman"/>
          <w:sz w:val="24"/>
          <w:szCs w:val="24"/>
        </w:rPr>
        <w:t xml:space="preserve">Viens no ES pamatmērķiem ir dalībvalstu ilgtspējīgas ekonomiskās izaugsmes veicināšana. Lai nodrošinātu savlaicīgu makroekonomisko risku identificēšanu un pārvaldi 2011.gada 16.novembrī Eiropas Parlaments un Eiropas Padome pieņēma divas regulas – par to, kā novērst un koriģēt makroekonomisko nelīdzsvarotību (regula Nr.1176/2011), un regulu par </w:t>
      </w:r>
      <w:r w:rsidRPr="00707C80">
        <w:rPr>
          <w:rFonts w:ascii="Times New Roman" w:hAnsi="Times New Roman" w:cs="Times New Roman"/>
          <w:sz w:val="24"/>
          <w:szCs w:val="24"/>
        </w:rPr>
        <w:lastRenderedPageBreak/>
        <w:t xml:space="preserve">izpildes pasākumiem pārmērīgas makroekonomiskās nelīdzsvarotības koriģēšanai </w:t>
      </w:r>
      <w:proofErr w:type="spellStart"/>
      <w:r w:rsidRPr="00707C80">
        <w:rPr>
          <w:rFonts w:ascii="Times New Roman" w:hAnsi="Times New Roman" w:cs="Times New Roman"/>
          <w:sz w:val="24"/>
          <w:szCs w:val="24"/>
        </w:rPr>
        <w:t>eirozonā</w:t>
      </w:r>
      <w:proofErr w:type="spellEnd"/>
      <w:r w:rsidRPr="00707C80">
        <w:rPr>
          <w:rFonts w:ascii="Times New Roman" w:hAnsi="Times New Roman" w:cs="Times New Roman"/>
          <w:sz w:val="24"/>
          <w:szCs w:val="24"/>
        </w:rPr>
        <w:t xml:space="preserve"> (Nr.1174/2011</w:t>
      </w:r>
      <w:r w:rsidRPr="00707C80">
        <w:rPr>
          <w:rFonts w:ascii="Times New Roman" w:hAnsi="Times New Roman" w:cs="Times New Roman"/>
          <w:bCs/>
          <w:sz w:val="24"/>
          <w:szCs w:val="24"/>
        </w:rPr>
        <w:t>).</w:t>
      </w:r>
      <w:r w:rsidRPr="00707C80">
        <w:rPr>
          <w:rFonts w:ascii="Times New Roman" w:hAnsi="Times New Roman" w:cs="Times New Roman"/>
          <w:bCs/>
          <w:sz w:val="24"/>
          <w:szCs w:val="24"/>
          <w:vertAlign w:val="superscript"/>
        </w:rPr>
        <w:footnoteReference w:id="4"/>
      </w:r>
      <w:r w:rsidRPr="00707C80">
        <w:rPr>
          <w:rFonts w:ascii="Times New Roman" w:hAnsi="Times New Roman" w:cs="Times New Roman"/>
          <w:bCs/>
          <w:sz w:val="24"/>
          <w:szCs w:val="24"/>
        </w:rPr>
        <w:t xml:space="preserve"> </w:t>
      </w:r>
    </w:p>
    <w:p w:rsidR="000410B5" w:rsidRPr="00707C80" w:rsidRDefault="000410B5" w:rsidP="00707C80">
      <w:pPr>
        <w:spacing w:after="120" w:line="240" w:lineRule="auto"/>
        <w:ind w:firstLine="709"/>
        <w:jc w:val="both"/>
        <w:rPr>
          <w:rFonts w:ascii="Times New Roman" w:hAnsi="Times New Roman" w:cs="Times New Roman"/>
          <w:sz w:val="24"/>
          <w:szCs w:val="24"/>
        </w:rPr>
      </w:pPr>
      <w:r w:rsidRPr="00707C80">
        <w:rPr>
          <w:rFonts w:ascii="Times New Roman" w:hAnsi="Times New Roman" w:cs="Times New Roman"/>
          <w:sz w:val="24"/>
          <w:szCs w:val="24"/>
        </w:rPr>
        <w:t xml:space="preserve">Procedūras izstrādes mērķis bija ne tikai stiprināt Stabilitātes un izaugsmes </w:t>
      </w:r>
      <w:proofErr w:type="spellStart"/>
      <w:r w:rsidRPr="00707C80">
        <w:rPr>
          <w:rFonts w:ascii="Times New Roman" w:hAnsi="Times New Roman" w:cs="Times New Roman"/>
          <w:sz w:val="24"/>
          <w:szCs w:val="24"/>
        </w:rPr>
        <w:t>pakta</w:t>
      </w:r>
      <w:proofErr w:type="spellEnd"/>
      <w:r w:rsidRPr="00707C80">
        <w:rPr>
          <w:rFonts w:ascii="Times New Roman" w:hAnsi="Times New Roman" w:cs="Times New Roman"/>
          <w:sz w:val="24"/>
          <w:szCs w:val="24"/>
        </w:rPr>
        <w:t xml:space="preserve"> funkcionēšanu, bet papildus budžeta uzraudzībai, paplašināt fiskālo un makroekonomisko nelīdzsvarotību uzraudzību un īstenot to efektīvu vadību ES dalībvalstīs. Regulu ietvaros tika atrunāta jaunā makroekonomikas uzraudzības un nesabalansētību identificēšanas kārtība, kā arī iespējamo finanšu sankciju kārtība, kas varētu tikt piemērota dalībvalstīm, kurās makroekonomiskā disciplīna netiek ievērota.</w:t>
      </w:r>
    </w:p>
    <w:p w:rsidR="000410B5" w:rsidRPr="00707C80" w:rsidRDefault="000410B5" w:rsidP="00707C80">
      <w:pPr>
        <w:pStyle w:val="Heading3"/>
        <w:spacing w:before="0" w:after="120" w:line="240" w:lineRule="auto"/>
        <w:ind w:firstLine="709"/>
        <w:jc w:val="both"/>
        <w:rPr>
          <w:rFonts w:ascii="Times New Roman" w:hAnsi="Times New Roman" w:cs="Times New Roman"/>
          <w:color w:val="auto"/>
        </w:rPr>
      </w:pPr>
      <w:r w:rsidRPr="00707C80">
        <w:rPr>
          <w:rFonts w:ascii="Times New Roman" w:hAnsi="Times New Roman" w:cs="Times New Roman"/>
          <w:color w:val="auto"/>
        </w:rPr>
        <w:t>Finanšu sankcijas paredz noteiktu ikgadēju soda naudu vai procentus nesošu depozītu, kas ir 0,1% no attiecīgās dalībvalsts iepriekšējā gada IKP. Neraugoties uz to, ka makroekonomiskās nesabalansētības procedūras ietvaros ir atrunātas iespējamās finanšu sankcijas, praksē ne vienai no dalībvalstīm tās līdz šim netika piemērotas.</w:t>
      </w:r>
    </w:p>
    <w:p w:rsidR="000410B5" w:rsidRPr="00707C80" w:rsidRDefault="000410B5" w:rsidP="00707C80">
      <w:pPr>
        <w:pStyle w:val="Heading3"/>
        <w:rPr>
          <w:rFonts w:ascii="Times New Roman" w:hAnsi="Times New Roman" w:cs="Times New Roman"/>
        </w:rPr>
      </w:pPr>
    </w:p>
    <w:p w:rsidR="00C94F4C" w:rsidRDefault="00726C72" w:rsidP="00057613">
      <w:pPr>
        <w:pStyle w:val="Heading3"/>
        <w:jc w:val="center"/>
        <w:rPr>
          <w:rFonts w:ascii="Times New Roman" w:hAnsi="Times New Roman" w:cs="Times New Roman"/>
          <w:b/>
          <w:color w:val="auto"/>
          <w:sz w:val="28"/>
          <w:szCs w:val="28"/>
        </w:rPr>
      </w:pPr>
      <w:r w:rsidRPr="00726C72">
        <w:rPr>
          <w:rFonts w:ascii="Times New Roman" w:hAnsi="Times New Roman" w:cs="Times New Roman"/>
          <w:b/>
          <w:color w:val="auto"/>
          <w:sz w:val="28"/>
          <w:szCs w:val="28"/>
        </w:rPr>
        <w:t>1.3.1. Makroekonomikas nesabalansētību identificēšanas un pārvaldes posmi</w:t>
      </w:r>
    </w:p>
    <w:p w:rsidR="00057613" w:rsidRPr="00057613" w:rsidRDefault="00057613" w:rsidP="00057613"/>
    <w:p w:rsidR="00707C80" w:rsidRPr="00707C80" w:rsidRDefault="00707C80" w:rsidP="00707C80">
      <w:pPr>
        <w:spacing w:after="120" w:line="240" w:lineRule="auto"/>
        <w:ind w:firstLine="709"/>
        <w:jc w:val="both"/>
        <w:rPr>
          <w:rFonts w:ascii="Times New Roman" w:hAnsi="Times New Roman" w:cs="Times New Roman"/>
          <w:sz w:val="24"/>
          <w:szCs w:val="24"/>
        </w:rPr>
      </w:pPr>
      <w:r w:rsidRPr="00707C80">
        <w:rPr>
          <w:rFonts w:ascii="Times New Roman" w:hAnsi="Times New Roman" w:cs="Times New Roman"/>
          <w:sz w:val="24"/>
          <w:szCs w:val="24"/>
        </w:rPr>
        <w:t>Agrās brīdināšanas mehānisma ziņojums tiek publicēts tekošā gada novembrī, kas ir arī sākums jaunam makroekonomiskās nesabalansētības uzraudzības ciklam. Tādējādi, sagatavojot 2019.gada budžeta paskaidrojumus, tiek izmantots “Agrās brīdināšanas mehānisma ziņojums 2019” (AMR2019), kurš tika publicēts 2018.gada 21.novembrī. Ziņojumu izstrādē tiek lietoti statistikas dati ar divu gadu nobīdi, attiecīgi 2019.gada Agrās brīdināšanas mehānisma ziņojums balstās uz 2017.gada statistikas datiem.</w:t>
      </w:r>
    </w:p>
    <w:p w:rsidR="00707C80" w:rsidRPr="00707C80" w:rsidRDefault="00707C80" w:rsidP="00707C80">
      <w:pPr>
        <w:spacing w:after="120" w:line="240" w:lineRule="auto"/>
        <w:ind w:firstLine="709"/>
        <w:jc w:val="both"/>
        <w:rPr>
          <w:rFonts w:ascii="Times New Roman" w:hAnsi="Times New Roman" w:cs="Times New Roman"/>
          <w:sz w:val="24"/>
          <w:szCs w:val="24"/>
        </w:rPr>
      </w:pPr>
      <w:r w:rsidRPr="00707C80">
        <w:rPr>
          <w:rFonts w:ascii="Times New Roman" w:hAnsi="Times New Roman" w:cs="Times New Roman"/>
          <w:sz w:val="24"/>
          <w:szCs w:val="24"/>
        </w:rPr>
        <w:t xml:space="preserve">Ziņojuma pamatā ir divas rādītāju grupas – 14 pamata rādītāji un 28 papildinoši rādītāji. Pamata rādītājiem ir definēti </w:t>
      </w:r>
      <w:proofErr w:type="spellStart"/>
      <w:r w:rsidRPr="00707C80">
        <w:rPr>
          <w:rFonts w:ascii="Times New Roman" w:hAnsi="Times New Roman" w:cs="Times New Roman"/>
          <w:sz w:val="24"/>
          <w:szCs w:val="24"/>
        </w:rPr>
        <w:t>mērķlīmeņi</w:t>
      </w:r>
      <w:proofErr w:type="spellEnd"/>
      <w:r w:rsidRPr="00707C80">
        <w:rPr>
          <w:rFonts w:ascii="Times New Roman" w:hAnsi="Times New Roman" w:cs="Times New Roman"/>
          <w:sz w:val="24"/>
          <w:szCs w:val="24"/>
        </w:rPr>
        <w:t xml:space="preserve"> jeb pieļaujamās robežas, kuru pārsniegšana var iniciēt Padziļinātās izpētes ziņojuma (IDR) izstrādi par attiecīgo dalībvalsti. Lēmums par attiecīgās valsts ekonomikas padziļinātās izpētes procedūras uzsākšanu var tikt pieņemts pamatojoties uz izvērstu, fundamentālu ekonomiskās situācijas un saistīto risku analīzi, kā arī ņemot vērā rādītāju sagaidāmo dinamiku. Automātiska padziļinātās izpētes procedūras uzsākšana, pamatojoties vienīgi uz tehnisku dažu rādītāju noteikto robežvērtību pārsniegšanu, netiek praktizēta. Pamata rādītāju tabula (</w:t>
      </w:r>
      <w:proofErr w:type="spellStart"/>
      <w:r w:rsidRPr="00707C80">
        <w:rPr>
          <w:rFonts w:ascii="Times New Roman" w:hAnsi="Times New Roman" w:cs="Times New Roman"/>
          <w:i/>
          <w:sz w:val="24"/>
          <w:szCs w:val="24"/>
        </w:rPr>
        <w:t>scoreboard</w:t>
      </w:r>
      <w:proofErr w:type="spellEnd"/>
      <w:r w:rsidRPr="00707C80">
        <w:rPr>
          <w:rFonts w:ascii="Times New Roman" w:hAnsi="Times New Roman" w:cs="Times New Roman"/>
          <w:sz w:val="24"/>
          <w:szCs w:val="24"/>
        </w:rPr>
        <w:t>) ietver šādus rādītājus:</w:t>
      </w:r>
    </w:p>
    <w:p w:rsidR="00707C80" w:rsidRPr="00707C80" w:rsidRDefault="00707C80" w:rsidP="00707C80">
      <w:pPr>
        <w:pStyle w:val="ListParagraph"/>
        <w:numPr>
          <w:ilvl w:val="0"/>
          <w:numId w:val="20"/>
        </w:numPr>
        <w:spacing w:after="120"/>
        <w:ind w:left="992" w:hanging="425"/>
        <w:contextualSpacing/>
      </w:pPr>
      <w:r w:rsidRPr="00707C80">
        <w:t>Tekošā konta bilance, % no IKP, 3 gadu vidējais rādītājs</w:t>
      </w:r>
    </w:p>
    <w:p w:rsidR="00707C80" w:rsidRPr="00707C80" w:rsidRDefault="00707C80" w:rsidP="00707C80">
      <w:pPr>
        <w:pStyle w:val="ListParagraph"/>
        <w:numPr>
          <w:ilvl w:val="0"/>
          <w:numId w:val="20"/>
        </w:numPr>
        <w:spacing w:after="120"/>
        <w:ind w:left="992" w:hanging="425"/>
        <w:contextualSpacing/>
      </w:pPr>
      <w:r w:rsidRPr="00707C80">
        <w:t>Neto starptautisko investīciju pozīcija, % no IKP</w:t>
      </w:r>
    </w:p>
    <w:p w:rsidR="00707C80" w:rsidRPr="00707C80" w:rsidRDefault="00707C80" w:rsidP="00707C80">
      <w:pPr>
        <w:pStyle w:val="ListParagraph"/>
        <w:numPr>
          <w:ilvl w:val="0"/>
          <w:numId w:val="20"/>
        </w:numPr>
        <w:spacing w:after="120"/>
        <w:ind w:left="992" w:hanging="425"/>
        <w:contextualSpacing/>
      </w:pPr>
      <w:r w:rsidRPr="00707C80">
        <w:t xml:space="preserve">Reālais efektīvais valūtas kurss (HICP </w:t>
      </w:r>
      <w:proofErr w:type="spellStart"/>
      <w:r w:rsidRPr="00707C80">
        <w:t>deflators</w:t>
      </w:r>
      <w:proofErr w:type="spellEnd"/>
      <w:r w:rsidRPr="00707C80">
        <w:t>), 3 gadu % izmaiņas</w:t>
      </w:r>
    </w:p>
    <w:p w:rsidR="00707C80" w:rsidRPr="00707C80" w:rsidRDefault="00707C80" w:rsidP="00707C80">
      <w:pPr>
        <w:pStyle w:val="ListParagraph"/>
        <w:numPr>
          <w:ilvl w:val="0"/>
          <w:numId w:val="20"/>
        </w:numPr>
        <w:spacing w:after="120"/>
        <w:ind w:left="992" w:hanging="425"/>
        <w:contextualSpacing/>
      </w:pPr>
      <w:r w:rsidRPr="00707C80">
        <w:t>Eksporta tirgus daļa, % no pasaules eksporta, 5 gadu % izmaiņas</w:t>
      </w:r>
    </w:p>
    <w:p w:rsidR="00707C80" w:rsidRPr="00707C80" w:rsidRDefault="00707C80" w:rsidP="00707C80">
      <w:pPr>
        <w:pStyle w:val="ListParagraph"/>
        <w:numPr>
          <w:ilvl w:val="0"/>
          <w:numId w:val="20"/>
        </w:numPr>
        <w:spacing w:after="120"/>
        <w:ind w:left="992" w:hanging="425"/>
        <w:contextualSpacing/>
      </w:pPr>
      <w:r w:rsidRPr="00707C80">
        <w:t>Nominālā darbaspēka vienības izmaksu indekss, 3 gadu % izmaiņas, (2010=100)</w:t>
      </w:r>
    </w:p>
    <w:p w:rsidR="00707C80" w:rsidRPr="00707C80" w:rsidRDefault="00707C80" w:rsidP="00707C80">
      <w:pPr>
        <w:pStyle w:val="ListParagraph"/>
        <w:numPr>
          <w:ilvl w:val="0"/>
          <w:numId w:val="20"/>
        </w:numPr>
        <w:spacing w:after="120"/>
        <w:ind w:left="992" w:hanging="425"/>
        <w:contextualSpacing/>
      </w:pPr>
      <w:r w:rsidRPr="00707C80">
        <w:t xml:space="preserve">Mājokļu cenu indekss (2010=100), gada % izmaiņas </w:t>
      </w:r>
    </w:p>
    <w:p w:rsidR="00707C80" w:rsidRPr="00707C80" w:rsidRDefault="00707C80" w:rsidP="00707C80">
      <w:pPr>
        <w:pStyle w:val="ListParagraph"/>
        <w:numPr>
          <w:ilvl w:val="0"/>
          <w:numId w:val="20"/>
        </w:numPr>
        <w:spacing w:after="120"/>
        <w:ind w:left="992" w:hanging="425"/>
        <w:contextualSpacing/>
      </w:pPr>
      <w:r w:rsidRPr="00707C80">
        <w:t xml:space="preserve">Privātā sektora konsolidētā </w:t>
      </w:r>
      <w:proofErr w:type="spellStart"/>
      <w:r w:rsidRPr="00707C80">
        <w:t>kredītplūsma</w:t>
      </w:r>
      <w:proofErr w:type="spellEnd"/>
      <w:r w:rsidRPr="00707C80">
        <w:t xml:space="preserve">, % no IKP </w:t>
      </w:r>
    </w:p>
    <w:p w:rsidR="00707C80" w:rsidRPr="00707C80" w:rsidRDefault="00707C80" w:rsidP="00707C80">
      <w:pPr>
        <w:pStyle w:val="ListParagraph"/>
        <w:numPr>
          <w:ilvl w:val="0"/>
          <w:numId w:val="20"/>
        </w:numPr>
        <w:spacing w:after="120"/>
        <w:ind w:left="992" w:hanging="425"/>
        <w:contextualSpacing/>
      </w:pPr>
      <w:r w:rsidRPr="00707C80">
        <w:t>Privātā sektora konsolidētais parāds, % no IKP</w:t>
      </w:r>
    </w:p>
    <w:p w:rsidR="00707C80" w:rsidRPr="00707C80" w:rsidRDefault="00707C80" w:rsidP="00707C80">
      <w:pPr>
        <w:pStyle w:val="ListParagraph"/>
        <w:numPr>
          <w:ilvl w:val="0"/>
          <w:numId w:val="20"/>
        </w:numPr>
        <w:spacing w:after="120"/>
        <w:ind w:left="992" w:hanging="425"/>
        <w:contextualSpacing/>
      </w:pPr>
      <w:r w:rsidRPr="00707C80">
        <w:t>Vispārējās valdības sektora parāds, % no IKP</w:t>
      </w:r>
    </w:p>
    <w:p w:rsidR="00707C80" w:rsidRPr="00707C80" w:rsidRDefault="00707C80" w:rsidP="00707C80">
      <w:pPr>
        <w:pStyle w:val="ListParagraph"/>
        <w:numPr>
          <w:ilvl w:val="0"/>
          <w:numId w:val="20"/>
        </w:numPr>
        <w:spacing w:after="120"/>
        <w:ind w:left="992" w:hanging="425"/>
        <w:contextualSpacing/>
      </w:pPr>
      <w:r w:rsidRPr="00707C80">
        <w:t>Bezdarba līmenis, 3 gadu vidējais</w:t>
      </w:r>
    </w:p>
    <w:p w:rsidR="00707C80" w:rsidRPr="00707C80" w:rsidRDefault="00707C80" w:rsidP="00707C80">
      <w:pPr>
        <w:pStyle w:val="ListParagraph"/>
        <w:numPr>
          <w:ilvl w:val="0"/>
          <w:numId w:val="20"/>
        </w:numPr>
        <w:spacing w:after="120"/>
        <w:ind w:left="992" w:hanging="425"/>
        <w:contextualSpacing/>
      </w:pPr>
      <w:r w:rsidRPr="00707C80">
        <w:t>Finanšu sektora nekonsolidētās saistības, 1 gada % izmaiņas</w:t>
      </w:r>
    </w:p>
    <w:p w:rsidR="00707C80" w:rsidRPr="00707C80" w:rsidRDefault="00707C80" w:rsidP="00707C80">
      <w:pPr>
        <w:pStyle w:val="ListParagraph"/>
        <w:numPr>
          <w:ilvl w:val="0"/>
          <w:numId w:val="20"/>
        </w:numPr>
        <w:spacing w:after="120"/>
        <w:ind w:left="992" w:hanging="425"/>
        <w:contextualSpacing/>
      </w:pPr>
      <w:r w:rsidRPr="00707C80">
        <w:t>Iedzīvotāju ekonomiskās aktivitātes līmenis – 3 gadu izmaiņas procentu punktos no visiem iedzīvotājiem vecuma grupā no 15 līdz 64 gadiem</w:t>
      </w:r>
    </w:p>
    <w:p w:rsidR="00707C80" w:rsidRPr="00707C80" w:rsidRDefault="00707C80" w:rsidP="00707C80">
      <w:pPr>
        <w:pStyle w:val="ListParagraph"/>
        <w:numPr>
          <w:ilvl w:val="0"/>
          <w:numId w:val="20"/>
        </w:numPr>
        <w:spacing w:after="120"/>
        <w:ind w:left="992" w:hanging="425"/>
        <w:contextualSpacing/>
      </w:pPr>
      <w:r w:rsidRPr="00707C80">
        <w:lastRenderedPageBreak/>
        <w:t>Ilgtermiņa bezdarba līmenis – 3 gadu izmaiņas procentu punktos no ekonomiski aktīvajiem iedzīvotājiem vecuma grupā no 15 līdz 74 gadiem</w:t>
      </w:r>
    </w:p>
    <w:p w:rsidR="00707C80" w:rsidRPr="00707C80" w:rsidRDefault="00707C80" w:rsidP="00707C80">
      <w:pPr>
        <w:pStyle w:val="ListParagraph"/>
        <w:numPr>
          <w:ilvl w:val="0"/>
          <w:numId w:val="20"/>
        </w:numPr>
        <w:spacing w:after="120"/>
        <w:ind w:left="992" w:hanging="425"/>
        <w:contextualSpacing/>
      </w:pPr>
      <w:r w:rsidRPr="00707C80">
        <w:t xml:space="preserve">Jauniešu bezdarba līmenis – 3 gadu izmaiņas procentu punktos no ekonomiski aktīvajiem iedzīvotājiem vecuma grupā no 15 līdz 24 gadiem </w:t>
      </w:r>
    </w:p>
    <w:p w:rsidR="00707C80" w:rsidRPr="00707C80" w:rsidRDefault="00707C80" w:rsidP="00707C80">
      <w:pPr>
        <w:spacing w:after="120" w:line="240" w:lineRule="auto"/>
        <w:jc w:val="both"/>
        <w:rPr>
          <w:rFonts w:ascii="Times New Roman" w:hAnsi="Times New Roman" w:cs="Times New Roman"/>
          <w:sz w:val="24"/>
          <w:szCs w:val="24"/>
        </w:rPr>
      </w:pPr>
      <w:r w:rsidRPr="00707C80">
        <w:rPr>
          <w:rFonts w:ascii="Times New Roman" w:hAnsi="Times New Roman" w:cs="Times New Roman"/>
          <w:sz w:val="24"/>
          <w:szCs w:val="24"/>
        </w:rPr>
        <w:t xml:space="preserve">Līdzīgi kā pamata rādītāju tehniskā neievērošana, arī </w:t>
      </w:r>
      <w:proofErr w:type="spellStart"/>
      <w:r w:rsidRPr="00707C80">
        <w:rPr>
          <w:rFonts w:ascii="Times New Roman" w:hAnsi="Times New Roman" w:cs="Times New Roman"/>
          <w:sz w:val="24"/>
          <w:szCs w:val="24"/>
        </w:rPr>
        <w:t>jaunieviesto</w:t>
      </w:r>
      <w:proofErr w:type="spellEnd"/>
      <w:r w:rsidRPr="00707C80">
        <w:rPr>
          <w:rFonts w:ascii="Times New Roman" w:hAnsi="Times New Roman" w:cs="Times New Roman"/>
          <w:sz w:val="24"/>
          <w:szCs w:val="24"/>
        </w:rPr>
        <w:t xml:space="preserve"> sociālo rādītāju robežvērtību tehniska neievērošana nevar kalpot par makroekonomiskās nesabalansētības fakta atzīšanu kādā no dalībvalstīm – šāds lēmums vienmēr tiek balstīts uz padziļinātu, vispārēju situācijas analīzi, ņemot vērā rādītāju dinamiku un attīstības perspektīvas.</w:t>
      </w:r>
    </w:p>
    <w:p w:rsidR="00726C72" w:rsidRPr="00707C80" w:rsidRDefault="00726C72" w:rsidP="00726C72">
      <w:pPr>
        <w:spacing w:after="0" w:line="240" w:lineRule="auto"/>
        <w:ind w:firstLine="709"/>
        <w:jc w:val="both"/>
        <w:rPr>
          <w:rFonts w:ascii="Times New Roman" w:eastAsia="Times New Roman" w:hAnsi="Times New Roman" w:cs="Times New Roman"/>
          <w:sz w:val="24"/>
          <w:szCs w:val="24"/>
        </w:rPr>
      </w:pPr>
    </w:p>
    <w:p w:rsidR="00726C72" w:rsidRPr="00C94F4C" w:rsidRDefault="00726C72" w:rsidP="00C94F4C">
      <w:pPr>
        <w:pStyle w:val="Heading3"/>
        <w:jc w:val="center"/>
        <w:rPr>
          <w:rFonts w:ascii="Times New Roman" w:eastAsia="Times New Roman" w:hAnsi="Times New Roman" w:cs="Times New Roman"/>
          <w:b/>
          <w:bCs/>
          <w:color w:val="auto"/>
          <w:kern w:val="32"/>
          <w:sz w:val="28"/>
          <w:szCs w:val="28"/>
        </w:rPr>
      </w:pPr>
      <w:r w:rsidRPr="00726C72">
        <w:rPr>
          <w:rFonts w:ascii="Times New Roman" w:eastAsia="Times New Roman" w:hAnsi="Times New Roman" w:cs="Times New Roman"/>
          <w:b/>
          <w:bCs/>
          <w:color w:val="auto"/>
          <w:kern w:val="32"/>
          <w:sz w:val="28"/>
          <w:szCs w:val="28"/>
        </w:rPr>
        <w:t>1.3.2. </w:t>
      </w:r>
      <w:r w:rsidR="00C94F4C" w:rsidRPr="00C94F4C">
        <w:rPr>
          <w:rFonts w:ascii="Times New Roman" w:eastAsia="Times New Roman" w:hAnsi="Times New Roman" w:cs="Times New Roman"/>
          <w:b/>
          <w:bCs/>
          <w:color w:val="auto"/>
          <w:kern w:val="32"/>
          <w:sz w:val="28"/>
          <w:szCs w:val="28"/>
        </w:rPr>
        <w:t>Pārmērīga makroekonomiskā nesabalansētība un Padziļināto izpētes ziņojumu izstrāde</w:t>
      </w:r>
    </w:p>
    <w:p w:rsidR="00726C72" w:rsidRPr="00726C72" w:rsidRDefault="00726C72" w:rsidP="00726C72">
      <w:pPr>
        <w:spacing w:after="120" w:line="240" w:lineRule="auto"/>
      </w:pPr>
    </w:p>
    <w:p w:rsidR="00707C80" w:rsidRPr="00707C80" w:rsidRDefault="00707C80" w:rsidP="00707C80">
      <w:pPr>
        <w:spacing w:after="120" w:line="240" w:lineRule="auto"/>
        <w:ind w:firstLine="709"/>
        <w:jc w:val="both"/>
        <w:rPr>
          <w:rFonts w:ascii="Times New Roman" w:hAnsi="Times New Roman" w:cs="Times New Roman"/>
          <w:sz w:val="24"/>
          <w:szCs w:val="24"/>
        </w:rPr>
      </w:pPr>
      <w:r w:rsidRPr="00707C80">
        <w:rPr>
          <w:rFonts w:ascii="Times New Roman" w:hAnsi="Times New Roman" w:cs="Times New Roman"/>
          <w:sz w:val="24"/>
          <w:szCs w:val="24"/>
        </w:rPr>
        <w:t>2019.gada Agrās Brīdināšanas mehānisma ziņojumā ietvertas 13 ES dalībvalstis (iepriekšējā gadā tika vērtētas – 12 valstis). Agrās brīdināšanas mehānisma ziņojums tiek publicēts jau astoto gadu. Sākot no 2016. gada, to valstu skaits, kurām veica padziļināto izpēti ik gadu samazinās. Pārmaiņu pamatā ir novērotais progress nesabalansētības mazināšanā. Kopš Agrās Brīdināšanas mehānisma ieviešanas Latvijā makroekonomiskās nesabalansētības nav konstatētas un par Latviju nav tikusi veikta padziļinātā izpēte.</w:t>
      </w:r>
    </w:p>
    <w:p w:rsidR="00707C80" w:rsidRDefault="00707C80" w:rsidP="00707C80">
      <w:pPr>
        <w:rPr>
          <w:rFonts w:cs="Times New Roman"/>
          <w:szCs w:val="24"/>
        </w:rPr>
      </w:pPr>
      <w:r>
        <w:rPr>
          <w:noProof/>
          <w:lang w:eastAsia="lv-LV"/>
        </w:rPr>
        <w:drawing>
          <wp:inline distT="0" distB="0" distL="0" distR="0" wp14:anchorId="5D1D9C4E" wp14:editId="54024A8E">
            <wp:extent cx="6257290" cy="4093535"/>
            <wp:effectExtent l="0" t="0" r="0" b="25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07C80" w:rsidRPr="00707C80" w:rsidRDefault="00707C80" w:rsidP="00707C80">
      <w:pPr>
        <w:spacing w:after="120" w:line="240" w:lineRule="auto"/>
        <w:ind w:firstLine="709"/>
        <w:jc w:val="center"/>
        <w:rPr>
          <w:rFonts w:ascii="Times New Roman" w:hAnsi="Times New Roman" w:cs="Times New Roman"/>
          <w:b/>
          <w:bCs/>
          <w:i/>
          <w:iCs/>
          <w:sz w:val="24"/>
          <w:szCs w:val="24"/>
        </w:rPr>
      </w:pPr>
      <w:r w:rsidRPr="00707C80">
        <w:rPr>
          <w:rFonts w:ascii="Times New Roman" w:hAnsi="Times New Roman" w:cs="Times New Roman"/>
          <w:b/>
          <w:bCs/>
          <w:i/>
          <w:iCs/>
          <w:sz w:val="24"/>
          <w:szCs w:val="24"/>
        </w:rPr>
        <w:t xml:space="preserve">1.5. attēls. Valstu skaits, kurās pārsniegts </w:t>
      </w:r>
      <w:proofErr w:type="spellStart"/>
      <w:r w:rsidRPr="00707C80">
        <w:rPr>
          <w:rFonts w:ascii="Times New Roman" w:hAnsi="Times New Roman" w:cs="Times New Roman"/>
          <w:b/>
          <w:bCs/>
          <w:i/>
          <w:iCs/>
          <w:sz w:val="24"/>
          <w:szCs w:val="24"/>
        </w:rPr>
        <w:t>scoreboard</w:t>
      </w:r>
      <w:proofErr w:type="spellEnd"/>
      <w:r w:rsidRPr="00707C80">
        <w:rPr>
          <w:rFonts w:ascii="Times New Roman" w:hAnsi="Times New Roman" w:cs="Times New Roman"/>
          <w:b/>
          <w:bCs/>
          <w:i/>
          <w:iCs/>
          <w:sz w:val="24"/>
          <w:szCs w:val="24"/>
        </w:rPr>
        <w:t xml:space="preserve"> rādītāju noteiktais </w:t>
      </w:r>
      <w:proofErr w:type="spellStart"/>
      <w:r w:rsidRPr="00707C80">
        <w:rPr>
          <w:rFonts w:ascii="Times New Roman" w:hAnsi="Times New Roman" w:cs="Times New Roman"/>
          <w:b/>
          <w:bCs/>
          <w:i/>
          <w:iCs/>
          <w:sz w:val="24"/>
          <w:szCs w:val="24"/>
        </w:rPr>
        <w:t>robežslieksnis</w:t>
      </w:r>
      <w:proofErr w:type="spellEnd"/>
      <w:r w:rsidRPr="00707C80">
        <w:rPr>
          <w:rFonts w:ascii="Times New Roman" w:hAnsi="Times New Roman" w:cs="Times New Roman"/>
          <w:b/>
          <w:bCs/>
          <w:i/>
          <w:iCs/>
          <w:sz w:val="24"/>
          <w:szCs w:val="24"/>
        </w:rPr>
        <w:t>, pa rādītājiem</w:t>
      </w:r>
    </w:p>
    <w:p w:rsidR="00707C80" w:rsidRPr="00707C80" w:rsidRDefault="00707C80" w:rsidP="00707C80">
      <w:pPr>
        <w:spacing w:after="120" w:line="240" w:lineRule="auto"/>
        <w:ind w:firstLine="709"/>
        <w:jc w:val="both"/>
        <w:rPr>
          <w:rFonts w:ascii="Times New Roman" w:hAnsi="Times New Roman" w:cs="Times New Roman"/>
          <w:sz w:val="24"/>
          <w:szCs w:val="24"/>
        </w:rPr>
      </w:pPr>
      <w:r w:rsidRPr="00707C80">
        <w:rPr>
          <w:rFonts w:ascii="Times New Roman" w:hAnsi="Times New Roman" w:cs="Times New Roman"/>
          <w:sz w:val="24"/>
          <w:szCs w:val="24"/>
        </w:rPr>
        <w:t xml:space="preserve">Padziļinātā izpētes procedūra 2019.gada Agrās brīdināšanas mehānisma ziņojuma ietvaros tiks uzsākta Bulgārijai, Horvātijai, Kiprai, Francijai, Vācijai, Īrijai, Itālijai, Nīderlandei, Portugālei, Spānijai, Zviedrijai, Grieķijai un Rumānijai. Atšķirībā no pagājušā </w:t>
      </w:r>
      <w:r w:rsidRPr="00707C80">
        <w:rPr>
          <w:rFonts w:ascii="Times New Roman" w:hAnsi="Times New Roman" w:cs="Times New Roman"/>
          <w:sz w:val="24"/>
          <w:szCs w:val="24"/>
        </w:rPr>
        <w:lastRenderedPageBreak/>
        <w:t xml:space="preserve">gada šogad padziļinātā procedūrā tiks vērtēta arī Grieķija, kura iepriekšējā gadā tika aplūkota atsevišķi finanšu palīdzības programmas kontekstā. </w:t>
      </w:r>
    </w:p>
    <w:p w:rsidR="00707C80" w:rsidRDefault="00707C80" w:rsidP="00707C80"/>
    <w:p w:rsidR="00707C80" w:rsidRPr="00707C80" w:rsidRDefault="00707C80" w:rsidP="00707C80">
      <w:pPr>
        <w:ind w:firstLine="709"/>
        <w:rPr>
          <w:rFonts w:ascii="Times New Roman" w:hAnsi="Times New Roman" w:cs="Times New Roman"/>
          <w:b/>
          <w:i/>
          <w:sz w:val="24"/>
          <w:szCs w:val="24"/>
        </w:rPr>
      </w:pPr>
      <w:r w:rsidRPr="00707C80">
        <w:rPr>
          <w:rFonts w:ascii="Times New Roman" w:hAnsi="Times New Roman" w:cs="Times New Roman"/>
          <w:b/>
          <w:i/>
          <w:sz w:val="24"/>
          <w:szCs w:val="24"/>
        </w:rPr>
        <w:t>1.1. tabula. 2019.gada Agrās brīdināšanas mehānisma ziņojuma rezultāts</w:t>
      </w:r>
      <w:r w:rsidRPr="00707C80">
        <w:rPr>
          <w:rFonts w:ascii="Times New Roman" w:hAnsi="Times New Roman" w:cs="Times New Roman"/>
          <w:b/>
          <w:i/>
          <w:sz w:val="24"/>
          <w:szCs w:val="24"/>
          <w:vertAlign w:val="superscript"/>
        </w:rPr>
        <w:footnoteReference w:id="5"/>
      </w:r>
    </w:p>
    <w:tbl>
      <w:tblPr>
        <w:tblStyle w:val="ListTable2-Accent1"/>
        <w:tblW w:w="9356" w:type="dxa"/>
        <w:jc w:val="center"/>
        <w:tblLook w:val="04A0" w:firstRow="1" w:lastRow="0" w:firstColumn="1" w:lastColumn="0" w:noHBand="0" w:noVBand="1"/>
      </w:tblPr>
      <w:tblGrid>
        <w:gridCol w:w="4253"/>
        <w:gridCol w:w="5103"/>
      </w:tblGrid>
      <w:tr w:rsidR="00707C80" w:rsidRPr="00634F53" w:rsidTr="00674CB9">
        <w:trPr>
          <w:cnfStyle w:val="100000000000" w:firstRow="1" w:lastRow="0" w:firstColumn="0" w:lastColumn="0" w:oddVBand="0" w:evenVBand="0" w:oddHBand="0"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253" w:type="dxa"/>
          </w:tcPr>
          <w:p w:rsidR="00707C80" w:rsidRPr="00CE6BFD" w:rsidRDefault="00707C80" w:rsidP="00707C80">
            <w:pPr>
              <w:pStyle w:val="ListParagraph"/>
              <w:numPr>
                <w:ilvl w:val="0"/>
                <w:numId w:val="19"/>
              </w:numPr>
              <w:spacing w:before="60" w:after="60"/>
              <w:ind w:left="360"/>
              <w:contextualSpacing/>
              <w:jc w:val="left"/>
              <w:rPr>
                <w:b w:val="0"/>
                <w:sz w:val="21"/>
                <w:szCs w:val="21"/>
              </w:rPr>
            </w:pPr>
            <w:r w:rsidRPr="00CE6BFD">
              <w:rPr>
                <w:b w:val="0"/>
                <w:sz w:val="21"/>
                <w:szCs w:val="21"/>
              </w:rPr>
              <w:t xml:space="preserve">Nesabalansētības netika konstatētas un netiek iniciēta Padziļinātā izpētes ziņojuma izstrāde </w:t>
            </w:r>
          </w:p>
        </w:tc>
        <w:tc>
          <w:tcPr>
            <w:tcW w:w="5103" w:type="dxa"/>
          </w:tcPr>
          <w:p w:rsidR="00707C80" w:rsidRPr="00CE6BFD" w:rsidRDefault="00707C80" w:rsidP="00674CB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1"/>
                <w:szCs w:val="21"/>
              </w:rPr>
            </w:pPr>
            <w:r w:rsidRPr="00CE6BFD">
              <w:rPr>
                <w:rFonts w:ascii="Times New Roman" w:hAnsi="Times New Roman" w:cs="Times New Roman"/>
                <w:b w:val="0"/>
                <w:sz w:val="21"/>
                <w:szCs w:val="21"/>
              </w:rPr>
              <w:t xml:space="preserve">Austrija, Beļģija, Igaunija, Ungārija, Apvienotā Karaliste, Čehija, Dānija, </w:t>
            </w:r>
            <w:r w:rsidRPr="00CE6BFD">
              <w:rPr>
                <w:rFonts w:ascii="Times New Roman" w:hAnsi="Times New Roman" w:cs="Times New Roman"/>
                <w:sz w:val="21"/>
                <w:szCs w:val="21"/>
              </w:rPr>
              <w:t>Latvija,</w:t>
            </w:r>
            <w:r w:rsidRPr="00CE6BFD">
              <w:rPr>
                <w:rFonts w:ascii="Times New Roman" w:hAnsi="Times New Roman" w:cs="Times New Roman"/>
                <w:b w:val="0"/>
                <w:sz w:val="21"/>
                <w:szCs w:val="21"/>
              </w:rPr>
              <w:t xml:space="preserve"> Lietuva, Luksemburga, Malta, Slovākija, Polija, Slovēnija, Somija</w:t>
            </w:r>
          </w:p>
        </w:tc>
      </w:tr>
      <w:tr w:rsidR="00707C80" w:rsidRPr="00634F53" w:rsidTr="00674CB9">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253" w:type="dxa"/>
          </w:tcPr>
          <w:p w:rsidR="00707C80" w:rsidRPr="00CE6BFD" w:rsidRDefault="00707C80" w:rsidP="00707C80">
            <w:pPr>
              <w:pStyle w:val="ListParagraph"/>
              <w:numPr>
                <w:ilvl w:val="0"/>
                <w:numId w:val="19"/>
              </w:numPr>
              <w:spacing w:before="60" w:after="60"/>
              <w:ind w:left="360"/>
              <w:contextualSpacing/>
              <w:jc w:val="left"/>
              <w:rPr>
                <w:b w:val="0"/>
                <w:sz w:val="21"/>
                <w:szCs w:val="21"/>
              </w:rPr>
            </w:pPr>
            <w:r w:rsidRPr="00CE6BFD">
              <w:rPr>
                <w:b w:val="0"/>
                <w:sz w:val="21"/>
                <w:szCs w:val="21"/>
              </w:rPr>
              <w:t>Pastāv makroekonomiskās nesabalansētības</w:t>
            </w:r>
          </w:p>
        </w:tc>
        <w:tc>
          <w:tcPr>
            <w:tcW w:w="5103" w:type="dxa"/>
          </w:tcPr>
          <w:p w:rsidR="00707C80" w:rsidRPr="00CE6BFD" w:rsidRDefault="00707C80" w:rsidP="00674C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CE6BFD">
              <w:rPr>
                <w:rFonts w:ascii="Times New Roman" w:hAnsi="Times New Roman" w:cs="Times New Roman"/>
                <w:sz w:val="21"/>
                <w:szCs w:val="21"/>
              </w:rPr>
              <w:t>Bulgārija Vācija, Īrija, Spānija, Nīderlande, Zviedrija, Grieķija, Francija, Portugāle, Rumānija</w:t>
            </w:r>
          </w:p>
        </w:tc>
      </w:tr>
      <w:tr w:rsidR="00707C80" w:rsidRPr="00634F53" w:rsidTr="00674CB9">
        <w:trPr>
          <w:trHeight w:val="510"/>
          <w:jc w:val="center"/>
        </w:trPr>
        <w:tc>
          <w:tcPr>
            <w:cnfStyle w:val="001000000000" w:firstRow="0" w:lastRow="0" w:firstColumn="1" w:lastColumn="0" w:oddVBand="0" w:evenVBand="0" w:oddHBand="0" w:evenHBand="0" w:firstRowFirstColumn="0" w:firstRowLastColumn="0" w:lastRowFirstColumn="0" w:lastRowLastColumn="0"/>
            <w:tcW w:w="4253" w:type="dxa"/>
          </w:tcPr>
          <w:p w:rsidR="00707C80" w:rsidRPr="00CE6BFD" w:rsidRDefault="00707C80" w:rsidP="00707C80">
            <w:pPr>
              <w:pStyle w:val="ListParagraph"/>
              <w:numPr>
                <w:ilvl w:val="0"/>
                <w:numId w:val="19"/>
              </w:numPr>
              <w:spacing w:before="60" w:after="60"/>
              <w:ind w:left="360"/>
              <w:contextualSpacing/>
              <w:jc w:val="left"/>
              <w:rPr>
                <w:b w:val="0"/>
                <w:sz w:val="21"/>
                <w:szCs w:val="21"/>
              </w:rPr>
            </w:pPr>
            <w:r w:rsidRPr="00CE6BFD">
              <w:rPr>
                <w:b w:val="0"/>
                <w:sz w:val="21"/>
                <w:szCs w:val="21"/>
              </w:rPr>
              <w:t>Pastāv pārmērīgas makroekonomiskās nesabalansētības</w:t>
            </w:r>
          </w:p>
        </w:tc>
        <w:tc>
          <w:tcPr>
            <w:tcW w:w="5103" w:type="dxa"/>
          </w:tcPr>
          <w:p w:rsidR="00707C80" w:rsidRPr="00CE6BFD" w:rsidRDefault="00707C80" w:rsidP="00674CB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1"/>
                <w:szCs w:val="21"/>
              </w:rPr>
            </w:pPr>
            <w:r w:rsidRPr="00CE6BFD">
              <w:rPr>
                <w:rFonts w:ascii="Times New Roman" w:hAnsi="Times New Roman" w:cs="Times New Roman"/>
                <w:sz w:val="21"/>
                <w:szCs w:val="21"/>
              </w:rPr>
              <w:t>Horvātija, Itālija, un Kipra</w:t>
            </w:r>
          </w:p>
        </w:tc>
      </w:tr>
      <w:tr w:rsidR="00707C80" w:rsidRPr="00634F53" w:rsidTr="00674CB9">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4253" w:type="dxa"/>
          </w:tcPr>
          <w:p w:rsidR="00707C80" w:rsidRPr="00CE6BFD" w:rsidRDefault="00707C80" w:rsidP="00707C80">
            <w:pPr>
              <w:pStyle w:val="ListParagraph"/>
              <w:numPr>
                <w:ilvl w:val="0"/>
                <w:numId w:val="19"/>
              </w:numPr>
              <w:spacing w:before="60" w:after="60"/>
              <w:ind w:left="360"/>
              <w:contextualSpacing/>
              <w:jc w:val="left"/>
              <w:rPr>
                <w:b w:val="0"/>
                <w:sz w:val="21"/>
                <w:szCs w:val="21"/>
              </w:rPr>
            </w:pPr>
            <w:r w:rsidRPr="00CE6BFD">
              <w:rPr>
                <w:b w:val="0"/>
                <w:sz w:val="21"/>
                <w:szCs w:val="21"/>
              </w:rPr>
              <w:t>Kopā, no 28 ES dalībvalstīm Padziļinātās izpētes ziņojumi izstrādāti</w:t>
            </w:r>
          </w:p>
        </w:tc>
        <w:tc>
          <w:tcPr>
            <w:tcW w:w="5103" w:type="dxa"/>
          </w:tcPr>
          <w:p w:rsidR="00707C80" w:rsidRPr="00CE6BFD" w:rsidRDefault="00707C80" w:rsidP="00674CB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1"/>
                <w:szCs w:val="21"/>
              </w:rPr>
            </w:pPr>
            <w:r w:rsidRPr="00CE6BFD">
              <w:rPr>
                <w:rFonts w:ascii="Times New Roman" w:hAnsi="Times New Roman" w:cs="Times New Roman"/>
                <w:sz w:val="21"/>
                <w:szCs w:val="21"/>
              </w:rPr>
              <w:t>13 dalībvalstīs</w:t>
            </w:r>
          </w:p>
        </w:tc>
      </w:tr>
    </w:tbl>
    <w:p w:rsidR="00707C80" w:rsidRDefault="00707C80" w:rsidP="00707C80"/>
    <w:p w:rsidR="00707C80" w:rsidRPr="00707C80" w:rsidRDefault="00707C80" w:rsidP="00707C80">
      <w:pPr>
        <w:spacing w:after="120" w:line="240" w:lineRule="auto"/>
        <w:ind w:firstLine="709"/>
        <w:jc w:val="both"/>
        <w:rPr>
          <w:rFonts w:ascii="Times New Roman" w:hAnsi="Times New Roman" w:cs="Times New Roman"/>
          <w:sz w:val="24"/>
          <w:szCs w:val="24"/>
        </w:rPr>
      </w:pPr>
      <w:r w:rsidRPr="00707C80">
        <w:rPr>
          <w:rFonts w:ascii="Times New Roman" w:hAnsi="Times New Roman" w:cs="Times New Roman"/>
          <w:sz w:val="24"/>
          <w:szCs w:val="24"/>
        </w:rPr>
        <w:t xml:space="preserve">Kopumā </w:t>
      </w:r>
      <w:proofErr w:type="spellStart"/>
      <w:r w:rsidRPr="00707C80">
        <w:rPr>
          <w:rFonts w:ascii="Times New Roman" w:hAnsi="Times New Roman" w:cs="Times New Roman"/>
          <w:sz w:val="24"/>
          <w:szCs w:val="24"/>
        </w:rPr>
        <w:t>eirozonas</w:t>
      </w:r>
      <w:proofErr w:type="spellEnd"/>
      <w:r w:rsidRPr="00707C80">
        <w:rPr>
          <w:rFonts w:ascii="Times New Roman" w:hAnsi="Times New Roman" w:cs="Times New Roman"/>
          <w:sz w:val="24"/>
          <w:szCs w:val="24"/>
        </w:rPr>
        <w:t xml:space="preserve"> riski, kas saistīti ar esošo nelīdzsvarotību, turpina samazināties, pateicoties ekonomikas izaugsmei, tomēr saglabājas neaizsargātības faktori, kas saistīti ar uzkrājumu nelīdzsvarotību, un ir vērojamas pazīmes, kas liecina par tendencēm, kuras nav ilgtspējīgas.</w:t>
      </w:r>
    </w:p>
    <w:p w:rsidR="00707C80" w:rsidRPr="00707C80" w:rsidRDefault="00707C80" w:rsidP="00707C80">
      <w:pPr>
        <w:spacing w:after="120" w:line="240" w:lineRule="auto"/>
        <w:ind w:firstLine="709"/>
        <w:jc w:val="both"/>
        <w:rPr>
          <w:rFonts w:ascii="Times New Roman" w:hAnsi="Times New Roman" w:cs="Times New Roman"/>
          <w:sz w:val="24"/>
          <w:szCs w:val="24"/>
        </w:rPr>
      </w:pPr>
      <w:r w:rsidRPr="00707C80">
        <w:rPr>
          <w:rFonts w:ascii="Times New Roman" w:hAnsi="Times New Roman" w:cs="Times New Roman"/>
          <w:sz w:val="24"/>
          <w:szCs w:val="24"/>
        </w:rPr>
        <w:t xml:space="preserve">Potenciālie riska avoti kopumā ir tādi paši kā 2018.gada Agrās brīdināšanas mehānisma ziņojumā noteiktie riska avoti. Saglabājas lieli pārpalikumi, savukārt konkurētspējas tendences ir kļuvušas mazāk labvēlīgas līdzsvarošanas panākšanai. Privātā sektora aizņemto līdzekļu īpatsvara samazinājums ir noticis, pateicoties ekonomikas izaugsmei, tomēr tas joprojām ir nevienmērīgs, jo lielo parādu apjomu korekcija nenotiek pietiekamā tempā. Vēl būtiskāk, aktīvs aizņemto līdzekļu īpatsvara samazināšanas process privātajā un īpaši publiskajā sektorā liek uzdot jautājumu, vai aizņemto līdzekļu īpatsvara samazināšanas process varētu arī turpmāk notikt, pateicoties potenciālajam IKP pieaugumam. Šāds </w:t>
      </w:r>
      <w:proofErr w:type="spellStart"/>
      <w:r w:rsidRPr="00707C80">
        <w:rPr>
          <w:rFonts w:ascii="Times New Roman" w:hAnsi="Times New Roman" w:cs="Times New Roman"/>
          <w:sz w:val="24"/>
          <w:szCs w:val="24"/>
        </w:rPr>
        <w:t>problēmjautājums</w:t>
      </w:r>
      <w:proofErr w:type="spellEnd"/>
      <w:r w:rsidRPr="00707C80">
        <w:rPr>
          <w:rFonts w:ascii="Times New Roman" w:hAnsi="Times New Roman" w:cs="Times New Roman"/>
          <w:sz w:val="24"/>
          <w:szCs w:val="24"/>
        </w:rPr>
        <w:t xml:space="preserve"> pamato nepieciešamību turpināt vairākās ES valstīs sākto reformu procesu un darba kārtībā kā prioritārus saglabāt politikas pasākumus un reformas, kuru mērķis ir palielināt izaugsmes potenciālu.</w:t>
      </w:r>
    </w:p>
    <w:p w:rsidR="00707C80" w:rsidRPr="00707C80" w:rsidRDefault="00707C80" w:rsidP="00707C80">
      <w:pPr>
        <w:spacing w:after="120" w:line="240" w:lineRule="auto"/>
        <w:ind w:firstLine="709"/>
        <w:jc w:val="both"/>
        <w:rPr>
          <w:rFonts w:ascii="Times New Roman" w:hAnsi="Times New Roman" w:cs="Times New Roman"/>
          <w:sz w:val="24"/>
          <w:szCs w:val="24"/>
        </w:rPr>
      </w:pPr>
    </w:p>
    <w:p w:rsidR="00726C72" w:rsidRDefault="00994597" w:rsidP="00733D08">
      <w:pPr>
        <w:pStyle w:val="Heading3"/>
        <w:spacing w:line="240" w:lineRule="auto"/>
        <w:jc w:val="center"/>
        <w:rPr>
          <w:rFonts w:ascii="Times New Roman" w:eastAsia="Times New Roman" w:hAnsi="Times New Roman" w:cs="Times New Roman"/>
          <w:b/>
          <w:color w:val="auto"/>
          <w:sz w:val="28"/>
          <w:szCs w:val="28"/>
        </w:rPr>
      </w:pPr>
      <w:r w:rsidRPr="00994597">
        <w:rPr>
          <w:rFonts w:ascii="Times New Roman" w:eastAsia="Times New Roman" w:hAnsi="Times New Roman" w:cs="Times New Roman"/>
          <w:b/>
          <w:color w:val="auto"/>
          <w:sz w:val="28"/>
          <w:szCs w:val="28"/>
        </w:rPr>
        <w:t>1.3.3. </w:t>
      </w:r>
      <w:r w:rsidR="00C94F4C" w:rsidRPr="00C94F4C">
        <w:rPr>
          <w:rFonts w:ascii="Times New Roman" w:eastAsia="Times New Roman" w:hAnsi="Times New Roman" w:cs="Times New Roman"/>
          <w:b/>
          <w:color w:val="auto"/>
          <w:sz w:val="28"/>
          <w:szCs w:val="28"/>
        </w:rPr>
        <w:t>Latvijas ekonomisk</w:t>
      </w:r>
      <w:r w:rsidR="00707C80">
        <w:rPr>
          <w:rFonts w:ascii="Times New Roman" w:eastAsia="Times New Roman" w:hAnsi="Times New Roman" w:cs="Times New Roman"/>
          <w:b/>
          <w:color w:val="auto"/>
          <w:sz w:val="28"/>
          <w:szCs w:val="28"/>
        </w:rPr>
        <w:t>ās situācijas novērtējums 2019</w:t>
      </w:r>
      <w:r w:rsidR="00C94F4C">
        <w:rPr>
          <w:rFonts w:ascii="Times New Roman" w:eastAsia="Times New Roman" w:hAnsi="Times New Roman" w:cs="Times New Roman"/>
          <w:b/>
          <w:color w:val="auto"/>
          <w:sz w:val="28"/>
          <w:szCs w:val="28"/>
        </w:rPr>
        <w:t>.</w:t>
      </w:r>
      <w:r w:rsidR="00C94F4C" w:rsidRPr="00C94F4C">
        <w:rPr>
          <w:rFonts w:ascii="Times New Roman" w:eastAsia="Times New Roman" w:hAnsi="Times New Roman" w:cs="Times New Roman"/>
          <w:b/>
          <w:color w:val="auto"/>
          <w:sz w:val="28"/>
          <w:szCs w:val="28"/>
        </w:rPr>
        <w:t>gada Agrās brīdināšanas mehānisma ziņojumā</w:t>
      </w:r>
    </w:p>
    <w:p w:rsidR="00994597" w:rsidRPr="00707C80" w:rsidRDefault="00994597" w:rsidP="00707C80">
      <w:pPr>
        <w:spacing w:after="120" w:line="240" w:lineRule="auto"/>
        <w:ind w:firstLine="709"/>
        <w:jc w:val="both"/>
        <w:rPr>
          <w:rFonts w:ascii="Times New Roman" w:hAnsi="Times New Roman" w:cs="Times New Roman"/>
          <w:sz w:val="24"/>
          <w:szCs w:val="24"/>
        </w:rPr>
      </w:pPr>
    </w:p>
    <w:p w:rsidR="00707C80" w:rsidRPr="00707C80" w:rsidRDefault="00707C80" w:rsidP="00707C80">
      <w:pPr>
        <w:spacing w:after="120" w:line="240" w:lineRule="auto"/>
        <w:ind w:firstLine="709"/>
        <w:jc w:val="both"/>
        <w:rPr>
          <w:rFonts w:ascii="Times New Roman" w:hAnsi="Times New Roman" w:cs="Times New Roman"/>
          <w:sz w:val="24"/>
          <w:szCs w:val="24"/>
        </w:rPr>
      </w:pPr>
      <w:r w:rsidRPr="00707C80">
        <w:rPr>
          <w:rFonts w:ascii="Times New Roman" w:hAnsi="Times New Roman" w:cs="Times New Roman"/>
          <w:sz w:val="24"/>
          <w:szCs w:val="24"/>
        </w:rPr>
        <w:t>2019.gada Agrās brīdināšanas mehānisma ziņojums Latvijai ir labvēlīgs. Šajā ziņojumā Latvija pārsniedz tikai divu pamata statistikas rādītāju robežvērtības - neto starptautiskās investīciju bilancē (NIIP, % no IKP) un 3 gadu vidējās procentu izmaiņas vienības darbaspēka izmaksās. 2018.gada Agrās brīdināšanas mehānisma ziņojumā papildus tika pārsniegtas robežvērtības arī 3 gadu vidējam bezdarba līmenim un mājokļu cenu indeksam (izmaiņas % gada laikā). Darbaspēku izmaksu rādītāji tiek pārsniegti kopš 2014.gada, un tas ir saistīts ar strauju algu pieaugumu un konkurenci darba tirgū, kas turpināsies arī nākotnē.</w:t>
      </w:r>
    </w:p>
    <w:p w:rsidR="00707C80" w:rsidRPr="00707C80" w:rsidRDefault="00707C80" w:rsidP="00707C80">
      <w:pPr>
        <w:spacing w:after="120" w:line="240" w:lineRule="auto"/>
        <w:ind w:firstLine="709"/>
        <w:jc w:val="both"/>
        <w:rPr>
          <w:rFonts w:ascii="Times New Roman" w:eastAsia="Times New Roman" w:hAnsi="Times New Roman" w:cs="Times New Roman"/>
          <w:sz w:val="24"/>
          <w:szCs w:val="24"/>
        </w:rPr>
      </w:pPr>
      <w:r w:rsidRPr="00707C80">
        <w:rPr>
          <w:rFonts w:ascii="Times New Roman" w:hAnsi="Times New Roman" w:cs="Times New Roman"/>
          <w:sz w:val="24"/>
          <w:szCs w:val="24"/>
        </w:rPr>
        <w:t>Kopumā Eiropas Komisija norāda, ka gan tendences darbaspēka rādītāju izmaiņās, gan ārējo faktoru ietekme šobrīd Latvijā ir pietiekami ierobežotas, tāpēc padziļinātā izpēte Makroekonomikas nesabalansētības procedūras ietvaros šogad Latvijai netiks uzsākta.</w:t>
      </w:r>
    </w:p>
    <w:p w:rsidR="00707C80" w:rsidRPr="00707C80" w:rsidRDefault="00707C80" w:rsidP="00707C80">
      <w:pPr>
        <w:spacing w:after="120" w:line="240" w:lineRule="auto"/>
        <w:ind w:firstLine="709"/>
        <w:jc w:val="both"/>
        <w:rPr>
          <w:rFonts w:ascii="Times New Roman" w:hAnsi="Times New Roman" w:cs="Times New Roman"/>
          <w:sz w:val="24"/>
          <w:szCs w:val="24"/>
        </w:rPr>
      </w:pPr>
      <w:r w:rsidRPr="00707C80">
        <w:rPr>
          <w:rFonts w:ascii="Times New Roman" w:hAnsi="Times New Roman" w:cs="Times New Roman"/>
          <w:sz w:val="24"/>
          <w:szCs w:val="24"/>
        </w:rPr>
        <w:lastRenderedPageBreak/>
        <w:t>Viens no rādītājiem, kura robežvērtību Latvija sistemātiski pārsniedz, ir neto starptautiskā investīciju bilance. Tā atspoguļo valsts rezidentu ārējo aktīvu un pasīvu kopējo apjomu pārskata perioda beigās (parasti katra ceturkšņa beigās). Makroekonomiskās nesabalansētības procedūras rādītāju tabulā iekļautā neto</w:t>
      </w:r>
      <w:r w:rsidRPr="00707C80">
        <w:rPr>
          <w:rFonts w:ascii="Times New Roman" w:hAnsi="Times New Roman" w:cs="Times New Roman"/>
          <w:sz w:val="24"/>
          <w:szCs w:val="24"/>
          <w:vertAlign w:val="superscript"/>
        </w:rPr>
        <w:footnoteReference w:id="6"/>
      </w:r>
      <w:r w:rsidRPr="00707C80">
        <w:rPr>
          <w:rFonts w:ascii="Times New Roman" w:hAnsi="Times New Roman" w:cs="Times New Roman"/>
          <w:sz w:val="24"/>
          <w:szCs w:val="24"/>
        </w:rPr>
        <w:t xml:space="preserve"> starptautisko investīciju bilance</w:t>
      </w:r>
      <w:r w:rsidRPr="00707C80">
        <w:rPr>
          <w:rFonts w:ascii="Times New Roman" w:hAnsi="Times New Roman" w:cs="Times New Roman"/>
          <w:sz w:val="24"/>
          <w:szCs w:val="24"/>
          <w:vertAlign w:val="superscript"/>
        </w:rPr>
        <w:footnoteReference w:id="7"/>
      </w:r>
      <w:r w:rsidRPr="00707C80">
        <w:rPr>
          <w:rFonts w:ascii="Times New Roman" w:hAnsi="Times New Roman" w:cs="Times New Roman"/>
          <w:sz w:val="24"/>
          <w:szCs w:val="24"/>
        </w:rPr>
        <w:t xml:space="preserve"> tiek izteikta procentos no IKP un rādītāja indikatīvais slieksnis makroekonomiskās nesabalansētības procedūras ietvaros ir noteikts -35% no IKP (neto izteiksmē bilance parāda, vai Latvija ir neto investors vai neto saņēmējvalsts). No vienas puses negatīva starptautisko investīciju bilance norāda uz nerezidentiem piederošo aktīvu būtisko īpatsvaru nacionālajā ekonomikā. No otras puses, tas var norādīt uz nacionālās ekonomikas pieaugošu ārējo saistību slogu. Līdz ar to neto starptautiskās investīciju bilances dinamiku vajadzētu vērtēt, apzinoties ārvalstu tiešo investīciju īpatsvaru, kas ir viens no ekonomiskās attīstības virzītājspēkiem. Veicot padziļinātu  neto starptautiskās investīciju bilances fundamentālo analīzi, jāņem vērā arī attiecīgās valsts tautsaimniecības struktūra. Jāatzīmē, ka rādītāja robežvērtības pārsniegšana iepriekšējos periodos nekļuva par iemeslu Latvijas iekļaušanai padziļinātās izpētes procedūrā, galvenokārt pateicoties rādītāja pozitīvai dinamikai (pakāpenisku tuvošanos noteiktajam mērķa rādītājam). Eiropas Komisija akcentē, ka Latvijas negatīvajam neto starptautisko ieguldījumu pozīcijas rādītājam ir lejupvērsta dinamika. Pie tam, ļoti liela daļa no  negatīva starptautiskās investīciju bilance veidojas,  pateicoties tiešām ārvalstu investīcijām mūsu tautsaimniecībā.</w:t>
      </w:r>
    </w:p>
    <w:p w:rsidR="00707C80" w:rsidRPr="00707C80" w:rsidRDefault="00707C80" w:rsidP="00707C80">
      <w:pPr>
        <w:spacing w:after="120" w:line="240" w:lineRule="auto"/>
        <w:ind w:firstLine="709"/>
        <w:jc w:val="both"/>
        <w:rPr>
          <w:rFonts w:ascii="Times New Roman" w:eastAsia="Times New Roman" w:hAnsi="Times New Roman" w:cs="Times New Roman"/>
          <w:sz w:val="24"/>
          <w:szCs w:val="24"/>
          <w:lang w:eastAsia="lv-LV"/>
        </w:rPr>
      </w:pPr>
      <w:r w:rsidRPr="00707C80">
        <w:rPr>
          <w:rFonts w:ascii="Times New Roman" w:hAnsi="Times New Roman" w:cs="Times New Roman"/>
          <w:sz w:val="24"/>
          <w:szCs w:val="24"/>
        </w:rPr>
        <w:t>Otrs rādītājs, kura noteikto robežvērtību Latvija pārsniedza 2019.gada Agrās brīdināšanas mehānisma ziņojuma ietvaros, bija nominālās darbaspēka vienības izmaksu indekss.</w:t>
      </w:r>
    </w:p>
    <w:p w:rsidR="00707C80" w:rsidRPr="00707C80" w:rsidRDefault="00707C80" w:rsidP="00707C80">
      <w:pPr>
        <w:spacing w:after="120" w:line="240" w:lineRule="auto"/>
        <w:ind w:firstLine="709"/>
        <w:jc w:val="both"/>
        <w:rPr>
          <w:rFonts w:ascii="Times New Roman" w:hAnsi="Times New Roman" w:cs="Times New Roman"/>
          <w:sz w:val="24"/>
          <w:szCs w:val="24"/>
          <w:lang w:eastAsia="lv-LV"/>
        </w:rPr>
      </w:pPr>
      <w:r w:rsidRPr="00707C80">
        <w:rPr>
          <w:rFonts w:ascii="Times New Roman" w:hAnsi="Times New Roman" w:cs="Times New Roman"/>
          <w:sz w:val="24"/>
          <w:szCs w:val="24"/>
          <w:lang w:eastAsia="lv-LV"/>
        </w:rPr>
        <w:t>Faktori, kas nosaka darbaspēka izmaksu pieaugumu Latvijā ir cenu un algu konverģence uz ES vidējo līmeni, minimālās darba algas paaugstināšana, ēnu ekonomikas samazināšanās, valdības lēmumi par budžeta izdevumu palielināšanu atalgojumam atsevišķām sabiedriskā sektora darbinieku kategorijām un ierobežotie darbaspēka resursi Latvijā.</w:t>
      </w:r>
    </w:p>
    <w:p w:rsidR="00707C80" w:rsidRPr="00707C80" w:rsidRDefault="00707C80" w:rsidP="00707C80">
      <w:pPr>
        <w:spacing w:after="120" w:line="240" w:lineRule="auto"/>
        <w:ind w:firstLine="709"/>
        <w:jc w:val="both"/>
        <w:rPr>
          <w:rFonts w:ascii="Times New Roman" w:hAnsi="Times New Roman" w:cs="Times New Roman"/>
          <w:sz w:val="24"/>
          <w:szCs w:val="24"/>
          <w:lang w:eastAsia="lv-LV"/>
        </w:rPr>
      </w:pPr>
      <w:r w:rsidRPr="00707C80">
        <w:rPr>
          <w:rFonts w:ascii="Times New Roman" w:hAnsi="Times New Roman" w:cs="Times New Roman"/>
          <w:sz w:val="24"/>
          <w:szCs w:val="24"/>
          <w:lang w:eastAsia="lv-LV"/>
        </w:rPr>
        <w:t>Vienības darbaspēka izmaksu pieaugums Latvijā atspoguļo cenu un ienākumu konverģenci uz ES vidējo līmeni. Algu pieaugums, kas ir pamatā darbaspēka izmaksu pieaugumam, saistīts arī ar sarūkošajiem darbaspēka resursiem Latvijā, kas rada uzņēmumiem nepieciešamību konkurēt par darbiniekiem. Darbaspēka izmaksu pieaugums pašlaik vērojams galvenokārt netirgojamajos sektoros, kur izmaksu pieaugums mazāk saistīts ar valsts ārējo konkurētspēju. Straujākais darbaspēka izmaksu pieaugums pēdējo gadu laikā bijis tieši uz iekšējo tirgu strādājošajās nozarēs – izmitināšanas un ēdināšanas, tirdzniecības, veselības un sociālās aprūpes nozarēs. Latvijas attīstības mērķis ir iedzīvotāju labklājības pieaugums, un tas nav sasniedzams bez darba samaksas kāpuma, tomēr jāizvairās no pārmērīgi strauja un produktivitātei neatbilstoša pieauguma</w:t>
      </w:r>
      <w:r w:rsidRPr="00707C80">
        <w:rPr>
          <w:rFonts w:ascii="Times New Roman" w:eastAsia="Times New Roman" w:hAnsi="Times New Roman" w:cs="Times New Roman"/>
          <w:sz w:val="24"/>
          <w:szCs w:val="24"/>
          <w:lang w:eastAsia="lv-LV"/>
        </w:rPr>
        <w:t xml:space="preserve">. </w:t>
      </w:r>
      <w:r w:rsidRPr="00707C80">
        <w:rPr>
          <w:rFonts w:ascii="Times New Roman" w:hAnsi="Times New Roman" w:cs="Times New Roman"/>
          <w:sz w:val="24"/>
          <w:szCs w:val="24"/>
          <w:lang w:eastAsia="lv-LV"/>
        </w:rPr>
        <w:t>Kopš 2013.gada darba samaksa kopumā ir augusi straujāk par produktivitāti, tomēr šeit bijusi būtiska vienreizēju faktoru, kā minimālās algas celšanas, ietekme, un vidējā termiņā sagaidāms, ka algu un produktivitātes pieaugums atkal kļūs sabalansēts, attiecīgi arī mazinoties ULC rādītāja pieaugumam.</w:t>
      </w:r>
    </w:p>
    <w:p w:rsidR="00707C80" w:rsidRPr="00707C80" w:rsidRDefault="00707C80" w:rsidP="00707C80">
      <w:pPr>
        <w:spacing w:after="120" w:line="240" w:lineRule="auto"/>
        <w:ind w:firstLine="709"/>
        <w:jc w:val="both"/>
        <w:rPr>
          <w:rFonts w:ascii="Times New Roman" w:hAnsi="Times New Roman" w:cs="Times New Roman"/>
          <w:b/>
          <w:sz w:val="24"/>
          <w:szCs w:val="24"/>
        </w:rPr>
      </w:pPr>
    </w:p>
    <w:p w:rsidR="009010AE" w:rsidRDefault="009010AE" w:rsidP="009010AE">
      <w:pPr>
        <w:spacing w:after="120" w:line="240" w:lineRule="auto"/>
        <w:ind w:firstLine="709"/>
        <w:jc w:val="center"/>
        <w:rPr>
          <w:rFonts w:ascii="Times New Roman" w:hAnsi="Times New Roman" w:cs="Times New Roman"/>
          <w:b/>
          <w:i/>
          <w:sz w:val="24"/>
          <w:szCs w:val="24"/>
        </w:rPr>
      </w:pPr>
    </w:p>
    <w:p w:rsidR="009010AE" w:rsidRDefault="009010AE" w:rsidP="009010AE">
      <w:pPr>
        <w:spacing w:after="120" w:line="240" w:lineRule="auto"/>
        <w:ind w:firstLine="709"/>
        <w:jc w:val="center"/>
        <w:rPr>
          <w:rFonts w:ascii="Times New Roman" w:hAnsi="Times New Roman" w:cs="Times New Roman"/>
          <w:b/>
          <w:i/>
          <w:sz w:val="24"/>
          <w:szCs w:val="24"/>
        </w:rPr>
      </w:pPr>
    </w:p>
    <w:p w:rsidR="009010AE" w:rsidRDefault="009010AE" w:rsidP="009010AE">
      <w:pPr>
        <w:spacing w:after="120" w:line="240" w:lineRule="auto"/>
        <w:ind w:firstLine="709"/>
        <w:jc w:val="center"/>
        <w:rPr>
          <w:rFonts w:ascii="Times New Roman" w:hAnsi="Times New Roman" w:cs="Times New Roman"/>
          <w:b/>
          <w:i/>
          <w:sz w:val="24"/>
          <w:szCs w:val="24"/>
        </w:rPr>
      </w:pPr>
    </w:p>
    <w:p w:rsidR="009010AE" w:rsidRDefault="009010AE" w:rsidP="009010AE">
      <w:pPr>
        <w:spacing w:after="120" w:line="240" w:lineRule="auto"/>
        <w:ind w:firstLine="709"/>
        <w:jc w:val="center"/>
        <w:rPr>
          <w:rFonts w:ascii="Times New Roman" w:hAnsi="Times New Roman" w:cs="Times New Roman"/>
          <w:b/>
          <w:i/>
          <w:sz w:val="24"/>
          <w:szCs w:val="24"/>
        </w:rPr>
      </w:pPr>
    </w:p>
    <w:p w:rsidR="00707C80" w:rsidRPr="009010AE" w:rsidRDefault="00707C80" w:rsidP="009010AE">
      <w:pPr>
        <w:spacing w:after="120" w:line="240" w:lineRule="auto"/>
        <w:ind w:firstLine="709"/>
        <w:jc w:val="center"/>
        <w:rPr>
          <w:rFonts w:ascii="Times New Roman" w:hAnsi="Times New Roman" w:cs="Times New Roman"/>
          <w:b/>
          <w:i/>
          <w:sz w:val="24"/>
          <w:szCs w:val="24"/>
        </w:rPr>
      </w:pPr>
      <w:r w:rsidRPr="009010AE">
        <w:rPr>
          <w:rFonts w:ascii="Times New Roman" w:hAnsi="Times New Roman" w:cs="Times New Roman"/>
          <w:b/>
          <w:i/>
          <w:sz w:val="24"/>
          <w:szCs w:val="24"/>
        </w:rPr>
        <w:lastRenderedPageBreak/>
        <w:t>1.2. tabula. Agrās brīdināšanas mehānisma rādītāju dinamika Latvijā</w:t>
      </w:r>
      <w:r w:rsidRPr="009010AE">
        <w:rPr>
          <w:rFonts w:ascii="Times New Roman" w:hAnsi="Times New Roman" w:cs="Times New Roman"/>
          <w:b/>
          <w:i/>
          <w:sz w:val="24"/>
          <w:szCs w:val="24"/>
          <w:vertAlign w:val="superscript"/>
        </w:rPr>
        <w:footnoteReference w:id="8"/>
      </w:r>
    </w:p>
    <w:tbl>
      <w:tblPr>
        <w:tblW w:w="9639" w:type="dxa"/>
        <w:jc w:val="center"/>
        <w:tblLayout w:type="fixed"/>
        <w:tblLook w:val="04A0" w:firstRow="1" w:lastRow="0" w:firstColumn="1" w:lastColumn="0" w:noHBand="0" w:noVBand="1"/>
      </w:tblPr>
      <w:tblGrid>
        <w:gridCol w:w="1701"/>
        <w:gridCol w:w="993"/>
        <w:gridCol w:w="708"/>
        <w:gridCol w:w="779"/>
        <w:gridCol w:w="780"/>
        <w:gridCol w:w="779"/>
        <w:gridCol w:w="780"/>
        <w:gridCol w:w="780"/>
        <w:gridCol w:w="779"/>
        <w:gridCol w:w="780"/>
        <w:gridCol w:w="780"/>
      </w:tblGrid>
      <w:tr w:rsidR="00707C80" w:rsidRPr="009010AE" w:rsidTr="00674CB9">
        <w:trPr>
          <w:trHeight w:val="315"/>
          <w:jc w:val="center"/>
        </w:trPr>
        <w:tc>
          <w:tcPr>
            <w:tcW w:w="1701" w:type="dxa"/>
            <w:tcBorders>
              <w:top w:val="nil"/>
              <w:left w:val="nil"/>
              <w:bottom w:val="nil"/>
              <w:right w:val="nil"/>
            </w:tcBorders>
            <w:shd w:val="clear" w:color="auto" w:fill="auto"/>
            <w:noWrap/>
            <w:vAlign w:val="bottom"/>
            <w:hideMark/>
          </w:tcPr>
          <w:p w:rsidR="00707C80" w:rsidRPr="009010AE" w:rsidRDefault="00707C80" w:rsidP="009010AE">
            <w:pPr>
              <w:spacing w:after="0" w:line="240" w:lineRule="auto"/>
              <w:rPr>
                <w:rFonts w:ascii="Times New Roman" w:hAnsi="Times New Roman" w:cs="Times New Roman"/>
                <w:sz w:val="20"/>
                <w:szCs w:val="20"/>
                <w:lang w:eastAsia="lv-LV"/>
              </w:rPr>
            </w:pPr>
          </w:p>
        </w:tc>
        <w:tc>
          <w:tcPr>
            <w:tcW w:w="1701" w:type="dxa"/>
            <w:gridSpan w:val="2"/>
            <w:tcBorders>
              <w:top w:val="nil"/>
              <w:left w:val="nil"/>
              <w:bottom w:val="nil"/>
              <w:right w:val="nil"/>
            </w:tcBorders>
            <w:shd w:val="clear" w:color="auto" w:fill="auto"/>
            <w:noWrap/>
            <w:vAlign w:val="bottom"/>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Robežvērtības</w:t>
            </w:r>
          </w:p>
        </w:tc>
        <w:tc>
          <w:tcPr>
            <w:tcW w:w="779" w:type="dxa"/>
            <w:tcBorders>
              <w:top w:val="nil"/>
              <w:left w:val="nil"/>
              <w:bottom w:val="nil"/>
              <w:right w:val="nil"/>
            </w:tcBorders>
            <w:shd w:val="clear" w:color="auto" w:fill="auto"/>
            <w:noWrap/>
            <w:vAlign w:val="bottom"/>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2010</w:t>
            </w:r>
          </w:p>
        </w:tc>
        <w:tc>
          <w:tcPr>
            <w:tcW w:w="780" w:type="dxa"/>
            <w:tcBorders>
              <w:top w:val="nil"/>
              <w:left w:val="nil"/>
              <w:bottom w:val="nil"/>
              <w:right w:val="nil"/>
            </w:tcBorders>
            <w:shd w:val="clear" w:color="auto" w:fill="auto"/>
            <w:noWrap/>
            <w:vAlign w:val="bottom"/>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2011</w:t>
            </w:r>
          </w:p>
        </w:tc>
        <w:tc>
          <w:tcPr>
            <w:tcW w:w="779" w:type="dxa"/>
            <w:tcBorders>
              <w:top w:val="nil"/>
              <w:left w:val="nil"/>
              <w:bottom w:val="nil"/>
              <w:right w:val="nil"/>
            </w:tcBorders>
            <w:shd w:val="clear" w:color="auto" w:fill="auto"/>
            <w:noWrap/>
            <w:vAlign w:val="bottom"/>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2012</w:t>
            </w:r>
          </w:p>
        </w:tc>
        <w:tc>
          <w:tcPr>
            <w:tcW w:w="780" w:type="dxa"/>
            <w:tcBorders>
              <w:top w:val="nil"/>
              <w:left w:val="nil"/>
              <w:bottom w:val="nil"/>
              <w:right w:val="nil"/>
            </w:tcBorders>
            <w:shd w:val="clear" w:color="auto" w:fill="auto"/>
            <w:noWrap/>
            <w:vAlign w:val="bottom"/>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2013</w:t>
            </w:r>
          </w:p>
        </w:tc>
        <w:tc>
          <w:tcPr>
            <w:tcW w:w="780" w:type="dxa"/>
            <w:tcBorders>
              <w:top w:val="nil"/>
              <w:left w:val="nil"/>
              <w:bottom w:val="nil"/>
              <w:right w:val="nil"/>
            </w:tcBorders>
            <w:shd w:val="clear" w:color="auto" w:fill="auto"/>
            <w:noWrap/>
            <w:vAlign w:val="bottom"/>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2014</w:t>
            </w:r>
          </w:p>
        </w:tc>
        <w:tc>
          <w:tcPr>
            <w:tcW w:w="779" w:type="dxa"/>
            <w:tcBorders>
              <w:top w:val="nil"/>
              <w:left w:val="nil"/>
              <w:bottom w:val="nil"/>
              <w:right w:val="nil"/>
            </w:tcBorders>
            <w:shd w:val="clear" w:color="auto" w:fill="auto"/>
            <w:noWrap/>
            <w:vAlign w:val="bottom"/>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2015</w:t>
            </w:r>
          </w:p>
        </w:tc>
        <w:tc>
          <w:tcPr>
            <w:tcW w:w="780" w:type="dxa"/>
            <w:tcBorders>
              <w:top w:val="nil"/>
              <w:left w:val="nil"/>
              <w:bottom w:val="nil"/>
              <w:right w:val="nil"/>
            </w:tcBorders>
            <w:shd w:val="clear" w:color="auto" w:fill="auto"/>
            <w:noWrap/>
            <w:vAlign w:val="bottom"/>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2016</w:t>
            </w:r>
          </w:p>
        </w:tc>
        <w:tc>
          <w:tcPr>
            <w:tcW w:w="780" w:type="dxa"/>
            <w:tcBorders>
              <w:top w:val="nil"/>
              <w:left w:val="nil"/>
              <w:bottom w:val="nil"/>
              <w:right w:val="nil"/>
            </w:tcBorders>
            <w:shd w:val="clear" w:color="auto" w:fill="auto"/>
            <w:noWrap/>
            <w:vAlign w:val="bottom"/>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2017</w:t>
            </w:r>
          </w:p>
        </w:tc>
      </w:tr>
      <w:tr w:rsidR="00707C80" w:rsidRPr="009010AE" w:rsidTr="00674CB9">
        <w:trPr>
          <w:trHeight w:val="315"/>
          <w:jc w:val="center"/>
        </w:trPr>
        <w:tc>
          <w:tcPr>
            <w:tcW w:w="1701" w:type="dxa"/>
            <w:tcBorders>
              <w:top w:val="single" w:sz="4" w:space="0" w:color="auto"/>
              <w:left w:val="nil"/>
              <w:bottom w:val="single" w:sz="4" w:space="0" w:color="auto"/>
              <w:right w:val="nil"/>
            </w:tcBorders>
            <w:shd w:val="clear" w:color="auto" w:fill="auto"/>
            <w:vAlign w:val="center"/>
            <w:hideMark/>
          </w:tcPr>
          <w:p w:rsidR="00707C80" w:rsidRPr="009010AE" w:rsidRDefault="00707C80" w:rsidP="009010AE">
            <w:pPr>
              <w:spacing w:after="0" w:line="240" w:lineRule="auto"/>
              <w:rPr>
                <w:rFonts w:ascii="Times New Roman" w:hAnsi="Times New Roman" w:cs="Times New Roman"/>
                <w:sz w:val="20"/>
                <w:szCs w:val="20"/>
                <w:lang w:eastAsia="lv-LV"/>
              </w:rPr>
            </w:pPr>
            <w:r w:rsidRPr="009010AE">
              <w:rPr>
                <w:rFonts w:ascii="Times New Roman" w:hAnsi="Times New Roman" w:cs="Times New Roman"/>
                <w:sz w:val="20"/>
                <w:szCs w:val="20"/>
                <w:lang w:eastAsia="lv-LV"/>
              </w:rPr>
              <w:t>Tekošā konta bilance % no IKP</w:t>
            </w:r>
          </w:p>
        </w:tc>
        <w:tc>
          <w:tcPr>
            <w:tcW w:w="993" w:type="dxa"/>
            <w:tcBorders>
              <w:top w:val="single" w:sz="4" w:space="0" w:color="auto"/>
              <w:left w:val="nil"/>
              <w:bottom w:val="single" w:sz="4" w:space="0" w:color="auto"/>
              <w:right w:val="nil"/>
            </w:tcBorders>
            <w:shd w:val="clear" w:color="auto" w:fill="auto"/>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3 gadu vidējais</w:t>
            </w:r>
          </w:p>
        </w:tc>
        <w:tc>
          <w:tcPr>
            <w:tcW w:w="708" w:type="dxa"/>
            <w:tcBorders>
              <w:top w:val="single" w:sz="4" w:space="0" w:color="auto"/>
              <w:left w:val="nil"/>
              <w:bottom w:val="single" w:sz="4" w:space="0" w:color="auto"/>
              <w:right w:val="nil"/>
            </w:tcBorders>
            <w:shd w:val="clear" w:color="auto" w:fill="auto"/>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-4%</w:t>
            </w:r>
          </w:p>
        </w:tc>
        <w:tc>
          <w:tcPr>
            <w:tcW w:w="779" w:type="dxa"/>
            <w:tcBorders>
              <w:top w:val="single" w:sz="4" w:space="0" w:color="auto"/>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-0,8</w:t>
            </w:r>
          </w:p>
        </w:tc>
        <w:tc>
          <w:tcPr>
            <w:tcW w:w="780" w:type="dxa"/>
            <w:tcBorders>
              <w:top w:val="single" w:sz="4" w:space="0" w:color="auto"/>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2,2</w:t>
            </w:r>
          </w:p>
        </w:tc>
        <w:tc>
          <w:tcPr>
            <w:tcW w:w="779" w:type="dxa"/>
            <w:tcBorders>
              <w:top w:val="single" w:sz="4" w:space="0" w:color="auto"/>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-1,6</w:t>
            </w:r>
          </w:p>
        </w:tc>
        <w:tc>
          <w:tcPr>
            <w:tcW w:w="780" w:type="dxa"/>
            <w:tcBorders>
              <w:top w:val="single" w:sz="4" w:space="0" w:color="auto"/>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-3,2</w:t>
            </w:r>
          </w:p>
        </w:tc>
        <w:tc>
          <w:tcPr>
            <w:tcW w:w="780" w:type="dxa"/>
            <w:tcBorders>
              <w:top w:val="single" w:sz="4" w:space="0" w:color="auto"/>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-2,7</w:t>
            </w:r>
          </w:p>
        </w:tc>
        <w:tc>
          <w:tcPr>
            <w:tcW w:w="779" w:type="dxa"/>
            <w:tcBorders>
              <w:top w:val="single" w:sz="4" w:space="0" w:color="auto"/>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-1,6</w:t>
            </w:r>
          </w:p>
        </w:tc>
        <w:tc>
          <w:tcPr>
            <w:tcW w:w="780" w:type="dxa"/>
            <w:tcBorders>
              <w:top w:val="single" w:sz="4" w:space="0" w:color="auto"/>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-0,3</w:t>
            </w:r>
          </w:p>
        </w:tc>
        <w:tc>
          <w:tcPr>
            <w:tcW w:w="780" w:type="dxa"/>
            <w:tcBorders>
              <w:top w:val="single" w:sz="4" w:space="0" w:color="auto"/>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0,6</w:t>
            </w:r>
          </w:p>
        </w:tc>
      </w:tr>
      <w:tr w:rsidR="00707C80" w:rsidRPr="009010AE" w:rsidTr="00674CB9">
        <w:trPr>
          <w:trHeight w:val="315"/>
          <w:jc w:val="center"/>
        </w:trPr>
        <w:tc>
          <w:tcPr>
            <w:tcW w:w="1701" w:type="dxa"/>
            <w:tcBorders>
              <w:top w:val="nil"/>
              <w:left w:val="nil"/>
              <w:bottom w:val="single" w:sz="4" w:space="0" w:color="auto"/>
              <w:right w:val="nil"/>
            </w:tcBorders>
            <w:shd w:val="clear" w:color="auto" w:fill="auto"/>
            <w:vAlign w:val="center"/>
            <w:hideMark/>
          </w:tcPr>
          <w:p w:rsidR="00707C80" w:rsidRPr="009010AE" w:rsidRDefault="00707C80" w:rsidP="009010AE">
            <w:pPr>
              <w:spacing w:after="0" w:line="240" w:lineRule="auto"/>
              <w:rPr>
                <w:rFonts w:ascii="Times New Roman" w:hAnsi="Times New Roman" w:cs="Times New Roman"/>
                <w:sz w:val="20"/>
                <w:szCs w:val="20"/>
                <w:lang w:eastAsia="lv-LV"/>
              </w:rPr>
            </w:pPr>
            <w:r w:rsidRPr="009010AE">
              <w:rPr>
                <w:rFonts w:ascii="Times New Roman" w:hAnsi="Times New Roman" w:cs="Times New Roman"/>
                <w:sz w:val="20"/>
                <w:szCs w:val="20"/>
                <w:lang w:eastAsia="lv-LV"/>
              </w:rPr>
              <w:t>Neto starptautiskā investīciju pozīcija</w:t>
            </w:r>
          </w:p>
        </w:tc>
        <w:tc>
          <w:tcPr>
            <w:tcW w:w="993" w:type="dxa"/>
            <w:tcBorders>
              <w:top w:val="nil"/>
              <w:left w:val="nil"/>
              <w:bottom w:val="single" w:sz="4" w:space="0" w:color="auto"/>
              <w:right w:val="nil"/>
            </w:tcBorders>
            <w:shd w:val="clear" w:color="auto" w:fill="auto"/>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 no IKP</w:t>
            </w:r>
          </w:p>
        </w:tc>
        <w:tc>
          <w:tcPr>
            <w:tcW w:w="708" w:type="dxa"/>
            <w:tcBorders>
              <w:top w:val="nil"/>
              <w:left w:val="nil"/>
              <w:bottom w:val="single" w:sz="4" w:space="0" w:color="auto"/>
              <w:right w:val="nil"/>
            </w:tcBorders>
            <w:shd w:val="clear" w:color="auto" w:fill="auto"/>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-35%</w:t>
            </w:r>
          </w:p>
        </w:tc>
        <w:tc>
          <w:tcPr>
            <w:tcW w:w="779" w:type="dxa"/>
            <w:tcBorders>
              <w:top w:val="nil"/>
              <w:left w:val="nil"/>
              <w:bottom w:val="single" w:sz="4" w:space="0" w:color="auto"/>
              <w:right w:val="nil"/>
            </w:tcBorders>
            <w:shd w:val="clear" w:color="000000" w:fill="FFC7CE"/>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-82,9</w:t>
            </w:r>
          </w:p>
        </w:tc>
        <w:tc>
          <w:tcPr>
            <w:tcW w:w="780" w:type="dxa"/>
            <w:tcBorders>
              <w:top w:val="nil"/>
              <w:left w:val="nil"/>
              <w:bottom w:val="single" w:sz="4" w:space="0" w:color="auto"/>
              <w:right w:val="nil"/>
            </w:tcBorders>
            <w:shd w:val="clear" w:color="000000" w:fill="FFC7CE"/>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-74,4</w:t>
            </w:r>
          </w:p>
        </w:tc>
        <w:tc>
          <w:tcPr>
            <w:tcW w:w="779" w:type="dxa"/>
            <w:tcBorders>
              <w:top w:val="nil"/>
              <w:left w:val="nil"/>
              <w:bottom w:val="single" w:sz="4" w:space="0" w:color="auto"/>
              <w:right w:val="nil"/>
            </w:tcBorders>
            <w:shd w:val="clear" w:color="000000" w:fill="FFC7CE"/>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-67,2</w:t>
            </w:r>
          </w:p>
        </w:tc>
        <w:tc>
          <w:tcPr>
            <w:tcW w:w="780" w:type="dxa"/>
            <w:tcBorders>
              <w:top w:val="nil"/>
              <w:left w:val="nil"/>
              <w:bottom w:val="single" w:sz="4" w:space="0" w:color="auto"/>
              <w:right w:val="nil"/>
            </w:tcBorders>
            <w:shd w:val="clear" w:color="000000" w:fill="FFC7CE"/>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-66,4</w:t>
            </w:r>
          </w:p>
        </w:tc>
        <w:tc>
          <w:tcPr>
            <w:tcW w:w="780" w:type="dxa"/>
            <w:tcBorders>
              <w:top w:val="nil"/>
              <w:left w:val="nil"/>
              <w:bottom w:val="single" w:sz="4" w:space="0" w:color="auto"/>
              <w:right w:val="nil"/>
            </w:tcBorders>
            <w:shd w:val="clear" w:color="000000" w:fill="FFC7CE"/>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-66,1</w:t>
            </w:r>
          </w:p>
        </w:tc>
        <w:tc>
          <w:tcPr>
            <w:tcW w:w="779" w:type="dxa"/>
            <w:tcBorders>
              <w:top w:val="nil"/>
              <w:left w:val="nil"/>
              <w:bottom w:val="single" w:sz="4" w:space="0" w:color="auto"/>
              <w:right w:val="nil"/>
            </w:tcBorders>
            <w:shd w:val="clear" w:color="000000" w:fill="FFC7CE"/>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-63,9</w:t>
            </w:r>
          </w:p>
        </w:tc>
        <w:tc>
          <w:tcPr>
            <w:tcW w:w="780" w:type="dxa"/>
            <w:tcBorders>
              <w:top w:val="nil"/>
              <w:left w:val="nil"/>
              <w:bottom w:val="single" w:sz="4" w:space="0" w:color="auto"/>
              <w:right w:val="nil"/>
            </w:tcBorders>
            <w:shd w:val="clear" w:color="000000" w:fill="FFC7CE"/>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-58,9</w:t>
            </w:r>
          </w:p>
        </w:tc>
        <w:tc>
          <w:tcPr>
            <w:tcW w:w="780" w:type="dxa"/>
            <w:tcBorders>
              <w:top w:val="nil"/>
              <w:left w:val="nil"/>
              <w:bottom w:val="single" w:sz="4" w:space="0" w:color="auto"/>
              <w:right w:val="nil"/>
            </w:tcBorders>
            <w:shd w:val="clear" w:color="000000" w:fill="FFC7CE"/>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-56,3</w:t>
            </w:r>
          </w:p>
        </w:tc>
      </w:tr>
      <w:tr w:rsidR="00707C80" w:rsidRPr="009010AE" w:rsidTr="00674CB9">
        <w:trPr>
          <w:trHeight w:val="675"/>
          <w:jc w:val="center"/>
        </w:trPr>
        <w:tc>
          <w:tcPr>
            <w:tcW w:w="1701" w:type="dxa"/>
            <w:tcBorders>
              <w:top w:val="nil"/>
              <w:left w:val="nil"/>
              <w:bottom w:val="single" w:sz="4" w:space="0" w:color="auto"/>
              <w:right w:val="nil"/>
            </w:tcBorders>
            <w:shd w:val="clear" w:color="auto" w:fill="auto"/>
            <w:vAlign w:val="center"/>
            <w:hideMark/>
          </w:tcPr>
          <w:p w:rsidR="00707C80" w:rsidRPr="009010AE" w:rsidRDefault="00707C80" w:rsidP="009010AE">
            <w:pPr>
              <w:spacing w:after="0" w:line="240" w:lineRule="auto"/>
              <w:rPr>
                <w:rFonts w:ascii="Times New Roman" w:hAnsi="Times New Roman" w:cs="Times New Roman"/>
                <w:sz w:val="20"/>
                <w:szCs w:val="20"/>
                <w:lang w:eastAsia="lv-LV"/>
              </w:rPr>
            </w:pPr>
            <w:r w:rsidRPr="009010AE">
              <w:rPr>
                <w:rFonts w:ascii="Times New Roman" w:hAnsi="Times New Roman" w:cs="Times New Roman"/>
                <w:sz w:val="20"/>
                <w:szCs w:val="20"/>
                <w:lang w:eastAsia="lv-LV"/>
              </w:rPr>
              <w:t>Reālais efektīvais valūtas maiņas kurss - 42 tirdzniecības partneri</w:t>
            </w:r>
          </w:p>
        </w:tc>
        <w:tc>
          <w:tcPr>
            <w:tcW w:w="993" w:type="dxa"/>
            <w:tcBorders>
              <w:top w:val="nil"/>
              <w:left w:val="nil"/>
              <w:bottom w:val="single" w:sz="4" w:space="0" w:color="auto"/>
              <w:right w:val="nil"/>
            </w:tcBorders>
            <w:shd w:val="clear" w:color="auto" w:fill="auto"/>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3 gadu % izmaiņas</w:t>
            </w:r>
          </w:p>
        </w:tc>
        <w:tc>
          <w:tcPr>
            <w:tcW w:w="708" w:type="dxa"/>
            <w:tcBorders>
              <w:top w:val="nil"/>
              <w:left w:val="nil"/>
              <w:bottom w:val="single" w:sz="4" w:space="0" w:color="auto"/>
              <w:right w:val="nil"/>
            </w:tcBorders>
            <w:shd w:val="clear" w:color="auto" w:fill="auto"/>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±5%</w:t>
            </w:r>
          </w:p>
        </w:tc>
        <w:tc>
          <w:tcPr>
            <w:tcW w:w="779"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6,7</w:t>
            </w:r>
          </w:p>
        </w:tc>
        <w:tc>
          <w:tcPr>
            <w:tcW w:w="780"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-2,4</w:t>
            </w:r>
          </w:p>
        </w:tc>
        <w:tc>
          <w:tcPr>
            <w:tcW w:w="779"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-8,6</w:t>
            </w:r>
          </w:p>
        </w:tc>
        <w:tc>
          <w:tcPr>
            <w:tcW w:w="780"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-1,7</w:t>
            </w:r>
          </w:p>
        </w:tc>
        <w:tc>
          <w:tcPr>
            <w:tcW w:w="780"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0,4</w:t>
            </w:r>
          </w:p>
        </w:tc>
        <w:tc>
          <w:tcPr>
            <w:tcW w:w="779"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2,6</w:t>
            </w:r>
          </w:p>
        </w:tc>
        <w:tc>
          <w:tcPr>
            <w:tcW w:w="780"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4,9</w:t>
            </w:r>
          </w:p>
        </w:tc>
        <w:tc>
          <w:tcPr>
            <w:tcW w:w="780"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1,7</w:t>
            </w:r>
          </w:p>
        </w:tc>
      </w:tr>
      <w:tr w:rsidR="00707C80" w:rsidRPr="009010AE" w:rsidTr="00674CB9">
        <w:trPr>
          <w:trHeight w:val="315"/>
          <w:jc w:val="center"/>
        </w:trPr>
        <w:tc>
          <w:tcPr>
            <w:tcW w:w="1701" w:type="dxa"/>
            <w:tcBorders>
              <w:top w:val="nil"/>
              <w:left w:val="nil"/>
              <w:bottom w:val="single" w:sz="4" w:space="0" w:color="auto"/>
              <w:right w:val="nil"/>
            </w:tcBorders>
            <w:shd w:val="clear" w:color="auto" w:fill="auto"/>
            <w:vAlign w:val="center"/>
            <w:hideMark/>
          </w:tcPr>
          <w:p w:rsidR="00707C80" w:rsidRPr="009010AE" w:rsidRDefault="00707C80" w:rsidP="009010AE">
            <w:pPr>
              <w:spacing w:after="0" w:line="240" w:lineRule="auto"/>
              <w:rPr>
                <w:rFonts w:ascii="Times New Roman" w:hAnsi="Times New Roman" w:cs="Times New Roman"/>
                <w:sz w:val="20"/>
                <w:szCs w:val="20"/>
                <w:lang w:eastAsia="lv-LV"/>
              </w:rPr>
            </w:pPr>
            <w:r w:rsidRPr="009010AE">
              <w:rPr>
                <w:rFonts w:ascii="Times New Roman" w:hAnsi="Times New Roman" w:cs="Times New Roman"/>
                <w:sz w:val="20"/>
                <w:szCs w:val="20"/>
                <w:lang w:eastAsia="lv-LV"/>
              </w:rPr>
              <w:t>Eksporta tirgus daļa % no pasaules eksporta</w:t>
            </w:r>
          </w:p>
        </w:tc>
        <w:tc>
          <w:tcPr>
            <w:tcW w:w="993" w:type="dxa"/>
            <w:tcBorders>
              <w:top w:val="nil"/>
              <w:left w:val="nil"/>
              <w:bottom w:val="single" w:sz="4" w:space="0" w:color="auto"/>
              <w:right w:val="nil"/>
            </w:tcBorders>
            <w:shd w:val="clear" w:color="auto" w:fill="auto"/>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5 gadu % izmaiņas</w:t>
            </w:r>
          </w:p>
        </w:tc>
        <w:tc>
          <w:tcPr>
            <w:tcW w:w="708" w:type="dxa"/>
            <w:tcBorders>
              <w:top w:val="nil"/>
              <w:left w:val="nil"/>
              <w:bottom w:val="single" w:sz="4" w:space="0" w:color="auto"/>
              <w:right w:val="nil"/>
            </w:tcBorders>
            <w:shd w:val="clear" w:color="auto" w:fill="auto"/>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-6%</w:t>
            </w:r>
          </w:p>
        </w:tc>
        <w:tc>
          <w:tcPr>
            <w:tcW w:w="779"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21,75</w:t>
            </w:r>
          </w:p>
        </w:tc>
        <w:tc>
          <w:tcPr>
            <w:tcW w:w="780"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26,71</w:t>
            </w:r>
          </w:p>
        </w:tc>
        <w:tc>
          <w:tcPr>
            <w:tcW w:w="779"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7,96</w:t>
            </w:r>
          </w:p>
        </w:tc>
        <w:tc>
          <w:tcPr>
            <w:tcW w:w="780"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5,96</w:t>
            </w:r>
          </w:p>
        </w:tc>
        <w:tc>
          <w:tcPr>
            <w:tcW w:w="780"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11,07</w:t>
            </w:r>
          </w:p>
        </w:tc>
        <w:tc>
          <w:tcPr>
            <w:tcW w:w="779"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12,49</w:t>
            </w:r>
          </w:p>
        </w:tc>
        <w:tc>
          <w:tcPr>
            <w:tcW w:w="780"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9,36</w:t>
            </w:r>
          </w:p>
        </w:tc>
        <w:tc>
          <w:tcPr>
            <w:tcW w:w="780"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7,77</w:t>
            </w:r>
          </w:p>
        </w:tc>
      </w:tr>
      <w:tr w:rsidR="00707C80" w:rsidRPr="009010AE" w:rsidTr="00674CB9">
        <w:trPr>
          <w:trHeight w:val="630"/>
          <w:jc w:val="center"/>
        </w:trPr>
        <w:tc>
          <w:tcPr>
            <w:tcW w:w="1701" w:type="dxa"/>
            <w:tcBorders>
              <w:top w:val="nil"/>
              <w:left w:val="nil"/>
              <w:bottom w:val="single" w:sz="4" w:space="0" w:color="auto"/>
              <w:right w:val="nil"/>
            </w:tcBorders>
            <w:shd w:val="clear" w:color="auto" w:fill="auto"/>
            <w:vAlign w:val="center"/>
            <w:hideMark/>
          </w:tcPr>
          <w:p w:rsidR="00707C80" w:rsidRPr="009010AE" w:rsidRDefault="00707C80" w:rsidP="009010AE">
            <w:pPr>
              <w:spacing w:after="0" w:line="240" w:lineRule="auto"/>
              <w:rPr>
                <w:rFonts w:ascii="Times New Roman" w:hAnsi="Times New Roman" w:cs="Times New Roman"/>
                <w:sz w:val="20"/>
                <w:szCs w:val="20"/>
                <w:lang w:eastAsia="lv-LV"/>
              </w:rPr>
            </w:pPr>
            <w:r w:rsidRPr="009010AE">
              <w:rPr>
                <w:rFonts w:ascii="Times New Roman" w:hAnsi="Times New Roman" w:cs="Times New Roman"/>
                <w:sz w:val="20"/>
                <w:szCs w:val="20"/>
                <w:lang w:eastAsia="lv-LV"/>
              </w:rPr>
              <w:t>Nominālās darbaspēka vienības izmaksu indekss (2010=100)</w:t>
            </w:r>
          </w:p>
        </w:tc>
        <w:tc>
          <w:tcPr>
            <w:tcW w:w="993" w:type="dxa"/>
            <w:tcBorders>
              <w:top w:val="nil"/>
              <w:left w:val="nil"/>
              <w:bottom w:val="single" w:sz="4" w:space="0" w:color="auto"/>
              <w:right w:val="nil"/>
            </w:tcBorders>
            <w:shd w:val="clear" w:color="auto" w:fill="auto"/>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3 gadu % izmaiņas</w:t>
            </w:r>
          </w:p>
        </w:tc>
        <w:tc>
          <w:tcPr>
            <w:tcW w:w="708" w:type="dxa"/>
            <w:tcBorders>
              <w:top w:val="nil"/>
              <w:left w:val="nil"/>
              <w:bottom w:val="single" w:sz="4" w:space="0" w:color="auto"/>
              <w:right w:val="nil"/>
            </w:tcBorders>
            <w:shd w:val="clear" w:color="auto" w:fill="auto"/>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9%</w:t>
            </w:r>
          </w:p>
        </w:tc>
        <w:tc>
          <w:tcPr>
            <w:tcW w:w="779"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-2,2</w:t>
            </w:r>
          </w:p>
        </w:tc>
        <w:tc>
          <w:tcPr>
            <w:tcW w:w="780"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-21</w:t>
            </w:r>
          </w:p>
        </w:tc>
        <w:tc>
          <w:tcPr>
            <w:tcW w:w="779"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-6,9</w:t>
            </w:r>
          </w:p>
        </w:tc>
        <w:tc>
          <w:tcPr>
            <w:tcW w:w="780"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8,1</w:t>
            </w:r>
          </w:p>
        </w:tc>
        <w:tc>
          <w:tcPr>
            <w:tcW w:w="780" w:type="dxa"/>
            <w:tcBorders>
              <w:top w:val="nil"/>
              <w:left w:val="nil"/>
              <w:bottom w:val="single" w:sz="4" w:space="0" w:color="auto"/>
              <w:right w:val="nil"/>
            </w:tcBorders>
            <w:shd w:val="clear" w:color="000000" w:fill="FFC7CE"/>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16,3</w:t>
            </w:r>
          </w:p>
        </w:tc>
        <w:tc>
          <w:tcPr>
            <w:tcW w:w="779" w:type="dxa"/>
            <w:tcBorders>
              <w:top w:val="nil"/>
              <w:left w:val="nil"/>
              <w:bottom w:val="single" w:sz="4" w:space="0" w:color="auto"/>
              <w:right w:val="nil"/>
            </w:tcBorders>
            <w:shd w:val="clear" w:color="000000" w:fill="FFC7CE"/>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17,5</w:t>
            </w:r>
          </w:p>
        </w:tc>
        <w:tc>
          <w:tcPr>
            <w:tcW w:w="780" w:type="dxa"/>
            <w:tcBorders>
              <w:top w:val="nil"/>
              <w:left w:val="nil"/>
              <w:bottom w:val="single" w:sz="4" w:space="0" w:color="auto"/>
              <w:right w:val="nil"/>
            </w:tcBorders>
            <w:shd w:val="clear" w:color="000000" w:fill="FFC7CE"/>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16,2</w:t>
            </w:r>
          </w:p>
        </w:tc>
        <w:tc>
          <w:tcPr>
            <w:tcW w:w="780" w:type="dxa"/>
            <w:tcBorders>
              <w:top w:val="nil"/>
              <w:left w:val="nil"/>
              <w:bottom w:val="single" w:sz="4" w:space="0" w:color="auto"/>
              <w:right w:val="nil"/>
            </w:tcBorders>
            <w:shd w:val="clear" w:color="000000" w:fill="FFC7CE"/>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14,7</w:t>
            </w:r>
          </w:p>
        </w:tc>
      </w:tr>
      <w:tr w:rsidR="00707C80" w:rsidRPr="009010AE" w:rsidTr="00674CB9">
        <w:trPr>
          <w:trHeight w:val="315"/>
          <w:jc w:val="center"/>
        </w:trPr>
        <w:tc>
          <w:tcPr>
            <w:tcW w:w="1701" w:type="dxa"/>
            <w:tcBorders>
              <w:top w:val="nil"/>
              <w:left w:val="nil"/>
              <w:bottom w:val="single" w:sz="4" w:space="0" w:color="auto"/>
              <w:right w:val="nil"/>
            </w:tcBorders>
            <w:shd w:val="clear" w:color="auto" w:fill="auto"/>
            <w:vAlign w:val="center"/>
            <w:hideMark/>
          </w:tcPr>
          <w:p w:rsidR="00707C80" w:rsidRPr="009010AE" w:rsidRDefault="00707C80" w:rsidP="009010AE">
            <w:pPr>
              <w:spacing w:after="0" w:line="240" w:lineRule="auto"/>
              <w:rPr>
                <w:rFonts w:ascii="Times New Roman" w:hAnsi="Times New Roman" w:cs="Times New Roman"/>
                <w:sz w:val="20"/>
                <w:szCs w:val="20"/>
                <w:lang w:eastAsia="lv-LV"/>
              </w:rPr>
            </w:pPr>
            <w:r w:rsidRPr="009010AE">
              <w:rPr>
                <w:rFonts w:ascii="Times New Roman" w:hAnsi="Times New Roman" w:cs="Times New Roman"/>
                <w:sz w:val="20"/>
                <w:szCs w:val="20"/>
                <w:lang w:eastAsia="lv-LV"/>
              </w:rPr>
              <w:t>Mājokļu cenu indekss (2015=100)</w:t>
            </w:r>
          </w:p>
        </w:tc>
        <w:tc>
          <w:tcPr>
            <w:tcW w:w="993" w:type="dxa"/>
            <w:tcBorders>
              <w:top w:val="nil"/>
              <w:left w:val="nil"/>
              <w:bottom w:val="single" w:sz="4" w:space="0" w:color="auto"/>
              <w:right w:val="nil"/>
            </w:tcBorders>
            <w:shd w:val="clear" w:color="auto" w:fill="auto"/>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1 gada % izmaiņas</w:t>
            </w:r>
          </w:p>
        </w:tc>
        <w:tc>
          <w:tcPr>
            <w:tcW w:w="708" w:type="dxa"/>
            <w:tcBorders>
              <w:top w:val="nil"/>
              <w:left w:val="nil"/>
              <w:bottom w:val="single" w:sz="4" w:space="0" w:color="auto"/>
              <w:right w:val="nil"/>
            </w:tcBorders>
            <w:shd w:val="clear" w:color="auto" w:fill="auto"/>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6%</w:t>
            </w:r>
          </w:p>
        </w:tc>
        <w:tc>
          <w:tcPr>
            <w:tcW w:w="779"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-8,7</w:t>
            </w:r>
          </w:p>
        </w:tc>
        <w:tc>
          <w:tcPr>
            <w:tcW w:w="780"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4,1</w:t>
            </w:r>
          </w:p>
        </w:tc>
        <w:tc>
          <w:tcPr>
            <w:tcW w:w="779"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-0,4</w:t>
            </w:r>
          </w:p>
        </w:tc>
        <w:tc>
          <w:tcPr>
            <w:tcW w:w="780" w:type="dxa"/>
            <w:tcBorders>
              <w:top w:val="nil"/>
              <w:left w:val="nil"/>
              <w:bottom w:val="single" w:sz="4" w:space="0" w:color="auto"/>
              <w:right w:val="nil"/>
            </w:tcBorders>
            <w:shd w:val="clear" w:color="000000" w:fill="FFC7CE"/>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6,5</w:t>
            </w:r>
          </w:p>
        </w:tc>
        <w:tc>
          <w:tcPr>
            <w:tcW w:w="780"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4,3</w:t>
            </w:r>
          </w:p>
        </w:tc>
        <w:tc>
          <w:tcPr>
            <w:tcW w:w="779"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-2,4</w:t>
            </w:r>
          </w:p>
        </w:tc>
        <w:tc>
          <w:tcPr>
            <w:tcW w:w="780" w:type="dxa"/>
            <w:tcBorders>
              <w:top w:val="nil"/>
              <w:left w:val="nil"/>
              <w:bottom w:val="single" w:sz="4" w:space="0" w:color="auto"/>
              <w:right w:val="nil"/>
            </w:tcBorders>
            <w:shd w:val="clear" w:color="000000" w:fill="FFC7CE"/>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7,4</w:t>
            </w:r>
          </w:p>
        </w:tc>
        <w:tc>
          <w:tcPr>
            <w:tcW w:w="780"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5,5</w:t>
            </w:r>
          </w:p>
        </w:tc>
      </w:tr>
      <w:tr w:rsidR="00707C80" w:rsidRPr="009010AE" w:rsidTr="00674CB9">
        <w:trPr>
          <w:trHeight w:val="315"/>
          <w:jc w:val="center"/>
        </w:trPr>
        <w:tc>
          <w:tcPr>
            <w:tcW w:w="1701" w:type="dxa"/>
            <w:tcBorders>
              <w:top w:val="nil"/>
              <w:left w:val="nil"/>
              <w:bottom w:val="single" w:sz="4" w:space="0" w:color="auto"/>
              <w:right w:val="nil"/>
            </w:tcBorders>
            <w:shd w:val="clear" w:color="auto" w:fill="auto"/>
            <w:vAlign w:val="center"/>
            <w:hideMark/>
          </w:tcPr>
          <w:p w:rsidR="00707C80" w:rsidRPr="009010AE" w:rsidRDefault="00707C80" w:rsidP="009010AE">
            <w:pPr>
              <w:spacing w:after="0" w:line="240" w:lineRule="auto"/>
              <w:rPr>
                <w:rFonts w:ascii="Times New Roman" w:hAnsi="Times New Roman" w:cs="Times New Roman"/>
                <w:sz w:val="20"/>
                <w:szCs w:val="20"/>
                <w:lang w:eastAsia="lv-LV"/>
              </w:rPr>
            </w:pPr>
            <w:r w:rsidRPr="009010AE">
              <w:rPr>
                <w:rFonts w:ascii="Times New Roman" w:hAnsi="Times New Roman" w:cs="Times New Roman"/>
                <w:sz w:val="20"/>
                <w:szCs w:val="20"/>
                <w:lang w:eastAsia="lv-LV"/>
              </w:rPr>
              <w:t xml:space="preserve">Privātā sektora </w:t>
            </w:r>
            <w:proofErr w:type="spellStart"/>
            <w:r w:rsidRPr="009010AE">
              <w:rPr>
                <w:rFonts w:ascii="Times New Roman" w:hAnsi="Times New Roman" w:cs="Times New Roman"/>
                <w:sz w:val="20"/>
                <w:szCs w:val="20"/>
                <w:lang w:eastAsia="lv-LV"/>
              </w:rPr>
              <w:t>kredītplūsma</w:t>
            </w:r>
            <w:proofErr w:type="spellEnd"/>
            <w:r w:rsidRPr="009010AE">
              <w:rPr>
                <w:rFonts w:ascii="Times New Roman" w:hAnsi="Times New Roman" w:cs="Times New Roman"/>
                <w:sz w:val="20"/>
                <w:szCs w:val="20"/>
                <w:lang w:eastAsia="lv-LV"/>
              </w:rPr>
              <w:t xml:space="preserve"> - konsolidēta</w:t>
            </w:r>
          </w:p>
        </w:tc>
        <w:tc>
          <w:tcPr>
            <w:tcW w:w="993" w:type="dxa"/>
            <w:tcBorders>
              <w:top w:val="nil"/>
              <w:left w:val="nil"/>
              <w:bottom w:val="single" w:sz="4" w:space="0" w:color="auto"/>
              <w:right w:val="nil"/>
            </w:tcBorders>
            <w:shd w:val="clear" w:color="auto" w:fill="auto"/>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 no IKP</w:t>
            </w:r>
          </w:p>
        </w:tc>
        <w:tc>
          <w:tcPr>
            <w:tcW w:w="708" w:type="dxa"/>
            <w:tcBorders>
              <w:top w:val="nil"/>
              <w:left w:val="nil"/>
              <w:bottom w:val="single" w:sz="4" w:space="0" w:color="auto"/>
              <w:right w:val="nil"/>
            </w:tcBorders>
            <w:shd w:val="clear" w:color="auto" w:fill="auto"/>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14%</w:t>
            </w:r>
          </w:p>
        </w:tc>
        <w:tc>
          <w:tcPr>
            <w:tcW w:w="779"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2,5</w:t>
            </w:r>
          </w:p>
        </w:tc>
        <w:tc>
          <w:tcPr>
            <w:tcW w:w="780"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-2</w:t>
            </w:r>
          </w:p>
        </w:tc>
        <w:tc>
          <w:tcPr>
            <w:tcW w:w="779"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-2,1</w:t>
            </w:r>
          </w:p>
        </w:tc>
        <w:tc>
          <w:tcPr>
            <w:tcW w:w="780"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0,9</w:t>
            </w:r>
          </w:p>
        </w:tc>
        <w:tc>
          <w:tcPr>
            <w:tcW w:w="780"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-11,8</w:t>
            </w:r>
          </w:p>
        </w:tc>
        <w:tc>
          <w:tcPr>
            <w:tcW w:w="779"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0,7</w:t>
            </w:r>
          </w:p>
        </w:tc>
        <w:tc>
          <w:tcPr>
            <w:tcW w:w="780"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0,3</w:t>
            </w:r>
          </w:p>
        </w:tc>
        <w:tc>
          <w:tcPr>
            <w:tcW w:w="780"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0,3</w:t>
            </w:r>
          </w:p>
        </w:tc>
      </w:tr>
      <w:tr w:rsidR="00707C80" w:rsidRPr="009010AE" w:rsidTr="00674CB9">
        <w:trPr>
          <w:trHeight w:val="315"/>
          <w:jc w:val="center"/>
        </w:trPr>
        <w:tc>
          <w:tcPr>
            <w:tcW w:w="1701" w:type="dxa"/>
            <w:tcBorders>
              <w:top w:val="nil"/>
              <w:left w:val="nil"/>
              <w:bottom w:val="single" w:sz="4" w:space="0" w:color="auto"/>
              <w:right w:val="nil"/>
            </w:tcBorders>
            <w:shd w:val="clear" w:color="auto" w:fill="auto"/>
            <w:vAlign w:val="center"/>
            <w:hideMark/>
          </w:tcPr>
          <w:p w:rsidR="00707C80" w:rsidRPr="009010AE" w:rsidRDefault="00707C80" w:rsidP="009010AE">
            <w:pPr>
              <w:spacing w:after="0" w:line="240" w:lineRule="auto"/>
              <w:rPr>
                <w:rFonts w:ascii="Times New Roman" w:hAnsi="Times New Roman" w:cs="Times New Roman"/>
                <w:sz w:val="20"/>
                <w:szCs w:val="20"/>
                <w:lang w:eastAsia="lv-LV"/>
              </w:rPr>
            </w:pPr>
            <w:r w:rsidRPr="009010AE">
              <w:rPr>
                <w:rFonts w:ascii="Times New Roman" w:hAnsi="Times New Roman" w:cs="Times New Roman"/>
                <w:sz w:val="20"/>
                <w:szCs w:val="20"/>
                <w:lang w:eastAsia="lv-LV"/>
              </w:rPr>
              <w:t>Privātā sektora konsolidētais parāds</w:t>
            </w:r>
          </w:p>
        </w:tc>
        <w:tc>
          <w:tcPr>
            <w:tcW w:w="993" w:type="dxa"/>
            <w:tcBorders>
              <w:top w:val="nil"/>
              <w:left w:val="nil"/>
              <w:bottom w:val="single" w:sz="4" w:space="0" w:color="auto"/>
              <w:right w:val="nil"/>
            </w:tcBorders>
            <w:shd w:val="clear" w:color="auto" w:fill="auto"/>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 no IKP</w:t>
            </w:r>
          </w:p>
        </w:tc>
        <w:tc>
          <w:tcPr>
            <w:tcW w:w="708" w:type="dxa"/>
            <w:tcBorders>
              <w:top w:val="nil"/>
              <w:left w:val="nil"/>
              <w:bottom w:val="single" w:sz="4" w:space="0" w:color="auto"/>
              <w:right w:val="nil"/>
            </w:tcBorders>
            <w:shd w:val="clear" w:color="auto" w:fill="auto"/>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133%</w:t>
            </w:r>
          </w:p>
        </w:tc>
        <w:tc>
          <w:tcPr>
            <w:tcW w:w="779" w:type="dxa"/>
            <w:tcBorders>
              <w:top w:val="nil"/>
              <w:left w:val="nil"/>
              <w:bottom w:val="single" w:sz="4" w:space="0" w:color="auto"/>
              <w:right w:val="nil"/>
            </w:tcBorders>
            <w:shd w:val="clear" w:color="000000" w:fill="FFC7CE"/>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134</w:t>
            </w:r>
          </w:p>
        </w:tc>
        <w:tc>
          <w:tcPr>
            <w:tcW w:w="780"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115,3</w:t>
            </w:r>
          </w:p>
        </w:tc>
        <w:tc>
          <w:tcPr>
            <w:tcW w:w="779"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97,9</w:t>
            </w:r>
          </w:p>
        </w:tc>
        <w:tc>
          <w:tcPr>
            <w:tcW w:w="780"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92,6</w:t>
            </w:r>
          </w:p>
        </w:tc>
        <w:tc>
          <w:tcPr>
            <w:tcW w:w="780"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96,2</w:t>
            </w:r>
          </w:p>
        </w:tc>
        <w:tc>
          <w:tcPr>
            <w:tcW w:w="779"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88,9</w:t>
            </w:r>
          </w:p>
        </w:tc>
        <w:tc>
          <w:tcPr>
            <w:tcW w:w="780"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88,4</w:t>
            </w:r>
          </w:p>
        </w:tc>
        <w:tc>
          <w:tcPr>
            <w:tcW w:w="780"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83,5</w:t>
            </w:r>
          </w:p>
        </w:tc>
      </w:tr>
      <w:tr w:rsidR="00707C80" w:rsidRPr="009010AE" w:rsidTr="00674CB9">
        <w:trPr>
          <w:trHeight w:val="315"/>
          <w:jc w:val="center"/>
        </w:trPr>
        <w:tc>
          <w:tcPr>
            <w:tcW w:w="1701" w:type="dxa"/>
            <w:tcBorders>
              <w:top w:val="nil"/>
              <w:left w:val="nil"/>
              <w:bottom w:val="single" w:sz="4" w:space="0" w:color="auto"/>
              <w:right w:val="nil"/>
            </w:tcBorders>
            <w:shd w:val="clear" w:color="auto" w:fill="auto"/>
            <w:vAlign w:val="center"/>
            <w:hideMark/>
          </w:tcPr>
          <w:p w:rsidR="00707C80" w:rsidRPr="009010AE" w:rsidRDefault="00707C80" w:rsidP="009010AE">
            <w:pPr>
              <w:spacing w:after="0" w:line="240" w:lineRule="auto"/>
              <w:rPr>
                <w:rFonts w:ascii="Times New Roman" w:hAnsi="Times New Roman" w:cs="Times New Roman"/>
                <w:sz w:val="20"/>
                <w:szCs w:val="20"/>
                <w:lang w:eastAsia="lv-LV"/>
              </w:rPr>
            </w:pPr>
            <w:r w:rsidRPr="009010AE">
              <w:rPr>
                <w:rFonts w:ascii="Times New Roman" w:hAnsi="Times New Roman" w:cs="Times New Roman"/>
                <w:sz w:val="20"/>
                <w:szCs w:val="20"/>
                <w:lang w:eastAsia="lv-LV"/>
              </w:rPr>
              <w:t>Vispārējais valdības parāds</w:t>
            </w:r>
          </w:p>
        </w:tc>
        <w:tc>
          <w:tcPr>
            <w:tcW w:w="993" w:type="dxa"/>
            <w:tcBorders>
              <w:top w:val="nil"/>
              <w:left w:val="nil"/>
              <w:bottom w:val="single" w:sz="4" w:space="0" w:color="auto"/>
              <w:right w:val="nil"/>
            </w:tcBorders>
            <w:shd w:val="clear" w:color="auto" w:fill="auto"/>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 no IKP</w:t>
            </w:r>
          </w:p>
        </w:tc>
        <w:tc>
          <w:tcPr>
            <w:tcW w:w="708" w:type="dxa"/>
            <w:tcBorders>
              <w:top w:val="nil"/>
              <w:left w:val="nil"/>
              <w:bottom w:val="single" w:sz="4" w:space="0" w:color="auto"/>
              <w:right w:val="nil"/>
            </w:tcBorders>
            <w:shd w:val="clear" w:color="auto" w:fill="auto"/>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60%</w:t>
            </w:r>
          </w:p>
        </w:tc>
        <w:tc>
          <w:tcPr>
            <w:tcW w:w="779"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46,8</w:t>
            </w:r>
          </w:p>
        </w:tc>
        <w:tc>
          <w:tcPr>
            <w:tcW w:w="780"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42,7</w:t>
            </w:r>
          </w:p>
        </w:tc>
        <w:tc>
          <w:tcPr>
            <w:tcW w:w="779"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41,2</w:t>
            </w:r>
          </w:p>
        </w:tc>
        <w:tc>
          <w:tcPr>
            <w:tcW w:w="780"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39</w:t>
            </w:r>
          </w:p>
        </w:tc>
        <w:tc>
          <w:tcPr>
            <w:tcW w:w="780"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40,9</w:t>
            </w:r>
          </w:p>
        </w:tc>
        <w:tc>
          <w:tcPr>
            <w:tcW w:w="779"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36,8</w:t>
            </w:r>
          </w:p>
        </w:tc>
        <w:tc>
          <w:tcPr>
            <w:tcW w:w="780"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40,5</w:t>
            </w:r>
          </w:p>
        </w:tc>
        <w:tc>
          <w:tcPr>
            <w:tcW w:w="780"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40</w:t>
            </w:r>
          </w:p>
        </w:tc>
      </w:tr>
      <w:tr w:rsidR="00707C80" w:rsidRPr="009010AE" w:rsidTr="00674CB9">
        <w:trPr>
          <w:trHeight w:val="315"/>
          <w:jc w:val="center"/>
        </w:trPr>
        <w:tc>
          <w:tcPr>
            <w:tcW w:w="1701" w:type="dxa"/>
            <w:tcBorders>
              <w:top w:val="nil"/>
              <w:left w:val="nil"/>
              <w:bottom w:val="single" w:sz="4" w:space="0" w:color="auto"/>
              <w:right w:val="nil"/>
            </w:tcBorders>
            <w:shd w:val="clear" w:color="auto" w:fill="auto"/>
            <w:vAlign w:val="center"/>
            <w:hideMark/>
          </w:tcPr>
          <w:p w:rsidR="00707C80" w:rsidRPr="009010AE" w:rsidRDefault="00707C80" w:rsidP="009010AE">
            <w:pPr>
              <w:spacing w:after="0" w:line="240" w:lineRule="auto"/>
              <w:rPr>
                <w:rFonts w:ascii="Times New Roman" w:hAnsi="Times New Roman" w:cs="Times New Roman"/>
                <w:sz w:val="20"/>
                <w:szCs w:val="20"/>
                <w:lang w:eastAsia="lv-LV"/>
              </w:rPr>
            </w:pPr>
            <w:r w:rsidRPr="009010AE">
              <w:rPr>
                <w:rFonts w:ascii="Times New Roman" w:hAnsi="Times New Roman" w:cs="Times New Roman"/>
                <w:sz w:val="20"/>
                <w:szCs w:val="20"/>
                <w:lang w:eastAsia="lv-LV"/>
              </w:rPr>
              <w:t>Bezdarba līmenis</w:t>
            </w:r>
          </w:p>
        </w:tc>
        <w:tc>
          <w:tcPr>
            <w:tcW w:w="993" w:type="dxa"/>
            <w:tcBorders>
              <w:top w:val="nil"/>
              <w:left w:val="nil"/>
              <w:bottom w:val="single" w:sz="4" w:space="0" w:color="auto"/>
              <w:right w:val="nil"/>
            </w:tcBorders>
            <w:shd w:val="clear" w:color="auto" w:fill="auto"/>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3 gadu vidējais</w:t>
            </w:r>
          </w:p>
        </w:tc>
        <w:tc>
          <w:tcPr>
            <w:tcW w:w="708" w:type="dxa"/>
            <w:tcBorders>
              <w:top w:val="nil"/>
              <w:left w:val="nil"/>
              <w:bottom w:val="single" w:sz="4" w:space="0" w:color="auto"/>
              <w:right w:val="nil"/>
            </w:tcBorders>
            <w:shd w:val="clear" w:color="auto" w:fill="auto"/>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10%</w:t>
            </w:r>
          </w:p>
        </w:tc>
        <w:tc>
          <w:tcPr>
            <w:tcW w:w="779" w:type="dxa"/>
            <w:tcBorders>
              <w:top w:val="nil"/>
              <w:left w:val="nil"/>
              <w:bottom w:val="single" w:sz="4" w:space="0" w:color="auto"/>
              <w:right w:val="nil"/>
            </w:tcBorders>
            <w:shd w:val="clear" w:color="000000" w:fill="FFC7CE"/>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14,9</w:t>
            </w:r>
          </w:p>
        </w:tc>
        <w:tc>
          <w:tcPr>
            <w:tcW w:w="780" w:type="dxa"/>
            <w:tcBorders>
              <w:top w:val="nil"/>
              <w:left w:val="nil"/>
              <w:bottom w:val="single" w:sz="4" w:space="0" w:color="auto"/>
              <w:right w:val="nil"/>
            </w:tcBorders>
            <w:shd w:val="clear" w:color="000000" w:fill="FFC7CE"/>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17,7</w:t>
            </w:r>
          </w:p>
        </w:tc>
        <w:tc>
          <w:tcPr>
            <w:tcW w:w="779" w:type="dxa"/>
            <w:tcBorders>
              <w:top w:val="nil"/>
              <w:left w:val="nil"/>
              <w:bottom w:val="single" w:sz="4" w:space="0" w:color="auto"/>
              <w:right w:val="nil"/>
            </w:tcBorders>
            <w:shd w:val="clear" w:color="000000" w:fill="FFC7CE"/>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16,9</w:t>
            </w:r>
          </w:p>
        </w:tc>
        <w:tc>
          <w:tcPr>
            <w:tcW w:w="780" w:type="dxa"/>
            <w:tcBorders>
              <w:top w:val="nil"/>
              <w:left w:val="nil"/>
              <w:bottom w:val="single" w:sz="4" w:space="0" w:color="auto"/>
              <w:right w:val="nil"/>
            </w:tcBorders>
            <w:shd w:val="clear" w:color="000000" w:fill="FFC7CE"/>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14,4</w:t>
            </w:r>
          </w:p>
        </w:tc>
        <w:tc>
          <w:tcPr>
            <w:tcW w:w="780"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12,6</w:t>
            </w:r>
          </w:p>
        </w:tc>
        <w:tc>
          <w:tcPr>
            <w:tcW w:w="779"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10,9</w:t>
            </w:r>
          </w:p>
        </w:tc>
        <w:tc>
          <w:tcPr>
            <w:tcW w:w="780" w:type="dxa"/>
            <w:tcBorders>
              <w:top w:val="nil"/>
              <w:left w:val="nil"/>
              <w:bottom w:val="single" w:sz="4" w:space="0" w:color="auto"/>
              <w:right w:val="nil"/>
            </w:tcBorders>
            <w:shd w:val="clear" w:color="000000" w:fill="FFC7CE"/>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10,1</w:t>
            </w:r>
          </w:p>
        </w:tc>
        <w:tc>
          <w:tcPr>
            <w:tcW w:w="780"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9,4</w:t>
            </w:r>
          </w:p>
        </w:tc>
      </w:tr>
      <w:tr w:rsidR="00707C80" w:rsidRPr="009010AE" w:rsidTr="00674CB9">
        <w:trPr>
          <w:trHeight w:val="630"/>
          <w:jc w:val="center"/>
        </w:trPr>
        <w:tc>
          <w:tcPr>
            <w:tcW w:w="1701" w:type="dxa"/>
            <w:tcBorders>
              <w:top w:val="nil"/>
              <w:left w:val="nil"/>
              <w:bottom w:val="single" w:sz="4" w:space="0" w:color="auto"/>
              <w:right w:val="nil"/>
            </w:tcBorders>
            <w:shd w:val="clear" w:color="auto" w:fill="auto"/>
            <w:vAlign w:val="center"/>
            <w:hideMark/>
          </w:tcPr>
          <w:p w:rsidR="00707C80" w:rsidRPr="009010AE" w:rsidRDefault="00707C80" w:rsidP="009010AE">
            <w:pPr>
              <w:spacing w:after="0" w:line="240" w:lineRule="auto"/>
              <w:rPr>
                <w:rFonts w:ascii="Times New Roman" w:hAnsi="Times New Roman" w:cs="Times New Roman"/>
                <w:sz w:val="20"/>
                <w:szCs w:val="20"/>
                <w:lang w:eastAsia="lv-LV"/>
              </w:rPr>
            </w:pPr>
            <w:r w:rsidRPr="009010AE">
              <w:rPr>
                <w:rFonts w:ascii="Times New Roman" w:hAnsi="Times New Roman" w:cs="Times New Roman"/>
                <w:sz w:val="20"/>
                <w:szCs w:val="20"/>
                <w:lang w:eastAsia="lv-LV"/>
              </w:rPr>
              <w:t xml:space="preserve">Finanšu sektora saistības kopā - </w:t>
            </w:r>
            <w:r w:rsidRPr="009010AE">
              <w:rPr>
                <w:rFonts w:ascii="Times New Roman" w:hAnsi="Times New Roman" w:cs="Times New Roman"/>
                <w:sz w:val="20"/>
                <w:szCs w:val="20"/>
                <w:lang w:eastAsia="lv-LV"/>
              </w:rPr>
              <w:br/>
              <w:t>nekonsolidētas</w:t>
            </w:r>
          </w:p>
        </w:tc>
        <w:tc>
          <w:tcPr>
            <w:tcW w:w="993" w:type="dxa"/>
            <w:tcBorders>
              <w:top w:val="nil"/>
              <w:left w:val="nil"/>
              <w:bottom w:val="single" w:sz="4" w:space="0" w:color="auto"/>
              <w:right w:val="nil"/>
            </w:tcBorders>
            <w:shd w:val="clear" w:color="auto" w:fill="auto"/>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1 gada % izmaiņas</w:t>
            </w:r>
          </w:p>
        </w:tc>
        <w:tc>
          <w:tcPr>
            <w:tcW w:w="708" w:type="dxa"/>
            <w:tcBorders>
              <w:top w:val="nil"/>
              <w:left w:val="nil"/>
              <w:bottom w:val="single" w:sz="4" w:space="0" w:color="auto"/>
              <w:right w:val="nil"/>
            </w:tcBorders>
            <w:shd w:val="clear" w:color="auto" w:fill="auto"/>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16.5%</w:t>
            </w:r>
          </w:p>
        </w:tc>
        <w:tc>
          <w:tcPr>
            <w:tcW w:w="779"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-0,3</w:t>
            </w:r>
          </w:p>
        </w:tc>
        <w:tc>
          <w:tcPr>
            <w:tcW w:w="780"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-4,1</w:t>
            </w:r>
          </w:p>
        </w:tc>
        <w:tc>
          <w:tcPr>
            <w:tcW w:w="779"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5,2</w:t>
            </w:r>
          </w:p>
        </w:tc>
        <w:tc>
          <w:tcPr>
            <w:tcW w:w="780"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5,2</w:t>
            </w:r>
          </w:p>
        </w:tc>
        <w:tc>
          <w:tcPr>
            <w:tcW w:w="780"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10,4</w:t>
            </w:r>
          </w:p>
        </w:tc>
        <w:tc>
          <w:tcPr>
            <w:tcW w:w="779"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12,2</w:t>
            </w:r>
          </w:p>
        </w:tc>
        <w:tc>
          <w:tcPr>
            <w:tcW w:w="780"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5,8</w:t>
            </w:r>
          </w:p>
        </w:tc>
        <w:tc>
          <w:tcPr>
            <w:tcW w:w="780"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6,1</w:t>
            </w:r>
          </w:p>
        </w:tc>
      </w:tr>
      <w:tr w:rsidR="00707C80" w:rsidRPr="009010AE" w:rsidTr="00674CB9">
        <w:trPr>
          <w:trHeight w:val="630"/>
          <w:jc w:val="center"/>
        </w:trPr>
        <w:tc>
          <w:tcPr>
            <w:tcW w:w="1701" w:type="dxa"/>
            <w:tcBorders>
              <w:top w:val="nil"/>
              <w:left w:val="nil"/>
              <w:bottom w:val="single" w:sz="4" w:space="0" w:color="auto"/>
              <w:right w:val="nil"/>
            </w:tcBorders>
            <w:shd w:val="clear" w:color="auto" w:fill="auto"/>
            <w:vAlign w:val="center"/>
            <w:hideMark/>
          </w:tcPr>
          <w:p w:rsidR="00707C80" w:rsidRPr="009010AE" w:rsidRDefault="00707C80" w:rsidP="009010AE">
            <w:pPr>
              <w:spacing w:after="0" w:line="240" w:lineRule="auto"/>
              <w:rPr>
                <w:rFonts w:ascii="Times New Roman" w:hAnsi="Times New Roman" w:cs="Times New Roman"/>
                <w:sz w:val="20"/>
                <w:szCs w:val="20"/>
                <w:lang w:eastAsia="lv-LV"/>
              </w:rPr>
            </w:pPr>
            <w:r w:rsidRPr="009010AE">
              <w:rPr>
                <w:rFonts w:ascii="Times New Roman" w:hAnsi="Times New Roman" w:cs="Times New Roman"/>
                <w:sz w:val="20"/>
                <w:szCs w:val="20"/>
                <w:lang w:eastAsia="lv-LV"/>
              </w:rPr>
              <w:t>Ekonomiski aktīvo iedzīvotāju īpatsvars % no visiem iedzīvotājiem vecuma grupā no 15-64 gadiem</w:t>
            </w:r>
          </w:p>
        </w:tc>
        <w:tc>
          <w:tcPr>
            <w:tcW w:w="993" w:type="dxa"/>
            <w:tcBorders>
              <w:top w:val="nil"/>
              <w:left w:val="nil"/>
              <w:bottom w:val="single" w:sz="4" w:space="0" w:color="auto"/>
              <w:right w:val="nil"/>
            </w:tcBorders>
            <w:shd w:val="clear" w:color="auto" w:fill="auto"/>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3 gadu izmaiņas procentu punktos</w:t>
            </w:r>
          </w:p>
        </w:tc>
        <w:tc>
          <w:tcPr>
            <w:tcW w:w="708" w:type="dxa"/>
            <w:tcBorders>
              <w:top w:val="nil"/>
              <w:left w:val="nil"/>
              <w:bottom w:val="single" w:sz="4" w:space="0" w:color="auto"/>
              <w:right w:val="nil"/>
            </w:tcBorders>
            <w:shd w:val="clear" w:color="auto" w:fill="auto"/>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 xml:space="preserve">-0.2 </w:t>
            </w:r>
            <w:proofErr w:type="spellStart"/>
            <w:r w:rsidRPr="009010AE">
              <w:rPr>
                <w:rFonts w:ascii="Times New Roman" w:hAnsi="Times New Roman" w:cs="Times New Roman"/>
                <w:sz w:val="20"/>
                <w:szCs w:val="20"/>
                <w:lang w:eastAsia="lv-LV"/>
              </w:rPr>
              <w:t>pp</w:t>
            </w:r>
            <w:proofErr w:type="spellEnd"/>
          </w:p>
        </w:tc>
        <w:tc>
          <w:tcPr>
            <w:tcW w:w="779"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0,4</w:t>
            </w:r>
          </w:p>
        </w:tc>
        <w:tc>
          <w:tcPr>
            <w:tcW w:w="780"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-1,4</w:t>
            </w:r>
          </w:p>
        </w:tc>
        <w:tc>
          <w:tcPr>
            <w:tcW w:w="779"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0,9</w:t>
            </w:r>
          </w:p>
        </w:tc>
        <w:tc>
          <w:tcPr>
            <w:tcW w:w="780"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1</w:t>
            </w:r>
          </w:p>
        </w:tc>
        <w:tc>
          <w:tcPr>
            <w:tcW w:w="780"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1,8</w:t>
            </w:r>
          </w:p>
        </w:tc>
        <w:tc>
          <w:tcPr>
            <w:tcW w:w="779"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1,3</w:t>
            </w:r>
          </w:p>
        </w:tc>
        <w:tc>
          <w:tcPr>
            <w:tcW w:w="780"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2,3</w:t>
            </w:r>
          </w:p>
        </w:tc>
        <w:tc>
          <w:tcPr>
            <w:tcW w:w="780"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2,4</w:t>
            </w:r>
          </w:p>
        </w:tc>
      </w:tr>
      <w:tr w:rsidR="00707C80" w:rsidRPr="009010AE" w:rsidTr="00674CB9">
        <w:trPr>
          <w:trHeight w:val="630"/>
          <w:jc w:val="center"/>
        </w:trPr>
        <w:tc>
          <w:tcPr>
            <w:tcW w:w="1701" w:type="dxa"/>
            <w:tcBorders>
              <w:top w:val="nil"/>
              <w:left w:val="nil"/>
              <w:bottom w:val="single" w:sz="4" w:space="0" w:color="auto"/>
              <w:right w:val="nil"/>
            </w:tcBorders>
            <w:shd w:val="clear" w:color="auto" w:fill="auto"/>
            <w:vAlign w:val="center"/>
            <w:hideMark/>
          </w:tcPr>
          <w:p w:rsidR="00707C80" w:rsidRPr="009010AE" w:rsidRDefault="00707C80" w:rsidP="009010AE">
            <w:pPr>
              <w:spacing w:after="0" w:line="240" w:lineRule="auto"/>
              <w:rPr>
                <w:rFonts w:ascii="Times New Roman" w:hAnsi="Times New Roman" w:cs="Times New Roman"/>
                <w:sz w:val="20"/>
                <w:szCs w:val="20"/>
                <w:lang w:eastAsia="lv-LV"/>
              </w:rPr>
            </w:pPr>
            <w:r w:rsidRPr="009010AE">
              <w:rPr>
                <w:rFonts w:ascii="Times New Roman" w:hAnsi="Times New Roman" w:cs="Times New Roman"/>
                <w:sz w:val="20"/>
                <w:szCs w:val="20"/>
                <w:lang w:eastAsia="lv-LV"/>
              </w:rPr>
              <w:t>Ilgtermiņa bezdarba līmenis</w:t>
            </w:r>
            <w:r w:rsidRPr="009010AE">
              <w:rPr>
                <w:rFonts w:ascii="Times New Roman" w:hAnsi="Times New Roman" w:cs="Times New Roman"/>
                <w:sz w:val="20"/>
                <w:szCs w:val="20"/>
                <w:lang w:eastAsia="lv-LV"/>
              </w:rPr>
              <w:br/>
              <w:t>% no ekonomiski aktīvajiem iedzīvotājiem vecuma grupā no 15-74 gadiem</w:t>
            </w:r>
          </w:p>
        </w:tc>
        <w:tc>
          <w:tcPr>
            <w:tcW w:w="993" w:type="dxa"/>
            <w:tcBorders>
              <w:top w:val="nil"/>
              <w:left w:val="nil"/>
              <w:bottom w:val="single" w:sz="4" w:space="0" w:color="auto"/>
              <w:right w:val="nil"/>
            </w:tcBorders>
            <w:shd w:val="clear" w:color="auto" w:fill="auto"/>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3 gadu izmaiņas procentu punktos</w:t>
            </w:r>
          </w:p>
        </w:tc>
        <w:tc>
          <w:tcPr>
            <w:tcW w:w="708" w:type="dxa"/>
            <w:tcBorders>
              <w:top w:val="nil"/>
              <w:left w:val="nil"/>
              <w:bottom w:val="single" w:sz="4" w:space="0" w:color="auto"/>
              <w:right w:val="nil"/>
            </w:tcBorders>
            <w:shd w:val="clear" w:color="auto" w:fill="auto"/>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 xml:space="preserve">0.5 </w:t>
            </w:r>
            <w:proofErr w:type="spellStart"/>
            <w:r w:rsidRPr="009010AE">
              <w:rPr>
                <w:rFonts w:ascii="Times New Roman" w:hAnsi="Times New Roman" w:cs="Times New Roman"/>
                <w:sz w:val="20"/>
                <w:szCs w:val="20"/>
                <w:lang w:eastAsia="lv-LV"/>
              </w:rPr>
              <w:t>pp</w:t>
            </w:r>
            <w:proofErr w:type="spellEnd"/>
          </w:p>
        </w:tc>
        <w:tc>
          <w:tcPr>
            <w:tcW w:w="779" w:type="dxa"/>
            <w:tcBorders>
              <w:top w:val="nil"/>
              <w:left w:val="nil"/>
              <w:bottom w:val="single" w:sz="4" w:space="0" w:color="auto"/>
              <w:right w:val="nil"/>
            </w:tcBorders>
            <w:shd w:val="clear" w:color="000000" w:fill="FFC7CE"/>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7,2</w:t>
            </w:r>
          </w:p>
        </w:tc>
        <w:tc>
          <w:tcPr>
            <w:tcW w:w="780" w:type="dxa"/>
            <w:tcBorders>
              <w:top w:val="nil"/>
              <w:left w:val="nil"/>
              <w:bottom w:val="single" w:sz="4" w:space="0" w:color="auto"/>
              <w:right w:val="nil"/>
            </w:tcBorders>
            <w:shd w:val="clear" w:color="000000" w:fill="FFC7CE"/>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6,9</w:t>
            </w:r>
          </w:p>
        </w:tc>
        <w:tc>
          <w:tcPr>
            <w:tcW w:w="779" w:type="dxa"/>
            <w:tcBorders>
              <w:top w:val="nil"/>
              <w:left w:val="nil"/>
              <w:bottom w:val="single" w:sz="4" w:space="0" w:color="auto"/>
              <w:right w:val="nil"/>
            </w:tcBorders>
            <w:shd w:val="clear" w:color="000000" w:fill="FFC7CE"/>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3,3</w:t>
            </w:r>
          </w:p>
        </w:tc>
        <w:tc>
          <w:tcPr>
            <w:tcW w:w="780"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-3,1</w:t>
            </w:r>
          </w:p>
        </w:tc>
        <w:tc>
          <w:tcPr>
            <w:tcW w:w="780"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-4,2</w:t>
            </w:r>
          </w:p>
        </w:tc>
        <w:tc>
          <w:tcPr>
            <w:tcW w:w="779"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-3,3</w:t>
            </w:r>
          </w:p>
        </w:tc>
        <w:tc>
          <w:tcPr>
            <w:tcW w:w="780"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-1,7</w:t>
            </w:r>
          </w:p>
        </w:tc>
        <w:tc>
          <w:tcPr>
            <w:tcW w:w="780"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-1,3</w:t>
            </w:r>
          </w:p>
        </w:tc>
      </w:tr>
      <w:tr w:rsidR="00707C80" w:rsidRPr="009010AE" w:rsidTr="00674CB9">
        <w:trPr>
          <w:trHeight w:val="630"/>
          <w:jc w:val="center"/>
        </w:trPr>
        <w:tc>
          <w:tcPr>
            <w:tcW w:w="1701" w:type="dxa"/>
            <w:tcBorders>
              <w:top w:val="nil"/>
              <w:left w:val="nil"/>
              <w:bottom w:val="single" w:sz="4" w:space="0" w:color="auto"/>
              <w:right w:val="nil"/>
            </w:tcBorders>
            <w:shd w:val="clear" w:color="auto" w:fill="auto"/>
            <w:hideMark/>
          </w:tcPr>
          <w:p w:rsidR="00707C80" w:rsidRPr="009010AE" w:rsidRDefault="00707C80" w:rsidP="009010AE">
            <w:pPr>
              <w:spacing w:after="0" w:line="240" w:lineRule="auto"/>
              <w:rPr>
                <w:rFonts w:ascii="Times New Roman" w:hAnsi="Times New Roman" w:cs="Times New Roman"/>
                <w:sz w:val="20"/>
                <w:szCs w:val="20"/>
                <w:lang w:eastAsia="lv-LV"/>
              </w:rPr>
            </w:pPr>
            <w:r w:rsidRPr="009010AE">
              <w:rPr>
                <w:rFonts w:ascii="Times New Roman" w:hAnsi="Times New Roman" w:cs="Times New Roman"/>
                <w:sz w:val="20"/>
                <w:szCs w:val="20"/>
                <w:lang w:eastAsia="lv-LV"/>
              </w:rPr>
              <w:t xml:space="preserve">Jauniešu bezdarba līmenis </w:t>
            </w:r>
            <w:r w:rsidRPr="009010AE">
              <w:rPr>
                <w:rFonts w:ascii="Times New Roman" w:hAnsi="Times New Roman" w:cs="Times New Roman"/>
                <w:sz w:val="20"/>
                <w:szCs w:val="20"/>
                <w:lang w:eastAsia="lv-LV"/>
              </w:rPr>
              <w:br/>
              <w:t>% no ekonomiski aktīvajiem iedzīvotājiem vecuma grupā no 15-24 gadiem</w:t>
            </w:r>
          </w:p>
        </w:tc>
        <w:tc>
          <w:tcPr>
            <w:tcW w:w="993" w:type="dxa"/>
            <w:tcBorders>
              <w:top w:val="nil"/>
              <w:left w:val="nil"/>
              <w:bottom w:val="single" w:sz="4" w:space="0" w:color="auto"/>
              <w:right w:val="nil"/>
            </w:tcBorders>
            <w:shd w:val="clear" w:color="auto" w:fill="auto"/>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3 gadu izmaiņas procentu punktos</w:t>
            </w:r>
          </w:p>
        </w:tc>
        <w:tc>
          <w:tcPr>
            <w:tcW w:w="708" w:type="dxa"/>
            <w:tcBorders>
              <w:top w:val="nil"/>
              <w:left w:val="nil"/>
              <w:bottom w:val="single" w:sz="4" w:space="0" w:color="auto"/>
              <w:right w:val="nil"/>
            </w:tcBorders>
            <w:shd w:val="clear" w:color="auto" w:fill="auto"/>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 xml:space="preserve">2 </w:t>
            </w:r>
            <w:proofErr w:type="spellStart"/>
            <w:r w:rsidRPr="009010AE">
              <w:rPr>
                <w:rFonts w:ascii="Times New Roman" w:hAnsi="Times New Roman" w:cs="Times New Roman"/>
                <w:sz w:val="20"/>
                <w:szCs w:val="20"/>
                <w:lang w:eastAsia="lv-LV"/>
              </w:rPr>
              <w:t>pp</w:t>
            </w:r>
            <w:proofErr w:type="spellEnd"/>
          </w:p>
        </w:tc>
        <w:tc>
          <w:tcPr>
            <w:tcW w:w="779" w:type="dxa"/>
            <w:tcBorders>
              <w:top w:val="nil"/>
              <w:left w:val="nil"/>
              <w:bottom w:val="single" w:sz="4" w:space="0" w:color="auto"/>
              <w:right w:val="nil"/>
            </w:tcBorders>
            <w:shd w:val="clear" w:color="000000" w:fill="FFC7CE"/>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25,6</w:t>
            </w:r>
          </w:p>
        </w:tc>
        <w:tc>
          <w:tcPr>
            <w:tcW w:w="780" w:type="dxa"/>
            <w:tcBorders>
              <w:top w:val="nil"/>
              <w:left w:val="nil"/>
              <w:bottom w:val="single" w:sz="4" w:space="0" w:color="auto"/>
              <w:right w:val="nil"/>
            </w:tcBorders>
            <w:shd w:val="clear" w:color="000000" w:fill="FFC7CE"/>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17,4</w:t>
            </w:r>
          </w:p>
        </w:tc>
        <w:tc>
          <w:tcPr>
            <w:tcW w:w="779"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-4,8</w:t>
            </w:r>
          </w:p>
        </w:tc>
        <w:tc>
          <w:tcPr>
            <w:tcW w:w="780"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-13</w:t>
            </w:r>
          </w:p>
        </w:tc>
        <w:tc>
          <w:tcPr>
            <w:tcW w:w="780"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-11,4</w:t>
            </w:r>
          </w:p>
        </w:tc>
        <w:tc>
          <w:tcPr>
            <w:tcW w:w="779"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-12,2</w:t>
            </w:r>
          </w:p>
        </w:tc>
        <w:tc>
          <w:tcPr>
            <w:tcW w:w="780"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-5,9</w:t>
            </w:r>
          </w:p>
        </w:tc>
        <w:tc>
          <w:tcPr>
            <w:tcW w:w="780" w:type="dxa"/>
            <w:tcBorders>
              <w:top w:val="nil"/>
              <w:left w:val="nil"/>
              <w:bottom w:val="single" w:sz="4" w:space="0" w:color="auto"/>
              <w:right w:val="nil"/>
            </w:tcBorders>
            <w:shd w:val="clear" w:color="auto" w:fill="auto"/>
            <w:noWrap/>
            <w:vAlign w:val="center"/>
            <w:hideMark/>
          </w:tcPr>
          <w:p w:rsidR="00707C80" w:rsidRPr="009010AE" w:rsidRDefault="00707C80" w:rsidP="009010AE">
            <w:pPr>
              <w:spacing w:after="0" w:line="240" w:lineRule="auto"/>
              <w:jc w:val="center"/>
              <w:rPr>
                <w:rFonts w:ascii="Times New Roman" w:hAnsi="Times New Roman" w:cs="Times New Roman"/>
                <w:sz w:val="20"/>
                <w:szCs w:val="20"/>
                <w:lang w:eastAsia="lv-LV"/>
              </w:rPr>
            </w:pPr>
            <w:r w:rsidRPr="009010AE">
              <w:rPr>
                <w:rFonts w:ascii="Times New Roman" w:hAnsi="Times New Roman" w:cs="Times New Roman"/>
                <w:sz w:val="20"/>
                <w:szCs w:val="20"/>
                <w:lang w:eastAsia="lv-LV"/>
              </w:rPr>
              <w:t>-2,6</w:t>
            </w:r>
          </w:p>
        </w:tc>
      </w:tr>
    </w:tbl>
    <w:p w:rsidR="00707C80" w:rsidRPr="009010AE" w:rsidRDefault="00707C80" w:rsidP="009010AE">
      <w:pPr>
        <w:spacing w:after="120" w:line="240" w:lineRule="auto"/>
        <w:ind w:firstLine="709"/>
        <w:jc w:val="both"/>
        <w:rPr>
          <w:rFonts w:ascii="Times New Roman" w:hAnsi="Times New Roman" w:cs="Times New Roman"/>
          <w:sz w:val="24"/>
          <w:szCs w:val="24"/>
        </w:rPr>
      </w:pPr>
      <w:r w:rsidRPr="009010AE">
        <w:rPr>
          <w:rFonts w:ascii="Times New Roman" w:hAnsi="Times New Roman" w:cs="Times New Roman"/>
          <w:sz w:val="24"/>
          <w:szCs w:val="24"/>
        </w:rPr>
        <w:lastRenderedPageBreak/>
        <w:t>Analizējot datus par 2018.gada pirmajiem trīs ceturkšņiem redzams, ka arī 2020.gada Agrās brīdināšanas mehānisma ziņojumā varētu tikt pārsniegtas robežvērtības tiem pašiem diviem pamata rādītājiem - neto starptautiskās investīciju bilancē (NIIP, % no IKP) un 3 gadu vidējās procentu izmaiņas vienības darbaspēka izmaksās, kaut abos gadījumos to līknes ir lejupvērstas  jau vairākus gadus.</w:t>
      </w:r>
    </w:p>
    <w:p w:rsidR="00C94F4C" w:rsidRPr="009010AE" w:rsidRDefault="00707C80" w:rsidP="00057613">
      <w:pPr>
        <w:spacing w:after="120" w:line="240" w:lineRule="auto"/>
        <w:ind w:firstLine="709"/>
        <w:jc w:val="both"/>
        <w:rPr>
          <w:rFonts w:ascii="Times New Roman" w:hAnsi="Times New Roman" w:cs="Times New Roman"/>
          <w:sz w:val="24"/>
          <w:szCs w:val="24"/>
        </w:rPr>
      </w:pPr>
      <w:r w:rsidRPr="009010AE">
        <w:rPr>
          <w:rFonts w:ascii="Times New Roman" w:hAnsi="Times New Roman" w:cs="Times New Roman"/>
          <w:sz w:val="24"/>
          <w:szCs w:val="24"/>
        </w:rPr>
        <w:t xml:space="preserve">Šobrīd neskaidrs ir mājokļu cenu indeksa (izmaiņas % gada laikā) robežvērtības rādītāja potenciālais lielums. </w:t>
      </w:r>
      <w:r w:rsidRPr="009010AE">
        <w:rPr>
          <w:rFonts w:ascii="Times New Roman" w:hAnsi="Times New Roman" w:cs="Times New Roman"/>
          <w:sz w:val="24"/>
          <w:szCs w:val="24"/>
          <w:lang w:eastAsia="lv-LV"/>
        </w:rPr>
        <w:t>Lai gan 2017.gadā mājokļu cenu pieaugums samazinājās salīdzinājumā ar 2016.gadu, 2018.gada pirmajā pusē tas atkal paātrinājās.</w:t>
      </w:r>
      <w:r w:rsidRPr="009010AE">
        <w:rPr>
          <w:rFonts w:ascii="Times New Roman" w:hAnsi="Times New Roman" w:cs="Times New Roman"/>
          <w:sz w:val="24"/>
          <w:szCs w:val="24"/>
        </w:rPr>
        <w:t xml:space="preserve"> 2018.gada pirmo trīs ceturkšņu indeksa rādītājs uzrāda </w:t>
      </w:r>
      <w:proofErr w:type="spellStart"/>
      <w:r w:rsidRPr="009010AE">
        <w:rPr>
          <w:rFonts w:ascii="Times New Roman" w:hAnsi="Times New Roman" w:cs="Times New Roman"/>
          <w:sz w:val="24"/>
          <w:szCs w:val="24"/>
        </w:rPr>
        <w:t>augšupvērstu</w:t>
      </w:r>
      <w:proofErr w:type="spellEnd"/>
      <w:r w:rsidRPr="009010AE">
        <w:rPr>
          <w:rFonts w:ascii="Times New Roman" w:hAnsi="Times New Roman" w:cs="Times New Roman"/>
          <w:sz w:val="24"/>
          <w:szCs w:val="24"/>
        </w:rPr>
        <w:t xml:space="preserve"> tendenci, kas pēc pašreizējiem aprēķiniem varētu būt 6,6% gadā un tādējādi robežvērtību pārsniegtu par 0,6 % punktiem. </w:t>
      </w:r>
    </w:p>
    <w:p w:rsidR="00707C80" w:rsidRPr="009010AE" w:rsidRDefault="00707C80" w:rsidP="009010AE">
      <w:pPr>
        <w:spacing w:after="120" w:line="240" w:lineRule="auto"/>
        <w:ind w:firstLine="709"/>
        <w:jc w:val="both"/>
        <w:rPr>
          <w:rFonts w:ascii="Times New Roman" w:hAnsi="Times New Roman" w:cs="Times New Roman"/>
          <w:sz w:val="24"/>
          <w:szCs w:val="24"/>
        </w:rPr>
      </w:pPr>
    </w:p>
    <w:p w:rsidR="00FA75C0" w:rsidRDefault="00001C00" w:rsidP="00E47AA2">
      <w:pPr>
        <w:pStyle w:val="Heading2"/>
        <w:spacing w:before="0" w:after="360" w:line="240" w:lineRule="auto"/>
        <w:jc w:val="center"/>
        <w:rPr>
          <w:rFonts w:ascii="Times New Roman" w:hAnsi="Times New Roman" w:cs="Times New Roman"/>
          <w:b/>
          <w:color w:val="auto"/>
          <w:sz w:val="36"/>
          <w:szCs w:val="36"/>
        </w:rPr>
      </w:pPr>
      <w:r w:rsidRPr="003364E2">
        <w:rPr>
          <w:rFonts w:ascii="Times New Roman" w:hAnsi="Times New Roman" w:cs="Times New Roman"/>
          <w:b/>
          <w:color w:val="auto"/>
          <w:sz w:val="36"/>
          <w:szCs w:val="36"/>
        </w:rPr>
        <w:t>1.4. Makroekonomiskās attīstības scenārijs</w:t>
      </w:r>
    </w:p>
    <w:p w:rsidR="009010AE" w:rsidRPr="009010AE" w:rsidRDefault="009010AE" w:rsidP="009010AE">
      <w:pPr>
        <w:spacing w:after="120" w:line="240" w:lineRule="auto"/>
        <w:ind w:firstLine="709"/>
        <w:jc w:val="both"/>
        <w:rPr>
          <w:rFonts w:ascii="Times New Roman" w:hAnsi="Times New Roman" w:cs="Times New Roman"/>
          <w:sz w:val="24"/>
          <w:szCs w:val="24"/>
        </w:rPr>
      </w:pPr>
    </w:p>
    <w:p w:rsidR="009010AE" w:rsidRPr="009010AE" w:rsidRDefault="009010AE" w:rsidP="009010AE">
      <w:pPr>
        <w:spacing w:after="120" w:line="240" w:lineRule="auto"/>
        <w:ind w:firstLine="709"/>
        <w:jc w:val="both"/>
        <w:rPr>
          <w:rFonts w:ascii="Times New Roman" w:hAnsi="Times New Roman" w:cs="Times New Roman"/>
          <w:sz w:val="24"/>
          <w:szCs w:val="24"/>
        </w:rPr>
      </w:pPr>
      <w:r w:rsidRPr="009010AE">
        <w:rPr>
          <w:rFonts w:ascii="Times New Roman" w:hAnsi="Times New Roman" w:cs="Times New Roman"/>
          <w:sz w:val="24"/>
          <w:szCs w:val="24"/>
        </w:rPr>
        <w:t>Vidēja termiņa makroekonomiskās attīstības scenārijs 2018.-2021.gadam izstrādāts 2018.gada septembrī, ņemot vērā 2018.gada pirmās puses iekšzemes kopprodukta datus un līdz 2018.gada septembrim pieejamo īstermiņa makroekonomisko informāciju.</w:t>
      </w:r>
    </w:p>
    <w:p w:rsidR="009010AE" w:rsidRPr="009010AE" w:rsidRDefault="009010AE" w:rsidP="009010AE">
      <w:pPr>
        <w:spacing w:after="120" w:line="240" w:lineRule="auto"/>
        <w:ind w:firstLine="709"/>
        <w:jc w:val="both"/>
        <w:rPr>
          <w:rFonts w:ascii="Times New Roman" w:hAnsi="Times New Roman" w:cs="Times New Roman"/>
          <w:sz w:val="24"/>
          <w:szCs w:val="24"/>
        </w:rPr>
      </w:pPr>
      <w:r w:rsidRPr="009010AE">
        <w:rPr>
          <w:rFonts w:ascii="Times New Roman" w:hAnsi="Times New Roman" w:cs="Times New Roman"/>
          <w:sz w:val="24"/>
          <w:szCs w:val="24"/>
        </w:rPr>
        <w:t xml:space="preserve">Izstrādājot makroekonomisko rādītāju prognozes, FM ir konsultējusies ar </w:t>
      </w:r>
      <w:r w:rsidR="00AB3AC0">
        <w:rPr>
          <w:rFonts w:ascii="Times New Roman" w:hAnsi="Times New Roman" w:cs="Times New Roman"/>
          <w:sz w:val="24"/>
          <w:szCs w:val="24"/>
        </w:rPr>
        <w:t>SVF</w:t>
      </w:r>
      <w:r w:rsidRPr="009010AE">
        <w:rPr>
          <w:rFonts w:ascii="Times New Roman" w:hAnsi="Times New Roman" w:cs="Times New Roman"/>
          <w:sz w:val="24"/>
          <w:szCs w:val="24"/>
        </w:rPr>
        <w:t xml:space="preserve"> un </w:t>
      </w:r>
      <w:r w:rsidR="00AB3AC0">
        <w:rPr>
          <w:rFonts w:ascii="Times New Roman" w:hAnsi="Times New Roman" w:cs="Times New Roman"/>
          <w:sz w:val="24"/>
          <w:szCs w:val="24"/>
        </w:rPr>
        <w:t>EK</w:t>
      </w:r>
      <w:r w:rsidRPr="009010AE">
        <w:rPr>
          <w:rFonts w:ascii="Times New Roman" w:hAnsi="Times New Roman" w:cs="Times New Roman"/>
          <w:sz w:val="24"/>
          <w:szCs w:val="24"/>
        </w:rPr>
        <w:t xml:space="preserve"> ekspertiem. Izstrādātās makroekonomisko rādītāju prognozes ir saskaņotas ar Latvijas Banku </w:t>
      </w:r>
      <w:r w:rsidR="00DF18C6">
        <w:rPr>
          <w:rFonts w:ascii="Times New Roman" w:hAnsi="Times New Roman" w:cs="Times New Roman"/>
          <w:sz w:val="24"/>
          <w:szCs w:val="24"/>
        </w:rPr>
        <w:t xml:space="preserve">(LB) </w:t>
      </w:r>
      <w:r w:rsidRPr="009010AE">
        <w:rPr>
          <w:rFonts w:ascii="Times New Roman" w:hAnsi="Times New Roman" w:cs="Times New Roman"/>
          <w:sz w:val="24"/>
          <w:szCs w:val="24"/>
        </w:rPr>
        <w:t>un Ekonomikas ministriju</w:t>
      </w:r>
      <w:r w:rsidR="00DF18C6">
        <w:rPr>
          <w:rFonts w:ascii="Times New Roman" w:hAnsi="Times New Roman" w:cs="Times New Roman"/>
          <w:sz w:val="24"/>
          <w:szCs w:val="24"/>
        </w:rPr>
        <w:t xml:space="preserve"> (EM)</w:t>
      </w:r>
      <w:r w:rsidRPr="009010AE">
        <w:rPr>
          <w:rFonts w:ascii="Times New Roman" w:hAnsi="Times New Roman" w:cs="Times New Roman"/>
          <w:sz w:val="24"/>
          <w:szCs w:val="24"/>
        </w:rPr>
        <w:t>, parakstot vienošanās protokolu. Prognozes 2018.-2021.gadam ir arī apstiprinājusi Fiskālās disciplīnas padome</w:t>
      </w:r>
      <w:r w:rsidR="00DF18C6">
        <w:rPr>
          <w:rFonts w:ascii="Times New Roman" w:hAnsi="Times New Roman" w:cs="Times New Roman"/>
          <w:sz w:val="24"/>
          <w:szCs w:val="24"/>
        </w:rPr>
        <w:t xml:space="preserve"> (FDP)</w:t>
      </w:r>
      <w:r w:rsidRPr="009010AE">
        <w:rPr>
          <w:rFonts w:ascii="Times New Roman" w:hAnsi="Times New Roman" w:cs="Times New Roman"/>
          <w:sz w:val="24"/>
          <w:szCs w:val="24"/>
        </w:rPr>
        <w:t xml:space="preserve">. Izstrādātās makroekonomisko rādītāju prognozes izmantotas par pamatu Latvijas </w:t>
      </w:r>
      <w:r w:rsidRPr="009010AE">
        <w:rPr>
          <w:rFonts w:ascii="Times New Roman" w:eastAsia="Calibri" w:hAnsi="Times New Roman" w:cs="Times New Roman"/>
          <w:color w:val="000000"/>
          <w:sz w:val="24"/>
          <w:szCs w:val="24"/>
        </w:rPr>
        <w:t xml:space="preserve">Vispārējās valdības budžeta plāna projektam 2019.gadam, kas 15.oktobrī tika iesniegts </w:t>
      </w:r>
      <w:r w:rsidR="00DF18C6">
        <w:rPr>
          <w:rFonts w:ascii="Times New Roman" w:eastAsia="Calibri" w:hAnsi="Times New Roman" w:cs="Times New Roman"/>
          <w:color w:val="000000"/>
          <w:sz w:val="24"/>
          <w:szCs w:val="24"/>
        </w:rPr>
        <w:t>EK</w:t>
      </w:r>
      <w:r w:rsidRPr="009010AE">
        <w:rPr>
          <w:rFonts w:ascii="Times New Roman" w:eastAsia="Calibri" w:hAnsi="Times New Roman" w:cs="Times New Roman"/>
          <w:color w:val="000000"/>
          <w:sz w:val="24"/>
          <w:szCs w:val="24"/>
        </w:rPr>
        <w:t xml:space="preserve">, kā arī </w:t>
      </w:r>
      <w:r w:rsidRPr="009010AE">
        <w:rPr>
          <w:rFonts w:ascii="Times New Roman" w:hAnsi="Times New Roman" w:cs="Times New Roman"/>
          <w:sz w:val="24"/>
          <w:szCs w:val="24"/>
        </w:rPr>
        <w:t>Latvijas vidēja termiņa budžeta ietvara 2019.-2021.gadam un gadskārtējā valsts budžeta likuma izstrādei.</w:t>
      </w:r>
    </w:p>
    <w:p w:rsidR="009010AE" w:rsidRPr="009010AE" w:rsidRDefault="009010AE" w:rsidP="009010AE">
      <w:pPr>
        <w:spacing w:after="120" w:line="240" w:lineRule="auto"/>
        <w:ind w:firstLine="709"/>
        <w:jc w:val="both"/>
        <w:rPr>
          <w:rFonts w:ascii="Times New Roman" w:hAnsi="Times New Roman" w:cs="Times New Roman"/>
          <w:sz w:val="24"/>
          <w:szCs w:val="24"/>
        </w:rPr>
      </w:pPr>
      <w:r w:rsidRPr="009010AE">
        <w:rPr>
          <w:rFonts w:ascii="Times New Roman" w:hAnsi="Times New Roman" w:cs="Times New Roman"/>
          <w:sz w:val="24"/>
          <w:szCs w:val="24"/>
        </w:rPr>
        <w:t xml:space="preserve"> Salīdzinājumā ar Latvijas Stabilitātes programmas 2018.–2021.gadam prognozēm, kas tika  izstrādātas 2018.gada februārī, Latvijas </w:t>
      </w:r>
      <w:r w:rsidR="00DF18C6">
        <w:rPr>
          <w:rFonts w:ascii="Times New Roman" w:hAnsi="Times New Roman" w:cs="Times New Roman"/>
          <w:sz w:val="24"/>
          <w:szCs w:val="24"/>
        </w:rPr>
        <w:t>IKP</w:t>
      </w:r>
      <w:r w:rsidRPr="009010AE">
        <w:rPr>
          <w:rFonts w:ascii="Times New Roman" w:hAnsi="Times New Roman" w:cs="Times New Roman"/>
          <w:sz w:val="24"/>
          <w:szCs w:val="24"/>
        </w:rPr>
        <w:t xml:space="preserve"> pieaugums 2018.gadā ir bijis par 0,8 procentpunktiem straujāks, bet izaugsmes prognoze 2019.gadam samazināta par 0,4 procentpunktiem līdz 3,0% (sk</w:t>
      </w:r>
      <w:r w:rsidR="00DF18C6">
        <w:rPr>
          <w:rFonts w:ascii="Times New Roman" w:hAnsi="Times New Roman" w:cs="Times New Roman"/>
          <w:sz w:val="24"/>
          <w:szCs w:val="24"/>
        </w:rPr>
        <w:t>at</w:t>
      </w:r>
      <w:r w:rsidRPr="009010AE">
        <w:rPr>
          <w:rFonts w:ascii="Times New Roman" w:hAnsi="Times New Roman" w:cs="Times New Roman"/>
          <w:sz w:val="24"/>
          <w:szCs w:val="24"/>
        </w:rPr>
        <w:t>. 1.tabulu)</w:t>
      </w:r>
      <w:r>
        <w:rPr>
          <w:rFonts w:ascii="Times New Roman" w:hAnsi="Times New Roman" w:cs="Times New Roman"/>
          <w:sz w:val="24"/>
          <w:szCs w:val="24"/>
        </w:rPr>
        <w:t>.</w:t>
      </w:r>
    </w:p>
    <w:p w:rsidR="009010AE" w:rsidRPr="009010AE" w:rsidRDefault="009010AE" w:rsidP="009010AE">
      <w:pPr>
        <w:spacing w:after="120"/>
        <w:rPr>
          <w:rFonts w:ascii="Times New Roman" w:hAnsi="Times New Roman" w:cs="Times New Roman"/>
          <w:sz w:val="24"/>
          <w:szCs w:val="24"/>
        </w:rPr>
      </w:pPr>
    </w:p>
    <w:p w:rsidR="009010AE" w:rsidRPr="006019A7" w:rsidRDefault="009010AE" w:rsidP="009010AE">
      <w:pPr>
        <w:pStyle w:val="ListParagraph"/>
        <w:numPr>
          <w:ilvl w:val="1"/>
          <w:numId w:val="21"/>
        </w:numPr>
        <w:spacing w:before="60" w:after="60"/>
        <w:contextualSpacing/>
        <w:jc w:val="center"/>
        <w:rPr>
          <w:b/>
          <w:i/>
        </w:rPr>
      </w:pPr>
      <w:r w:rsidRPr="006019A7">
        <w:rPr>
          <w:b/>
          <w:i/>
        </w:rPr>
        <w:t>tabula. Makroekonomiskie rādītāji 2017. – 2021.gadā</w:t>
      </w:r>
    </w:p>
    <w:tbl>
      <w:tblPr>
        <w:tblW w:w="8500" w:type="dxa"/>
        <w:jc w:val="center"/>
        <w:tblLayout w:type="fixed"/>
        <w:tblLook w:val="04A0" w:firstRow="1" w:lastRow="0" w:firstColumn="1" w:lastColumn="0" w:noHBand="0" w:noVBand="1"/>
      </w:tblPr>
      <w:tblGrid>
        <w:gridCol w:w="3820"/>
        <w:gridCol w:w="935"/>
        <w:gridCol w:w="935"/>
        <w:gridCol w:w="936"/>
        <w:gridCol w:w="935"/>
        <w:gridCol w:w="939"/>
      </w:tblGrid>
      <w:tr w:rsidR="009010AE" w:rsidRPr="009010AE" w:rsidTr="00674CB9">
        <w:trPr>
          <w:trHeight w:val="30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0AE" w:rsidRPr="009010AE" w:rsidRDefault="009010AE" w:rsidP="009010AE">
            <w:pPr>
              <w:spacing w:after="120" w:line="240" w:lineRule="auto"/>
              <w:ind w:firstLine="25"/>
              <w:rPr>
                <w:rFonts w:ascii="Times New Roman" w:eastAsia="Times New Roman" w:hAnsi="Times New Roman" w:cs="Times New Roman"/>
                <w:lang w:eastAsia="lv-LV"/>
              </w:rPr>
            </w:pPr>
          </w:p>
        </w:tc>
        <w:tc>
          <w:tcPr>
            <w:tcW w:w="935" w:type="dxa"/>
            <w:tcBorders>
              <w:top w:val="single" w:sz="4" w:space="0" w:color="auto"/>
              <w:left w:val="nil"/>
              <w:bottom w:val="single" w:sz="4" w:space="0" w:color="auto"/>
              <w:right w:val="single" w:sz="4" w:space="0" w:color="auto"/>
            </w:tcBorders>
            <w:shd w:val="clear" w:color="auto" w:fill="auto"/>
            <w:noWrap/>
            <w:vAlign w:val="center"/>
            <w:hideMark/>
          </w:tcPr>
          <w:p w:rsidR="009010AE" w:rsidRPr="009010AE" w:rsidRDefault="009010AE" w:rsidP="009010AE">
            <w:pPr>
              <w:spacing w:after="120" w:line="240" w:lineRule="auto"/>
              <w:ind w:firstLine="25"/>
              <w:rPr>
                <w:rFonts w:ascii="Times New Roman" w:hAnsi="Times New Roman" w:cs="Times New Roman"/>
                <w:lang w:eastAsia="lv-LV"/>
              </w:rPr>
            </w:pPr>
            <w:r w:rsidRPr="009010AE">
              <w:rPr>
                <w:rFonts w:ascii="Times New Roman" w:hAnsi="Times New Roman" w:cs="Times New Roman"/>
                <w:lang w:eastAsia="lv-LV"/>
              </w:rPr>
              <w:t>2017</w:t>
            </w:r>
          </w:p>
        </w:tc>
        <w:tc>
          <w:tcPr>
            <w:tcW w:w="935" w:type="dxa"/>
            <w:tcBorders>
              <w:top w:val="single" w:sz="4" w:space="0" w:color="auto"/>
              <w:left w:val="nil"/>
              <w:bottom w:val="single" w:sz="4" w:space="0" w:color="auto"/>
              <w:right w:val="single" w:sz="4" w:space="0" w:color="auto"/>
            </w:tcBorders>
            <w:shd w:val="clear" w:color="auto" w:fill="EAF1DD"/>
            <w:noWrap/>
            <w:vAlign w:val="center"/>
          </w:tcPr>
          <w:p w:rsidR="009010AE" w:rsidRPr="009010AE" w:rsidRDefault="009010AE" w:rsidP="0003350A">
            <w:pPr>
              <w:spacing w:after="120" w:line="240" w:lineRule="auto"/>
              <w:ind w:firstLine="25"/>
              <w:rPr>
                <w:rFonts w:ascii="Times New Roman" w:hAnsi="Times New Roman" w:cs="Times New Roman"/>
                <w:lang w:eastAsia="lv-LV"/>
              </w:rPr>
            </w:pPr>
            <w:r w:rsidRPr="009010AE">
              <w:rPr>
                <w:rFonts w:ascii="Times New Roman" w:hAnsi="Times New Roman" w:cs="Times New Roman"/>
                <w:lang w:eastAsia="lv-LV"/>
              </w:rPr>
              <w:t>2018</w:t>
            </w:r>
            <w:r w:rsidR="0003350A" w:rsidRPr="0003350A">
              <w:rPr>
                <w:rFonts w:ascii="Times New Roman" w:hAnsi="Times New Roman" w:cs="Times New Roman"/>
                <w:vertAlign w:val="superscript"/>
                <w:lang w:eastAsia="lv-LV"/>
              </w:rPr>
              <w:t>1</w:t>
            </w:r>
          </w:p>
        </w:tc>
        <w:tc>
          <w:tcPr>
            <w:tcW w:w="936" w:type="dxa"/>
            <w:tcBorders>
              <w:top w:val="single" w:sz="4" w:space="0" w:color="auto"/>
              <w:left w:val="nil"/>
              <w:bottom w:val="single" w:sz="4" w:space="0" w:color="auto"/>
              <w:right w:val="single" w:sz="4" w:space="0" w:color="auto"/>
            </w:tcBorders>
            <w:shd w:val="clear" w:color="auto" w:fill="EAF1DD"/>
            <w:noWrap/>
            <w:vAlign w:val="center"/>
          </w:tcPr>
          <w:p w:rsidR="009010AE" w:rsidRPr="009010AE" w:rsidRDefault="009010AE" w:rsidP="009010AE">
            <w:pPr>
              <w:spacing w:after="120" w:line="240" w:lineRule="auto"/>
              <w:ind w:firstLine="25"/>
              <w:rPr>
                <w:rFonts w:ascii="Times New Roman" w:hAnsi="Times New Roman" w:cs="Times New Roman"/>
                <w:lang w:eastAsia="lv-LV"/>
              </w:rPr>
            </w:pPr>
            <w:r w:rsidRPr="009010AE">
              <w:rPr>
                <w:rFonts w:ascii="Times New Roman" w:hAnsi="Times New Roman" w:cs="Times New Roman"/>
                <w:lang w:eastAsia="lv-LV"/>
              </w:rPr>
              <w:t>2019</w:t>
            </w:r>
          </w:p>
        </w:tc>
        <w:tc>
          <w:tcPr>
            <w:tcW w:w="935" w:type="dxa"/>
            <w:tcBorders>
              <w:top w:val="single" w:sz="4" w:space="0" w:color="auto"/>
              <w:left w:val="nil"/>
              <w:bottom w:val="single" w:sz="4" w:space="0" w:color="auto"/>
              <w:right w:val="single" w:sz="4" w:space="0" w:color="auto"/>
            </w:tcBorders>
            <w:shd w:val="clear" w:color="auto" w:fill="EAF1DD"/>
            <w:noWrap/>
            <w:vAlign w:val="center"/>
          </w:tcPr>
          <w:p w:rsidR="009010AE" w:rsidRPr="009010AE" w:rsidRDefault="009010AE" w:rsidP="009010AE">
            <w:pPr>
              <w:spacing w:after="120" w:line="240" w:lineRule="auto"/>
              <w:ind w:firstLine="25"/>
              <w:rPr>
                <w:rFonts w:ascii="Times New Roman" w:hAnsi="Times New Roman" w:cs="Times New Roman"/>
                <w:lang w:eastAsia="lv-LV"/>
              </w:rPr>
            </w:pPr>
            <w:r w:rsidRPr="009010AE">
              <w:rPr>
                <w:rFonts w:ascii="Times New Roman" w:hAnsi="Times New Roman" w:cs="Times New Roman"/>
                <w:lang w:eastAsia="lv-LV"/>
              </w:rPr>
              <w:t>2020</w:t>
            </w:r>
          </w:p>
        </w:tc>
        <w:tc>
          <w:tcPr>
            <w:tcW w:w="936" w:type="dxa"/>
            <w:tcBorders>
              <w:top w:val="single" w:sz="4" w:space="0" w:color="auto"/>
              <w:left w:val="nil"/>
              <w:bottom w:val="single" w:sz="4" w:space="0" w:color="auto"/>
              <w:right w:val="single" w:sz="4" w:space="0" w:color="auto"/>
            </w:tcBorders>
            <w:shd w:val="clear" w:color="auto" w:fill="EAF1DD"/>
            <w:noWrap/>
            <w:vAlign w:val="center"/>
          </w:tcPr>
          <w:p w:rsidR="009010AE" w:rsidRPr="009010AE" w:rsidRDefault="009010AE" w:rsidP="009010AE">
            <w:pPr>
              <w:spacing w:after="120" w:line="240" w:lineRule="auto"/>
              <w:ind w:firstLine="25"/>
              <w:rPr>
                <w:rFonts w:ascii="Times New Roman" w:hAnsi="Times New Roman" w:cs="Times New Roman"/>
                <w:lang w:eastAsia="lv-LV"/>
              </w:rPr>
            </w:pPr>
            <w:r w:rsidRPr="009010AE">
              <w:rPr>
                <w:rFonts w:ascii="Times New Roman" w:hAnsi="Times New Roman" w:cs="Times New Roman"/>
                <w:lang w:eastAsia="lv-LV"/>
              </w:rPr>
              <w:t>2021</w:t>
            </w:r>
          </w:p>
        </w:tc>
      </w:tr>
      <w:tr w:rsidR="009010AE" w:rsidRPr="009010AE" w:rsidTr="00674CB9">
        <w:trPr>
          <w:trHeight w:val="30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10AE" w:rsidRPr="009010AE" w:rsidRDefault="009010AE" w:rsidP="009010AE">
            <w:pPr>
              <w:spacing w:after="120" w:line="240" w:lineRule="auto"/>
              <w:ind w:firstLine="25"/>
              <w:rPr>
                <w:rFonts w:ascii="Times New Roman" w:hAnsi="Times New Roman" w:cs="Times New Roman"/>
                <w:lang w:eastAsia="lv-LV"/>
              </w:rPr>
            </w:pPr>
          </w:p>
        </w:tc>
        <w:tc>
          <w:tcPr>
            <w:tcW w:w="932" w:type="dxa"/>
            <w:tcBorders>
              <w:top w:val="single" w:sz="4" w:space="0" w:color="auto"/>
              <w:left w:val="nil"/>
              <w:bottom w:val="single" w:sz="4" w:space="0" w:color="auto"/>
              <w:right w:val="single" w:sz="4" w:space="0" w:color="auto"/>
            </w:tcBorders>
            <w:shd w:val="clear" w:color="auto" w:fill="auto"/>
            <w:noWrap/>
            <w:vAlign w:val="center"/>
          </w:tcPr>
          <w:p w:rsidR="009010AE" w:rsidRPr="009010AE" w:rsidRDefault="009010AE" w:rsidP="009010AE">
            <w:pPr>
              <w:spacing w:after="120" w:line="240" w:lineRule="auto"/>
              <w:ind w:firstLine="25"/>
              <w:rPr>
                <w:rFonts w:ascii="Times New Roman" w:hAnsi="Times New Roman" w:cs="Times New Roman"/>
                <w:lang w:eastAsia="lv-LV"/>
              </w:rPr>
            </w:pPr>
            <w:r w:rsidRPr="009010AE">
              <w:rPr>
                <w:rFonts w:ascii="Times New Roman" w:hAnsi="Times New Roman" w:cs="Times New Roman"/>
                <w:lang w:eastAsia="lv-LV"/>
              </w:rPr>
              <w:t>fakts</w:t>
            </w:r>
          </w:p>
        </w:tc>
        <w:tc>
          <w:tcPr>
            <w:tcW w:w="3745" w:type="dxa"/>
            <w:gridSpan w:val="4"/>
            <w:tcBorders>
              <w:top w:val="single" w:sz="4" w:space="0" w:color="auto"/>
              <w:left w:val="nil"/>
              <w:bottom w:val="single" w:sz="4" w:space="0" w:color="auto"/>
              <w:right w:val="single" w:sz="4" w:space="0" w:color="auto"/>
            </w:tcBorders>
            <w:shd w:val="clear" w:color="auto" w:fill="EAF1DD"/>
            <w:noWrap/>
            <w:vAlign w:val="center"/>
          </w:tcPr>
          <w:p w:rsidR="009010AE" w:rsidRPr="009010AE" w:rsidRDefault="009010AE" w:rsidP="009010AE">
            <w:pPr>
              <w:spacing w:after="120" w:line="240" w:lineRule="auto"/>
              <w:ind w:firstLine="25"/>
              <w:rPr>
                <w:rFonts w:ascii="Times New Roman" w:hAnsi="Times New Roman" w:cs="Times New Roman"/>
                <w:lang w:eastAsia="lv-LV"/>
              </w:rPr>
            </w:pPr>
            <w:r w:rsidRPr="009010AE">
              <w:rPr>
                <w:rFonts w:ascii="Times New Roman" w:hAnsi="Times New Roman" w:cs="Times New Roman"/>
                <w:lang w:eastAsia="lv-LV"/>
              </w:rPr>
              <w:t>prognoze</w:t>
            </w:r>
          </w:p>
        </w:tc>
      </w:tr>
      <w:tr w:rsidR="009010AE" w:rsidRPr="009010AE" w:rsidTr="00674CB9">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rsidR="009010AE" w:rsidRPr="009010AE" w:rsidRDefault="009010AE" w:rsidP="009010AE">
            <w:pPr>
              <w:spacing w:after="120" w:line="240" w:lineRule="auto"/>
              <w:ind w:firstLine="25"/>
              <w:rPr>
                <w:rFonts w:ascii="Times New Roman" w:hAnsi="Times New Roman" w:cs="Times New Roman"/>
                <w:noProof/>
                <w:lang w:eastAsia="lv-LV"/>
              </w:rPr>
            </w:pPr>
            <w:r w:rsidRPr="009010AE">
              <w:rPr>
                <w:rFonts w:ascii="Times New Roman" w:hAnsi="Times New Roman" w:cs="Times New Roman"/>
                <w:noProof/>
                <w:lang w:eastAsia="lv-LV"/>
              </w:rPr>
              <w:t xml:space="preserve">Iekšzemes kopprodukts (IKP), </w:t>
            </w:r>
            <w:r w:rsidRPr="009010AE">
              <w:rPr>
                <w:rFonts w:ascii="Times New Roman" w:hAnsi="Times New Roman" w:cs="Times New Roman"/>
                <w:noProof/>
                <w:lang w:eastAsia="lv-LV"/>
              </w:rPr>
              <w:br/>
              <w:t xml:space="preserve">milj. </w:t>
            </w:r>
            <w:r w:rsidRPr="009010AE">
              <w:rPr>
                <w:rFonts w:ascii="Times New Roman" w:hAnsi="Times New Roman" w:cs="Times New Roman"/>
                <w:i/>
                <w:noProof/>
                <w:lang w:eastAsia="lv-LV"/>
              </w:rPr>
              <w:t>euro</w:t>
            </w:r>
          </w:p>
        </w:tc>
        <w:tc>
          <w:tcPr>
            <w:tcW w:w="935" w:type="dxa"/>
            <w:tcBorders>
              <w:top w:val="single" w:sz="4" w:space="0" w:color="auto"/>
              <w:left w:val="nil"/>
              <w:bottom w:val="single" w:sz="4" w:space="0" w:color="auto"/>
              <w:right w:val="single" w:sz="4" w:space="0" w:color="auto"/>
            </w:tcBorders>
            <w:shd w:val="clear" w:color="auto" w:fill="auto"/>
            <w:noWrap/>
            <w:tcMar>
              <w:right w:w="170" w:type="dxa"/>
            </w:tcMar>
            <w:vAlign w:val="center"/>
          </w:tcPr>
          <w:p w:rsidR="009010AE" w:rsidRPr="009010AE" w:rsidRDefault="009010AE" w:rsidP="009010AE">
            <w:pPr>
              <w:spacing w:after="120" w:line="240" w:lineRule="auto"/>
              <w:ind w:firstLine="25"/>
              <w:rPr>
                <w:rFonts w:ascii="Times New Roman" w:hAnsi="Times New Roman" w:cs="Times New Roman"/>
              </w:rPr>
            </w:pPr>
            <w:r w:rsidRPr="009010AE">
              <w:rPr>
                <w:rFonts w:ascii="Times New Roman" w:hAnsi="Times New Roman" w:cs="Times New Roman"/>
              </w:rPr>
              <w:t>27 033</w:t>
            </w:r>
          </w:p>
        </w:tc>
        <w:tc>
          <w:tcPr>
            <w:tcW w:w="935" w:type="dxa"/>
            <w:tcBorders>
              <w:top w:val="nil"/>
              <w:left w:val="nil"/>
              <w:bottom w:val="single" w:sz="4" w:space="0" w:color="auto"/>
              <w:right w:val="single" w:sz="4" w:space="0" w:color="auto"/>
            </w:tcBorders>
            <w:shd w:val="clear" w:color="auto" w:fill="EAF1DD"/>
            <w:noWrap/>
            <w:tcMar>
              <w:right w:w="170" w:type="dxa"/>
            </w:tcMar>
            <w:vAlign w:val="center"/>
          </w:tcPr>
          <w:p w:rsidR="009010AE" w:rsidRPr="009010AE" w:rsidRDefault="009010AE" w:rsidP="009010AE">
            <w:pPr>
              <w:spacing w:after="120" w:line="240" w:lineRule="auto"/>
              <w:ind w:firstLine="25"/>
              <w:rPr>
                <w:rFonts w:ascii="Times New Roman" w:eastAsia="Calibri" w:hAnsi="Times New Roman" w:cs="Times New Roman"/>
              </w:rPr>
            </w:pPr>
            <w:r w:rsidRPr="009010AE">
              <w:rPr>
                <w:rFonts w:ascii="Times New Roman" w:hAnsi="Times New Roman" w:cs="Times New Roman"/>
              </w:rPr>
              <w:t>29 194</w:t>
            </w:r>
          </w:p>
        </w:tc>
        <w:tc>
          <w:tcPr>
            <w:tcW w:w="936" w:type="dxa"/>
            <w:tcBorders>
              <w:top w:val="nil"/>
              <w:left w:val="nil"/>
              <w:bottom w:val="single" w:sz="4" w:space="0" w:color="auto"/>
              <w:right w:val="single" w:sz="4" w:space="0" w:color="auto"/>
            </w:tcBorders>
            <w:shd w:val="clear" w:color="auto" w:fill="EAF1DD"/>
            <w:noWrap/>
            <w:tcMar>
              <w:right w:w="170" w:type="dxa"/>
            </w:tcMar>
            <w:vAlign w:val="center"/>
          </w:tcPr>
          <w:p w:rsidR="009010AE" w:rsidRPr="009010AE" w:rsidRDefault="009010AE" w:rsidP="009010AE">
            <w:pPr>
              <w:spacing w:after="120" w:line="240" w:lineRule="auto"/>
              <w:ind w:firstLine="25"/>
              <w:rPr>
                <w:rFonts w:ascii="Times New Roman" w:eastAsia="Calibri" w:hAnsi="Times New Roman" w:cs="Times New Roman"/>
              </w:rPr>
            </w:pPr>
            <w:r w:rsidRPr="009010AE">
              <w:rPr>
                <w:rFonts w:ascii="Times New Roman" w:hAnsi="Times New Roman" w:cs="Times New Roman"/>
              </w:rPr>
              <w:t>31 005</w:t>
            </w:r>
          </w:p>
        </w:tc>
        <w:tc>
          <w:tcPr>
            <w:tcW w:w="935" w:type="dxa"/>
            <w:tcBorders>
              <w:top w:val="nil"/>
              <w:left w:val="nil"/>
              <w:bottom w:val="single" w:sz="4" w:space="0" w:color="auto"/>
              <w:right w:val="single" w:sz="4" w:space="0" w:color="auto"/>
            </w:tcBorders>
            <w:shd w:val="clear" w:color="auto" w:fill="EAF1DD"/>
            <w:noWrap/>
            <w:tcMar>
              <w:right w:w="170" w:type="dxa"/>
            </w:tcMar>
            <w:vAlign w:val="center"/>
          </w:tcPr>
          <w:p w:rsidR="009010AE" w:rsidRPr="009010AE" w:rsidRDefault="009010AE" w:rsidP="009010AE">
            <w:pPr>
              <w:spacing w:after="120" w:line="240" w:lineRule="auto"/>
              <w:ind w:firstLine="25"/>
              <w:rPr>
                <w:rFonts w:ascii="Times New Roman" w:eastAsia="Calibri" w:hAnsi="Times New Roman" w:cs="Times New Roman"/>
              </w:rPr>
            </w:pPr>
            <w:r w:rsidRPr="009010AE">
              <w:rPr>
                <w:rFonts w:ascii="Times New Roman" w:hAnsi="Times New Roman" w:cs="Times New Roman"/>
              </w:rPr>
              <w:t>32 813</w:t>
            </w:r>
          </w:p>
        </w:tc>
        <w:tc>
          <w:tcPr>
            <w:tcW w:w="936" w:type="dxa"/>
            <w:tcBorders>
              <w:top w:val="nil"/>
              <w:left w:val="nil"/>
              <w:bottom w:val="single" w:sz="4" w:space="0" w:color="auto"/>
              <w:right w:val="single" w:sz="4" w:space="0" w:color="auto"/>
            </w:tcBorders>
            <w:shd w:val="clear" w:color="auto" w:fill="EAF1DD"/>
            <w:noWrap/>
            <w:tcMar>
              <w:right w:w="170" w:type="dxa"/>
            </w:tcMar>
            <w:vAlign w:val="center"/>
          </w:tcPr>
          <w:p w:rsidR="009010AE" w:rsidRPr="009010AE" w:rsidRDefault="009010AE" w:rsidP="009010AE">
            <w:pPr>
              <w:spacing w:after="120" w:line="240" w:lineRule="auto"/>
              <w:ind w:firstLine="25"/>
              <w:rPr>
                <w:rFonts w:ascii="Times New Roman" w:eastAsia="Calibri" w:hAnsi="Times New Roman" w:cs="Times New Roman"/>
              </w:rPr>
            </w:pPr>
            <w:r w:rsidRPr="009010AE">
              <w:rPr>
                <w:rFonts w:ascii="Times New Roman" w:hAnsi="Times New Roman" w:cs="Times New Roman"/>
              </w:rPr>
              <w:t>34 625</w:t>
            </w:r>
          </w:p>
        </w:tc>
      </w:tr>
      <w:tr w:rsidR="009010AE" w:rsidRPr="009010AE" w:rsidTr="00674CB9">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rsidR="009010AE" w:rsidRPr="009010AE" w:rsidRDefault="009010AE" w:rsidP="009010AE">
            <w:pPr>
              <w:spacing w:after="120" w:line="240" w:lineRule="auto"/>
              <w:ind w:firstLine="25"/>
              <w:rPr>
                <w:rFonts w:ascii="Times New Roman" w:hAnsi="Times New Roman" w:cs="Times New Roman"/>
                <w:noProof/>
                <w:lang w:eastAsia="lv-LV"/>
              </w:rPr>
            </w:pPr>
            <w:r w:rsidRPr="009010AE">
              <w:rPr>
                <w:rFonts w:ascii="Times New Roman" w:hAnsi="Times New Roman" w:cs="Times New Roman"/>
                <w:noProof/>
                <w:lang w:eastAsia="lv-LV"/>
              </w:rPr>
              <w:t>pieaugums faktiskajās cenās, %</w:t>
            </w:r>
          </w:p>
        </w:tc>
        <w:tc>
          <w:tcPr>
            <w:tcW w:w="935" w:type="dxa"/>
            <w:tcBorders>
              <w:top w:val="nil"/>
              <w:left w:val="nil"/>
              <w:bottom w:val="single" w:sz="4" w:space="0" w:color="auto"/>
              <w:right w:val="single" w:sz="4" w:space="0" w:color="auto"/>
            </w:tcBorders>
            <w:shd w:val="clear" w:color="auto" w:fill="auto"/>
            <w:noWrap/>
            <w:tcMar>
              <w:right w:w="170" w:type="dxa"/>
            </w:tcMar>
            <w:vAlign w:val="center"/>
          </w:tcPr>
          <w:p w:rsidR="009010AE" w:rsidRPr="009010AE" w:rsidRDefault="009010AE" w:rsidP="009010AE">
            <w:pPr>
              <w:spacing w:after="120" w:line="240" w:lineRule="auto"/>
              <w:ind w:firstLine="25"/>
              <w:rPr>
                <w:rFonts w:ascii="Times New Roman" w:hAnsi="Times New Roman" w:cs="Times New Roman"/>
                <w:noProof/>
                <w:lang w:eastAsia="lv-LV"/>
              </w:rPr>
            </w:pPr>
            <w:r w:rsidRPr="009010AE">
              <w:rPr>
                <w:rFonts w:ascii="Times New Roman" w:hAnsi="Times New Roman" w:cs="Times New Roman"/>
                <w:noProof/>
                <w:lang w:eastAsia="lv-LV"/>
              </w:rPr>
              <w:t>8,0</w:t>
            </w:r>
          </w:p>
        </w:tc>
        <w:tc>
          <w:tcPr>
            <w:tcW w:w="935" w:type="dxa"/>
            <w:tcBorders>
              <w:top w:val="nil"/>
              <w:left w:val="nil"/>
              <w:bottom w:val="single" w:sz="4" w:space="0" w:color="auto"/>
              <w:right w:val="single" w:sz="4" w:space="0" w:color="auto"/>
            </w:tcBorders>
            <w:shd w:val="clear" w:color="auto" w:fill="EAF1DD"/>
            <w:noWrap/>
            <w:tcMar>
              <w:right w:w="170" w:type="dxa"/>
            </w:tcMar>
            <w:vAlign w:val="center"/>
          </w:tcPr>
          <w:p w:rsidR="009010AE" w:rsidRPr="009010AE" w:rsidRDefault="009010AE" w:rsidP="009010AE">
            <w:pPr>
              <w:spacing w:after="120" w:line="240" w:lineRule="auto"/>
              <w:ind w:firstLine="25"/>
              <w:rPr>
                <w:rFonts w:ascii="Times New Roman" w:hAnsi="Times New Roman" w:cs="Times New Roman"/>
                <w:noProof/>
                <w:lang w:eastAsia="lv-LV"/>
              </w:rPr>
            </w:pPr>
            <w:r w:rsidRPr="009010AE">
              <w:rPr>
                <w:rFonts w:ascii="Times New Roman" w:hAnsi="Times New Roman" w:cs="Times New Roman"/>
                <w:noProof/>
                <w:lang w:eastAsia="lv-LV"/>
              </w:rPr>
              <w:t>8,0</w:t>
            </w:r>
          </w:p>
        </w:tc>
        <w:tc>
          <w:tcPr>
            <w:tcW w:w="936" w:type="dxa"/>
            <w:tcBorders>
              <w:top w:val="nil"/>
              <w:left w:val="nil"/>
              <w:bottom w:val="single" w:sz="4" w:space="0" w:color="auto"/>
              <w:right w:val="single" w:sz="4" w:space="0" w:color="auto"/>
            </w:tcBorders>
            <w:shd w:val="clear" w:color="auto" w:fill="EAF1DD"/>
            <w:noWrap/>
            <w:tcMar>
              <w:right w:w="170" w:type="dxa"/>
            </w:tcMar>
            <w:vAlign w:val="center"/>
          </w:tcPr>
          <w:p w:rsidR="009010AE" w:rsidRPr="009010AE" w:rsidRDefault="009010AE" w:rsidP="009010AE">
            <w:pPr>
              <w:spacing w:after="120" w:line="240" w:lineRule="auto"/>
              <w:ind w:firstLine="25"/>
              <w:rPr>
                <w:rFonts w:ascii="Times New Roman" w:hAnsi="Times New Roman" w:cs="Times New Roman"/>
                <w:noProof/>
                <w:lang w:eastAsia="lv-LV"/>
              </w:rPr>
            </w:pPr>
            <w:r w:rsidRPr="009010AE">
              <w:rPr>
                <w:rFonts w:ascii="Times New Roman" w:hAnsi="Times New Roman" w:cs="Times New Roman"/>
                <w:noProof/>
                <w:lang w:eastAsia="lv-LV"/>
              </w:rPr>
              <w:t>6,2</w:t>
            </w:r>
          </w:p>
        </w:tc>
        <w:tc>
          <w:tcPr>
            <w:tcW w:w="935" w:type="dxa"/>
            <w:tcBorders>
              <w:top w:val="nil"/>
              <w:left w:val="nil"/>
              <w:bottom w:val="single" w:sz="4" w:space="0" w:color="auto"/>
              <w:right w:val="single" w:sz="4" w:space="0" w:color="auto"/>
            </w:tcBorders>
            <w:shd w:val="clear" w:color="auto" w:fill="EAF1DD"/>
            <w:noWrap/>
            <w:tcMar>
              <w:right w:w="170" w:type="dxa"/>
            </w:tcMar>
            <w:vAlign w:val="center"/>
          </w:tcPr>
          <w:p w:rsidR="009010AE" w:rsidRPr="009010AE" w:rsidRDefault="009010AE" w:rsidP="009010AE">
            <w:pPr>
              <w:spacing w:after="120" w:line="240" w:lineRule="auto"/>
              <w:ind w:firstLine="25"/>
              <w:rPr>
                <w:rFonts w:ascii="Times New Roman" w:hAnsi="Times New Roman" w:cs="Times New Roman"/>
                <w:noProof/>
                <w:lang w:eastAsia="lv-LV"/>
              </w:rPr>
            </w:pPr>
            <w:r w:rsidRPr="009010AE">
              <w:rPr>
                <w:rFonts w:ascii="Times New Roman" w:hAnsi="Times New Roman" w:cs="Times New Roman"/>
                <w:noProof/>
                <w:lang w:eastAsia="lv-LV"/>
              </w:rPr>
              <w:t>5,8</w:t>
            </w:r>
          </w:p>
        </w:tc>
        <w:tc>
          <w:tcPr>
            <w:tcW w:w="936" w:type="dxa"/>
            <w:tcBorders>
              <w:top w:val="nil"/>
              <w:left w:val="nil"/>
              <w:bottom w:val="single" w:sz="4" w:space="0" w:color="auto"/>
              <w:right w:val="single" w:sz="4" w:space="0" w:color="auto"/>
            </w:tcBorders>
            <w:shd w:val="clear" w:color="auto" w:fill="EAF1DD"/>
            <w:noWrap/>
            <w:tcMar>
              <w:right w:w="170" w:type="dxa"/>
            </w:tcMar>
            <w:vAlign w:val="center"/>
          </w:tcPr>
          <w:p w:rsidR="009010AE" w:rsidRPr="009010AE" w:rsidRDefault="009010AE" w:rsidP="009010AE">
            <w:pPr>
              <w:spacing w:after="120" w:line="240" w:lineRule="auto"/>
              <w:ind w:firstLine="25"/>
              <w:rPr>
                <w:rFonts w:ascii="Times New Roman" w:hAnsi="Times New Roman" w:cs="Times New Roman"/>
                <w:noProof/>
                <w:lang w:eastAsia="lv-LV"/>
              </w:rPr>
            </w:pPr>
            <w:r w:rsidRPr="009010AE">
              <w:rPr>
                <w:rFonts w:ascii="Times New Roman" w:hAnsi="Times New Roman" w:cs="Times New Roman"/>
                <w:noProof/>
                <w:lang w:eastAsia="lv-LV"/>
              </w:rPr>
              <w:t>5,5</w:t>
            </w:r>
          </w:p>
        </w:tc>
      </w:tr>
      <w:tr w:rsidR="009010AE" w:rsidRPr="009010AE" w:rsidTr="00674CB9">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rsidR="009010AE" w:rsidRPr="009010AE" w:rsidRDefault="009010AE" w:rsidP="009010AE">
            <w:pPr>
              <w:spacing w:after="120" w:line="240" w:lineRule="auto"/>
              <w:ind w:firstLine="25"/>
              <w:rPr>
                <w:rFonts w:ascii="Times New Roman" w:hAnsi="Times New Roman" w:cs="Times New Roman"/>
                <w:noProof/>
                <w:lang w:eastAsia="lv-LV"/>
              </w:rPr>
            </w:pPr>
            <w:r w:rsidRPr="009010AE">
              <w:rPr>
                <w:rFonts w:ascii="Times New Roman" w:hAnsi="Times New Roman" w:cs="Times New Roman"/>
                <w:noProof/>
                <w:lang w:eastAsia="lv-LV"/>
              </w:rPr>
              <w:t>pieaugums salīdzināmās cenās, %</w:t>
            </w:r>
          </w:p>
        </w:tc>
        <w:tc>
          <w:tcPr>
            <w:tcW w:w="935" w:type="dxa"/>
            <w:tcBorders>
              <w:top w:val="nil"/>
              <w:left w:val="nil"/>
              <w:bottom w:val="single" w:sz="4" w:space="0" w:color="auto"/>
              <w:right w:val="single" w:sz="4" w:space="0" w:color="auto"/>
            </w:tcBorders>
            <w:shd w:val="clear" w:color="auto" w:fill="auto"/>
            <w:noWrap/>
            <w:tcMar>
              <w:right w:w="170" w:type="dxa"/>
            </w:tcMar>
            <w:vAlign w:val="center"/>
          </w:tcPr>
          <w:p w:rsidR="009010AE" w:rsidRPr="009010AE" w:rsidRDefault="009010AE" w:rsidP="009010AE">
            <w:pPr>
              <w:spacing w:after="120" w:line="240" w:lineRule="auto"/>
              <w:ind w:firstLine="25"/>
              <w:rPr>
                <w:rFonts w:ascii="Times New Roman" w:hAnsi="Times New Roman" w:cs="Times New Roman"/>
                <w:noProof/>
                <w:lang w:eastAsia="lv-LV"/>
              </w:rPr>
            </w:pPr>
            <w:r w:rsidRPr="009010AE">
              <w:rPr>
                <w:rFonts w:ascii="Times New Roman" w:hAnsi="Times New Roman" w:cs="Times New Roman"/>
                <w:noProof/>
                <w:lang w:eastAsia="lv-LV"/>
              </w:rPr>
              <w:t>4,6</w:t>
            </w:r>
          </w:p>
        </w:tc>
        <w:tc>
          <w:tcPr>
            <w:tcW w:w="935" w:type="dxa"/>
            <w:tcBorders>
              <w:top w:val="nil"/>
              <w:left w:val="nil"/>
              <w:bottom w:val="single" w:sz="4" w:space="0" w:color="auto"/>
              <w:right w:val="single" w:sz="4" w:space="0" w:color="auto"/>
            </w:tcBorders>
            <w:shd w:val="clear" w:color="auto" w:fill="EAF1DD"/>
            <w:noWrap/>
            <w:tcMar>
              <w:right w:w="170" w:type="dxa"/>
            </w:tcMar>
            <w:vAlign w:val="center"/>
          </w:tcPr>
          <w:p w:rsidR="009010AE" w:rsidRPr="009010AE" w:rsidRDefault="009010AE" w:rsidP="009010AE">
            <w:pPr>
              <w:spacing w:after="120" w:line="240" w:lineRule="auto"/>
              <w:ind w:firstLine="25"/>
              <w:rPr>
                <w:rFonts w:ascii="Times New Roman" w:hAnsi="Times New Roman" w:cs="Times New Roman"/>
                <w:noProof/>
                <w:lang w:eastAsia="lv-LV"/>
              </w:rPr>
            </w:pPr>
            <w:r w:rsidRPr="009010AE">
              <w:rPr>
                <w:rFonts w:ascii="Times New Roman" w:hAnsi="Times New Roman" w:cs="Times New Roman"/>
                <w:noProof/>
                <w:lang w:eastAsia="lv-LV"/>
              </w:rPr>
              <w:t>4,8</w:t>
            </w:r>
          </w:p>
        </w:tc>
        <w:tc>
          <w:tcPr>
            <w:tcW w:w="936" w:type="dxa"/>
            <w:tcBorders>
              <w:top w:val="nil"/>
              <w:left w:val="nil"/>
              <w:bottom w:val="single" w:sz="4" w:space="0" w:color="auto"/>
              <w:right w:val="single" w:sz="4" w:space="0" w:color="auto"/>
            </w:tcBorders>
            <w:shd w:val="clear" w:color="auto" w:fill="EAF1DD"/>
            <w:noWrap/>
            <w:tcMar>
              <w:right w:w="170" w:type="dxa"/>
            </w:tcMar>
            <w:vAlign w:val="center"/>
          </w:tcPr>
          <w:p w:rsidR="009010AE" w:rsidRPr="009010AE" w:rsidRDefault="009010AE" w:rsidP="009010AE">
            <w:pPr>
              <w:spacing w:after="120" w:line="240" w:lineRule="auto"/>
              <w:ind w:firstLine="25"/>
              <w:rPr>
                <w:rFonts w:ascii="Times New Roman" w:hAnsi="Times New Roman" w:cs="Times New Roman"/>
                <w:noProof/>
                <w:lang w:eastAsia="lv-LV"/>
              </w:rPr>
            </w:pPr>
            <w:r w:rsidRPr="009010AE">
              <w:rPr>
                <w:rFonts w:ascii="Times New Roman" w:hAnsi="Times New Roman" w:cs="Times New Roman"/>
                <w:noProof/>
                <w:lang w:eastAsia="lv-LV"/>
              </w:rPr>
              <w:t>3,0</w:t>
            </w:r>
          </w:p>
        </w:tc>
        <w:tc>
          <w:tcPr>
            <w:tcW w:w="935" w:type="dxa"/>
            <w:tcBorders>
              <w:top w:val="nil"/>
              <w:left w:val="nil"/>
              <w:bottom w:val="single" w:sz="4" w:space="0" w:color="auto"/>
              <w:right w:val="single" w:sz="4" w:space="0" w:color="auto"/>
            </w:tcBorders>
            <w:shd w:val="clear" w:color="auto" w:fill="EAF1DD"/>
            <w:noWrap/>
            <w:tcMar>
              <w:right w:w="170" w:type="dxa"/>
            </w:tcMar>
            <w:vAlign w:val="center"/>
          </w:tcPr>
          <w:p w:rsidR="009010AE" w:rsidRPr="009010AE" w:rsidRDefault="009010AE" w:rsidP="009010AE">
            <w:pPr>
              <w:spacing w:after="120" w:line="240" w:lineRule="auto"/>
              <w:ind w:firstLine="25"/>
              <w:rPr>
                <w:rFonts w:ascii="Times New Roman" w:hAnsi="Times New Roman" w:cs="Times New Roman"/>
                <w:noProof/>
                <w:lang w:eastAsia="lv-LV"/>
              </w:rPr>
            </w:pPr>
            <w:r w:rsidRPr="009010AE">
              <w:rPr>
                <w:rFonts w:ascii="Times New Roman" w:hAnsi="Times New Roman" w:cs="Times New Roman"/>
                <w:noProof/>
                <w:lang w:eastAsia="lv-LV"/>
              </w:rPr>
              <w:t>3,0</w:t>
            </w:r>
          </w:p>
        </w:tc>
        <w:tc>
          <w:tcPr>
            <w:tcW w:w="936" w:type="dxa"/>
            <w:tcBorders>
              <w:top w:val="nil"/>
              <w:left w:val="nil"/>
              <w:bottom w:val="single" w:sz="4" w:space="0" w:color="auto"/>
              <w:right w:val="single" w:sz="4" w:space="0" w:color="auto"/>
            </w:tcBorders>
            <w:shd w:val="clear" w:color="auto" w:fill="EAF1DD"/>
            <w:noWrap/>
            <w:tcMar>
              <w:right w:w="170" w:type="dxa"/>
            </w:tcMar>
            <w:vAlign w:val="center"/>
          </w:tcPr>
          <w:p w:rsidR="009010AE" w:rsidRPr="009010AE" w:rsidRDefault="009010AE" w:rsidP="009010AE">
            <w:pPr>
              <w:spacing w:after="120" w:line="240" w:lineRule="auto"/>
              <w:ind w:firstLine="25"/>
              <w:rPr>
                <w:rFonts w:ascii="Times New Roman" w:hAnsi="Times New Roman" w:cs="Times New Roman"/>
                <w:noProof/>
                <w:lang w:eastAsia="lv-LV"/>
              </w:rPr>
            </w:pPr>
            <w:r w:rsidRPr="009010AE">
              <w:rPr>
                <w:rFonts w:ascii="Times New Roman" w:hAnsi="Times New Roman" w:cs="Times New Roman"/>
                <w:noProof/>
                <w:lang w:eastAsia="lv-LV"/>
              </w:rPr>
              <w:t>2,9</w:t>
            </w:r>
          </w:p>
        </w:tc>
      </w:tr>
      <w:tr w:rsidR="009010AE" w:rsidRPr="009010AE" w:rsidTr="00674CB9">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rsidR="009010AE" w:rsidRPr="009010AE" w:rsidRDefault="009010AE" w:rsidP="009010AE">
            <w:pPr>
              <w:spacing w:after="120" w:line="240" w:lineRule="auto"/>
              <w:ind w:firstLine="25"/>
              <w:rPr>
                <w:rFonts w:ascii="Times New Roman" w:hAnsi="Times New Roman" w:cs="Times New Roman"/>
                <w:noProof/>
                <w:lang w:eastAsia="lv-LV"/>
              </w:rPr>
            </w:pPr>
            <w:r w:rsidRPr="009010AE">
              <w:rPr>
                <w:rFonts w:ascii="Times New Roman" w:hAnsi="Times New Roman" w:cs="Times New Roman"/>
                <w:noProof/>
                <w:lang w:eastAsia="lv-LV"/>
              </w:rPr>
              <w:t>IKP deflators (gads pret gadu), %</w:t>
            </w:r>
          </w:p>
        </w:tc>
        <w:tc>
          <w:tcPr>
            <w:tcW w:w="935" w:type="dxa"/>
            <w:tcBorders>
              <w:top w:val="nil"/>
              <w:left w:val="nil"/>
              <w:bottom w:val="single" w:sz="4" w:space="0" w:color="auto"/>
              <w:right w:val="single" w:sz="4" w:space="0" w:color="auto"/>
            </w:tcBorders>
            <w:shd w:val="clear" w:color="auto" w:fill="auto"/>
            <w:noWrap/>
            <w:tcMar>
              <w:right w:w="170" w:type="dxa"/>
            </w:tcMar>
            <w:vAlign w:val="center"/>
          </w:tcPr>
          <w:p w:rsidR="009010AE" w:rsidRPr="009010AE" w:rsidRDefault="009010AE" w:rsidP="009010AE">
            <w:pPr>
              <w:spacing w:after="120" w:line="240" w:lineRule="auto"/>
              <w:ind w:firstLine="25"/>
              <w:rPr>
                <w:rFonts w:ascii="Times New Roman" w:hAnsi="Times New Roman" w:cs="Times New Roman"/>
              </w:rPr>
            </w:pPr>
            <w:r w:rsidRPr="009010AE">
              <w:rPr>
                <w:rFonts w:ascii="Times New Roman" w:hAnsi="Times New Roman" w:cs="Times New Roman"/>
              </w:rPr>
              <w:t>3,2</w:t>
            </w:r>
          </w:p>
        </w:tc>
        <w:tc>
          <w:tcPr>
            <w:tcW w:w="935" w:type="dxa"/>
            <w:tcBorders>
              <w:top w:val="nil"/>
              <w:left w:val="nil"/>
              <w:bottom w:val="single" w:sz="4" w:space="0" w:color="auto"/>
              <w:right w:val="single" w:sz="4" w:space="0" w:color="auto"/>
            </w:tcBorders>
            <w:shd w:val="clear" w:color="auto" w:fill="EAF1DD"/>
            <w:noWrap/>
            <w:tcMar>
              <w:right w:w="170" w:type="dxa"/>
            </w:tcMar>
            <w:vAlign w:val="center"/>
          </w:tcPr>
          <w:p w:rsidR="009010AE" w:rsidRPr="009010AE" w:rsidRDefault="009010AE" w:rsidP="009010AE">
            <w:pPr>
              <w:spacing w:after="120" w:line="240" w:lineRule="auto"/>
              <w:ind w:firstLine="25"/>
              <w:rPr>
                <w:rFonts w:ascii="Times New Roman" w:hAnsi="Times New Roman" w:cs="Times New Roman"/>
              </w:rPr>
            </w:pPr>
            <w:r w:rsidRPr="009010AE">
              <w:rPr>
                <w:rFonts w:ascii="Times New Roman" w:hAnsi="Times New Roman" w:cs="Times New Roman"/>
              </w:rPr>
              <w:t>3,1</w:t>
            </w:r>
          </w:p>
        </w:tc>
        <w:tc>
          <w:tcPr>
            <w:tcW w:w="936" w:type="dxa"/>
            <w:tcBorders>
              <w:top w:val="nil"/>
              <w:left w:val="nil"/>
              <w:bottom w:val="single" w:sz="4" w:space="0" w:color="auto"/>
              <w:right w:val="single" w:sz="4" w:space="0" w:color="auto"/>
            </w:tcBorders>
            <w:shd w:val="clear" w:color="auto" w:fill="EAF1DD"/>
            <w:noWrap/>
            <w:tcMar>
              <w:right w:w="170" w:type="dxa"/>
            </w:tcMar>
            <w:vAlign w:val="center"/>
          </w:tcPr>
          <w:p w:rsidR="009010AE" w:rsidRPr="009010AE" w:rsidRDefault="009010AE" w:rsidP="009010AE">
            <w:pPr>
              <w:spacing w:after="120" w:line="240" w:lineRule="auto"/>
              <w:ind w:firstLine="25"/>
              <w:rPr>
                <w:rFonts w:ascii="Times New Roman" w:hAnsi="Times New Roman" w:cs="Times New Roman"/>
              </w:rPr>
            </w:pPr>
            <w:r w:rsidRPr="009010AE">
              <w:rPr>
                <w:rFonts w:ascii="Times New Roman" w:hAnsi="Times New Roman" w:cs="Times New Roman"/>
              </w:rPr>
              <w:t>3,1</w:t>
            </w:r>
          </w:p>
        </w:tc>
        <w:tc>
          <w:tcPr>
            <w:tcW w:w="935" w:type="dxa"/>
            <w:tcBorders>
              <w:top w:val="nil"/>
              <w:left w:val="nil"/>
              <w:bottom w:val="single" w:sz="4" w:space="0" w:color="auto"/>
              <w:right w:val="single" w:sz="4" w:space="0" w:color="auto"/>
            </w:tcBorders>
            <w:shd w:val="clear" w:color="auto" w:fill="EAF1DD"/>
            <w:noWrap/>
            <w:tcMar>
              <w:right w:w="170" w:type="dxa"/>
            </w:tcMar>
            <w:vAlign w:val="center"/>
          </w:tcPr>
          <w:p w:rsidR="009010AE" w:rsidRPr="009010AE" w:rsidRDefault="009010AE" w:rsidP="009010AE">
            <w:pPr>
              <w:spacing w:after="120" w:line="240" w:lineRule="auto"/>
              <w:ind w:firstLine="25"/>
              <w:rPr>
                <w:rFonts w:ascii="Times New Roman" w:hAnsi="Times New Roman" w:cs="Times New Roman"/>
              </w:rPr>
            </w:pPr>
            <w:r w:rsidRPr="009010AE">
              <w:rPr>
                <w:rFonts w:ascii="Times New Roman" w:hAnsi="Times New Roman" w:cs="Times New Roman"/>
              </w:rPr>
              <w:t>2,7</w:t>
            </w:r>
          </w:p>
        </w:tc>
        <w:tc>
          <w:tcPr>
            <w:tcW w:w="936" w:type="dxa"/>
            <w:tcBorders>
              <w:top w:val="nil"/>
              <w:left w:val="nil"/>
              <w:bottom w:val="single" w:sz="4" w:space="0" w:color="auto"/>
              <w:right w:val="single" w:sz="4" w:space="0" w:color="auto"/>
            </w:tcBorders>
            <w:shd w:val="clear" w:color="auto" w:fill="EAF1DD"/>
            <w:noWrap/>
            <w:tcMar>
              <w:right w:w="170" w:type="dxa"/>
            </w:tcMar>
            <w:vAlign w:val="center"/>
          </w:tcPr>
          <w:p w:rsidR="009010AE" w:rsidRPr="009010AE" w:rsidRDefault="009010AE" w:rsidP="009010AE">
            <w:pPr>
              <w:spacing w:after="120" w:line="240" w:lineRule="auto"/>
              <w:ind w:firstLine="25"/>
              <w:rPr>
                <w:rFonts w:ascii="Times New Roman" w:hAnsi="Times New Roman" w:cs="Times New Roman"/>
              </w:rPr>
            </w:pPr>
            <w:r w:rsidRPr="009010AE">
              <w:rPr>
                <w:rFonts w:ascii="Times New Roman" w:hAnsi="Times New Roman" w:cs="Times New Roman"/>
              </w:rPr>
              <w:t>2,5</w:t>
            </w:r>
          </w:p>
        </w:tc>
      </w:tr>
      <w:tr w:rsidR="009010AE" w:rsidRPr="009010AE" w:rsidTr="00674CB9">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rsidR="009010AE" w:rsidRPr="009010AE" w:rsidRDefault="009010AE" w:rsidP="009010AE">
            <w:pPr>
              <w:spacing w:after="120" w:line="240" w:lineRule="auto"/>
              <w:ind w:firstLine="25"/>
              <w:rPr>
                <w:rFonts w:ascii="Times New Roman" w:hAnsi="Times New Roman" w:cs="Times New Roman"/>
                <w:noProof/>
                <w:lang w:eastAsia="lv-LV"/>
              </w:rPr>
            </w:pPr>
            <w:r w:rsidRPr="009010AE">
              <w:rPr>
                <w:rFonts w:ascii="Times New Roman" w:hAnsi="Times New Roman" w:cs="Times New Roman"/>
                <w:noProof/>
                <w:lang w:eastAsia="lv-LV"/>
              </w:rPr>
              <w:t>PCI (gads pret gadu), %</w:t>
            </w:r>
          </w:p>
        </w:tc>
        <w:tc>
          <w:tcPr>
            <w:tcW w:w="935" w:type="dxa"/>
            <w:tcBorders>
              <w:top w:val="nil"/>
              <w:left w:val="nil"/>
              <w:bottom w:val="single" w:sz="4" w:space="0" w:color="auto"/>
              <w:right w:val="single" w:sz="4" w:space="0" w:color="auto"/>
            </w:tcBorders>
            <w:shd w:val="clear" w:color="auto" w:fill="auto"/>
            <w:noWrap/>
            <w:tcMar>
              <w:right w:w="170" w:type="dxa"/>
            </w:tcMar>
            <w:vAlign w:val="center"/>
          </w:tcPr>
          <w:p w:rsidR="009010AE" w:rsidRPr="009010AE" w:rsidRDefault="009010AE" w:rsidP="009010AE">
            <w:pPr>
              <w:spacing w:after="120" w:line="240" w:lineRule="auto"/>
              <w:ind w:firstLine="25"/>
              <w:rPr>
                <w:rFonts w:ascii="Times New Roman" w:hAnsi="Times New Roman" w:cs="Times New Roman"/>
              </w:rPr>
            </w:pPr>
            <w:r w:rsidRPr="009010AE">
              <w:rPr>
                <w:rFonts w:ascii="Times New Roman" w:hAnsi="Times New Roman" w:cs="Times New Roman"/>
              </w:rPr>
              <w:t>2,9</w:t>
            </w:r>
          </w:p>
        </w:tc>
        <w:tc>
          <w:tcPr>
            <w:tcW w:w="935" w:type="dxa"/>
            <w:tcBorders>
              <w:top w:val="nil"/>
              <w:left w:val="nil"/>
              <w:bottom w:val="single" w:sz="4" w:space="0" w:color="auto"/>
              <w:right w:val="single" w:sz="4" w:space="0" w:color="auto"/>
            </w:tcBorders>
            <w:shd w:val="clear" w:color="auto" w:fill="EAF1DD"/>
            <w:noWrap/>
            <w:tcMar>
              <w:right w:w="170" w:type="dxa"/>
            </w:tcMar>
            <w:vAlign w:val="center"/>
          </w:tcPr>
          <w:p w:rsidR="009010AE" w:rsidRPr="009010AE" w:rsidRDefault="009010AE" w:rsidP="009010AE">
            <w:pPr>
              <w:spacing w:after="120" w:line="240" w:lineRule="auto"/>
              <w:ind w:firstLine="25"/>
              <w:rPr>
                <w:rFonts w:ascii="Times New Roman" w:hAnsi="Times New Roman" w:cs="Times New Roman"/>
              </w:rPr>
            </w:pPr>
            <w:r w:rsidRPr="009010AE">
              <w:rPr>
                <w:rFonts w:ascii="Times New Roman" w:hAnsi="Times New Roman" w:cs="Times New Roman"/>
              </w:rPr>
              <w:t>2,5</w:t>
            </w:r>
          </w:p>
        </w:tc>
        <w:tc>
          <w:tcPr>
            <w:tcW w:w="936" w:type="dxa"/>
            <w:tcBorders>
              <w:top w:val="nil"/>
              <w:left w:val="nil"/>
              <w:bottom w:val="single" w:sz="4" w:space="0" w:color="auto"/>
              <w:right w:val="single" w:sz="4" w:space="0" w:color="auto"/>
            </w:tcBorders>
            <w:shd w:val="clear" w:color="auto" w:fill="EAF1DD"/>
            <w:noWrap/>
            <w:tcMar>
              <w:right w:w="170" w:type="dxa"/>
            </w:tcMar>
            <w:vAlign w:val="center"/>
          </w:tcPr>
          <w:p w:rsidR="009010AE" w:rsidRPr="009010AE" w:rsidRDefault="009010AE" w:rsidP="009010AE">
            <w:pPr>
              <w:spacing w:after="120" w:line="240" w:lineRule="auto"/>
              <w:ind w:firstLine="25"/>
              <w:rPr>
                <w:rFonts w:ascii="Times New Roman" w:hAnsi="Times New Roman" w:cs="Times New Roman"/>
              </w:rPr>
            </w:pPr>
            <w:r w:rsidRPr="009010AE">
              <w:rPr>
                <w:rFonts w:ascii="Times New Roman" w:hAnsi="Times New Roman" w:cs="Times New Roman"/>
              </w:rPr>
              <w:t>2,5</w:t>
            </w:r>
          </w:p>
        </w:tc>
        <w:tc>
          <w:tcPr>
            <w:tcW w:w="935" w:type="dxa"/>
            <w:tcBorders>
              <w:top w:val="nil"/>
              <w:left w:val="nil"/>
              <w:bottom w:val="single" w:sz="4" w:space="0" w:color="auto"/>
              <w:right w:val="single" w:sz="4" w:space="0" w:color="auto"/>
            </w:tcBorders>
            <w:shd w:val="clear" w:color="auto" w:fill="EAF1DD"/>
            <w:noWrap/>
            <w:tcMar>
              <w:right w:w="170" w:type="dxa"/>
            </w:tcMar>
            <w:vAlign w:val="center"/>
          </w:tcPr>
          <w:p w:rsidR="009010AE" w:rsidRPr="009010AE" w:rsidRDefault="009010AE" w:rsidP="009010AE">
            <w:pPr>
              <w:spacing w:after="120" w:line="240" w:lineRule="auto"/>
              <w:ind w:firstLine="25"/>
              <w:rPr>
                <w:rFonts w:ascii="Times New Roman" w:hAnsi="Times New Roman" w:cs="Times New Roman"/>
              </w:rPr>
            </w:pPr>
            <w:r w:rsidRPr="009010AE">
              <w:rPr>
                <w:rFonts w:ascii="Times New Roman" w:hAnsi="Times New Roman" w:cs="Times New Roman"/>
              </w:rPr>
              <w:t>2,2</w:t>
            </w:r>
          </w:p>
        </w:tc>
        <w:tc>
          <w:tcPr>
            <w:tcW w:w="936" w:type="dxa"/>
            <w:tcBorders>
              <w:top w:val="nil"/>
              <w:left w:val="nil"/>
              <w:bottom w:val="single" w:sz="4" w:space="0" w:color="auto"/>
              <w:right w:val="single" w:sz="4" w:space="0" w:color="auto"/>
            </w:tcBorders>
            <w:shd w:val="clear" w:color="auto" w:fill="EAF1DD"/>
            <w:noWrap/>
            <w:tcMar>
              <w:right w:w="170" w:type="dxa"/>
            </w:tcMar>
            <w:vAlign w:val="center"/>
          </w:tcPr>
          <w:p w:rsidR="009010AE" w:rsidRPr="009010AE" w:rsidRDefault="009010AE" w:rsidP="009010AE">
            <w:pPr>
              <w:spacing w:after="120" w:line="240" w:lineRule="auto"/>
              <w:ind w:firstLine="25"/>
              <w:rPr>
                <w:rFonts w:ascii="Times New Roman" w:hAnsi="Times New Roman" w:cs="Times New Roman"/>
              </w:rPr>
            </w:pPr>
            <w:r w:rsidRPr="009010AE">
              <w:rPr>
                <w:rFonts w:ascii="Times New Roman" w:hAnsi="Times New Roman" w:cs="Times New Roman"/>
              </w:rPr>
              <w:t>2,1</w:t>
            </w:r>
          </w:p>
        </w:tc>
      </w:tr>
      <w:tr w:rsidR="009010AE" w:rsidRPr="009010AE" w:rsidTr="00674CB9">
        <w:trPr>
          <w:trHeight w:val="60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rsidR="009010AE" w:rsidRPr="009010AE" w:rsidRDefault="009010AE" w:rsidP="009010AE">
            <w:pPr>
              <w:spacing w:after="120" w:line="240" w:lineRule="auto"/>
              <w:ind w:firstLine="25"/>
              <w:rPr>
                <w:rFonts w:ascii="Times New Roman" w:hAnsi="Times New Roman" w:cs="Times New Roman"/>
                <w:noProof/>
                <w:lang w:eastAsia="lv-LV"/>
              </w:rPr>
            </w:pPr>
            <w:r w:rsidRPr="009010AE">
              <w:rPr>
                <w:rFonts w:ascii="Times New Roman" w:hAnsi="Times New Roman" w:cs="Times New Roman"/>
                <w:noProof/>
                <w:lang w:eastAsia="lv-LV"/>
              </w:rPr>
              <w:t xml:space="preserve">Tautsaimniecībā nodarbināto mēn. vid. bruto darba samaksa, </w:t>
            </w:r>
            <w:r w:rsidRPr="009010AE">
              <w:rPr>
                <w:rFonts w:ascii="Times New Roman" w:hAnsi="Times New Roman" w:cs="Times New Roman"/>
                <w:i/>
                <w:noProof/>
                <w:lang w:eastAsia="lv-LV"/>
              </w:rPr>
              <w:t>euro</w:t>
            </w:r>
          </w:p>
        </w:tc>
        <w:tc>
          <w:tcPr>
            <w:tcW w:w="935" w:type="dxa"/>
            <w:tcBorders>
              <w:top w:val="nil"/>
              <w:left w:val="nil"/>
              <w:bottom w:val="single" w:sz="4" w:space="0" w:color="auto"/>
              <w:right w:val="single" w:sz="4" w:space="0" w:color="auto"/>
            </w:tcBorders>
            <w:shd w:val="clear" w:color="auto" w:fill="auto"/>
            <w:noWrap/>
            <w:tcMar>
              <w:right w:w="170" w:type="dxa"/>
            </w:tcMar>
            <w:vAlign w:val="center"/>
          </w:tcPr>
          <w:p w:rsidR="009010AE" w:rsidRPr="009010AE" w:rsidRDefault="009010AE" w:rsidP="009010AE">
            <w:pPr>
              <w:spacing w:after="120" w:line="240" w:lineRule="auto"/>
              <w:ind w:firstLine="25"/>
              <w:rPr>
                <w:rFonts w:ascii="Times New Roman" w:hAnsi="Times New Roman" w:cs="Times New Roman"/>
              </w:rPr>
            </w:pPr>
            <w:r w:rsidRPr="009010AE">
              <w:rPr>
                <w:rFonts w:ascii="Times New Roman" w:hAnsi="Times New Roman" w:cs="Times New Roman"/>
              </w:rPr>
              <w:t>926</w:t>
            </w:r>
          </w:p>
        </w:tc>
        <w:tc>
          <w:tcPr>
            <w:tcW w:w="935" w:type="dxa"/>
            <w:tcBorders>
              <w:top w:val="nil"/>
              <w:left w:val="nil"/>
              <w:bottom w:val="single" w:sz="4" w:space="0" w:color="auto"/>
              <w:right w:val="single" w:sz="4" w:space="0" w:color="auto"/>
            </w:tcBorders>
            <w:shd w:val="clear" w:color="auto" w:fill="EAF1DD"/>
            <w:noWrap/>
            <w:tcMar>
              <w:right w:w="170" w:type="dxa"/>
            </w:tcMar>
            <w:vAlign w:val="center"/>
          </w:tcPr>
          <w:p w:rsidR="009010AE" w:rsidRPr="009010AE" w:rsidRDefault="009010AE" w:rsidP="009010AE">
            <w:pPr>
              <w:spacing w:after="120" w:line="240" w:lineRule="auto"/>
              <w:ind w:firstLine="25"/>
              <w:rPr>
                <w:rFonts w:ascii="Times New Roman" w:hAnsi="Times New Roman" w:cs="Times New Roman"/>
              </w:rPr>
            </w:pPr>
            <w:r w:rsidRPr="009010AE">
              <w:rPr>
                <w:rFonts w:ascii="Times New Roman" w:hAnsi="Times New Roman" w:cs="Times New Roman"/>
              </w:rPr>
              <w:t>1 003</w:t>
            </w:r>
          </w:p>
        </w:tc>
        <w:tc>
          <w:tcPr>
            <w:tcW w:w="936" w:type="dxa"/>
            <w:tcBorders>
              <w:top w:val="nil"/>
              <w:left w:val="nil"/>
              <w:bottom w:val="single" w:sz="4" w:space="0" w:color="auto"/>
              <w:right w:val="single" w:sz="4" w:space="0" w:color="auto"/>
            </w:tcBorders>
            <w:shd w:val="clear" w:color="auto" w:fill="EAF1DD"/>
            <w:noWrap/>
            <w:tcMar>
              <w:right w:w="170" w:type="dxa"/>
            </w:tcMar>
            <w:vAlign w:val="center"/>
          </w:tcPr>
          <w:p w:rsidR="009010AE" w:rsidRPr="009010AE" w:rsidRDefault="009010AE" w:rsidP="009010AE">
            <w:pPr>
              <w:spacing w:after="120" w:line="240" w:lineRule="auto"/>
              <w:ind w:firstLine="25"/>
              <w:rPr>
                <w:rFonts w:ascii="Times New Roman" w:hAnsi="Times New Roman" w:cs="Times New Roman"/>
              </w:rPr>
            </w:pPr>
            <w:r w:rsidRPr="009010AE">
              <w:rPr>
                <w:rFonts w:ascii="Times New Roman" w:hAnsi="Times New Roman" w:cs="Times New Roman"/>
              </w:rPr>
              <w:t>1 063</w:t>
            </w:r>
          </w:p>
        </w:tc>
        <w:tc>
          <w:tcPr>
            <w:tcW w:w="935" w:type="dxa"/>
            <w:tcBorders>
              <w:top w:val="nil"/>
              <w:left w:val="nil"/>
              <w:bottom w:val="single" w:sz="4" w:space="0" w:color="auto"/>
              <w:right w:val="single" w:sz="4" w:space="0" w:color="auto"/>
            </w:tcBorders>
            <w:shd w:val="clear" w:color="auto" w:fill="EAF1DD"/>
            <w:noWrap/>
            <w:tcMar>
              <w:right w:w="170" w:type="dxa"/>
            </w:tcMar>
            <w:vAlign w:val="center"/>
          </w:tcPr>
          <w:p w:rsidR="009010AE" w:rsidRPr="009010AE" w:rsidRDefault="009010AE" w:rsidP="009010AE">
            <w:pPr>
              <w:spacing w:after="120" w:line="240" w:lineRule="auto"/>
              <w:ind w:firstLine="25"/>
              <w:rPr>
                <w:rFonts w:ascii="Times New Roman" w:hAnsi="Times New Roman" w:cs="Times New Roman"/>
              </w:rPr>
            </w:pPr>
            <w:r w:rsidRPr="009010AE">
              <w:rPr>
                <w:rFonts w:ascii="Times New Roman" w:hAnsi="Times New Roman" w:cs="Times New Roman"/>
              </w:rPr>
              <w:t>1 121</w:t>
            </w:r>
          </w:p>
        </w:tc>
        <w:tc>
          <w:tcPr>
            <w:tcW w:w="936" w:type="dxa"/>
            <w:tcBorders>
              <w:top w:val="nil"/>
              <w:left w:val="nil"/>
              <w:bottom w:val="single" w:sz="4" w:space="0" w:color="auto"/>
              <w:right w:val="single" w:sz="4" w:space="0" w:color="auto"/>
            </w:tcBorders>
            <w:shd w:val="clear" w:color="auto" w:fill="EAF1DD"/>
            <w:noWrap/>
            <w:tcMar>
              <w:right w:w="170" w:type="dxa"/>
            </w:tcMar>
            <w:vAlign w:val="center"/>
          </w:tcPr>
          <w:p w:rsidR="009010AE" w:rsidRPr="009010AE" w:rsidRDefault="009010AE" w:rsidP="009010AE">
            <w:pPr>
              <w:spacing w:after="120" w:line="240" w:lineRule="auto"/>
              <w:ind w:firstLine="25"/>
              <w:rPr>
                <w:rFonts w:ascii="Times New Roman" w:hAnsi="Times New Roman" w:cs="Times New Roman"/>
              </w:rPr>
            </w:pPr>
            <w:r w:rsidRPr="009010AE">
              <w:rPr>
                <w:rFonts w:ascii="Times New Roman" w:hAnsi="Times New Roman" w:cs="Times New Roman"/>
              </w:rPr>
              <w:t>1 178</w:t>
            </w:r>
          </w:p>
        </w:tc>
      </w:tr>
      <w:tr w:rsidR="009010AE" w:rsidRPr="009010AE" w:rsidTr="009010AE">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rsidR="009010AE" w:rsidRPr="009010AE" w:rsidRDefault="009010AE" w:rsidP="009010AE">
            <w:pPr>
              <w:spacing w:after="120" w:line="240" w:lineRule="auto"/>
              <w:ind w:firstLine="25"/>
              <w:rPr>
                <w:rFonts w:ascii="Times New Roman" w:hAnsi="Times New Roman" w:cs="Times New Roman"/>
                <w:noProof/>
                <w:lang w:eastAsia="lv-LV"/>
              </w:rPr>
            </w:pPr>
            <w:r w:rsidRPr="009010AE">
              <w:rPr>
                <w:rFonts w:ascii="Times New Roman" w:hAnsi="Times New Roman" w:cs="Times New Roman"/>
                <w:noProof/>
                <w:lang w:eastAsia="lv-LV"/>
              </w:rPr>
              <w:t>pieaugums faktiskajās cenās, %</w:t>
            </w:r>
          </w:p>
        </w:tc>
        <w:tc>
          <w:tcPr>
            <w:tcW w:w="935" w:type="dxa"/>
            <w:tcBorders>
              <w:top w:val="nil"/>
              <w:left w:val="nil"/>
              <w:bottom w:val="single" w:sz="4" w:space="0" w:color="auto"/>
              <w:right w:val="single" w:sz="4" w:space="0" w:color="auto"/>
            </w:tcBorders>
            <w:shd w:val="clear" w:color="auto" w:fill="auto"/>
            <w:noWrap/>
            <w:tcMar>
              <w:right w:w="170" w:type="dxa"/>
            </w:tcMar>
            <w:vAlign w:val="center"/>
          </w:tcPr>
          <w:p w:rsidR="009010AE" w:rsidRPr="009010AE" w:rsidRDefault="009010AE" w:rsidP="009010AE">
            <w:pPr>
              <w:spacing w:after="120" w:line="240" w:lineRule="auto"/>
              <w:ind w:firstLine="25"/>
              <w:rPr>
                <w:rFonts w:ascii="Times New Roman" w:hAnsi="Times New Roman" w:cs="Times New Roman"/>
              </w:rPr>
            </w:pPr>
            <w:r w:rsidRPr="009010AE">
              <w:rPr>
                <w:rFonts w:ascii="Times New Roman" w:hAnsi="Times New Roman" w:cs="Times New Roman"/>
              </w:rPr>
              <w:t>7,8</w:t>
            </w:r>
          </w:p>
        </w:tc>
        <w:tc>
          <w:tcPr>
            <w:tcW w:w="935" w:type="dxa"/>
            <w:tcBorders>
              <w:top w:val="nil"/>
              <w:left w:val="nil"/>
              <w:bottom w:val="single" w:sz="4" w:space="0" w:color="auto"/>
              <w:right w:val="single" w:sz="4" w:space="0" w:color="auto"/>
            </w:tcBorders>
            <w:shd w:val="clear" w:color="auto" w:fill="EAF1DD"/>
            <w:noWrap/>
            <w:tcMar>
              <w:right w:w="170" w:type="dxa"/>
            </w:tcMar>
            <w:vAlign w:val="center"/>
          </w:tcPr>
          <w:p w:rsidR="009010AE" w:rsidRPr="009010AE" w:rsidRDefault="009010AE" w:rsidP="009010AE">
            <w:pPr>
              <w:spacing w:after="120" w:line="240" w:lineRule="auto"/>
              <w:ind w:firstLine="25"/>
              <w:rPr>
                <w:rFonts w:ascii="Times New Roman" w:hAnsi="Times New Roman" w:cs="Times New Roman"/>
              </w:rPr>
            </w:pPr>
            <w:r w:rsidRPr="009010AE">
              <w:rPr>
                <w:rFonts w:ascii="Times New Roman" w:hAnsi="Times New Roman" w:cs="Times New Roman"/>
              </w:rPr>
              <w:t>8,3</w:t>
            </w:r>
          </w:p>
        </w:tc>
        <w:tc>
          <w:tcPr>
            <w:tcW w:w="936" w:type="dxa"/>
            <w:tcBorders>
              <w:top w:val="nil"/>
              <w:left w:val="nil"/>
              <w:bottom w:val="single" w:sz="4" w:space="0" w:color="auto"/>
              <w:right w:val="single" w:sz="4" w:space="0" w:color="auto"/>
            </w:tcBorders>
            <w:shd w:val="clear" w:color="auto" w:fill="EAF1DD"/>
            <w:noWrap/>
            <w:tcMar>
              <w:right w:w="170" w:type="dxa"/>
            </w:tcMar>
            <w:vAlign w:val="center"/>
          </w:tcPr>
          <w:p w:rsidR="009010AE" w:rsidRPr="009010AE" w:rsidRDefault="009010AE" w:rsidP="009010AE">
            <w:pPr>
              <w:spacing w:after="120" w:line="240" w:lineRule="auto"/>
              <w:ind w:firstLine="25"/>
              <w:rPr>
                <w:rFonts w:ascii="Times New Roman" w:hAnsi="Times New Roman" w:cs="Times New Roman"/>
              </w:rPr>
            </w:pPr>
            <w:r w:rsidRPr="009010AE">
              <w:rPr>
                <w:rFonts w:ascii="Times New Roman" w:hAnsi="Times New Roman" w:cs="Times New Roman"/>
              </w:rPr>
              <w:t>6,0</w:t>
            </w:r>
          </w:p>
        </w:tc>
        <w:tc>
          <w:tcPr>
            <w:tcW w:w="935" w:type="dxa"/>
            <w:tcBorders>
              <w:top w:val="nil"/>
              <w:left w:val="nil"/>
              <w:bottom w:val="single" w:sz="4" w:space="0" w:color="auto"/>
              <w:right w:val="single" w:sz="4" w:space="0" w:color="auto"/>
            </w:tcBorders>
            <w:shd w:val="clear" w:color="auto" w:fill="EAF1DD"/>
            <w:noWrap/>
            <w:tcMar>
              <w:right w:w="170" w:type="dxa"/>
            </w:tcMar>
            <w:vAlign w:val="center"/>
          </w:tcPr>
          <w:p w:rsidR="009010AE" w:rsidRPr="009010AE" w:rsidRDefault="009010AE" w:rsidP="009010AE">
            <w:pPr>
              <w:spacing w:after="120" w:line="240" w:lineRule="auto"/>
              <w:ind w:firstLine="25"/>
              <w:rPr>
                <w:rFonts w:ascii="Times New Roman" w:hAnsi="Times New Roman" w:cs="Times New Roman"/>
              </w:rPr>
            </w:pPr>
            <w:r w:rsidRPr="009010AE">
              <w:rPr>
                <w:rFonts w:ascii="Times New Roman" w:hAnsi="Times New Roman" w:cs="Times New Roman"/>
              </w:rPr>
              <w:t>5,5</w:t>
            </w:r>
          </w:p>
        </w:tc>
        <w:tc>
          <w:tcPr>
            <w:tcW w:w="936" w:type="dxa"/>
            <w:tcBorders>
              <w:top w:val="nil"/>
              <w:left w:val="nil"/>
              <w:bottom w:val="single" w:sz="4" w:space="0" w:color="auto"/>
              <w:right w:val="single" w:sz="4" w:space="0" w:color="auto"/>
            </w:tcBorders>
            <w:shd w:val="clear" w:color="auto" w:fill="EAF1DD"/>
            <w:noWrap/>
            <w:tcMar>
              <w:right w:w="170" w:type="dxa"/>
            </w:tcMar>
            <w:vAlign w:val="center"/>
          </w:tcPr>
          <w:p w:rsidR="009010AE" w:rsidRPr="009010AE" w:rsidRDefault="009010AE" w:rsidP="009010AE">
            <w:pPr>
              <w:spacing w:after="120" w:line="240" w:lineRule="auto"/>
              <w:ind w:firstLine="25"/>
              <w:rPr>
                <w:rFonts w:ascii="Times New Roman" w:hAnsi="Times New Roman" w:cs="Times New Roman"/>
              </w:rPr>
            </w:pPr>
            <w:r w:rsidRPr="009010AE">
              <w:rPr>
                <w:rFonts w:ascii="Times New Roman" w:hAnsi="Times New Roman" w:cs="Times New Roman"/>
              </w:rPr>
              <w:t>5,0</w:t>
            </w:r>
          </w:p>
        </w:tc>
      </w:tr>
      <w:tr w:rsidR="009010AE" w:rsidRPr="009010AE" w:rsidTr="009010AE">
        <w:trPr>
          <w:trHeight w:val="30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0AE" w:rsidRPr="009010AE" w:rsidRDefault="009010AE" w:rsidP="009010AE">
            <w:pPr>
              <w:spacing w:after="120" w:line="240" w:lineRule="auto"/>
              <w:ind w:firstLine="25"/>
              <w:rPr>
                <w:rFonts w:ascii="Times New Roman" w:hAnsi="Times New Roman" w:cs="Times New Roman"/>
                <w:noProof/>
                <w:lang w:eastAsia="lv-LV"/>
              </w:rPr>
            </w:pPr>
            <w:r w:rsidRPr="009010AE">
              <w:rPr>
                <w:rFonts w:ascii="Times New Roman" w:hAnsi="Times New Roman" w:cs="Times New Roman"/>
                <w:noProof/>
                <w:lang w:eastAsia="lv-LV"/>
              </w:rPr>
              <w:t>pieaugums salīdzināmās cenās, %</w:t>
            </w:r>
          </w:p>
        </w:tc>
        <w:tc>
          <w:tcPr>
            <w:tcW w:w="935" w:type="dxa"/>
            <w:tcBorders>
              <w:top w:val="single" w:sz="4" w:space="0" w:color="auto"/>
              <w:left w:val="single" w:sz="4" w:space="0" w:color="auto"/>
              <w:bottom w:val="single" w:sz="4" w:space="0" w:color="auto"/>
              <w:right w:val="single" w:sz="4" w:space="0" w:color="auto"/>
            </w:tcBorders>
            <w:shd w:val="clear" w:color="auto" w:fill="auto"/>
            <w:noWrap/>
            <w:tcMar>
              <w:right w:w="170" w:type="dxa"/>
            </w:tcMar>
            <w:vAlign w:val="center"/>
          </w:tcPr>
          <w:p w:rsidR="009010AE" w:rsidRPr="009010AE" w:rsidRDefault="009010AE" w:rsidP="009010AE">
            <w:pPr>
              <w:spacing w:after="120" w:line="240" w:lineRule="auto"/>
              <w:ind w:firstLine="25"/>
              <w:rPr>
                <w:rFonts w:ascii="Times New Roman" w:hAnsi="Times New Roman" w:cs="Times New Roman"/>
              </w:rPr>
            </w:pPr>
            <w:r w:rsidRPr="009010AE">
              <w:rPr>
                <w:rFonts w:ascii="Times New Roman" w:hAnsi="Times New Roman" w:cs="Times New Roman"/>
              </w:rPr>
              <w:t>4,7</w:t>
            </w:r>
          </w:p>
        </w:tc>
        <w:tc>
          <w:tcPr>
            <w:tcW w:w="935" w:type="dxa"/>
            <w:tcBorders>
              <w:top w:val="single" w:sz="4" w:space="0" w:color="auto"/>
              <w:left w:val="single" w:sz="4" w:space="0" w:color="auto"/>
              <w:bottom w:val="single" w:sz="4" w:space="0" w:color="auto"/>
              <w:right w:val="single" w:sz="4" w:space="0" w:color="auto"/>
            </w:tcBorders>
            <w:shd w:val="clear" w:color="auto" w:fill="EAF1DD"/>
            <w:noWrap/>
            <w:tcMar>
              <w:right w:w="170" w:type="dxa"/>
            </w:tcMar>
            <w:vAlign w:val="center"/>
          </w:tcPr>
          <w:p w:rsidR="009010AE" w:rsidRPr="009010AE" w:rsidRDefault="009010AE" w:rsidP="009010AE">
            <w:pPr>
              <w:spacing w:after="120" w:line="240" w:lineRule="auto"/>
              <w:ind w:firstLine="25"/>
              <w:rPr>
                <w:rFonts w:ascii="Times New Roman" w:hAnsi="Times New Roman" w:cs="Times New Roman"/>
              </w:rPr>
            </w:pPr>
            <w:r w:rsidRPr="009010AE">
              <w:rPr>
                <w:rFonts w:ascii="Times New Roman" w:hAnsi="Times New Roman" w:cs="Times New Roman"/>
              </w:rPr>
              <w:t>5,7</w:t>
            </w:r>
          </w:p>
        </w:tc>
        <w:tc>
          <w:tcPr>
            <w:tcW w:w="936" w:type="dxa"/>
            <w:tcBorders>
              <w:top w:val="single" w:sz="4" w:space="0" w:color="auto"/>
              <w:left w:val="single" w:sz="4" w:space="0" w:color="auto"/>
              <w:bottom w:val="single" w:sz="4" w:space="0" w:color="auto"/>
              <w:right w:val="single" w:sz="4" w:space="0" w:color="auto"/>
            </w:tcBorders>
            <w:shd w:val="clear" w:color="auto" w:fill="EAF1DD"/>
            <w:noWrap/>
            <w:tcMar>
              <w:right w:w="170" w:type="dxa"/>
            </w:tcMar>
            <w:vAlign w:val="center"/>
          </w:tcPr>
          <w:p w:rsidR="009010AE" w:rsidRPr="009010AE" w:rsidRDefault="009010AE" w:rsidP="009010AE">
            <w:pPr>
              <w:spacing w:after="120" w:line="240" w:lineRule="auto"/>
              <w:ind w:firstLine="25"/>
              <w:rPr>
                <w:rFonts w:ascii="Times New Roman" w:hAnsi="Times New Roman" w:cs="Times New Roman"/>
              </w:rPr>
            </w:pPr>
            <w:r w:rsidRPr="009010AE">
              <w:rPr>
                <w:rFonts w:ascii="Times New Roman" w:hAnsi="Times New Roman" w:cs="Times New Roman"/>
              </w:rPr>
              <w:t>3,4</w:t>
            </w:r>
          </w:p>
        </w:tc>
        <w:tc>
          <w:tcPr>
            <w:tcW w:w="935" w:type="dxa"/>
            <w:tcBorders>
              <w:top w:val="single" w:sz="4" w:space="0" w:color="auto"/>
              <w:left w:val="single" w:sz="4" w:space="0" w:color="auto"/>
              <w:bottom w:val="single" w:sz="4" w:space="0" w:color="auto"/>
              <w:right w:val="single" w:sz="4" w:space="0" w:color="auto"/>
            </w:tcBorders>
            <w:shd w:val="clear" w:color="auto" w:fill="EAF1DD"/>
            <w:noWrap/>
            <w:tcMar>
              <w:right w:w="170" w:type="dxa"/>
            </w:tcMar>
            <w:vAlign w:val="center"/>
          </w:tcPr>
          <w:p w:rsidR="009010AE" w:rsidRPr="009010AE" w:rsidRDefault="009010AE" w:rsidP="009010AE">
            <w:pPr>
              <w:spacing w:after="120" w:line="240" w:lineRule="auto"/>
              <w:ind w:firstLine="25"/>
              <w:rPr>
                <w:rFonts w:ascii="Times New Roman" w:hAnsi="Times New Roman" w:cs="Times New Roman"/>
              </w:rPr>
            </w:pPr>
            <w:r w:rsidRPr="009010AE">
              <w:rPr>
                <w:rFonts w:ascii="Times New Roman" w:hAnsi="Times New Roman" w:cs="Times New Roman"/>
              </w:rPr>
              <w:t>3,2</w:t>
            </w:r>
          </w:p>
        </w:tc>
        <w:tc>
          <w:tcPr>
            <w:tcW w:w="936" w:type="dxa"/>
            <w:tcBorders>
              <w:top w:val="single" w:sz="4" w:space="0" w:color="auto"/>
              <w:left w:val="single" w:sz="4" w:space="0" w:color="auto"/>
              <w:bottom w:val="single" w:sz="4" w:space="0" w:color="auto"/>
              <w:right w:val="single" w:sz="4" w:space="0" w:color="auto"/>
            </w:tcBorders>
            <w:shd w:val="clear" w:color="auto" w:fill="EAF1DD"/>
            <w:noWrap/>
            <w:tcMar>
              <w:right w:w="170" w:type="dxa"/>
            </w:tcMar>
            <w:vAlign w:val="center"/>
          </w:tcPr>
          <w:p w:rsidR="009010AE" w:rsidRPr="009010AE" w:rsidRDefault="009010AE" w:rsidP="009010AE">
            <w:pPr>
              <w:spacing w:after="120" w:line="240" w:lineRule="auto"/>
              <w:ind w:firstLine="25"/>
              <w:rPr>
                <w:rFonts w:ascii="Times New Roman" w:hAnsi="Times New Roman" w:cs="Times New Roman"/>
              </w:rPr>
            </w:pPr>
            <w:r w:rsidRPr="009010AE">
              <w:rPr>
                <w:rFonts w:ascii="Times New Roman" w:hAnsi="Times New Roman" w:cs="Times New Roman"/>
              </w:rPr>
              <w:t>2,8</w:t>
            </w:r>
          </w:p>
        </w:tc>
      </w:tr>
      <w:tr w:rsidR="009010AE" w:rsidRPr="009010AE" w:rsidTr="009010AE">
        <w:trPr>
          <w:trHeight w:val="60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rsidR="009010AE" w:rsidRPr="009010AE" w:rsidRDefault="009010AE" w:rsidP="009010AE">
            <w:pPr>
              <w:spacing w:after="120" w:line="240" w:lineRule="auto"/>
              <w:ind w:firstLine="25"/>
              <w:rPr>
                <w:rFonts w:ascii="Times New Roman" w:hAnsi="Times New Roman" w:cs="Times New Roman"/>
                <w:noProof/>
                <w:lang w:eastAsia="lv-LV"/>
              </w:rPr>
            </w:pPr>
            <w:r w:rsidRPr="009010AE">
              <w:rPr>
                <w:rFonts w:ascii="Times New Roman" w:hAnsi="Times New Roman" w:cs="Times New Roman"/>
                <w:noProof/>
                <w:lang w:eastAsia="lv-LV"/>
              </w:rPr>
              <w:lastRenderedPageBreak/>
              <w:t>Nodarbinātība, tūkst. iedzīvotāju (atbilstoši darbaspēka apsekojumiem)</w:t>
            </w:r>
          </w:p>
        </w:tc>
        <w:tc>
          <w:tcPr>
            <w:tcW w:w="935" w:type="dxa"/>
            <w:tcBorders>
              <w:top w:val="single" w:sz="4" w:space="0" w:color="auto"/>
              <w:left w:val="nil"/>
              <w:bottom w:val="single" w:sz="4" w:space="0" w:color="auto"/>
              <w:right w:val="single" w:sz="4" w:space="0" w:color="auto"/>
            </w:tcBorders>
            <w:shd w:val="clear" w:color="auto" w:fill="auto"/>
            <w:noWrap/>
            <w:tcMar>
              <w:right w:w="170" w:type="dxa"/>
            </w:tcMar>
            <w:vAlign w:val="center"/>
          </w:tcPr>
          <w:p w:rsidR="009010AE" w:rsidRPr="009010AE" w:rsidRDefault="009010AE" w:rsidP="009010AE">
            <w:pPr>
              <w:spacing w:after="120" w:line="240" w:lineRule="auto"/>
              <w:ind w:firstLine="25"/>
              <w:rPr>
                <w:rFonts w:ascii="Times New Roman" w:hAnsi="Times New Roman" w:cs="Times New Roman"/>
              </w:rPr>
            </w:pPr>
            <w:r w:rsidRPr="009010AE">
              <w:rPr>
                <w:rFonts w:ascii="Times New Roman" w:hAnsi="Times New Roman" w:cs="Times New Roman"/>
              </w:rPr>
              <w:t>895</w:t>
            </w:r>
          </w:p>
        </w:tc>
        <w:tc>
          <w:tcPr>
            <w:tcW w:w="935" w:type="dxa"/>
            <w:tcBorders>
              <w:top w:val="single" w:sz="4" w:space="0" w:color="auto"/>
              <w:left w:val="nil"/>
              <w:bottom w:val="single" w:sz="4" w:space="0" w:color="auto"/>
              <w:right w:val="single" w:sz="4" w:space="0" w:color="auto"/>
            </w:tcBorders>
            <w:shd w:val="clear" w:color="auto" w:fill="EAF1DD"/>
            <w:noWrap/>
            <w:tcMar>
              <w:right w:w="170" w:type="dxa"/>
            </w:tcMar>
            <w:vAlign w:val="center"/>
          </w:tcPr>
          <w:p w:rsidR="009010AE" w:rsidRPr="009010AE" w:rsidRDefault="009010AE" w:rsidP="009010AE">
            <w:pPr>
              <w:spacing w:after="120" w:line="240" w:lineRule="auto"/>
              <w:ind w:firstLine="25"/>
              <w:rPr>
                <w:rFonts w:ascii="Times New Roman" w:hAnsi="Times New Roman" w:cs="Times New Roman"/>
              </w:rPr>
            </w:pPr>
            <w:r w:rsidRPr="009010AE">
              <w:rPr>
                <w:rFonts w:ascii="Times New Roman" w:hAnsi="Times New Roman" w:cs="Times New Roman"/>
              </w:rPr>
              <w:t>906</w:t>
            </w:r>
          </w:p>
        </w:tc>
        <w:tc>
          <w:tcPr>
            <w:tcW w:w="936" w:type="dxa"/>
            <w:tcBorders>
              <w:top w:val="single" w:sz="4" w:space="0" w:color="auto"/>
              <w:left w:val="nil"/>
              <w:bottom w:val="single" w:sz="4" w:space="0" w:color="auto"/>
              <w:right w:val="single" w:sz="4" w:space="0" w:color="auto"/>
            </w:tcBorders>
            <w:shd w:val="clear" w:color="auto" w:fill="EAF1DD"/>
            <w:noWrap/>
            <w:tcMar>
              <w:right w:w="170" w:type="dxa"/>
            </w:tcMar>
            <w:vAlign w:val="center"/>
          </w:tcPr>
          <w:p w:rsidR="009010AE" w:rsidRPr="009010AE" w:rsidRDefault="009010AE" w:rsidP="009010AE">
            <w:pPr>
              <w:spacing w:after="120" w:line="240" w:lineRule="auto"/>
              <w:ind w:firstLine="25"/>
              <w:rPr>
                <w:rFonts w:ascii="Times New Roman" w:hAnsi="Times New Roman" w:cs="Times New Roman"/>
              </w:rPr>
            </w:pPr>
            <w:r w:rsidRPr="009010AE">
              <w:rPr>
                <w:rFonts w:ascii="Times New Roman" w:hAnsi="Times New Roman" w:cs="Times New Roman"/>
              </w:rPr>
              <w:t>906</w:t>
            </w:r>
          </w:p>
        </w:tc>
        <w:tc>
          <w:tcPr>
            <w:tcW w:w="935" w:type="dxa"/>
            <w:tcBorders>
              <w:top w:val="single" w:sz="4" w:space="0" w:color="auto"/>
              <w:left w:val="nil"/>
              <w:bottom w:val="single" w:sz="4" w:space="0" w:color="auto"/>
              <w:right w:val="single" w:sz="4" w:space="0" w:color="auto"/>
            </w:tcBorders>
            <w:shd w:val="clear" w:color="auto" w:fill="EAF1DD"/>
            <w:noWrap/>
            <w:tcMar>
              <w:right w:w="170" w:type="dxa"/>
            </w:tcMar>
            <w:vAlign w:val="center"/>
          </w:tcPr>
          <w:p w:rsidR="009010AE" w:rsidRPr="009010AE" w:rsidRDefault="009010AE" w:rsidP="009010AE">
            <w:pPr>
              <w:spacing w:after="120" w:line="240" w:lineRule="auto"/>
              <w:ind w:firstLine="25"/>
              <w:rPr>
                <w:rFonts w:ascii="Times New Roman" w:hAnsi="Times New Roman" w:cs="Times New Roman"/>
              </w:rPr>
            </w:pPr>
            <w:r w:rsidRPr="009010AE">
              <w:rPr>
                <w:rFonts w:ascii="Times New Roman" w:hAnsi="Times New Roman" w:cs="Times New Roman"/>
              </w:rPr>
              <w:t>906</w:t>
            </w:r>
          </w:p>
        </w:tc>
        <w:tc>
          <w:tcPr>
            <w:tcW w:w="936" w:type="dxa"/>
            <w:tcBorders>
              <w:top w:val="single" w:sz="4" w:space="0" w:color="auto"/>
              <w:left w:val="nil"/>
              <w:bottom w:val="single" w:sz="4" w:space="0" w:color="auto"/>
              <w:right w:val="single" w:sz="4" w:space="0" w:color="auto"/>
            </w:tcBorders>
            <w:shd w:val="clear" w:color="auto" w:fill="EAF1DD"/>
            <w:noWrap/>
            <w:tcMar>
              <w:right w:w="170" w:type="dxa"/>
            </w:tcMar>
            <w:vAlign w:val="center"/>
          </w:tcPr>
          <w:p w:rsidR="009010AE" w:rsidRPr="009010AE" w:rsidRDefault="009010AE" w:rsidP="009010AE">
            <w:pPr>
              <w:spacing w:after="120" w:line="240" w:lineRule="auto"/>
              <w:ind w:firstLine="25"/>
              <w:rPr>
                <w:rFonts w:ascii="Times New Roman" w:hAnsi="Times New Roman" w:cs="Times New Roman"/>
              </w:rPr>
            </w:pPr>
            <w:r w:rsidRPr="009010AE">
              <w:rPr>
                <w:rFonts w:ascii="Times New Roman" w:hAnsi="Times New Roman" w:cs="Times New Roman"/>
              </w:rPr>
              <w:t>906</w:t>
            </w:r>
          </w:p>
        </w:tc>
      </w:tr>
      <w:tr w:rsidR="009010AE" w:rsidRPr="009010AE" w:rsidTr="00674CB9">
        <w:trPr>
          <w:trHeight w:val="300"/>
          <w:jc w:val="center"/>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rsidR="009010AE" w:rsidRPr="009010AE" w:rsidRDefault="009010AE" w:rsidP="009010AE">
            <w:pPr>
              <w:spacing w:after="120" w:line="240" w:lineRule="auto"/>
              <w:ind w:firstLine="25"/>
              <w:rPr>
                <w:rFonts w:ascii="Times New Roman" w:hAnsi="Times New Roman" w:cs="Times New Roman"/>
                <w:noProof/>
                <w:lang w:eastAsia="lv-LV"/>
              </w:rPr>
            </w:pPr>
            <w:r w:rsidRPr="009010AE">
              <w:rPr>
                <w:rFonts w:ascii="Times New Roman" w:hAnsi="Times New Roman" w:cs="Times New Roman"/>
                <w:noProof/>
                <w:lang w:eastAsia="lv-LV"/>
              </w:rPr>
              <w:t>pieaugums, %</w:t>
            </w:r>
          </w:p>
        </w:tc>
        <w:tc>
          <w:tcPr>
            <w:tcW w:w="935" w:type="dxa"/>
            <w:tcBorders>
              <w:top w:val="nil"/>
              <w:left w:val="nil"/>
              <w:bottom w:val="single" w:sz="4" w:space="0" w:color="auto"/>
              <w:right w:val="single" w:sz="4" w:space="0" w:color="auto"/>
            </w:tcBorders>
            <w:shd w:val="clear" w:color="auto" w:fill="auto"/>
            <w:noWrap/>
            <w:tcMar>
              <w:right w:w="170" w:type="dxa"/>
            </w:tcMar>
            <w:vAlign w:val="center"/>
          </w:tcPr>
          <w:p w:rsidR="009010AE" w:rsidRPr="009010AE" w:rsidRDefault="009010AE" w:rsidP="009010AE">
            <w:pPr>
              <w:spacing w:after="120" w:line="240" w:lineRule="auto"/>
              <w:ind w:firstLine="25"/>
              <w:rPr>
                <w:rFonts w:ascii="Times New Roman" w:hAnsi="Times New Roman" w:cs="Times New Roman"/>
              </w:rPr>
            </w:pPr>
            <w:r w:rsidRPr="009010AE">
              <w:rPr>
                <w:rFonts w:ascii="Times New Roman" w:hAnsi="Times New Roman" w:cs="Times New Roman"/>
              </w:rPr>
              <w:t>0,2</w:t>
            </w:r>
          </w:p>
        </w:tc>
        <w:tc>
          <w:tcPr>
            <w:tcW w:w="935" w:type="dxa"/>
            <w:tcBorders>
              <w:top w:val="nil"/>
              <w:left w:val="nil"/>
              <w:bottom w:val="single" w:sz="4" w:space="0" w:color="auto"/>
              <w:right w:val="single" w:sz="4" w:space="0" w:color="auto"/>
            </w:tcBorders>
            <w:shd w:val="clear" w:color="auto" w:fill="EAF1DD"/>
            <w:noWrap/>
            <w:tcMar>
              <w:right w:w="170" w:type="dxa"/>
            </w:tcMar>
            <w:vAlign w:val="center"/>
          </w:tcPr>
          <w:p w:rsidR="009010AE" w:rsidRPr="009010AE" w:rsidRDefault="009010AE" w:rsidP="009010AE">
            <w:pPr>
              <w:spacing w:after="120" w:line="240" w:lineRule="auto"/>
              <w:ind w:firstLine="25"/>
              <w:rPr>
                <w:rFonts w:ascii="Times New Roman" w:hAnsi="Times New Roman" w:cs="Times New Roman"/>
              </w:rPr>
            </w:pPr>
            <w:r w:rsidRPr="009010AE">
              <w:rPr>
                <w:rFonts w:ascii="Times New Roman" w:hAnsi="Times New Roman" w:cs="Times New Roman"/>
              </w:rPr>
              <w:t>1,2</w:t>
            </w:r>
          </w:p>
        </w:tc>
        <w:tc>
          <w:tcPr>
            <w:tcW w:w="936" w:type="dxa"/>
            <w:tcBorders>
              <w:top w:val="nil"/>
              <w:left w:val="nil"/>
              <w:bottom w:val="single" w:sz="4" w:space="0" w:color="auto"/>
              <w:right w:val="single" w:sz="4" w:space="0" w:color="auto"/>
            </w:tcBorders>
            <w:shd w:val="clear" w:color="auto" w:fill="EAF1DD"/>
            <w:noWrap/>
            <w:tcMar>
              <w:right w:w="170" w:type="dxa"/>
            </w:tcMar>
            <w:vAlign w:val="center"/>
          </w:tcPr>
          <w:p w:rsidR="009010AE" w:rsidRPr="009010AE" w:rsidRDefault="009010AE" w:rsidP="009010AE">
            <w:pPr>
              <w:spacing w:after="120" w:line="240" w:lineRule="auto"/>
              <w:ind w:firstLine="25"/>
              <w:rPr>
                <w:rFonts w:ascii="Times New Roman" w:hAnsi="Times New Roman" w:cs="Times New Roman"/>
              </w:rPr>
            </w:pPr>
            <w:r w:rsidRPr="009010AE">
              <w:rPr>
                <w:rFonts w:ascii="Times New Roman" w:hAnsi="Times New Roman" w:cs="Times New Roman"/>
              </w:rPr>
              <w:t>0,1</w:t>
            </w:r>
          </w:p>
        </w:tc>
        <w:tc>
          <w:tcPr>
            <w:tcW w:w="935" w:type="dxa"/>
            <w:tcBorders>
              <w:top w:val="nil"/>
              <w:left w:val="nil"/>
              <w:bottom w:val="single" w:sz="4" w:space="0" w:color="auto"/>
              <w:right w:val="single" w:sz="4" w:space="0" w:color="auto"/>
            </w:tcBorders>
            <w:shd w:val="clear" w:color="auto" w:fill="EAF1DD"/>
            <w:noWrap/>
            <w:tcMar>
              <w:right w:w="170" w:type="dxa"/>
            </w:tcMar>
            <w:vAlign w:val="center"/>
          </w:tcPr>
          <w:p w:rsidR="009010AE" w:rsidRPr="009010AE" w:rsidRDefault="009010AE" w:rsidP="009010AE">
            <w:pPr>
              <w:spacing w:after="120" w:line="240" w:lineRule="auto"/>
              <w:ind w:firstLine="25"/>
              <w:rPr>
                <w:rFonts w:ascii="Times New Roman" w:hAnsi="Times New Roman" w:cs="Times New Roman"/>
              </w:rPr>
            </w:pPr>
            <w:r w:rsidRPr="009010AE">
              <w:rPr>
                <w:rFonts w:ascii="Times New Roman" w:hAnsi="Times New Roman" w:cs="Times New Roman"/>
              </w:rPr>
              <w:t>0,0</w:t>
            </w:r>
          </w:p>
        </w:tc>
        <w:tc>
          <w:tcPr>
            <w:tcW w:w="936" w:type="dxa"/>
            <w:tcBorders>
              <w:top w:val="nil"/>
              <w:left w:val="nil"/>
              <w:bottom w:val="single" w:sz="4" w:space="0" w:color="auto"/>
              <w:right w:val="single" w:sz="4" w:space="0" w:color="auto"/>
            </w:tcBorders>
            <w:shd w:val="clear" w:color="auto" w:fill="EAF1DD"/>
            <w:noWrap/>
            <w:tcMar>
              <w:right w:w="170" w:type="dxa"/>
            </w:tcMar>
            <w:vAlign w:val="center"/>
          </w:tcPr>
          <w:p w:rsidR="009010AE" w:rsidRPr="009010AE" w:rsidRDefault="009010AE" w:rsidP="009010AE">
            <w:pPr>
              <w:spacing w:after="120" w:line="240" w:lineRule="auto"/>
              <w:ind w:firstLine="25"/>
              <w:rPr>
                <w:rFonts w:ascii="Times New Roman" w:hAnsi="Times New Roman" w:cs="Times New Roman"/>
              </w:rPr>
            </w:pPr>
            <w:r w:rsidRPr="009010AE">
              <w:rPr>
                <w:rFonts w:ascii="Times New Roman" w:hAnsi="Times New Roman" w:cs="Times New Roman"/>
              </w:rPr>
              <w:t>-0,1</w:t>
            </w:r>
          </w:p>
        </w:tc>
      </w:tr>
      <w:tr w:rsidR="009010AE" w:rsidRPr="009010AE" w:rsidTr="00674CB9">
        <w:trPr>
          <w:trHeight w:val="300"/>
          <w:jc w:val="center"/>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10AE" w:rsidRPr="009010AE" w:rsidRDefault="009010AE" w:rsidP="009010AE">
            <w:pPr>
              <w:spacing w:after="120" w:line="240" w:lineRule="auto"/>
              <w:ind w:firstLine="25"/>
              <w:rPr>
                <w:rFonts w:ascii="Times New Roman" w:hAnsi="Times New Roman" w:cs="Times New Roman"/>
                <w:noProof/>
                <w:lang w:eastAsia="lv-LV"/>
              </w:rPr>
            </w:pPr>
            <w:r w:rsidRPr="009010AE">
              <w:rPr>
                <w:rFonts w:ascii="Times New Roman" w:hAnsi="Times New Roman" w:cs="Times New Roman"/>
                <w:noProof/>
                <w:lang w:eastAsia="lv-LV"/>
              </w:rPr>
              <w:t>Bezdarba līmenis (gada vidējais),</w:t>
            </w:r>
            <w:r w:rsidRPr="009010AE">
              <w:rPr>
                <w:rFonts w:ascii="Times New Roman" w:hAnsi="Times New Roman" w:cs="Times New Roman"/>
                <w:noProof/>
                <w:lang w:eastAsia="lv-LV"/>
              </w:rPr>
              <w:br/>
              <w:t>% no ekon. aktīviem iedzīv.</w:t>
            </w:r>
          </w:p>
        </w:tc>
        <w:tc>
          <w:tcPr>
            <w:tcW w:w="935" w:type="dxa"/>
            <w:tcBorders>
              <w:top w:val="single" w:sz="4" w:space="0" w:color="auto"/>
              <w:left w:val="nil"/>
              <w:bottom w:val="single" w:sz="4" w:space="0" w:color="auto"/>
              <w:right w:val="single" w:sz="4" w:space="0" w:color="auto"/>
            </w:tcBorders>
            <w:shd w:val="clear" w:color="auto" w:fill="auto"/>
            <w:noWrap/>
            <w:tcMar>
              <w:right w:w="170" w:type="dxa"/>
            </w:tcMar>
            <w:vAlign w:val="center"/>
          </w:tcPr>
          <w:p w:rsidR="009010AE" w:rsidRPr="009010AE" w:rsidRDefault="009010AE" w:rsidP="009010AE">
            <w:pPr>
              <w:spacing w:after="120" w:line="240" w:lineRule="auto"/>
              <w:ind w:firstLine="25"/>
              <w:rPr>
                <w:rFonts w:ascii="Times New Roman" w:hAnsi="Times New Roman" w:cs="Times New Roman"/>
              </w:rPr>
            </w:pPr>
            <w:r w:rsidRPr="009010AE">
              <w:rPr>
                <w:rFonts w:ascii="Times New Roman" w:hAnsi="Times New Roman" w:cs="Times New Roman"/>
              </w:rPr>
              <w:t>8,7</w:t>
            </w:r>
          </w:p>
        </w:tc>
        <w:tc>
          <w:tcPr>
            <w:tcW w:w="935" w:type="dxa"/>
            <w:tcBorders>
              <w:top w:val="single" w:sz="4" w:space="0" w:color="auto"/>
              <w:left w:val="nil"/>
              <w:bottom w:val="single" w:sz="4" w:space="0" w:color="auto"/>
              <w:right w:val="single" w:sz="4" w:space="0" w:color="auto"/>
            </w:tcBorders>
            <w:shd w:val="clear" w:color="auto" w:fill="EAF1DD"/>
            <w:noWrap/>
            <w:tcMar>
              <w:right w:w="170" w:type="dxa"/>
            </w:tcMar>
            <w:vAlign w:val="center"/>
          </w:tcPr>
          <w:p w:rsidR="009010AE" w:rsidRPr="009010AE" w:rsidRDefault="009010AE" w:rsidP="009010AE">
            <w:pPr>
              <w:spacing w:after="120" w:line="240" w:lineRule="auto"/>
              <w:ind w:firstLine="25"/>
              <w:rPr>
                <w:rFonts w:ascii="Times New Roman" w:hAnsi="Times New Roman" w:cs="Times New Roman"/>
              </w:rPr>
            </w:pPr>
            <w:r w:rsidRPr="009010AE">
              <w:rPr>
                <w:rFonts w:ascii="Times New Roman" w:hAnsi="Times New Roman" w:cs="Times New Roman"/>
              </w:rPr>
              <w:t>7,7</w:t>
            </w:r>
          </w:p>
        </w:tc>
        <w:tc>
          <w:tcPr>
            <w:tcW w:w="936" w:type="dxa"/>
            <w:tcBorders>
              <w:top w:val="single" w:sz="4" w:space="0" w:color="auto"/>
              <w:left w:val="nil"/>
              <w:bottom w:val="single" w:sz="4" w:space="0" w:color="auto"/>
              <w:right w:val="single" w:sz="4" w:space="0" w:color="auto"/>
            </w:tcBorders>
            <w:shd w:val="clear" w:color="auto" w:fill="EAF1DD"/>
            <w:noWrap/>
            <w:tcMar>
              <w:right w:w="170" w:type="dxa"/>
            </w:tcMar>
            <w:vAlign w:val="center"/>
          </w:tcPr>
          <w:p w:rsidR="009010AE" w:rsidRPr="009010AE" w:rsidRDefault="009010AE" w:rsidP="009010AE">
            <w:pPr>
              <w:spacing w:after="120" w:line="240" w:lineRule="auto"/>
              <w:ind w:firstLine="25"/>
              <w:rPr>
                <w:rFonts w:ascii="Times New Roman" w:hAnsi="Times New Roman" w:cs="Times New Roman"/>
              </w:rPr>
            </w:pPr>
            <w:r w:rsidRPr="009010AE">
              <w:rPr>
                <w:rFonts w:ascii="Times New Roman" w:hAnsi="Times New Roman" w:cs="Times New Roman"/>
              </w:rPr>
              <w:t>7,4</w:t>
            </w:r>
          </w:p>
        </w:tc>
        <w:tc>
          <w:tcPr>
            <w:tcW w:w="935" w:type="dxa"/>
            <w:tcBorders>
              <w:top w:val="single" w:sz="4" w:space="0" w:color="auto"/>
              <w:left w:val="nil"/>
              <w:bottom w:val="single" w:sz="4" w:space="0" w:color="auto"/>
              <w:right w:val="single" w:sz="4" w:space="0" w:color="auto"/>
            </w:tcBorders>
            <w:shd w:val="clear" w:color="auto" w:fill="EAF1DD"/>
            <w:noWrap/>
            <w:tcMar>
              <w:right w:w="170" w:type="dxa"/>
            </w:tcMar>
            <w:vAlign w:val="center"/>
          </w:tcPr>
          <w:p w:rsidR="009010AE" w:rsidRPr="009010AE" w:rsidRDefault="009010AE" w:rsidP="009010AE">
            <w:pPr>
              <w:spacing w:after="120" w:line="240" w:lineRule="auto"/>
              <w:ind w:firstLine="25"/>
              <w:rPr>
                <w:rFonts w:ascii="Times New Roman" w:hAnsi="Times New Roman" w:cs="Times New Roman"/>
              </w:rPr>
            </w:pPr>
            <w:r w:rsidRPr="009010AE">
              <w:rPr>
                <w:rFonts w:ascii="Times New Roman" w:hAnsi="Times New Roman" w:cs="Times New Roman"/>
              </w:rPr>
              <w:t>7,0</w:t>
            </w:r>
          </w:p>
        </w:tc>
        <w:tc>
          <w:tcPr>
            <w:tcW w:w="936" w:type="dxa"/>
            <w:tcBorders>
              <w:top w:val="single" w:sz="4" w:space="0" w:color="auto"/>
              <w:left w:val="nil"/>
              <w:bottom w:val="single" w:sz="4" w:space="0" w:color="auto"/>
              <w:right w:val="single" w:sz="4" w:space="0" w:color="auto"/>
            </w:tcBorders>
            <w:shd w:val="clear" w:color="auto" w:fill="EAF1DD"/>
            <w:noWrap/>
            <w:tcMar>
              <w:right w:w="170" w:type="dxa"/>
            </w:tcMar>
            <w:vAlign w:val="center"/>
          </w:tcPr>
          <w:p w:rsidR="009010AE" w:rsidRPr="009010AE" w:rsidRDefault="009010AE" w:rsidP="009010AE">
            <w:pPr>
              <w:spacing w:after="120" w:line="240" w:lineRule="auto"/>
              <w:ind w:firstLine="25"/>
              <w:rPr>
                <w:rFonts w:ascii="Times New Roman" w:hAnsi="Times New Roman" w:cs="Times New Roman"/>
              </w:rPr>
            </w:pPr>
            <w:r w:rsidRPr="009010AE">
              <w:rPr>
                <w:rFonts w:ascii="Times New Roman" w:hAnsi="Times New Roman" w:cs="Times New Roman"/>
              </w:rPr>
              <w:t>6,8</w:t>
            </w:r>
          </w:p>
        </w:tc>
      </w:tr>
      <w:tr w:rsidR="009010AE" w:rsidRPr="009010AE" w:rsidTr="00674CB9">
        <w:trPr>
          <w:trHeight w:val="300"/>
          <w:jc w:val="center"/>
        </w:trPr>
        <w:tc>
          <w:tcPr>
            <w:tcW w:w="8500" w:type="dxa"/>
            <w:gridSpan w:val="6"/>
            <w:tcBorders>
              <w:top w:val="single" w:sz="4" w:space="0" w:color="auto"/>
            </w:tcBorders>
            <w:shd w:val="clear" w:color="auto" w:fill="auto"/>
            <w:noWrap/>
            <w:vAlign w:val="center"/>
          </w:tcPr>
          <w:p w:rsidR="009010AE" w:rsidRPr="009010AE" w:rsidRDefault="0003350A" w:rsidP="009010AE">
            <w:pPr>
              <w:spacing w:after="120" w:line="240" w:lineRule="auto"/>
              <w:ind w:firstLine="25"/>
              <w:rPr>
                <w:rFonts w:ascii="Times New Roman" w:hAnsi="Times New Roman" w:cs="Times New Roman"/>
                <w:sz w:val="18"/>
                <w:szCs w:val="18"/>
              </w:rPr>
            </w:pPr>
            <w:r w:rsidRPr="0003350A">
              <w:rPr>
                <w:rFonts w:ascii="Times New Roman" w:hAnsi="Times New Roman" w:cs="Times New Roman"/>
                <w:sz w:val="18"/>
                <w:szCs w:val="18"/>
                <w:vertAlign w:val="superscript"/>
              </w:rPr>
              <w:t>1</w:t>
            </w:r>
            <w:r w:rsidRPr="009010AE">
              <w:rPr>
                <w:rFonts w:ascii="Times New Roman" w:hAnsi="Times New Roman" w:cs="Times New Roman"/>
                <w:sz w:val="18"/>
                <w:szCs w:val="18"/>
              </w:rPr>
              <w:t xml:space="preserve"> </w:t>
            </w:r>
            <w:r w:rsidR="009010AE" w:rsidRPr="009010AE">
              <w:rPr>
                <w:rFonts w:ascii="Times New Roman" w:hAnsi="Times New Roman" w:cs="Times New Roman"/>
                <w:sz w:val="18"/>
                <w:szCs w:val="18"/>
              </w:rPr>
              <w:t xml:space="preserve">IKP dati atjaunoti, ņemot vērā CSP 30/01/2019 ātro novērtējumu par IKP 2018. gada 4. ceturksnī, saglabājot nemainīgus IKP pieauguma par 2019.-2021. un </w:t>
            </w:r>
            <w:proofErr w:type="spellStart"/>
            <w:r w:rsidR="009010AE" w:rsidRPr="009010AE">
              <w:rPr>
                <w:rFonts w:ascii="Times New Roman" w:hAnsi="Times New Roman" w:cs="Times New Roman"/>
                <w:sz w:val="18"/>
                <w:szCs w:val="18"/>
              </w:rPr>
              <w:t>deflatora</w:t>
            </w:r>
            <w:proofErr w:type="spellEnd"/>
            <w:r w:rsidR="009010AE" w:rsidRPr="009010AE">
              <w:rPr>
                <w:rFonts w:ascii="Times New Roman" w:hAnsi="Times New Roman" w:cs="Times New Roman"/>
                <w:sz w:val="18"/>
                <w:szCs w:val="18"/>
              </w:rPr>
              <w:t xml:space="preserve"> tempu prognozes par 2018.-2021.g.</w:t>
            </w:r>
          </w:p>
        </w:tc>
      </w:tr>
    </w:tbl>
    <w:p w:rsidR="009010AE" w:rsidRPr="009010AE" w:rsidRDefault="009010AE" w:rsidP="009010AE">
      <w:pPr>
        <w:spacing w:after="120" w:line="240" w:lineRule="auto"/>
        <w:ind w:firstLine="709"/>
        <w:jc w:val="both"/>
        <w:rPr>
          <w:rFonts w:ascii="Times New Roman" w:hAnsi="Times New Roman" w:cs="Times New Roman"/>
          <w:sz w:val="24"/>
          <w:szCs w:val="24"/>
        </w:rPr>
      </w:pPr>
      <w:r w:rsidRPr="009010AE">
        <w:rPr>
          <w:rFonts w:ascii="Times New Roman" w:hAnsi="Times New Roman" w:cs="Times New Roman"/>
          <w:sz w:val="24"/>
          <w:szCs w:val="24"/>
        </w:rPr>
        <w:t>Makroekonomiskās attīstības scenārijs balstās uz EK 2018.gada vasaras prognozēm par Latvijas tirdzniecības partnervalstu ekonomisko attīstību. Kopum</w:t>
      </w:r>
      <w:r w:rsidR="00DF18C6">
        <w:rPr>
          <w:rFonts w:ascii="Times New Roman" w:hAnsi="Times New Roman" w:cs="Times New Roman"/>
          <w:sz w:val="24"/>
          <w:szCs w:val="24"/>
        </w:rPr>
        <w:t>ā situācija ārējā vidē saglabāja</w:t>
      </w:r>
      <w:r w:rsidRPr="009010AE">
        <w:rPr>
          <w:rFonts w:ascii="Times New Roman" w:hAnsi="Times New Roman" w:cs="Times New Roman"/>
          <w:sz w:val="24"/>
          <w:szCs w:val="24"/>
        </w:rPr>
        <w:t xml:space="preserve">s Latvijas ekonomikas izaugsmei labvēlīga, un atbilstoši EK scenārijam, </w:t>
      </w:r>
      <w:r w:rsidR="00DF18C6">
        <w:rPr>
          <w:rFonts w:ascii="Times New Roman" w:hAnsi="Times New Roman" w:cs="Times New Roman"/>
          <w:sz w:val="24"/>
          <w:szCs w:val="24"/>
        </w:rPr>
        <w:t>ES</w:t>
      </w:r>
      <w:r w:rsidRPr="009010AE">
        <w:rPr>
          <w:rFonts w:ascii="Times New Roman" w:hAnsi="Times New Roman" w:cs="Times New Roman"/>
          <w:sz w:val="24"/>
          <w:szCs w:val="24"/>
        </w:rPr>
        <w:t xml:space="preserve"> valstu IKP kopā 2018.gadā pieaugs par 2,1% un 2019.gadā par 2,0%, nedaudz palēninoties no 2017.gadā sasniegtajiem 2,4%. Septiņās Latvijas galvenajās ārējās tirdzniecības partnervalstīs – Lietuvā, Igaunijā, Krievijā, Vācijā, Zviedrijā, Apvienotajā Karalistē un Polijā – ekonomikas izaugsme kopumā saglabāsies straujāka nekā vidēji ES, 2018.gadā veidojot 2,7% un 2019.gadā 2,3%.</w:t>
      </w:r>
    </w:p>
    <w:p w:rsidR="009010AE" w:rsidRPr="009010AE" w:rsidRDefault="009010AE" w:rsidP="009010AE">
      <w:pPr>
        <w:spacing w:after="120" w:line="240" w:lineRule="auto"/>
        <w:ind w:firstLine="709"/>
        <w:jc w:val="both"/>
        <w:rPr>
          <w:rFonts w:ascii="Times New Roman" w:hAnsi="Times New Roman" w:cs="Times New Roman"/>
          <w:sz w:val="24"/>
          <w:szCs w:val="24"/>
        </w:rPr>
      </w:pPr>
      <w:r w:rsidRPr="009010AE">
        <w:rPr>
          <w:rFonts w:ascii="Times New Roman" w:hAnsi="Times New Roman" w:cs="Times New Roman"/>
          <w:sz w:val="24"/>
          <w:szCs w:val="24"/>
        </w:rPr>
        <w:t xml:space="preserve">Pasaules pieprasījuma dinamikai un ekonomikas izaugsmei ir labvēlīgas arī salīdzinoši stabilās izejvielu cenas un zemās procentu likmes. Savās prognozēs FM pieņēma, ka 2018.gadā vidējā naftas cena būs 73,9 dolāri par </w:t>
      </w:r>
      <w:proofErr w:type="spellStart"/>
      <w:r w:rsidRPr="009010AE">
        <w:rPr>
          <w:rFonts w:ascii="Times New Roman" w:hAnsi="Times New Roman" w:cs="Times New Roman"/>
          <w:i/>
          <w:sz w:val="24"/>
          <w:szCs w:val="24"/>
        </w:rPr>
        <w:t>Brent</w:t>
      </w:r>
      <w:proofErr w:type="spellEnd"/>
      <w:r w:rsidRPr="009010AE">
        <w:rPr>
          <w:rFonts w:ascii="Times New Roman" w:hAnsi="Times New Roman" w:cs="Times New Roman"/>
          <w:sz w:val="24"/>
          <w:szCs w:val="24"/>
        </w:rPr>
        <w:t xml:space="preserve"> jēlnaftas barelu un 2019.gadā – 76,5 dolāri par barelu, savukārt EUR/USD kurss 2018. un 2019.gadā būs attiecīgi 1,19 un 1,16. Procentu likmes joprojām tiek prognozētas stabilas un zemas, īstermiņa likmēm saglabājoties negatīvām -0,3% un  -0,2% attiecīgi 2018.gadā un 2019.gadā.</w:t>
      </w:r>
    </w:p>
    <w:p w:rsidR="009010AE" w:rsidRPr="009010AE" w:rsidRDefault="009010AE" w:rsidP="009010AE">
      <w:pPr>
        <w:spacing w:after="120" w:line="240" w:lineRule="auto"/>
        <w:ind w:firstLine="709"/>
        <w:jc w:val="both"/>
        <w:rPr>
          <w:rFonts w:ascii="Times New Roman" w:hAnsi="Times New Roman" w:cs="Times New Roman"/>
          <w:sz w:val="24"/>
          <w:szCs w:val="24"/>
        </w:rPr>
      </w:pPr>
      <w:r w:rsidRPr="009010AE">
        <w:rPr>
          <w:rFonts w:ascii="Times New Roman" w:hAnsi="Times New Roman" w:cs="Times New Roman"/>
          <w:sz w:val="24"/>
          <w:szCs w:val="24"/>
        </w:rPr>
        <w:t>Salīdzinājumā ar Stabilitātes programmu 2018. – 2021.gadam inflācijas prognoze 2019.-2020.gadam tika palielināta par 0,1 procentpunktu attiecīgi līdz 2,5% un 2,2%. Tiek prognozēts, ka inflācija 2019.gadā saglabāsies iepriekšējā gada līmenī un patēriņa cenas vidēji palielināsies par 2,5%. Cenu kāpums būs sabalansēts starp pārtikas produktu, komunālo pakalpojumu, kā arī citu, ar mājokļa uzturēšanu nesaistīto pakalpojumu cenu pieaugumu. Tiek pieņemts, ka vidējā energoresursu cena pasaules biržās būs 2018.gada līmenī, līdz ar to paaugstinošā ietekme uz degvielas cenām būs neitrāla vai minimāli pozitīva. Taču, ņemot vērā tarifu aprēķināšanas metodoloģiju, gāzes un siltumenerģijas cenas turpinās palielināties, neskatoties uz to, ka energoresursu cenu kāpums nav sagaidāms. Papildus tam, prognozējot inflāciju, tiek ņemta vērā plānotā akcīzes nodokļa likmju palielināšana alkoholiskajiem dzērieniem un cigaretēm 2019.gadā attiecīgi martā un jūlijā.</w:t>
      </w:r>
    </w:p>
    <w:p w:rsidR="009010AE" w:rsidRPr="009010AE" w:rsidRDefault="009010AE" w:rsidP="009010AE">
      <w:pPr>
        <w:spacing w:after="120" w:line="240" w:lineRule="auto"/>
        <w:ind w:firstLine="709"/>
        <w:jc w:val="both"/>
        <w:rPr>
          <w:rFonts w:ascii="Times New Roman" w:hAnsi="Times New Roman" w:cs="Times New Roman"/>
          <w:sz w:val="24"/>
          <w:szCs w:val="24"/>
        </w:rPr>
      </w:pPr>
      <w:r w:rsidRPr="009010AE">
        <w:rPr>
          <w:rFonts w:ascii="Times New Roman" w:hAnsi="Times New Roman" w:cs="Times New Roman"/>
          <w:sz w:val="24"/>
          <w:szCs w:val="24"/>
        </w:rPr>
        <w:t xml:space="preserve">Līdz ar straujāku ekonomikas izaugsmi nedaudz straujāks būs arī bezdarba līmeņa kritums. 2019.gadā vidējais bezdarba līmenis prognozēts 7,4% apmērā, kas ir par 0,3 procentpunktiem zemāk, nekā iepriekšējās prognozēs. Attiecīgi tautsaimniecībā nodarbināto iedzīvotāju skaits augs straujāk, 2019.gadā palielinoties par 0,1%. Mēneša vidējā bruto darba samaksa 2019.gadā  augs par 6%, sasniedzot 1063 </w:t>
      </w:r>
      <w:proofErr w:type="spellStart"/>
      <w:r w:rsidRPr="009010AE">
        <w:rPr>
          <w:rFonts w:ascii="Times New Roman" w:hAnsi="Times New Roman" w:cs="Times New Roman"/>
          <w:i/>
          <w:sz w:val="24"/>
          <w:szCs w:val="24"/>
        </w:rPr>
        <w:t>euro</w:t>
      </w:r>
      <w:proofErr w:type="spellEnd"/>
      <w:r w:rsidRPr="009010AE">
        <w:rPr>
          <w:rFonts w:ascii="Times New Roman" w:hAnsi="Times New Roman" w:cs="Times New Roman"/>
          <w:sz w:val="24"/>
          <w:szCs w:val="24"/>
        </w:rPr>
        <w:t>.</w:t>
      </w:r>
    </w:p>
    <w:p w:rsidR="009010AE" w:rsidRPr="009010AE" w:rsidRDefault="009010AE" w:rsidP="009010AE">
      <w:pPr>
        <w:spacing w:after="120" w:line="240" w:lineRule="auto"/>
        <w:ind w:firstLine="709"/>
        <w:jc w:val="both"/>
        <w:rPr>
          <w:rFonts w:ascii="Times New Roman" w:hAnsi="Times New Roman" w:cs="Times New Roman"/>
          <w:sz w:val="24"/>
          <w:szCs w:val="24"/>
        </w:rPr>
      </w:pPr>
      <w:r w:rsidRPr="009010AE">
        <w:rPr>
          <w:rFonts w:ascii="Times New Roman" w:hAnsi="Times New Roman" w:cs="Times New Roman"/>
          <w:sz w:val="24"/>
          <w:szCs w:val="24"/>
        </w:rPr>
        <w:t xml:space="preserve">Latvijas ekonomikas cikliskā attīstība lielā mērā ir saistīta arī ar mūsu tirdzniecības partneru, galvenokārt ES, ekonomiskā cikla dinamiku. Sagaidāms, ka Latvijas ekonomika 2018.gadā sasniegs attīstības cikla virsotni un pēc tam izaugsmes tempi kļūs lēnāki. Pēc FM aprēķiniem, pozitīvās izlaižu starpības maksimums 1,3% tiks sasniegts 2018.gadā un nākamajos gados izlaižu starpība samazināsies aptuveni par 0,3 procentpunktiem un noslēgsies </w:t>
      </w:r>
      <w:proofErr w:type="spellStart"/>
      <w:r w:rsidRPr="009010AE">
        <w:rPr>
          <w:rFonts w:ascii="Times New Roman" w:hAnsi="Times New Roman" w:cs="Times New Roman"/>
          <w:sz w:val="24"/>
          <w:szCs w:val="24"/>
        </w:rPr>
        <w:t>pēcprognožu</w:t>
      </w:r>
      <w:proofErr w:type="spellEnd"/>
      <w:r w:rsidRPr="009010AE">
        <w:rPr>
          <w:rFonts w:ascii="Times New Roman" w:hAnsi="Times New Roman" w:cs="Times New Roman"/>
          <w:sz w:val="24"/>
          <w:szCs w:val="24"/>
        </w:rPr>
        <w:t xml:space="preserve"> periodā, ekonomikas izaugsmei vairs nepārsniedzot potenciālo līmeni.</w:t>
      </w:r>
    </w:p>
    <w:p w:rsidR="009010AE" w:rsidRDefault="009010AE" w:rsidP="009010AE">
      <w:pPr>
        <w:spacing w:after="120" w:line="240" w:lineRule="auto"/>
        <w:ind w:firstLine="709"/>
        <w:jc w:val="both"/>
        <w:rPr>
          <w:rFonts w:ascii="Times New Roman" w:hAnsi="Times New Roman" w:cs="Times New Roman"/>
          <w:sz w:val="24"/>
          <w:szCs w:val="24"/>
        </w:rPr>
      </w:pPr>
    </w:p>
    <w:p w:rsidR="0003350A" w:rsidRDefault="0003350A" w:rsidP="009010AE">
      <w:pPr>
        <w:spacing w:after="120" w:line="240" w:lineRule="auto"/>
        <w:ind w:firstLine="709"/>
        <w:jc w:val="both"/>
        <w:rPr>
          <w:rFonts w:ascii="Times New Roman" w:hAnsi="Times New Roman" w:cs="Times New Roman"/>
          <w:sz w:val="24"/>
          <w:szCs w:val="24"/>
        </w:rPr>
      </w:pPr>
    </w:p>
    <w:p w:rsidR="009010AE" w:rsidRPr="009010AE" w:rsidRDefault="009010AE" w:rsidP="009010AE">
      <w:pPr>
        <w:spacing w:after="120" w:line="240" w:lineRule="auto"/>
        <w:ind w:firstLine="709"/>
        <w:jc w:val="both"/>
        <w:rPr>
          <w:rFonts w:ascii="Times New Roman" w:hAnsi="Times New Roman" w:cs="Times New Roman"/>
          <w:sz w:val="24"/>
          <w:szCs w:val="24"/>
        </w:rPr>
      </w:pPr>
    </w:p>
    <w:p w:rsidR="00001C00" w:rsidRDefault="00001C00" w:rsidP="00FA75C0">
      <w:pPr>
        <w:pStyle w:val="Heading3"/>
        <w:jc w:val="center"/>
        <w:rPr>
          <w:rFonts w:ascii="Times New Roman" w:hAnsi="Times New Roman" w:cs="Times New Roman"/>
          <w:b/>
          <w:color w:val="auto"/>
          <w:sz w:val="32"/>
          <w:szCs w:val="32"/>
        </w:rPr>
      </w:pPr>
      <w:r w:rsidRPr="00FA75C0">
        <w:rPr>
          <w:rFonts w:ascii="Times New Roman" w:hAnsi="Times New Roman" w:cs="Times New Roman"/>
          <w:b/>
          <w:color w:val="auto"/>
          <w:sz w:val="32"/>
          <w:szCs w:val="32"/>
        </w:rPr>
        <w:lastRenderedPageBreak/>
        <w:t xml:space="preserve">1.4.1. </w:t>
      </w:r>
      <w:r w:rsidR="009010AE">
        <w:rPr>
          <w:rFonts w:ascii="Times New Roman" w:hAnsi="Times New Roman" w:cs="Times New Roman"/>
          <w:b/>
          <w:color w:val="auto"/>
          <w:sz w:val="32"/>
          <w:szCs w:val="32"/>
        </w:rPr>
        <w:t>Makroekonomiskās attīstības scenārija riski</w:t>
      </w:r>
    </w:p>
    <w:p w:rsidR="0005072F" w:rsidRPr="009010AE" w:rsidRDefault="0005072F" w:rsidP="009010AE">
      <w:pPr>
        <w:spacing w:after="120" w:line="240" w:lineRule="auto"/>
        <w:ind w:firstLine="709"/>
        <w:jc w:val="both"/>
        <w:rPr>
          <w:rFonts w:ascii="Times New Roman" w:hAnsi="Times New Roman" w:cs="Times New Roman"/>
          <w:sz w:val="24"/>
          <w:szCs w:val="24"/>
        </w:rPr>
      </w:pPr>
    </w:p>
    <w:p w:rsidR="009010AE" w:rsidRPr="009010AE" w:rsidRDefault="009010AE" w:rsidP="009010AE">
      <w:pPr>
        <w:spacing w:after="120" w:line="240" w:lineRule="auto"/>
        <w:ind w:firstLine="709"/>
        <w:jc w:val="both"/>
        <w:rPr>
          <w:rFonts w:ascii="Times New Roman" w:hAnsi="Times New Roman" w:cs="Times New Roman"/>
          <w:sz w:val="24"/>
          <w:szCs w:val="24"/>
        </w:rPr>
      </w:pPr>
      <w:r w:rsidRPr="009010AE">
        <w:rPr>
          <w:rFonts w:ascii="Times New Roman" w:hAnsi="Times New Roman" w:cs="Times New Roman"/>
          <w:sz w:val="24"/>
          <w:szCs w:val="24"/>
        </w:rPr>
        <w:t>Makroekonomiskās attīstības vidējā termiņa scenārija pamatā ir konservatīvi pieņēmumi par ekonomisko attīstību, ņemot vērā, ka ekonomikas attīstības cikls pašlaik ir augstākajā punktā. Makroekonomiskās attīstības scenārija augšup un lejupvērstie riski kopumā ir sabalansēti.</w:t>
      </w:r>
    </w:p>
    <w:p w:rsidR="009010AE" w:rsidRPr="009010AE" w:rsidRDefault="009010AE" w:rsidP="009010AE">
      <w:pPr>
        <w:spacing w:after="120" w:line="240" w:lineRule="auto"/>
        <w:ind w:firstLine="709"/>
        <w:jc w:val="both"/>
        <w:rPr>
          <w:rFonts w:ascii="Times New Roman" w:hAnsi="Times New Roman" w:cs="Times New Roman"/>
          <w:sz w:val="24"/>
          <w:szCs w:val="24"/>
        </w:rPr>
      </w:pPr>
      <w:r w:rsidRPr="009010AE">
        <w:rPr>
          <w:rFonts w:ascii="Times New Roman" w:hAnsi="Times New Roman" w:cs="Times New Roman"/>
          <w:sz w:val="24"/>
          <w:szCs w:val="24"/>
        </w:rPr>
        <w:t>Finanšu ministrija, izstrādājot savas makroekonomisko rādītāju prognozes vidējam termiņam, ir identificējusi un izvērtējusi vairākus iekšējās un ārējās vides riskus, kuriem īstenojoties, ekonomikas izaugsme Latvijā var izrādīties straujāka vai lēnāka nekā paredzēts bāzes scenārijā. Galvenie negatīvie riski Latvijai pašlaik ir saistīti ar augošajām protekcionisma tendencēm pasaulē, kas jau sākušas ierobežot globālās ekonomikas attīstību. Starp pasaulē aktuālākajiem vispārējiem riskiem var pieminēt arī augošās kredītu izmaksas, ASV pakāpeniski paaugstinot bāzes procentu likmes, kas īpaši nelabvēlīgi var skart attīstības valstis ar augstiem parādu līmeņiem ASV dolāros, kas, piemēram, jau izpaudās finanšu krīzē Turcijā, un augsto svārstīgumu pasaules finanšu tirgos. No iekšējiem riskiem jāmin ilgstoši zemais investīciju līmenis Latvijā, īpaši apstrādes rūpniecībā, kas ierobežo kopējās produktivitātes pieaugumu un ekonomikas potenciālo izaugsmi, kā arī iedzīvotāju skaita samazināšanās, kas ierobežo darbaspēka resursus un kopā ar investīciju trūkumu veicina produktivitātes pieaugumam neatbilstošu darba samaksas kāpumu.</w:t>
      </w:r>
    </w:p>
    <w:p w:rsidR="009010AE" w:rsidRPr="009010AE" w:rsidRDefault="009010AE" w:rsidP="009010AE">
      <w:pPr>
        <w:spacing w:after="120" w:line="240" w:lineRule="auto"/>
        <w:ind w:firstLine="709"/>
        <w:jc w:val="both"/>
        <w:rPr>
          <w:rFonts w:ascii="Times New Roman" w:hAnsi="Times New Roman" w:cs="Times New Roman"/>
          <w:sz w:val="24"/>
          <w:szCs w:val="24"/>
        </w:rPr>
      </w:pPr>
      <w:r w:rsidRPr="009010AE">
        <w:rPr>
          <w:rFonts w:ascii="Times New Roman" w:hAnsi="Times New Roman" w:cs="Times New Roman"/>
          <w:sz w:val="24"/>
          <w:szCs w:val="24"/>
        </w:rPr>
        <w:t xml:space="preserve">Pozitīvie riski pašlaik vairāk attiecas uz vidējo termiņu. Starp ārējiem pozitīvajiem riskiem ir straujāka, nekā prognozēts, ekonomiskās situācijas uzlabošanās ES un Latvijas tirdzniecības partnervalstīs. Iekšējie pozitīvie riski ir saistīti ar investīciju straujāku attīstību Latvijā, balstoties uz uzņēmumu pašu resursiem un uzņēmējdarbības kreditēšanas atveseļošanos, kā arī ar labvēlīgāku, nekā prognozēts, uzņēmumu ienākuma nodokļa atbrīvojuma </w:t>
      </w:r>
      <w:proofErr w:type="spellStart"/>
      <w:r w:rsidRPr="009010AE">
        <w:rPr>
          <w:rFonts w:ascii="Times New Roman" w:hAnsi="Times New Roman" w:cs="Times New Roman"/>
          <w:sz w:val="24"/>
          <w:szCs w:val="24"/>
        </w:rPr>
        <w:t>reinvestētajai</w:t>
      </w:r>
      <w:proofErr w:type="spellEnd"/>
      <w:r w:rsidRPr="009010AE">
        <w:rPr>
          <w:rFonts w:ascii="Times New Roman" w:hAnsi="Times New Roman" w:cs="Times New Roman"/>
          <w:sz w:val="24"/>
          <w:szCs w:val="24"/>
        </w:rPr>
        <w:t xml:space="preserve"> peļņai ietekmi uz investīciju dinamiku.</w:t>
      </w:r>
    </w:p>
    <w:p w:rsidR="009010AE" w:rsidRPr="009010AE" w:rsidRDefault="009010AE" w:rsidP="00057613">
      <w:pPr>
        <w:spacing w:after="120" w:line="240" w:lineRule="auto"/>
        <w:jc w:val="both"/>
        <w:rPr>
          <w:rFonts w:ascii="Times New Roman" w:hAnsi="Times New Roman" w:cs="Times New Roman"/>
          <w:sz w:val="24"/>
          <w:szCs w:val="24"/>
        </w:rPr>
      </w:pPr>
    </w:p>
    <w:p w:rsidR="003050A6" w:rsidRPr="001406C7" w:rsidRDefault="00843348" w:rsidP="002A6504">
      <w:pPr>
        <w:pStyle w:val="Heading2"/>
        <w:spacing w:before="60" w:after="60"/>
        <w:jc w:val="center"/>
        <w:rPr>
          <w:rFonts w:ascii="Times New Roman" w:hAnsi="Times New Roman" w:cs="Times New Roman"/>
          <w:b/>
          <w:color w:val="auto"/>
          <w:sz w:val="36"/>
          <w:szCs w:val="36"/>
        </w:rPr>
      </w:pPr>
      <w:r w:rsidRPr="001406C7">
        <w:rPr>
          <w:rFonts w:ascii="Times New Roman" w:hAnsi="Times New Roman" w:cs="Times New Roman"/>
          <w:b/>
          <w:color w:val="auto"/>
          <w:sz w:val="36"/>
          <w:szCs w:val="36"/>
        </w:rPr>
        <w:t xml:space="preserve">1.5. </w:t>
      </w:r>
      <w:r w:rsidR="003050A6" w:rsidRPr="001406C7">
        <w:rPr>
          <w:rFonts w:ascii="Times New Roman" w:hAnsi="Times New Roman" w:cs="Times New Roman"/>
          <w:b/>
          <w:color w:val="auto"/>
          <w:sz w:val="36"/>
          <w:szCs w:val="36"/>
        </w:rPr>
        <w:t>Jūtīguma analīze</w:t>
      </w:r>
    </w:p>
    <w:p w:rsidR="001406C7" w:rsidRPr="009010AE" w:rsidRDefault="001406C7" w:rsidP="009010AE">
      <w:pPr>
        <w:spacing w:after="120" w:line="240" w:lineRule="auto"/>
        <w:jc w:val="both"/>
        <w:rPr>
          <w:rFonts w:ascii="Times New Roman" w:hAnsi="Times New Roman" w:cs="Times New Roman"/>
          <w:sz w:val="24"/>
          <w:szCs w:val="24"/>
        </w:rPr>
      </w:pPr>
    </w:p>
    <w:p w:rsidR="000763B0" w:rsidRDefault="009010AE" w:rsidP="009010AE">
      <w:pPr>
        <w:spacing w:after="120" w:line="240" w:lineRule="auto"/>
        <w:ind w:firstLine="709"/>
        <w:jc w:val="both"/>
        <w:rPr>
          <w:rFonts w:ascii="Times New Roman" w:hAnsi="Times New Roman" w:cs="Times New Roman"/>
          <w:sz w:val="24"/>
          <w:szCs w:val="24"/>
        </w:rPr>
      </w:pPr>
      <w:r w:rsidRPr="009010AE">
        <w:rPr>
          <w:rFonts w:ascii="Times New Roman" w:hAnsi="Times New Roman" w:cs="Times New Roman"/>
          <w:sz w:val="24"/>
          <w:szCs w:val="24"/>
        </w:rPr>
        <w:t>Ņemot vērā iespējamos pozitīvos un negatīvos riskus ekonomikas izaugsmei, FM ir izstrādājusi divus alternatīvus ekonomikas attīstības scenārijus 2019.</w:t>
      </w:r>
      <w:r w:rsidRPr="009010AE">
        <w:rPr>
          <w:rFonts w:ascii="Times New Roman" w:hAnsi="Times New Roman" w:cs="Times New Roman"/>
          <w:sz w:val="24"/>
          <w:szCs w:val="24"/>
        </w:rPr>
        <w:noBreakHyphen/>
        <w:t>2021.gadiem. Šajos scenārijos ir modelēta viena vai vairāku iepriekšminēto risku realizēšanās ietekme uz dažādiem makroekonomiskajiem rādītājiem un budžeta ieņēmumiem.</w:t>
      </w:r>
    </w:p>
    <w:p w:rsidR="00674CB9" w:rsidRDefault="00674CB9" w:rsidP="009010AE">
      <w:pPr>
        <w:spacing w:after="120" w:line="240" w:lineRule="auto"/>
        <w:ind w:firstLine="709"/>
        <w:jc w:val="both"/>
        <w:rPr>
          <w:rFonts w:ascii="Times New Roman" w:hAnsi="Times New Roman" w:cs="Times New Roman"/>
          <w:sz w:val="24"/>
          <w:szCs w:val="24"/>
        </w:rPr>
      </w:pPr>
    </w:p>
    <w:p w:rsidR="00674CB9" w:rsidRPr="00674CB9" w:rsidRDefault="00674CB9" w:rsidP="00674CB9">
      <w:pPr>
        <w:pStyle w:val="Heading3"/>
        <w:jc w:val="center"/>
        <w:rPr>
          <w:rFonts w:ascii="Times New Roman" w:hAnsi="Times New Roman" w:cs="Times New Roman"/>
          <w:b/>
          <w:color w:val="auto"/>
          <w:sz w:val="32"/>
          <w:szCs w:val="32"/>
        </w:rPr>
      </w:pPr>
      <w:r w:rsidRPr="00674CB9">
        <w:rPr>
          <w:rFonts w:ascii="Times New Roman" w:hAnsi="Times New Roman" w:cs="Times New Roman"/>
          <w:b/>
          <w:color w:val="auto"/>
          <w:sz w:val="32"/>
          <w:szCs w:val="32"/>
        </w:rPr>
        <w:t>1.5.1. Optimistiskais scenārijs</w:t>
      </w:r>
    </w:p>
    <w:p w:rsidR="00674CB9" w:rsidRPr="00674CB9" w:rsidRDefault="00674CB9" w:rsidP="00674CB9">
      <w:pPr>
        <w:spacing w:after="120" w:line="240" w:lineRule="auto"/>
        <w:ind w:firstLine="709"/>
        <w:jc w:val="both"/>
        <w:rPr>
          <w:rFonts w:ascii="Times New Roman" w:hAnsi="Times New Roman" w:cs="Times New Roman"/>
          <w:sz w:val="24"/>
          <w:szCs w:val="24"/>
        </w:rPr>
      </w:pPr>
    </w:p>
    <w:p w:rsidR="00674CB9" w:rsidRPr="00674CB9" w:rsidRDefault="00674CB9" w:rsidP="00674CB9">
      <w:pPr>
        <w:spacing w:after="120" w:line="240" w:lineRule="auto"/>
        <w:ind w:firstLine="709"/>
        <w:jc w:val="both"/>
        <w:rPr>
          <w:rFonts w:ascii="Times New Roman" w:hAnsi="Times New Roman" w:cs="Times New Roman"/>
          <w:sz w:val="24"/>
          <w:szCs w:val="24"/>
        </w:rPr>
      </w:pPr>
      <w:r w:rsidRPr="00674CB9">
        <w:rPr>
          <w:rFonts w:ascii="Times New Roman" w:hAnsi="Times New Roman" w:cs="Times New Roman"/>
          <w:sz w:val="24"/>
          <w:szCs w:val="24"/>
        </w:rPr>
        <w:t xml:space="preserve">Optimistiskais scenārijs paredz straujāku IKP izaugsmi 2019.gadā, kam pamatā ir </w:t>
      </w:r>
      <w:r w:rsidR="00ED1667">
        <w:rPr>
          <w:rFonts w:ascii="Times New Roman" w:hAnsi="Times New Roman" w:cs="Times New Roman"/>
          <w:sz w:val="24"/>
          <w:szCs w:val="24"/>
        </w:rPr>
        <w:t xml:space="preserve">spēcīgā </w:t>
      </w:r>
      <w:r w:rsidRPr="00674CB9">
        <w:rPr>
          <w:rFonts w:ascii="Times New Roman" w:hAnsi="Times New Roman" w:cs="Times New Roman"/>
          <w:sz w:val="24"/>
          <w:szCs w:val="24"/>
        </w:rPr>
        <w:t>2018.gada IKP izaugsme, kas dod augstāku IKP bāzi. Ekonomiskā izaugsme varētu būt spēcīgāka arī tāpēc, ka ES fondu apguve notiek straujāk nekā paredzēts - kā tas bija vē</w:t>
      </w:r>
      <w:r w:rsidR="00ED1667">
        <w:rPr>
          <w:rFonts w:ascii="Times New Roman" w:hAnsi="Times New Roman" w:cs="Times New Roman"/>
          <w:sz w:val="24"/>
          <w:szCs w:val="24"/>
        </w:rPr>
        <w:t>rojams 2018.gadā. Tādā gadījumā i</w:t>
      </w:r>
      <w:r w:rsidRPr="00674CB9">
        <w:rPr>
          <w:rFonts w:ascii="Times New Roman" w:hAnsi="Times New Roman" w:cs="Times New Roman"/>
          <w:sz w:val="24"/>
          <w:szCs w:val="24"/>
        </w:rPr>
        <w:t>nvestīciju pieaugums varētu būt vidēji par 0,8 procentpunktiem s</w:t>
      </w:r>
      <w:r w:rsidR="00ED1667">
        <w:rPr>
          <w:rFonts w:ascii="Times New Roman" w:hAnsi="Times New Roman" w:cs="Times New Roman"/>
          <w:sz w:val="24"/>
          <w:szCs w:val="24"/>
        </w:rPr>
        <w:t>traujāks nekā bāzes scenārijā. Šis s</w:t>
      </w:r>
      <w:r w:rsidRPr="00674CB9">
        <w:rPr>
          <w:rFonts w:ascii="Times New Roman" w:hAnsi="Times New Roman" w:cs="Times New Roman"/>
          <w:sz w:val="24"/>
          <w:szCs w:val="24"/>
        </w:rPr>
        <w:t xml:space="preserve">cenārijs arī paredz, ka ekonomiskā attīstība Latvijas tirdzniecības partnervalstīs būs labvēlīgāka un Latvijas eksportētāji spēs straujāk audzēt eksporta apjomus (eksporta pieaugums varēt būt par 0,5 procentpunktiem straujāks nekā bāzes scenārijā). Lielāku privātā patēriņa pieaugumu varētu radīt straujāks nodarbinātības un algu pieaugums, kuru prognozes arī līdz šim bija piesardzīgas. Tas ļautu privātajam patēriņam augt </w:t>
      </w:r>
      <w:r w:rsidRPr="00674CB9">
        <w:rPr>
          <w:rFonts w:ascii="Times New Roman" w:hAnsi="Times New Roman" w:cs="Times New Roman"/>
          <w:sz w:val="24"/>
          <w:szCs w:val="24"/>
        </w:rPr>
        <w:lastRenderedPageBreak/>
        <w:t xml:space="preserve">vidēji par 0,6 procentpunktiem straujāk. Tādējādi atbilstoši optimistiskajam scenārijam reālā IKP izaugsme 2019.gadā būtu par 0,5 procentpunktiem augstāka un sasniegtu 3,5%, 2020.gadā </w:t>
      </w:r>
      <w:r w:rsidR="00ED1667">
        <w:rPr>
          <w:rFonts w:ascii="Times New Roman" w:hAnsi="Times New Roman" w:cs="Times New Roman"/>
          <w:sz w:val="24"/>
          <w:szCs w:val="24"/>
        </w:rPr>
        <w:t xml:space="preserve">tā </w:t>
      </w:r>
      <w:r w:rsidRPr="00674CB9">
        <w:rPr>
          <w:rFonts w:ascii="Times New Roman" w:hAnsi="Times New Roman" w:cs="Times New Roman"/>
          <w:sz w:val="24"/>
          <w:szCs w:val="24"/>
        </w:rPr>
        <w:t>veidotu 3,5% un 2021.gadā 3,1%.</w:t>
      </w:r>
    </w:p>
    <w:p w:rsidR="00674CB9" w:rsidRPr="00674CB9" w:rsidRDefault="00674CB9" w:rsidP="00674CB9">
      <w:pPr>
        <w:spacing w:after="120" w:line="240" w:lineRule="auto"/>
        <w:ind w:firstLine="709"/>
        <w:jc w:val="both"/>
        <w:rPr>
          <w:rFonts w:ascii="Times New Roman" w:hAnsi="Times New Roman" w:cs="Times New Roman"/>
          <w:sz w:val="24"/>
          <w:szCs w:val="24"/>
        </w:rPr>
      </w:pPr>
      <w:r w:rsidRPr="00674CB9">
        <w:rPr>
          <w:rFonts w:ascii="Times New Roman" w:hAnsi="Times New Roman" w:cs="Times New Roman"/>
          <w:sz w:val="24"/>
          <w:szCs w:val="24"/>
        </w:rPr>
        <w:t xml:space="preserve"> </w:t>
      </w:r>
    </w:p>
    <w:p w:rsidR="00674CB9" w:rsidRPr="00674CB9" w:rsidRDefault="00674CB9" w:rsidP="00674CB9">
      <w:pPr>
        <w:jc w:val="center"/>
        <w:rPr>
          <w:rFonts w:ascii="Times New Roman" w:hAnsi="Times New Roman" w:cs="Times New Roman"/>
          <w:b/>
          <w:i/>
          <w:sz w:val="24"/>
          <w:szCs w:val="24"/>
        </w:rPr>
      </w:pPr>
      <w:r w:rsidRPr="00674CB9">
        <w:rPr>
          <w:rFonts w:ascii="Times New Roman" w:hAnsi="Times New Roman" w:cs="Times New Roman"/>
          <w:b/>
          <w:i/>
          <w:sz w:val="24"/>
          <w:szCs w:val="24"/>
        </w:rPr>
        <w:t>1.4.tabula. Optimistiskais makroekonomisko rādītāju attīstības scenārijs</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1"/>
        <w:gridCol w:w="744"/>
        <w:gridCol w:w="744"/>
        <w:gridCol w:w="744"/>
        <w:gridCol w:w="744"/>
        <w:gridCol w:w="638"/>
        <w:gridCol w:w="638"/>
        <w:gridCol w:w="638"/>
        <w:gridCol w:w="638"/>
      </w:tblGrid>
      <w:tr w:rsidR="00674CB9" w:rsidRPr="00674CB9" w:rsidTr="00674CB9">
        <w:trPr>
          <w:cantSplit/>
          <w:trHeight w:val="315"/>
          <w:tblHeader/>
          <w:jc w:val="center"/>
        </w:trPr>
        <w:tc>
          <w:tcPr>
            <w:tcW w:w="3251" w:type="dxa"/>
            <w:shd w:val="clear" w:color="auto" w:fill="auto"/>
            <w:vAlign w:val="center"/>
            <w:hideMark/>
          </w:tcPr>
          <w:p w:rsidR="00674CB9" w:rsidRPr="00674CB9" w:rsidRDefault="00674CB9" w:rsidP="00674CB9">
            <w:pPr>
              <w:spacing w:after="0" w:line="240" w:lineRule="auto"/>
              <w:rPr>
                <w:rFonts w:ascii="Times New Roman" w:eastAsia="Times New Roman" w:hAnsi="Times New Roman" w:cs="Times New Roman"/>
                <w:noProof/>
                <w:sz w:val="20"/>
                <w:szCs w:val="20"/>
                <w:lang w:eastAsia="lv-LV"/>
              </w:rPr>
            </w:pPr>
          </w:p>
        </w:tc>
        <w:tc>
          <w:tcPr>
            <w:tcW w:w="2976" w:type="dxa"/>
            <w:gridSpan w:val="4"/>
            <w:vAlign w:val="center"/>
          </w:tcPr>
          <w:p w:rsidR="00674CB9" w:rsidRPr="00674CB9" w:rsidRDefault="00674CB9" w:rsidP="00674CB9">
            <w:pPr>
              <w:spacing w:after="0" w:line="240" w:lineRule="auto"/>
              <w:jc w:val="center"/>
              <w:rPr>
                <w:rFonts w:ascii="Times New Roman" w:eastAsia="Times New Roman" w:hAnsi="Times New Roman" w:cs="Times New Roman"/>
                <w:b/>
                <w:noProof/>
                <w:sz w:val="20"/>
                <w:szCs w:val="20"/>
                <w:lang w:eastAsia="lv-LV"/>
              </w:rPr>
            </w:pPr>
            <w:r w:rsidRPr="00674CB9">
              <w:rPr>
                <w:rFonts w:ascii="Times New Roman" w:eastAsia="Times New Roman" w:hAnsi="Times New Roman" w:cs="Times New Roman"/>
                <w:b/>
                <w:noProof/>
                <w:sz w:val="20"/>
                <w:szCs w:val="20"/>
                <w:lang w:eastAsia="lv-LV"/>
              </w:rPr>
              <w:t>Optimistiskais scenārijs</w:t>
            </w:r>
          </w:p>
        </w:tc>
        <w:tc>
          <w:tcPr>
            <w:tcW w:w="2552" w:type="dxa"/>
            <w:gridSpan w:val="4"/>
            <w:vAlign w:val="center"/>
          </w:tcPr>
          <w:p w:rsidR="00674CB9" w:rsidRPr="00674CB9" w:rsidRDefault="00674CB9" w:rsidP="00674CB9">
            <w:pPr>
              <w:spacing w:after="0" w:line="240" w:lineRule="auto"/>
              <w:jc w:val="center"/>
              <w:rPr>
                <w:rFonts w:ascii="Times New Roman" w:eastAsia="Times New Roman" w:hAnsi="Times New Roman" w:cs="Times New Roman"/>
                <w:b/>
                <w:noProof/>
                <w:sz w:val="20"/>
                <w:szCs w:val="20"/>
                <w:lang w:eastAsia="lv-LV"/>
              </w:rPr>
            </w:pPr>
            <w:r w:rsidRPr="00674CB9">
              <w:rPr>
                <w:rFonts w:ascii="Times New Roman" w:eastAsia="Times New Roman" w:hAnsi="Times New Roman" w:cs="Times New Roman"/>
                <w:b/>
                <w:noProof/>
                <w:sz w:val="20"/>
                <w:szCs w:val="20"/>
                <w:lang w:eastAsia="lv-LV"/>
              </w:rPr>
              <w:t>Novirze no bāzes scenārija</w:t>
            </w:r>
          </w:p>
        </w:tc>
      </w:tr>
      <w:tr w:rsidR="00674CB9" w:rsidRPr="00674CB9" w:rsidTr="00674CB9">
        <w:trPr>
          <w:trHeight w:val="191"/>
          <w:jc w:val="center"/>
        </w:trPr>
        <w:tc>
          <w:tcPr>
            <w:tcW w:w="3251" w:type="dxa"/>
            <w:shd w:val="clear" w:color="auto" w:fill="auto"/>
            <w:vAlign w:val="center"/>
            <w:hideMark/>
          </w:tcPr>
          <w:p w:rsidR="00674CB9" w:rsidRPr="00674CB9" w:rsidRDefault="00674CB9" w:rsidP="00674CB9">
            <w:pPr>
              <w:spacing w:after="0" w:line="240" w:lineRule="auto"/>
              <w:rPr>
                <w:rFonts w:ascii="Times New Roman" w:eastAsia="Times New Roman" w:hAnsi="Times New Roman" w:cs="Times New Roman"/>
                <w:noProof/>
                <w:sz w:val="20"/>
                <w:szCs w:val="20"/>
                <w:lang w:eastAsia="lv-LV"/>
              </w:rPr>
            </w:pPr>
          </w:p>
        </w:tc>
        <w:tc>
          <w:tcPr>
            <w:tcW w:w="744"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b/>
                <w:noProof/>
                <w:sz w:val="20"/>
                <w:szCs w:val="20"/>
                <w:lang w:eastAsia="lv-LV"/>
              </w:rPr>
            </w:pPr>
            <w:r w:rsidRPr="00674CB9">
              <w:rPr>
                <w:rFonts w:ascii="Times New Roman" w:eastAsia="Times New Roman" w:hAnsi="Times New Roman" w:cs="Times New Roman"/>
                <w:b/>
                <w:noProof/>
                <w:sz w:val="20"/>
                <w:szCs w:val="20"/>
                <w:lang w:eastAsia="lv-LV"/>
              </w:rPr>
              <w:t>2018</w:t>
            </w:r>
          </w:p>
        </w:tc>
        <w:tc>
          <w:tcPr>
            <w:tcW w:w="744"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b/>
                <w:noProof/>
                <w:sz w:val="20"/>
                <w:szCs w:val="20"/>
                <w:lang w:eastAsia="lv-LV"/>
              </w:rPr>
            </w:pPr>
            <w:r w:rsidRPr="00674CB9">
              <w:rPr>
                <w:rFonts w:ascii="Times New Roman" w:eastAsia="Times New Roman" w:hAnsi="Times New Roman" w:cs="Times New Roman"/>
                <w:b/>
                <w:noProof/>
                <w:sz w:val="20"/>
                <w:szCs w:val="20"/>
                <w:lang w:eastAsia="lv-LV"/>
              </w:rPr>
              <w:t>2019</w:t>
            </w:r>
          </w:p>
        </w:tc>
        <w:tc>
          <w:tcPr>
            <w:tcW w:w="744" w:type="dxa"/>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b/>
                <w:noProof/>
                <w:sz w:val="20"/>
                <w:szCs w:val="20"/>
                <w:lang w:eastAsia="lv-LV"/>
              </w:rPr>
            </w:pPr>
            <w:r w:rsidRPr="00674CB9">
              <w:rPr>
                <w:rFonts w:ascii="Times New Roman" w:eastAsia="Times New Roman" w:hAnsi="Times New Roman" w:cs="Times New Roman"/>
                <w:b/>
                <w:noProof/>
                <w:sz w:val="20"/>
                <w:szCs w:val="20"/>
                <w:lang w:eastAsia="lv-LV"/>
              </w:rPr>
              <w:t>2020</w:t>
            </w:r>
          </w:p>
        </w:tc>
        <w:tc>
          <w:tcPr>
            <w:tcW w:w="744"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b/>
                <w:noProof/>
                <w:sz w:val="20"/>
                <w:szCs w:val="20"/>
                <w:lang w:eastAsia="lv-LV"/>
              </w:rPr>
            </w:pPr>
            <w:r w:rsidRPr="00674CB9">
              <w:rPr>
                <w:rFonts w:ascii="Times New Roman" w:eastAsia="Times New Roman" w:hAnsi="Times New Roman" w:cs="Times New Roman"/>
                <w:b/>
                <w:noProof/>
                <w:sz w:val="20"/>
                <w:szCs w:val="20"/>
                <w:lang w:eastAsia="lv-LV"/>
              </w:rPr>
              <w:t>2021</w:t>
            </w:r>
          </w:p>
        </w:tc>
        <w:tc>
          <w:tcPr>
            <w:tcW w:w="638" w:type="dxa"/>
            <w:shd w:val="clear" w:color="auto" w:fill="auto"/>
            <w:tcMar>
              <w:left w:w="57" w:type="dxa"/>
              <w:right w:w="57" w:type="dxa"/>
            </w:tcMar>
            <w:vAlign w:val="center"/>
            <w:hideMark/>
          </w:tcPr>
          <w:p w:rsidR="00674CB9" w:rsidRPr="00674CB9" w:rsidRDefault="00674CB9" w:rsidP="00674CB9">
            <w:pPr>
              <w:spacing w:after="0" w:line="240" w:lineRule="auto"/>
              <w:jc w:val="center"/>
              <w:rPr>
                <w:rFonts w:ascii="Times New Roman" w:eastAsia="Times New Roman" w:hAnsi="Times New Roman" w:cs="Times New Roman"/>
                <w:b/>
                <w:noProof/>
                <w:sz w:val="20"/>
                <w:szCs w:val="20"/>
                <w:lang w:eastAsia="lv-LV"/>
              </w:rPr>
            </w:pPr>
            <w:r w:rsidRPr="00674CB9">
              <w:rPr>
                <w:rFonts w:ascii="Times New Roman" w:eastAsia="Times New Roman" w:hAnsi="Times New Roman" w:cs="Times New Roman"/>
                <w:b/>
                <w:noProof/>
                <w:sz w:val="20"/>
                <w:szCs w:val="20"/>
                <w:lang w:eastAsia="lv-LV"/>
              </w:rPr>
              <w:t>2018</w:t>
            </w:r>
          </w:p>
        </w:tc>
        <w:tc>
          <w:tcPr>
            <w:tcW w:w="638" w:type="dxa"/>
            <w:shd w:val="clear" w:color="auto" w:fill="auto"/>
            <w:tcMar>
              <w:left w:w="57" w:type="dxa"/>
              <w:right w:w="57" w:type="dxa"/>
            </w:tcMar>
            <w:vAlign w:val="center"/>
            <w:hideMark/>
          </w:tcPr>
          <w:p w:rsidR="00674CB9" w:rsidRPr="00674CB9" w:rsidRDefault="00674CB9" w:rsidP="00674CB9">
            <w:pPr>
              <w:spacing w:after="0" w:line="240" w:lineRule="auto"/>
              <w:jc w:val="center"/>
              <w:rPr>
                <w:rFonts w:ascii="Times New Roman" w:eastAsia="Times New Roman" w:hAnsi="Times New Roman" w:cs="Times New Roman"/>
                <w:b/>
                <w:noProof/>
                <w:sz w:val="20"/>
                <w:szCs w:val="20"/>
                <w:lang w:eastAsia="lv-LV"/>
              </w:rPr>
            </w:pPr>
            <w:r w:rsidRPr="00674CB9">
              <w:rPr>
                <w:rFonts w:ascii="Times New Roman" w:eastAsia="Times New Roman" w:hAnsi="Times New Roman" w:cs="Times New Roman"/>
                <w:b/>
                <w:noProof/>
                <w:sz w:val="20"/>
                <w:szCs w:val="20"/>
                <w:lang w:eastAsia="lv-LV"/>
              </w:rPr>
              <w:t>2019</w:t>
            </w:r>
          </w:p>
        </w:tc>
        <w:tc>
          <w:tcPr>
            <w:tcW w:w="638" w:type="dxa"/>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b/>
                <w:noProof/>
                <w:sz w:val="20"/>
                <w:szCs w:val="20"/>
                <w:lang w:eastAsia="lv-LV"/>
              </w:rPr>
            </w:pPr>
            <w:r w:rsidRPr="00674CB9">
              <w:rPr>
                <w:rFonts w:ascii="Times New Roman" w:eastAsia="Times New Roman" w:hAnsi="Times New Roman" w:cs="Times New Roman"/>
                <w:b/>
                <w:noProof/>
                <w:sz w:val="20"/>
                <w:szCs w:val="20"/>
                <w:lang w:eastAsia="lv-LV"/>
              </w:rPr>
              <w:t>2020</w:t>
            </w:r>
          </w:p>
        </w:tc>
        <w:tc>
          <w:tcPr>
            <w:tcW w:w="638" w:type="dxa"/>
            <w:shd w:val="clear" w:color="auto" w:fill="auto"/>
            <w:tcMar>
              <w:left w:w="57" w:type="dxa"/>
              <w:right w:w="57" w:type="dxa"/>
            </w:tcMar>
            <w:vAlign w:val="center"/>
            <w:hideMark/>
          </w:tcPr>
          <w:p w:rsidR="00674CB9" w:rsidRPr="00674CB9" w:rsidRDefault="00674CB9" w:rsidP="00674CB9">
            <w:pPr>
              <w:spacing w:after="0" w:line="240" w:lineRule="auto"/>
              <w:jc w:val="center"/>
              <w:rPr>
                <w:rFonts w:ascii="Times New Roman" w:eastAsia="Times New Roman" w:hAnsi="Times New Roman" w:cs="Times New Roman"/>
                <w:b/>
                <w:noProof/>
                <w:sz w:val="20"/>
                <w:szCs w:val="20"/>
                <w:lang w:eastAsia="lv-LV"/>
              </w:rPr>
            </w:pPr>
            <w:r w:rsidRPr="00674CB9">
              <w:rPr>
                <w:rFonts w:ascii="Times New Roman" w:eastAsia="Times New Roman" w:hAnsi="Times New Roman" w:cs="Times New Roman"/>
                <w:b/>
                <w:noProof/>
                <w:sz w:val="20"/>
                <w:szCs w:val="20"/>
                <w:lang w:eastAsia="lv-LV"/>
              </w:rPr>
              <w:t>2021</w:t>
            </w:r>
          </w:p>
        </w:tc>
      </w:tr>
      <w:tr w:rsidR="00674CB9" w:rsidRPr="00674CB9" w:rsidTr="00674CB9">
        <w:trPr>
          <w:trHeight w:val="315"/>
          <w:jc w:val="center"/>
        </w:trPr>
        <w:tc>
          <w:tcPr>
            <w:tcW w:w="3251" w:type="dxa"/>
            <w:shd w:val="clear" w:color="auto" w:fill="auto"/>
            <w:vAlign w:val="center"/>
            <w:hideMark/>
          </w:tcPr>
          <w:p w:rsidR="00674CB9" w:rsidRPr="00674CB9" w:rsidRDefault="00674CB9" w:rsidP="00674CB9">
            <w:pPr>
              <w:spacing w:after="0" w:line="240" w:lineRule="auto"/>
              <w:rPr>
                <w:rFonts w:ascii="Times New Roman" w:eastAsia="Times New Roman" w:hAnsi="Times New Roman" w:cs="Times New Roman"/>
                <w:noProof/>
                <w:sz w:val="20"/>
                <w:szCs w:val="20"/>
                <w:lang w:eastAsia="lv-LV"/>
              </w:rPr>
            </w:pPr>
            <w:r w:rsidRPr="00674CB9">
              <w:rPr>
                <w:rFonts w:ascii="Times New Roman" w:eastAsia="Times New Roman" w:hAnsi="Times New Roman" w:cs="Times New Roman"/>
                <w:noProof/>
                <w:sz w:val="20"/>
                <w:szCs w:val="20"/>
                <w:lang w:eastAsia="lv-LV"/>
              </w:rPr>
              <w:t xml:space="preserve">Iekšzemes kopprodukts (IKP), </w:t>
            </w:r>
            <w:r w:rsidRPr="00674CB9">
              <w:rPr>
                <w:rFonts w:ascii="Times New Roman" w:eastAsia="Times New Roman" w:hAnsi="Times New Roman" w:cs="Times New Roman"/>
                <w:noProof/>
                <w:sz w:val="20"/>
                <w:szCs w:val="20"/>
                <w:lang w:eastAsia="lv-LV"/>
              </w:rPr>
              <w:br/>
              <w:t xml:space="preserve">milj. </w:t>
            </w:r>
            <w:r w:rsidRPr="00674CB9">
              <w:rPr>
                <w:rFonts w:ascii="Times New Roman" w:eastAsia="Times New Roman" w:hAnsi="Times New Roman" w:cs="Times New Roman"/>
                <w:i/>
                <w:iCs/>
                <w:noProof/>
                <w:sz w:val="20"/>
                <w:szCs w:val="20"/>
                <w:lang w:eastAsia="lv-LV"/>
              </w:rPr>
              <w:t>euro</w:t>
            </w:r>
          </w:p>
        </w:tc>
        <w:tc>
          <w:tcPr>
            <w:tcW w:w="744"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29194</w:t>
            </w:r>
          </w:p>
        </w:tc>
        <w:tc>
          <w:tcPr>
            <w:tcW w:w="744" w:type="dxa"/>
            <w:shd w:val="clear" w:color="auto" w:fill="auto"/>
            <w:tcMar>
              <w:left w:w="57" w:type="dxa"/>
              <w:right w:w="57" w:type="dxa"/>
            </w:tcMar>
            <w:vAlign w:val="center"/>
            <w:hideMark/>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31215</w:t>
            </w:r>
          </w:p>
        </w:tc>
        <w:tc>
          <w:tcPr>
            <w:tcW w:w="744" w:type="dxa"/>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33293</w:t>
            </w:r>
          </w:p>
        </w:tc>
        <w:tc>
          <w:tcPr>
            <w:tcW w:w="744" w:type="dxa"/>
            <w:shd w:val="clear" w:color="auto" w:fill="auto"/>
            <w:tcMar>
              <w:left w:w="57" w:type="dxa"/>
              <w:right w:w="57" w:type="dxa"/>
            </w:tcMar>
            <w:vAlign w:val="center"/>
            <w:hideMark/>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35240</w:t>
            </w:r>
          </w:p>
        </w:tc>
        <w:tc>
          <w:tcPr>
            <w:tcW w:w="638"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0</w:t>
            </w:r>
          </w:p>
        </w:tc>
        <w:tc>
          <w:tcPr>
            <w:tcW w:w="638"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209</w:t>
            </w:r>
          </w:p>
        </w:tc>
        <w:tc>
          <w:tcPr>
            <w:tcW w:w="638" w:type="dxa"/>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480</w:t>
            </w:r>
          </w:p>
        </w:tc>
        <w:tc>
          <w:tcPr>
            <w:tcW w:w="638"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615</w:t>
            </w:r>
          </w:p>
        </w:tc>
      </w:tr>
      <w:tr w:rsidR="00674CB9" w:rsidRPr="00674CB9" w:rsidTr="00674CB9">
        <w:trPr>
          <w:trHeight w:val="215"/>
          <w:jc w:val="center"/>
        </w:trPr>
        <w:tc>
          <w:tcPr>
            <w:tcW w:w="3251" w:type="dxa"/>
            <w:shd w:val="clear" w:color="auto" w:fill="auto"/>
            <w:vAlign w:val="center"/>
            <w:hideMark/>
          </w:tcPr>
          <w:p w:rsidR="00674CB9" w:rsidRPr="00674CB9" w:rsidRDefault="00674CB9" w:rsidP="00674CB9">
            <w:pPr>
              <w:spacing w:after="0" w:line="240" w:lineRule="auto"/>
              <w:ind w:left="166"/>
              <w:rPr>
                <w:rFonts w:ascii="Times New Roman" w:eastAsia="Times New Roman" w:hAnsi="Times New Roman" w:cs="Times New Roman"/>
                <w:noProof/>
                <w:sz w:val="20"/>
                <w:szCs w:val="20"/>
                <w:lang w:eastAsia="lv-LV"/>
              </w:rPr>
            </w:pPr>
            <w:r w:rsidRPr="00674CB9">
              <w:rPr>
                <w:rFonts w:ascii="Times New Roman" w:eastAsia="Times New Roman" w:hAnsi="Times New Roman" w:cs="Times New Roman"/>
                <w:noProof/>
                <w:sz w:val="20"/>
                <w:szCs w:val="20"/>
                <w:lang w:eastAsia="lv-LV"/>
              </w:rPr>
              <w:t>pieaugums faktiskajās cenās,%</w:t>
            </w:r>
          </w:p>
        </w:tc>
        <w:tc>
          <w:tcPr>
            <w:tcW w:w="744"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8,0</w:t>
            </w:r>
          </w:p>
        </w:tc>
        <w:tc>
          <w:tcPr>
            <w:tcW w:w="744" w:type="dxa"/>
            <w:shd w:val="clear" w:color="auto" w:fill="auto"/>
            <w:tcMar>
              <w:left w:w="57" w:type="dxa"/>
              <w:right w:w="57" w:type="dxa"/>
            </w:tcMar>
            <w:vAlign w:val="center"/>
            <w:hideMark/>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6,9</w:t>
            </w:r>
          </w:p>
        </w:tc>
        <w:tc>
          <w:tcPr>
            <w:tcW w:w="744" w:type="dxa"/>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6,7</w:t>
            </w:r>
          </w:p>
        </w:tc>
        <w:tc>
          <w:tcPr>
            <w:tcW w:w="744" w:type="dxa"/>
            <w:shd w:val="clear" w:color="auto" w:fill="auto"/>
            <w:tcMar>
              <w:left w:w="57" w:type="dxa"/>
              <w:right w:w="57" w:type="dxa"/>
            </w:tcMar>
            <w:vAlign w:val="center"/>
            <w:hideMark/>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5,8</w:t>
            </w:r>
          </w:p>
        </w:tc>
        <w:tc>
          <w:tcPr>
            <w:tcW w:w="638"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0,0</w:t>
            </w:r>
          </w:p>
        </w:tc>
        <w:tc>
          <w:tcPr>
            <w:tcW w:w="638"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0,7</w:t>
            </w:r>
          </w:p>
        </w:tc>
        <w:tc>
          <w:tcPr>
            <w:tcW w:w="638" w:type="dxa"/>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0,8</w:t>
            </w:r>
          </w:p>
        </w:tc>
        <w:tc>
          <w:tcPr>
            <w:tcW w:w="638"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0,3</w:t>
            </w:r>
          </w:p>
        </w:tc>
      </w:tr>
      <w:tr w:rsidR="00674CB9" w:rsidRPr="00674CB9" w:rsidTr="00674CB9">
        <w:trPr>
          <w:trHeight w:val="315"/>
          <w:jc w:val="center"/>
        </w:trPr>
        <w:tc>
          <w:tcPr>
            <w:tcW w:w="3251" w:type="dxa"/>
            <w:shd w:val="clear" w:color="auto" w:fill="auto"/>
            <w:vAlign w:val="center"/>
            <w:hideMark/>
          </w:tcPr>
          <w:p w:rsidR="00674CB9" w:rsidRPr="00674CB9" w:rsidRDefault="00674CB9" w:rsidP="00674CB9">
            <w:pPr>
              <w:spacing w:after="0" w:line="240" w:lineRule="auto"/>
              <w:ind w:left="166"/>
              <w:rPr>
                <w:rFonts w:ascii="Times New Roman" w:eastAsia="Times New Roman" w:hAnsi="Times New Roman" w:cs="Times New Roman"/>
                <w:noProof/>
                <w:sz w:val="20"/>
                <w:szCs w:val="20"/>
                <w:lang w:eastAsia="lv-LV"/>
              </w:rPr>
            </w:pPr>
            <w:r w:rsidRPr="00674CB9">
              <w:rPr>
                <w:rFonts w:ascii="Times New Roman" w:eastAsia="Times New Roman" w:hAnsi="Times New Roman" w:cs="Times New Roman"/>
                <w:noProof/>
                <w:sz w:val="20"/>
                <w:szCs w:val="20"/>
                <w:lang w:eastAsia="lv-LV"/>
              </w:rPr>
              <w:t>pieaugums salīdzināmās cenās,%</w:t>
            </w:r>
          </w:p>
        </w:tc>
        <w:tc>
          <w:tcPr>
            <w:tcW w:w="744"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4,8</w:t>
            </w:r>
          </w:p>
        </w:tc>
        <w:tc>
          <w:tcPr>
            <w:tcW w:w="744" w:type="dxa"/>
            <w:shd w:val="clear" w:color="auto" w:fill="auto"/>
            <w:tcMar>
              <w:left w:w="57" w:type="dxa"/>
              <w:right w:w="57" w:type="dxa"/>
            </w:tcMar>
            <w:vAlign w:val="center"/>
            <w:hideMark/>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3,5</w:t>
            </w:r>
          </w:p>
        </w:tc>
        <w:tc>
          <w:tcPr>
            <w:tcW w:w="744" w:type="dxa"/>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3,5</w:t>
            </w:r>
          </w:p>
        </w:tc>
        <w:tc>
          <w:tcPr>
            <w:tcW w:w="744" w:type="dxa"/>
            <w:shd w:val="clear" w:color="auto" w:fill="auto"/>
            <w:tcMar>
              <w:left w:w="57" w:type="dxa"/>
              <w:right w:w="57" w:type="dxa"/>
            </w:tcMar>
            <w:vAlign w:val="center"/>
            <w:hideMark/>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3,1</w:t>
            </w:r>
          </w:p>
        </w:tc>
        <w:tc>
          <w:tcPr>
            <w:tcW w:w="638"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0,0</w:t>
            </w:r>
          </w:p>
        </w:tc>
        <w:tc>
          <w:tcPr>
            <w:tcW w:w="638"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0,5</w:t>
            </w:r>
          </w:p>
        </w:tc>
        <w:tc>
          <w:tcPr>
            <w:tcW w:w="638" w:type="dxa"/>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0,5</w:t>
            </w:r>
          </w:p>
        </w:tc>
        <w:tc>
          <w:tcPr>
            <w:tcW w:w="638"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0,2</w:t>
            </w:r>
          </w:p>
        </w:tc>
      </w:tr>
      <w:tr w:rsidR="00674CB9" w:rsidRPr="00674CB9" w:rsidTr="00674CB9">
        <w:trPr>
          <w:trHeight w:val="315"/>
          <w:jc w:val="center"/>
        </w:trPr>
        <w:tc>
          <w:tcPr>
            <w:tcW w:w="3251" w:type="dxa"/>
            <w:shd w:val="clear" w:color="auto" w:fill="auto"/>
            <w:vAlign w:val="center"/>
            <w:hideMark/>
          </w:tcPr>
          <w:p w:rsidR="00674CB9" w:rsidRPr="00674CB9" w:rsidRDefault="00674CB9" w:rsidP="00674CB9">
            <w:pPr>
              <w:spacing w:after="0" w:line="240" w:lineRule="auto"/>
              <w:rPr>
                <w:rFonts w:ascii="Times New Roman" w:eastAsia="Times New Roman" w:hAnsi="Times New Roman" w:cs="Times New Roman"/>
                <w:noProof/>
                <w:sz w:val="20"/>
                <w:szCs w:val="20"/>
                <w:lang w:eastAsia="lv-LV"/>
              </w:rPr>
            </w:pPr>
            <w:r w:rsidRPr="00674CB9">
              <w:rPr>
                <w:rFonts w:ascii="Times New Roman" w:eastAsia="Times New Roman" w:hAnsi="Times New Roman" w:cs="Times New Roman"/>
                <w:noProof/>
                <w:sz w:val="20"/>
                <w:szCs w:val="20"/>
                <w:lang w:eastAsia="lv-LV"/>
              </w:rPr>
              <w:t>PCI (gads pret gadu),%</w:t>
            </w:r>
          </w:p>
        </w:tc>
        <w:tc>
          <w:tcPr>
            <w:tcW w:w="744"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2,5</w:t>
            </w:r>
          </w:p>
        </w:tc>
        <w:tc>
          <w:tcPr>
            <w:tcW w:w="744" w:type="dxa"/>
            <w:shd w:val="clear" w:color="auto" w:fill="auto"/>
            <w:tcMar>
              <w:left w:w="57" w:type="dxa"/>
              <w:right w:w="57" w:type="dxa"/>
            </w:tcMar>
            <w:vAlign w:val="center"/>
            <w:hideMark/>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2,6</w:t>
            </w:r>
          </w:p>
        </w:tc>
        <w:tc>
          <w:tcPr>
            <w:tcW w:w="744" w:type="dxa"/>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2,3</w:t>
            </w:r>
          </w:p>
        </w:tc>
        <w:tc>
          <w:tcPr>
            <w:tcW w:w="744" w:type="dxa"/>
            <w:shd w:val="clear" w:color="auto" w:fill="auto"/>
            <w:tcMar>
              <w:left w:w="57" w:type="dxa"/>
              <w:right w:w="57" w:type="dxa"/>
            </w:tcMar>
            <w:vAlign w:val="center"/>
            <w:hideMark/>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2,3</w:t>
            </w:r>
          </w:p>
        </w:tc>
        <w:tc>
          <w:tcPr>
            <w:tcW w:w="638"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0,0</w:t>
            </w:r>
          </w:p>
        </w:tc>
        <w:tc>
          <w:tcPr>
            <w:tcW w:w="638"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0,1</w:t>
            </w:r>
          </w:p>
        </w:tc>
        <w:tc>
          <w:tcPr>
            <w:tcW w:w="638" w:type="dxa"/>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0,1</w:t>
            </w:r>
          </w:p>
        </w:tc>
        <w:tc>
          <w:tcPr>
            <w:tcW w:w="638"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0,2</w:t>
            </w:r>
          </w:p>
        </w:tc>
      </w:tr>
      <w:tr w:rsidR="00674CB9" w:rsidRPr="00674CB9" w:rsidTr="00674CB9">
        <w:trPr>
          <w:trHeight w:val="342"/>
          <w:jc w:val="center"/>
        </w:trPr>
        <w:tc>
          <w:tcPr>
            <w:tcW w:w="3251" w:type="dxa"/>
            <w:shd w:val="clear" w:color="auto" w:fill="auto"/>
            <w:vAlign w:val="center"/>
            <w:hideMark/>
          </w:tcPr>
          <w:p w:rsidR="00674CB9" w:rsidRPr="00674CB9" w:rsidRDefault="00674CB9" w:rsidP="00674CB9">
            <w:pPr>
              <w:spacing w:after="0" w:line="240" w:lineRule="auto"/>
              <w:rPr>
                <w:rFonts w:ascii="Times New Roman" w:eastAsia="Times New Roman" w:hAnsi="Times New Roman" w:cs="Times New Roman"/>
                <w:noProof/>
                <w:sz w:val="20"/>
                <w:szCs w:val="20"/>
                <w:lang w:eastAsia="lv-LV"/>
              </w:rPr>
            </w:pPr>
            <w:r w:rsidRPr="00674CB9">
              <w:rPr>
                <w:rFonts w:ascii="Times New Roman" w:eastAsia="Times New Roman" w:hAnsi="Times New Roman" w:cs="Times New Roman"/>
                <w:noProof/>
                <w:sz w:val="20"/>
                <w:szCs w:val="20"/>
                <w:lang w:eastAsia="lv-LV"/>
              </w:rPr>
              <w:t xml:space="preserve">Tautsaimniecībā nodarbināto mēn. vid. bruto darba samaksa, </w:t>
            </w:r>
            <w:r w:rsidRPr="00674CB9">
              <w:rPr>
                <w:rFonts w:ascii="Times New Roman" w:eastAsia="Times New Roman" w:hAnsi="Times New Roman" w:cs="Times New Roman"/>
                <w:i/>
                <w:iCs/>
                <w:noProof/>
                <w:sz w:val="20"/>
                <w:szCs w:val="20"/>
                <w:lang w:eastAsia="lv-LV"/>
              </w:rPr>
              <w:t>euro</w:t>
            </w:r>
          </w:p>
        </w:tc>
        <w:tc>
          <w:tcPr>
            <w:tcW w:w="744"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1003</w:t>
            </w:r>
          </w:p>
        </w:tc>
        <w:tc>
          <w:tcPr>
            <w:tcW w:w="744" w:type="dxa"/>
            <w:shd w:val="clear" w:color="auto" w:fill="auto"/>
            <w:tcMar>
              <w:left w:w="57" w:type="dxa"/>
              <w:right w:w="57" w:type="dxa"/>
            </w:tcMar>
            <w:vAlign w:val="center"/>
            <w:hideMark/>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1068</w:t>
            </w:r>
          </w:p>
        </w:tc>
        <w:tc>
          <w:tcPr>
            <w:tcW w:w="744" w:type="dxa"/>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1137</w:t>
            </w:r>
          </w:p>
        </w:tc>
        <w:tc>
          <w:tcPr>
            <w:tcW w:w="744" w:type="dxa"/>
            <w:shd w:val="clear" w:color="auto" w:fill="auto"/>
            <w:tcMar>
              <w:left w:w="57" w:type="dxa"/>
              <w:right w:w="57" w:type="dxa"/>
            </w:tcMar>
            <w:vAlign w:val="center"/>
            <w:hideMark/>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1194</w:t>
            </w:r>
          </w:p>
        </w:tc>
        <w:tc>
          <w:tcPr>
            <w:tcW w:w="638"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0</w:t>
            </w:r>
          </w:p>
        </w:tc>
        <w:tc>
          <w:tcPr>
            <w:tcW w:w="638"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5</w:t>
            </w:r>
          </w:p>
        </w:tc>
        <w:tc>
          <w:tcPr>
            <w:tcW w:w="638" w:type="dxa"/>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16</w:t>
            </w:r>
          </w:p>
        </w:tc>
        <w:tc>
          <w:tcPr>
            <w:tcW w:w="638"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17</w:t>
            </w:r>
          </w:p>
        </w:tc>
      </w:tr>
      <w:tr w:rsidR="00674CB9" w:rsidRPr="00674CB9" w:rsidTr="00674CB9">
        <w:trPr>
          <w:trHeight w:val="315"/>
          <w:jc w:val="center"/>
        </w:trPr>
        <w:tc>
          <w:tcPr>
            <w:tcW w:w="3251" w:type="dxa"/>
            <w:shd w:val="clear" w:color="auto" w:fill="auto"/>
            <w:vAlign w:val="center"/>
            <w:hideMark/>
          </w:tcPr>
          <w:p w:rsidR="00674CB9" w:rsidRPr="00674CB9" w:rsidRDefault="00674CB9" w:rsidP="00674CB9">
            <w:pPr>
              <w:spacing w:after="0" w:line="240" w:lineRule="auto"/>
              <w:ind w:left="166"/>
              <w:rPr>
                <w:rFonts w:ascii="Times New Roman" w:eastAsia="Times New Roman" w:hAnsi="Times New Roman" w:cs="Times New Roman"/>
                <w:noProof/>
                <w:sz w:val="20"/>
                <w:szCs w:val="20"/>
                <w:lang w:eastAsia="lv-LV"/>
              </w:rPr>
            </w:pPr>
            <w:r w:rsidRPr="00674CB9">
              <w:rPr>
                <w:rFonts w:ascii="Times New Roman" w:eastAsia="Times New Roman" w:hAnsi="Times New Roman" w:cs="Times New Roman"/>
                <w:noProof/>
                <w:sz w:val="20"/>
                <w:szCs w:val="20"/>
                <w:lang w:eastAsia="lv-LV"/>
              </w:rPr>
              <w:t>pieaugums faktiskajās cenās,%</w:t>
            </w:r>
          </w:p>
        </w:tc>
        <w:tc>
          <w:tcPr>
            <w:tcW w:w="744"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8,3</w:t>
            </w:r>
          </w:p>
        </w:tc>
        <w:tc>
          <w:tcPr>
            <w:tcW w:w="744" w:type="dxa"/>
            <w:shd w:val="clear" w:color="auto" w:fill="auto"/>
            <w:tcMar>
              <w:left w:w="57" w:type="dxa"/>
              <w:right w:w="57" w:type="dxa"/>
            </w:tcMar>
            <w:vAlign w:val="center"/>
            <w:hideMark/>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6,5</w:t>
            </w:r>
          </w:p>
        </w:tc>
        <w:tc>
          <w:tcPr>
            <w:tcW w:w="744" w:type="dxa"/>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6,5</w:t>
            </w:r>
          </w:p>
        </w:tc>
        <w:tc>
          <w:tcPr>
            <w:tcW w:w="744" w:type="dxa"/>
            <w:shd w:val="clear" w:color="auto" w:fill="auto"/>
            <w:tcMar>
              <w:left w:w="57" w:type="dxa"/>
              <w:right w:w="57" w:type="dxa"/>
            </w:tcMar>
            <w:vAlign w:val="center"/>
            <w:hideMark/>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5,0</w:t>
            </w:r>
          </w:p>
        </w:tc>
        <w:tc>
          <w:tcPr>
            <w:tcW w:w="638"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0,0</w:t>
            </w:r>
          </w:p>
        </w:tc>
        <w:tc>
          <w:tcPr>
            <w:tcW w:w="638"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0,5</w:t>
            </w:r>
          </w:p>
        </w:tc>
        <w:tc>
          <w:tcPr>
            <w:tcW w:w="638" w:type="dxa"/>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1,0</w:t>
            </w:r>
          </w:p>
        </w:tc>
        <w:tc>
          <w:tcPr>
            <w:tcW w:w="638"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0,0</w:t>
            </w:r>
          </w:p>
        </w:tc>
      </w:tr>
      <w:tr w:rsidR="00674CB9" w:rsidRPr="00674CB9" w:rsidTr="00674CB9">
        <w:trPr>
          <w:trHeight w:val="495"/>
          <w:jc w:val="center"/>
        </w:trPr>
        <w:tc>
          <w:tcPr>
            <w:tcW w:w="3251" w:type="dxa"/>
            <w:shd w:val="clear" w:color="auto" w:fill="auto"/>
            <w:vAlign w:val="center"/>
            <w:hideMark/>
          </w:tcPr>
          <w:p w:rsidR="00674CB9" w:rsidRPr="00674CB9" w:rsidRDefault="00674CB9" w:rsidP="00674CB9">
            <w:pPr>
              <w:spacing w:after="0" w:line="240" w:lineRule="auto"/>
              <w:rPr>
                <w:rFonts w:ascii="Times New Roman" w:eastAsia="Times New Roman" w:hAnsi="Times New Roman" w:cs="Times New Roman"/>
                <w:noProof/>
                <w:sz w:val="20"/>
                <w:szCs w:val="20"/>
                <w:lang w:eastAsia="lv-LV"/>
              </w:rPr>
            </w:pPr>
            <w:r w:rsidRPr="00674CB9">
              <w:rPr>
                <w:rFonts w:ascii="Times New Roman" w:eastAsia="Times New Roman" w:hAnsi="Times New Roman" w:cs="Times New Roman"/>
                <w:noProof/>
                <w:sz w:val="20"/>
                <w:szCs w:val="20"/>
                <w:lang w:eastAsia="lv-LV"/>
              </w:rPr>
              <w:t>Nodarbinātība, tūkst. iedzīvotāju (atbilstoši darbaspēka apsekojumam)</w:t>
            </w:r>
          </w:p>
        </w:tc>
        <w:tc>
          <w:tcPr>
            <w:tcW w:w="744"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906</w:t>
            </w:r>
          </w:p>
        </w:tc>
        <w:tc>
          <w:tcPr>
            <w:tcW w:w="744" w:type="dxa"/>
            <w:shd w:val="clear" w:color="auto" w:fill="auto"/>
            <w:tcMar>
              <w:left w:w="57" w:type="dxa"/>
              <w:right w:w="57" w:type="dxa"/>
            </w:tcMar>
            <w:vAlign w:val="center"/>
            <w:hideMark/>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910</w:t>
            </w:r>
          </w:p>
        </w:tc>
        <w:tc>
          <w:tcPr>
            <w:tcW w:w="744" w:type="dxa"/>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912</w:t>
            </w:r>
          </w:p>
        </w:tc>
        <w:tc>
          <w:tcPr>
            <w:tcW w:w="744" w:type="dxa"/>
            <w:shd w:val="clear" w:color="auto" w:fill="auto"/>
            <w:tcMar>
              <w:left w:w="57" w:type="dxa"/>
              <w:right w:w="57" w:type="dxa"/>
            </w:tcMar>
            <w:vAlign w:val="center"/>
            <w:hideMark/>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912</w:t>
            </w:r>
          </w:p>
        </w:tc>
        <w:tc>
          <w:tcPr>
            <w:tcW w:w="638"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0</w:t>
            </w:r>
          </w:p>
        </w:tc>
        <w:tc>
          <w:tcPr>
            <w:tcW w:w="638"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4</w:t>
            </w:r>
          </w:p>
        </w:tc>
        <w:tc>
          <w:tcPr>
            <w:tcW w:w="638" w:type="dxa"/>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5</w:t>
            </w:r>
          </w:p>
        </w:tc>
        <w:tc>
          <w:tcPr>
            <w:tcW w:w="638"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6</w:t>
            </w:r>
          </w:p>
        </w:tc>
      </w:tr>
      <w:tr w:rsidR="00674CB9" w:rsidRPr="00674CB9" w:rsidTr="00674CB9">
        <w:trPr>
          <w:trHeight w:val="315"/>
          <w:jc w:val="center"/>
        </w:trPr>
        <w:tc>
          <w:tcPr>
            <w:tcW w:w="3251" w:type="dxa"/>
            <w:shd w:val="clear" w:color="auto" w:fill="auto"/>
            <w:vAlign w:val="center"/>
            <w:hideMark/>
          </w:tcPr>
          <w:p w:rsidR="00674CB9" w:rsidRPr="00674CB9" w:rsidRDefault="00674CB9" w:rsidP="00674CB9">
            <w:pPr>
              <w:spacing w:after="0" w:line="240" w:lineRule="auto"/>
              <w:ind w:left="166"/>
              <w:rPr>
                <w:rFonts w:ascii="Times New Roman" w:eastAsia="Times New Roman" w:hAnsi="Times New Roman" w:cs="Times New Roman"/>
                <w:noProof/>
                <w:sz w:val="20"/>
                <w:szCs w:val="20"/>
                <w:lang w:eastAsia="lv-LV"/>
              </w:rPr>
            </w:pPr>
            <w:r w:rsidRPr="00674CB9">
              <w:rPr>
                <w:rFonts w:ascii="Times New Roman" w:eastAsia="Times New Roman" w:hAnsi="Times New Roman" w:cs="Times New Roman"/>
                <w:noProof/>
                <w:sz w:val="20"/>
                <w:szCs w:val="20"/>
                <w:lang w:eastAsia="lv-LV"/>
              </w:rPr>
              <w:t>pieaugums,%</w:t>
            </w:r>
          </w:p>
        </w:tc>
        <w:tc>
          <w:tcPr>
            <w:tcW w:w="744"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1,2</w:t>
            </w:r>
          </w:p>
        </w:tc>
        <w:tc>
          <w:tcPr>
            <w:tcW w:w="744" w:type="dxa"/>
            <w:shd w:val="clear" w:color="auto" w:fill="auto"/>
            <w:tcMar>
              <w:left w:w="57" w:type="dxa"/>
              <w:right w:w="57" w:type="dxa"/>
            </w:tcMar>
            <w:vAlign w:val="center"/>
            <w:hideMark/>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0,5</w:t>
            </w:r>
          </w:p>
        </w:tc>
        <w:tc>
          <w:tcPr>
            <w:tcW w:w="744" w:type="dxa"/>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0,2</w:t>
            </w:r>
          </w:p>
        </w:tc>
        <w:tc>
          <w:tcPr>
            <w:tcW w:w="744" w:type="dxa"/>
            <w:shd w:val="clear" w:color="auto" w:fill="auto"/>
            <w:tcMar>
              <w:left w:w="57" w:type="dxa"/>
              <w:right w:w="57" w:type="dxa"/>
            </w:tcMar>
            <w:vAlign w:val="center"/>
            <w:hideMark/>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0,0</w:t>
            </w:r>
          </w:p>
        </w:tc>
        <w:tc>
          <w:tcPr>
            <w:tcW w:w="638"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0,0</w:t>
            </w:r>
          </w:p>
        </w:tc>
        <w:tc>
          <w:tcPr>
            <w:tcW w:w="638"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0,4</w:t>
            </w:r>
          </w:p>
        </w:tc>
        <w:tc>
          <w:tcPr>
            <w:tcW w:w="638" w:type="dxa"/>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0,2</w:t>
            </w:r>
          </w:p>
        </w:tc>
        <w:tc>
          <w:tcPr>
            <w:tcW w:w="638"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0,1</w:t>
            </w:r>
          </w:p>
        </w:tc>
      </w:tr>
      <w:tr w:rsidR="00674CB9" w:rsidRPr="00674CB9" w:rsidTr="00674CB9">
        <w:trPr>
          <w:trHeight w:val="495"/>
          <w:jc w:val="center"/>
        </w:trPr>
        <w:tc>
          <w:tcPr>
            <w:tcW w:w="3251" w:type="dxa"/>
            <w:shd w:val="clear" w:color="auto" w:fill="auto"/>
            <w:vAlign w:val="center"/>
            <w:hideMark/>
          </w:tcPr>
          <w:p w:rsidR="00674CB9" w:rsidRPr="00674CB9" w:rsidRDefault="00674CB9" w:rsidP="00674CB9">
            <w:pPr>
              <w:spacing w:after="0" w:line="240" w:lineRule="auto"/>
              <w:rPr>
                <w:rFonts w:ascii="Times New Roman" w:eastAsia="Times New Roman" w:hAnsi="Times New Roman" w:cs="Times New Roman"/>
                <w:noProof/>
                <w:sz w:val="20"/>
                <w:szCs w:val="20"/>
                <w:lang w:eastAsia="lv-LV"/>
              </w:rPr>
            </w:pPr>
            <w:r w:rsidRPr="00674CB9">
              <w:rPr>
                <w:rFonts w:ascii="Times New Roman" w:eastAsia="Times New Roman" w:hAnsi="Times New Roman" w:cs="Times New Roman"/>
                <w:noProof/>
                <w:sz w:val="20"/>
                <w:szCs w:val="20"/>
                <w:lang w:eastAsia="lv-LV"/>
              </w:rPr>
              <w:t>Bezdarba līmenis (gada vidējais),% no ekon. aktīviem iedzīv.</w:t>
            </w:r>
          </w:p>
        </w:tc>
        <w:tc>
          <w:tcPr>
            <w:tcW w:w="744"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7,7</w:t>
            </w:r>
          </w:p>
        </w:tc>
        <w:tc>
          <w:tcPr>
            <w:tcW w:w="744" w:type="dxa"/>
            <w:shd w:val="clear" w:color="auto" w:fill="auto"/>
            <w:tcMar>
              <w:left w:w="57" w:type="dxa"/>
              <w:right w:w="57" w:type="dxa"/>
            </w:tcMar>
            <w:vAlign w:val="center"/>
            <w:hideMark/>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7,0</w:t>
            </w:r>
          </w:p>
        </w:tc>
        <w:tc>
          <w:tcPr>
            <w:tcW w:w="744" w:type="dxa"/>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6,5</w:t>
            </w:r>
          </w:p>
        </w:tc>
        <w:tc>
          <w:tcPr>
            <w:tcW w:w="744" w:type="dxa"/>
            <w:shd w:val="clear" w:color="auto" w:fill="auto"/>
            <w:tcMar>
              <w:left w:w="57" w:type="dxa"/>
              <w:right w:w="57" w:type="dxa"/>
            </w:tcMar>
            <w:vAlign w:val="center"/>
            <w:hideMark/>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6,1</w:t>
            </w:r>
          </w:p>
        </w:tc>
        <w:tc>
          <w:tcPr>
            <w:tcW w:w="638"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0,0</w:t>
            </w:r>
          </w:p>
        </w:tc>
        <w:tc>
          <w:tcPr>
            <w:tcW w:w="638"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-0,4</w:t>
            </w:r>
          </w:p>
        </w:tc>
        <w:tc>
          <w:tcPr>
            <w:tcW w:w="638" w:type="dxa"/>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-0,4</w:t>
            </w:r>
          </w:p>
        </w:tc>
        <w:tc>
          <w:tcPr>
            <w:tcW w:w="638"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-0,7</w:t>
            </w:r>
          </w:p>
        </w:tc>
      </w:tr>
    </w:tbl>
    <w:p w:rsidR="00674CB9" w:rsidRDefault="00674CB9" w:rsidP="00674CB9">
      <w:pPr>
        <w:pStyle w:val="Default"/>
        <w:rPr>
          <w:b/>
        </w:rPr>
      </w:pPr>
    </w:p>
    <w:p w:rsidR="00674CB9" w:rsidRDefault="00674CB9" w:rsidP="00674CB9">
      <w:pPr>
        <w:pStyle w:val="Default"/>
        <w:ind w:left="0" w:firstLine="709"/>
        <w:rPr>
          <w:b/>
        </w:rPr>
      </w:pPr>
      <w:r w:rsidRPr="00575DA9">
        <w:rPr>
          <w:b/>
        </w:rPr>
        <w:t>Ietekme uz</w:t>
      </w:r>
      <w:r>
        <w:rPr>
          <w:b/>
        </w:rPr>
        <w:t xml:space="preserve"> vispārējās valdības budžetu</w:t>
      </w:r>
    </w:p>
    <w:p w:rsidR="00674CB9" w:rsidRPr="00F334FA" w:rsidRDefault="00674CB9" w:rsidP="00674CB9">
      <w:pPr>
        <w:pStyle w:val="Default"/>
        <w:ind w:left="0" w:firstLine="709"/>
        <w:rPr>
          <w:noProof/>
        </w:rPr>
      </w:pPr>
      <w:r w:rsidRPr="00F334FA">
        <w:rPr>
          <w:noProof/>
        </w:rPr>
        <w:t xml:space="preserve">Īstenojoties optimistiskajam scenārijam, kopbudžeta nodokļu ieņēmumi un valsts pamatbudžeta nenodokļu ieņēmumi palielinātos par 109,1 milj. </w:t>
      </w:r>
      <w:r w:rsidRPr="00293414">
        <w:rPr>
          <w:i/>
          <w:noProof/>
        </w:rPr>
        <w:t>euro</w:t>
      </w:r>
      <w:r w:rsidRPr="00F334FA">
        <w:rPr>
          <w:noProof/>
        </w:rPr>
        <w:t xml:space="preserve"> jeb 0,3% no IKP 2019.gadā salīdzinājumā ar bāzes scenāriju. Savukārt 2020. un 2021.gadā tie būtu attiecīgi par 191,8 milj. </w:t>
      </w:r>
      <w:r w:rsidRPr="00293414">
        <w:rPr>
          <w:i/>
          <w:noProof/>
        </w:rPr>
        <w:t>euro</w:t>
      </w:r>
      <w:r w:rsidRPr="00F334FA">
        <w:rPr>
          <w:noProof/>
        </w:rPr>
        <w:t xml:space="preserve"> jeb 0,6% no IKP un 231,3 milj. </w:t>
      </w:r>
      <w:r w:rsidRPr="00293414">
        <w:rPr>
          <w:i/>
          <w:noProof/>
        </w:rPr>
        <w:t>euro</w:t>
      </w:r>
      <w:r w:rsidRPr="00F334FA">
        <w:rPr>
          <w:noProof/>
        </w:rPr>
        <w:t xml:space="preserve"> jeb 0,7% no IKP augstāki nekā bāzes scenārijā.</w:t>
      </w:r>
    </w:p>
    <w:p w:rsidR="00674CB9" w:rsidRDefault="00674CB9" w:rsidP="00674CB9">
      <w:pPr>
        <w:pStyle w:val="Default"/>
        <w:ind w:left="0" w:firstLine="709"/>
        <w:rPr>
          <w:noProof/>
        </w:rPr>
      </w:pPr>
      <w:r w:rsidRPr="00F334FA">
        <w:rPr>
          <w:noProof/>
        </w:rPr>
        <w:t>Izpildoties optimistiskajam scenārijam, vairāk kā puse no kopbudžeta ieņēmuma pieauguma būtu attiecināma uz valsts pamatbudžetu. Attiecīgi valsts</w:t>
      </w:r>
      <w:r w:rsidRPr="00F334FA">
        <w:t xml:space="preserve"> pamatbudžeta </w:t>
      </w:r>
      <w:r w:rsidRPr="00F334FA">
        <w:rPr>
          <w:noProof/>
        </w:rPr>
        <w:t xml:space="preserve">ieņēmumi, salīdzinot ar bāzes scenāriju, palielinātos par 59,3 milj. </w:t>
      </w:r>
      <w:r w:rsidRPr="00293414">
        <w:rPr>
          <w:i/>
          <w:noProof/>
        </w:rPr>
        <w:t>euro</w:t>
      </w:r>
      <w:r w:rsidRPr="00F334FA">
        <w:rPr>
          <w:noProof/>
        </w:rPr>
        <w:t xml:space="preserve"> jeb 0,2% no IKP 2019.gadā, 106,1</w:t>
      </w:r>
      <w:r>
        <w:rPr>
          <w:noProof/>
        </w:rPr>
        <w:t> </w:t>
      </w:r>
      <w:r w:rsidRPr="00F334FA">
        <w:rPr>
          <w:noProof/>
        </w:rPr>
        <w:t xml:space="preserve">milj. </w:t>
      </w:r>
      <w:r w:rsidRPr="00293414">
        <w:rPr>
          <w:i/>
          <w:noProof/>
        </w:rPr>
        <w:t>euro</w:t>
      </w:r>
      <w:r w:rsidRPr="00F334FA">
        <w:rPr>
          <w:noProof/>
        </w:rPr>
        <w:t xml:space="preserve"> jeb 0,3% no IKP 2020.gadā un 126,8 milj. </w:t>
      </w:r>
      <w:r w:rsidRPr="00293414">
        <w:rPr>
          <w:i/>
          <w:noProof/>
        </w:rPr>
        <w:t>euro</w:t>
      </w:r>
      <w:r>
        <w:rPr>
          <w:noProof/>
        </w:rPr>
        <w:t xml:space="preserve"> jeb 0,4% no IKP 2021.gadā.</w:t>
      </w:r>
    </w:p>
    <w:p w:rsidR="00674CB9" w:rsidRDefault="00674CB9" w:rsidP="00674CB9">
      <w:pPr>
        <w:pStyle w:val="Default"/>
        <w:spacing w:before="0"/>
        <w:ind w:left="0" w:firstLine="709"/>
        <w:rPr>
          <w:noProof/>
        </w:rPr>
      </w:pPr>
    </w:p>
    <w:p w:rsidR="00674CB9" w:rsidRPr="00674CB9" w:rsidRDefault="00674CB9" w:rsidP="00674CB9">
      <w:pPr>
        <w:keepNext/>
        <w:spacing w:before="240" w:after="120"/>
        <w:ind w:firstLine="709"/>
        <w:jc w:val="center"/>
        <w:rPr>
          <w:rFonts w:ascii="Times New Roman" w:hAnsi="Times New Roman" w:cs="Times New Roman"/>
          <w:b/>
          <w:i/>
          <w:sz w:val="24"/>
          <w:szCs w:val="24"/>
        </w:rPr>
      </w:pPr>
      <w:r w:rsidRPr="00674CB9">
        <w:rPr>
          <w:rFonts w:ascii="Times New Roman" w:hAnsi="Times New Roman" w:cs="Times New Roman"/>
          <w:b/>
          <w:i/>
          <w:sz w:val="24"/>
          <w:szCs w:val="24"/>
        </w:rPr>
        <w:t>1.5.tabula.</w:t>
      </w:r>
      <w:r>
        <w:rPr>
          <w:rFonts w:ascii="Times New Roman" w:hAnsi="Times New Roman" w:cs="Times New Roman"/>
          <w:b/>
          <w:i/>
          <w:sz w:val="24"/>
          <w:szCs w:val="24"/>
        </w:rPr>
        <w:t xml:space="preserve"> Optimistiskā scenārija ietekme </w:t>
      </w:r>
      <w:r w:rsidRPr="00674CB9">
        <w:rPr>
          <w:rFonts w:ascii="Times New Roman" w:hAnsi="Times New Roman" w:cs="Times New Roman"/>
          <w:b/>
          <w:i/>
          <w:sz w:val="24"/>
          <w:szCs w:val="24"/>
        </w:rPr>
        <w:t xml:space="preserve">uz vispārējās valdības budžetu, </w:t>
      </w:r>
      <w:r w:rsidRPr="00674CB9">
        <w:rPr>
          <w:rFonts w:ascii="Times New Roman" w:hAnsi="Times New Roman" w:cs="Times New Roman"/>
          <w:b/>
          <w:i/>
          <w:noProof/>
          <w:sz w:val="24"/>
          <w:szCs w:val="24"/>
        </w:rPr>
        <w:t>milj. euro</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2"/>
        <w:gridCol w:w="771"/>
        <w:gridCol w:w="771"/>
        <w:gridCol w:w="772"/>
        <w:gridCol w:w="772"/>
        <w:gridCol w:w="772"/>
        <w:gridCol w:w="772"/>
        <w:gridCol w:w="772"/>
        <w:gridCol w:w="772"/>
      </w:tblGrid>
      <w:tr w:rsidR="00674CB9" w:rsidRPr="00674CB9" w:rsidTr="00674CB9">
        <w:trPr>
          <w:trHeight w:val="507"/>
          <w:tblHeader/>
          <w:jc w:val="center"/>
        </w:trPr>
        <w:tc>
          <w:tcPr>
            <w:tcW w:w="2752" w:type="dxa"/>
            <w:shd w:val="clear" w:color="auto" w:fill="auto"/>
            <w:vAlign w:val="center"/>
            <w:hideMark/>
          </w:tcPr>
          <w:p w:rsidR="00674CB9" w:rsidRPr="00674CB9" w:rsidRDefault="00674CB9" w:rsidP="00674CB9">
            <w:pPr>
              <w:spacing w:after="0" w:line="240" w:lineRule="auto"/>
              <w:rPr>
                <w:rFonts w:ascii="Times New Roman" w:eastAsia="Times New Roman" w:hAnsi="Times New Roman" w:cs="Times New Roman"/>
                <w:sz w:val="20"/>
                <w:szCs w:val="20"/>
                <w:lang w:eastAsia="lv-LV"/>
              </w:rPr>
            </w:pPr>
          </w:p>
        </w:tc>
        <w:tc>
          <w:tcPr>
            <w:tcW w:w="3086" w:type="dxa"/>
            <w:gridSpan w:val="4"/>
            <w:vAlign w:val="center"/>
          </w:tcPr>
          <w:p w:rsidR="00674CB9" w:rsidRPr="00674CB9" w:rsidRDefault="00674CB9" w:rsidP="00674CB9">
            <w:pPr>
              <w:spacing w:after="0" w:line="240" w:lineRule="auto"/>
              <w:jc w:val="center"/>
              <w:rPr>
                <w:rFonts w:ascii="Times New Roman" w:eastAsia="Times New Roman" w:hAnsi="Times New Roman" w:cs="Times New Roman"/>
                <w:b/>
                <w:sz w:val="20"/>
                <w:szCs w:val="20"/>
                <w:lang w:eastAsia="lv-LV"/>
              </w:rPr>
            </w:pPr>
            <w:r w:rsidRPr="00674CB9">
              <w:rPr>
                <w:rFonts w:ascii="Times New Roman" w:eastAsia="Times New Roman" w:hAnsi="Times New Roman" w:cs="Times New Roman"/>
                <w:b/>
                <w:sz w:val="20"/>
                <w:szCs w:val="20"/>
                <w:lang w:eastAsia="lv-LV"/>
              </w:rPr>
              <w:t>Optimistiskais scenārijs</w:t>
            </w:r>
          </w:p>
        </w:tc>
        <w:tc>
          <w:tcPr>
            <w:tcW w:w="3088" w:type="dxa"/>
            <w:gridSpan w:val="4"/>
            <w:vAlign w:val="center"/>
          </w:tcPr>
          <w:p w:rsidR="00674CB9" w:rsidRPr="00674CB9" w:rsidRDefault="00674CB9" w:rsidP="00674CB9">
            <w:pPr>
              <w:spacing w:after="0" w:line="240" w:lineRule="auto"/>
              <w:jc w:val="center"/>
              <w:rPr>
                <w:rFonts w:ascii="Times New Roman" w:eastAsia="Times New Roman" w:hAnsi="Times New Roman" w:cs="Times New Roman"/>
                <w:b/>
                <w:sz w:val="20"/>
                <w:szCs w:val="20"/>
                <w:lang w:eastAsia="lv-LV"/>
              </w:rPr>
            </w:pPr>
            <w:r w:rsidRPr="00674CB9">
              <w:rPr>
                <w:rFonts w:ascii="Times New Roman" w:eastAsia="Times New Roman" w:hAnsi="Times New Roman" w:cs="Times New Roman"/>
                <w:b/>
                <w:sz w:val="20"/>
                <w:szCs w:val="20"/>
                <w:lang w:eastAsia="lv-LV"/>
              </w:rPr>
              <w:t>Novirze no bāzes scenārija</w:t>
            </w:r>
          </w:p>
        </w:tc>
      </w:tr>
      <w:tr w:rsidR="00674CB9" w:rsidRPr="00674CB9" w:rsidTr="00674CB9">
        <w:trPr>
          <w:trHeight w:val="191"/>
          <w:jc w:val="center"/>
        </w:trPr>
        <w:tc>
          <w:tcPr>
            <w:tcW w:w="2752" w:type="dxa"/>
            <w:shd w:val="clear" w:color="auto" w:fill="auto"/>
            <w:vAlign w:val="center"/>
            <w:hideMark/>
          </w:tcPr>
          <w:p w:rsidR="00674CB9" w:rsidRPr="00674CB9" w:rsidRDefault="00674CB9" w:rsidP="00674CB9">
            <w:pPr>
              <w:spacing w:after="0" w:line="240" w:lineRule="auto"/>
              <w:rPr>
                <w:rFonts w:ascii="Times New Roman" w:eastAsia="Times New Roman" w:hAnsi="Times New Roman" w:cs="Times New Roman"/>
                <w:sz w:val="20"/>
                <w:szCs w:val="20"/>
                <w:lang w:eastAsia="lv-LV"/>
              </w:rPr>
            </w:pPr>
          </w:p>
        </w:tc>
        <w:tc>
          <w:tcPr>
            <w:tcW w:w="771"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b/>
                <w:sz w:val="20"/>
                <w:szCs w:val="20"/>
                <w:lang w:eastAsia="lv-LV"/>
              </w:rPr>
            </w:pPr>
            <w:r w:rsidRPr="00674CB9">
              <w:rPr>
                <w:rFonts w:ascii="Times New Roman" w:eastAsia="Times New Roman" w:hAnsi="Times New Roman" w:cs="Times New Roman"/>
                <w:b/>
                <w:sz w:val="20"/>
                <w:szCs w:val="20"/>
                <w:lang w:eastAsia="lv-LV"/>
              </w:rPr>
              <w:t>2018</w:t>
            </w:r>
          </w:p>
        </w:tc>
        <w:tc>
          <w:tcPr>
            <w:tcW w:w="771"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b/>
                <w:sz w:val="20"/>
                <w:szCs w:val="20"/>
                <w:lang w:eastAsia="lv-LV"/>
              </w:rPr>
            </w:pPr>
            <w:r w:rsidRPr="00674CB9">
              <w:rPr>
                <w:rFonts w:ascii="Times New Roman" w:eastAsia="Times New Roman" w:hAnsi="Times New Roman" w:cs="Times New Roman"/>
                <w:b/>
                <w:sz w:val="20"/>
                <w:szCs w:val="20"/>
                <w:lang w:eastAsia="lv-LV"/>
              </w:rPr>
              <w:t>2019</w:t>
            </w:r>
          </w:p>
        </w:tc>
        <w:tc>
          <w:tcPr>
            <w:tcW w:w="772" w:type="dxa"/>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b/>
                <w:sz w:val="20"/>
                <w:szCs w:val="20"/>
                <w:lang w:eastAsia="lv-LV"/>
              </w:rPr>
            </w:pPr>
            <w:r w:rsidRPr="00674CB9">
              <w:rPr>
                <w:rFonts w:ascii="Times New Roman" w:eastAsia="Times New Roman" w:hAnsi="Times New Roman" w:cs="Times New Roman"/>
                <w:b/>
                <w:sz w:val="20"/>
                <w:szCs w:val="20"/>
                <w:lang w:eastAsia="lv-LV"/>
              </w:rPr>
              <w:t>2020</w:t>
            </w:r>
          </w:p>
        </w:tc>
        <w:tc>
          <w:tcPr>
            <w:tcW w:w="772"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b/>
                <w:sz w:val="20"/>
                <w:szCs w:val="20"/>
                <w:lang w:eastAsia="lv-LV"/>
              </w:rPr>
            </w:pPr>
            <w:r w:rsidRPr="00674CB9">
              <w:rPr>
                <w:rFonts w:ascii="Times New Roman" w:eastAsia="Times New Roman" w:hAnsi="Times New Roman" w:cs="Times New Roman"/>
                <w:b/>
                <w:sz w:val="20"/>
                <w:szCs w:val="20"/>
                <w:lang w:eastAsia="lv-LV"/>
              </w:rPr>
              <w:t>2021</w:t>
            </w:r>
          </w:p>
        </w:tc>
        <w:tc>
          <w:tcPr>
            <w:tcW w:w="772" w:type="dxa"/>
            <w:shd w:val="clear" w:color="auto" w:fill="auto"/>
            <w:tcMar>
              <w:left w:w="57" w:type="dxa"/>
              <w:right w:w="57" w:type="dxa"/>
            </w:tcMar>
            <w:vAlign w:val="center"/>
            <w:hideMark/>
          </w:tcPr>
          <w:p w:rsidR="00674CB9" w:rsidRPr="00674CB9" w:rsidRDefault="00674CB9" w:rsidP="00674CB9">
            <w:pPr>
              <w:spacing w:after="0" w:line="240" w:lineRule="auto"/>
              <w:jc w:val="center"/>
              <w:rPr>
                <w:rFonts w:ascii="Times New Roman" w:eastAsia="Times New Roman" w:hAnsi="Times New Roman" w:cs="Times New Roman"/>
                <w:b/>
                <w:sz w:val="20"/>
                <w:szCs w:val="20"/>
                <w:lang w:eastAsia="lv-LV"/>
              </w:rPr>
            </w:pPr>
            <w:r w:rsidRPr="00674CB9">
              <w:rPr>
                <w:rFonts w:ascii="Times New Roman" w:eastAsia="Times New Roman" w:hAnsi="Times New Roman" w:cs="Times New Roman"/>
                <w:b/>
                <w:sz w:val="20"/>
                <w:szCs w:val="20"/>
                <w:lang w:eastAsia="lv-LV"/>
              </w:rPr>
              <w:t>2018</w:t>
            </w:r>
          </w:p>
        </w:tc>
        <w:tc>
          <w:tcPr>
            <w:tcW w:w="772" w:type="dxa"/>
            <w:shd w:val="clear" w:color="auto" w:fill="auto"/>
            <w:tcMar>
              <w:left w:w="57" w:type="dxa"/>
              <w:right w:w="57" w:type="dxa"/>
            </w:tcMar>
            <w:vAlign w:val="center"/>
            <w:hideMark/>
          </w:tcPr>
          <w:p w:rsidR="00674CB9" w:rsidRPr="00674CB9" w:rsidRDefault="00674CB9" w:rsidP="00674CB9">
            <w:pPr>
              <w:spacing w:after="0" w:line="240" w:lineRule="auto"/>
              <w:jc w:val="center"/>
              <w:rPr>
                <w:rFonts w:ascii="Times New Roman" w:eastAsia="Times New Roman" w:hAnsi="Times New Roman" w:cs="Times New Roman"/>
                <w:b/>
                <w:sz w:val="20"/>
                <w:szCs w:val="20"/>
                <w:lang w:eastAsia="lv-LV"/>
              </w:rPr>
            </w:pPr>
            <w:r w:rsidRPr="00674CB9">
              <w:rPr>
                <w:rFonts w:ascii="Times New Roman" w:eastAsia="Times New Roman" w:hAnsi="Times New Roman" w:cs="Times New Roman"/>
                <w:b/>
                <w:sz w:val="20"/>
                <w:szCs w:val="20"/>
                <w:lang w:eastAsia="lv-LV"/>
              </w:rPr>
              <w:t>2019</w:t>
            </w:r>
          </w:p>
        </w:tc>
        <w:tc>
          <w:tcPr>
            <w:tcW w:w="772" w:type="dxa"/>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b/>
                <w:sz w:val="20"/>
                <w:szCs w:val="20"/>
                <w:lang w:eastAsia="lv-LV"/>
              </w:rPr>
            </w:pPr>
            <w:r w:rsidRPr="00674CB9">
              <w:rPr>
                <w:rFonts w:ascii="Times New Roman" w:eastAsia="Times New Roman" w:hAnsi="Times New Roman" w:cs="Times New Roman"/>
                <w:b/>
                <w:sz w:val="20"/>
                <w:szCs w:val="20"/>
                <w:lang w:eastAsia="lv-LV"/>
              </w:rPr>
              <w:t>2020</w:t>
            </w:r>
          </w:p>
        </w:tc>
        <w:tc>
          <w:tcPr>
            <w:tcW w:w="772" w:type="dxa"/>
            <w:shd w:val="clear" w:color="auto" w:fill="auto"/>
            <w:tcMar>
              <w:left w:w="57" w:type="dxa"/>
              <w:right w:w="57" w:type="dxa"/>
            </w:tcMar>
            <w:vAlign w:val="center"/>
            <w:hideMark/>
          </w:tcPr>
          <w:p w:rsidR="00674CB9" w:rsidRPr="00674CB9" w:rsidRDefault="00674CB9" w:rsidP="00674CB9">
            <w:pPr>
              <w:spacing w:after="0" w:line="240" w:lineRule="auto"/>
              <w:jc w:val="center"/>
              <w:rPr>
                <w:rFonts w:ascii="Times New Roman" w:eastAsia="Times New Roman" w:hAnsi="Times New Roman" w:cs="Times New Roman"/>
                <w:b/>
                <w:sz w:val="20"/>
                <w:szCs w:val="20"/>
                <w:lang w:eastAsia="lv-LV"/>
              </w:rPr>
            </w:pPr>
            <w:r w:rsidRPr="00674CB9">
              <w:rPr>
                <w:rFonts w:ascii="Times New Roman" w:eastAsia="Times New Roman" w:hAnsi="Times New Roman" w:cs="Times New Roman"/>
                <w:b/>
                <w:sz w:val="20"/>
                <w:szCs w:val="20"/>
                <w:lang w:eastAsia="lv-LV"/>
              </w:rPr>
              <w:t>2021</w:t>
            </w:r>
          </w:p>
        </w:tc>
      </w:tr>
      <w:tr w:rsidR="00674CB9" w:rsidRPr="00674CB9" w:rsidTr="00674CB9">
        <w:trPr>
          <w:trHeight w:val="315"/>
          <w:jc w:val="center"/>
        </w:trPr>
        <w:tc>
          <w:tcPr>
            <w:tcW w:w="2752" w:type="dxa"/>
            <w:shd w:val="clear" w:color="auto" w:fill="DEEAF6" w:themeFill="accent1" w:themeFillTint="33"/>
            <w:vAlign w:val="center"/>
          </w:tcPr>
          <w:p w:rsidR="00674CB9" w:rsidRPr="00674CB9" w:rsidRDefault="00674CB9" w:rsidP="00674CB9">
            <w:pPr>
              <w:spacing w:after="0" w:line="240" w:lineRule="auto"/>
              <w:rPr>
                <w:rFonts w:ascii="Times New Roman" w:eastAsia="Times New Roman" w:hAnsi="Times New Roman" w:cs="Times New Roman"/>
                <w:b/>
                <w:sz w:val="20"/>
                <w:szCs w:val="20"/>
                <w:lang w:eastAsia="lv-LV"/>
              </w:rPr>
            </w:pPr>
            <w:r w:rsidRPr="00674CB9">
              <w:rPr>
                <w:rFonts w:ascii="Times New Roman" w:eastAsia="Times New Roman" w:hAnsi="Times New Roman" w:cs="Times New Roman"/>
                <w:b/>
                <w:sz w:val="20"/>
                <w:szCs w:val="20"/>
                <w:lang w:eastAsia="lv-LV"/>
              </w:rPr>
              <w:t>Vispārējās valdības budžeta bilance</w:t>
            </w:r>
            <w:r w:rsidRPr="00674CB9">
              <w:rPr>
                <w:rFonts w:ascii="Times New Roman" w:eastAsia="Times New Roman" w:hAnsi="Times New Roman" w:cs="Times New Roman"/>
                <w:b/>
                <w:sz w:val="20"/>
                <w:szCs w:val="20"/>
                <w:vertAlign w:val="superscript"/>
                <w:lang w:eastAsia="lv-LV"/>
              </w:rPr>
              <w:footnoteReference w:id="9"/>
            </w:r>
            <w:r w:rsidRPr="00674CB9">
              <w:rPr>
                <w:rFonts w:ascii="Times New Roman" w:eastAsia="Times New Roman" w:hAnsi="Times New Roman" w:cs="Times New Roman"/>
                <w:b/>
                <w:sz w:val="20"/>
                <w:szCs w:val="20"/>
                <w:lang w:eastAsia="lv-LV"/>
              </w:rPr>
              <w:t>, % no IKP</w:t>
            </w:r>
          </w:p>
        </w:tc>
        <w:tc>
          <w:tcPr>
            <w:tcW w:w="771" w:type="dxa"/>
            <w:shd w:val="clear" w:color="auto" w:fill="DEEAF6" w:themeFill="accent1" w:themeFillTint="33"/>
            <w:tcMar>
              <w:left w:w="57" w:type="dxa"/>
              <w:right w:w="57" w:type="dxa"/>
            </w:tcMar>
            <w:vAlign w:val="center"/>
          </w:tcPr>
          <w:p w:rsidR="00674CB9" w:rsidRPr="00674CB9" w:rsidRDefault="00674CB9" w:rsidP="00A84124">
            <w:pPr>
              <w:spacing w:after="0" w:line="240" w:lineRule="auto"/>
              <w:jc w:val="right"/>
              <w:rPr>
                <w:rFonts w:ascii="Times New Roman" w:eastAsia="Times New Roman" w:hAnsi="Times New Roman" w:cs="Times New Roman"/>
                <w:b/>
                <w:sz w:val="20"/>
                <w:szCs w:val="20"/>
                <w:lang w:eastAsia="lv-LV"/>
              </w:rPr>
            </w:pPr>
            <w:r w:rsidRPr="00674CB9">
              <w:rPr>
                <w:rFonts w:ascii="Times New Roman" w:eastAsia="Times New Roman" w:hAnsi="Times New Roman" w:cs="Times New Roman"/>
                <w:b/>
                <w:sz w:val="20"/>
                <w:szCs w:val="20"/>
                <w:lang w:eastAsia="lv-LV"/>
              </w:rPr>
              <w:t>-</w:t>
            </w:r>
            <w:r w:rsidR="00A84124">
              <w:rPr>
                <w:rFonts w:ascii="Times New Roman" w:eastAsia="Times New Roman" w:hAnsi="Times New Roman" w:cs="Times New Roman"/>
                <w:b/>
                <w:sz w:val="20"/>
                <w:szCs w:val="20"/>
                <w:lang w:eastAsia="lv-LV"/>
              </w:rPr>
              <w:t>1</w:t>
            </w:r>
            <w:r w:rsidRPr="00674CB9">
              <w:rPr>
                <w:rFonts w:ascii="Times New Roman" w:eastAsia="Times New Roman" w:hAnsi="Times New Roman" w:cs="Times New Roman"/>
                <w:b/>
                <w:sz w:val="20"/>
                <w:szCs w:val="20"/>
                <w:lang w:eastAsia="lv-LV"/>
              </w:rPr>
              <w:t>,</w:t>
            </w:r>
            <w:r w:rsidR="00A84124">
              <w:rPr>
                <w:rFonts w:ascii="Times New Roman" w:eastAsia="Times New Roman" w:hAnsi="Times New Roman" w:cs="Times New Roman"/>
                <w:b/>
                <w:sz w:val="20"/>
                <w:szCs w:val="20"/>
                <w:lang w:eastAsia="lv-LV"/>
              </w:rPr>
              <w:t>0</w:t>
            </w:r>
          </w:p>
        </w:tc>
        <w:tc>
          <w:tcPr>
            <w:tcW w:w="771" w:type="dxa"/>
            <w:shd w:val="clear" w:color="auto" w:fill="DEEAF6" w:themeFill="accent1" w:themeFillTint="33"/>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b/>
                <w:sz w:val="20"/>
                <w:szCs w:val="20"/>
                <w:lang w:eastAsia="lv-LV"/>
              </w:rPr>
            </w:pPr>
            <w:r w:rsidRPr="00674CB9">
              <w:rPr>
                <w:rFonts w:ascii="Times New Roman" w:eastAsia="Times New Roman" w:hAnsi="Times New Roman" w:cs="Times New Roman"/>
                <w:b/>
                <w:sz w:val="20"/>
                <w:szCs w:val="20"/>
                <w:lang w:eastAsia="lv-LV"/>
              </w:rPr>
              <w:t>-0,2</w:t>
            </w:r>
          </w:p>
        </w:tc>
        <w:tc>
          <w:tcPr>
            <w:tcW w:w="772" w:type="dxa"/>
            <w:shd w:val="clear" w:color="auto" w:fill="DEEAF6" w:themeFill="accent1" w:themeFillTint="33"/>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b/>
                <w:sz w:val="20"/>
                <w:szCs w:val="20"/>
                <w:lang w:eastAsia="lv-LV"/>
              </w:rPr>
            </w:pPr>
            <w:r w:rsidRPr="00674CB9">
              <w:rPr>
                <w:rFonts w:ascii="Times New Roman" w:eastAsia="Times New Roman" w:hAnsi="Times New Roman" w:cs="Times New Roman"/>
                <w:b/>
                <w:sz w:val="20"/>
                <w:szCs w:val="20"/>
                <w:lang w:eastAsia="lv-LV"/>
              </w:rPr>
              <w:t>0,2</w:t>
            </w:r>
          </w:p>
        </w:tc>
        <w:tc>
          <w:tcPr>
            <w:tcW w:w="772" w:type="dxa"/>
            <w:shd w:val="clear" w:color="auto" w:fill="DEEAF6" w:themeFill="accent1" w:themeFillTint="33"/>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b/>
                <w:sz w:val="20"/>
                <w:szCs w:val="20"/>
                <w:lang w:eastAsia="lv-LV"/>
              </w:rPr>
            </w:pPr>
            <w:r w:rsidRPr="00674CB9">
              <w:rPr>
                <w:rFonts w:ascii="Times New Roman" w:eastAsia="Times New Roman" w:hAnsi="Times New Roman" w:cs="Times New Roman"/>
                <w:b/>
                <w:sz w:val="20"/>
                <w:szCs w:val="20"/>
                <w:lang w:eastAsia="lv-LV"/>
              </w:rPr>
              <w:t>0,4</w:t>
            </w:r>
          </w:p>
        </w:tc>
        <w:tc>
          <w:tcPr>
            <w:tcW w:w="772" w:type="dxa"/>
            <w:shd w:val="clear" w:color="auto" w:fill="DEEAF6" w:themeFill="accent1" w:themeFillTint="33"/>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b/>
                <w:sz w:val="20"/>
                <w:szCs w:val="20"/>
                <w:lang w:eastAsia="lv-LV"/>
              </w:rPr>
            </w:pPr>
            <w:r w:rsidRPr="00674CB9">
              <w:rPr>
                <w:rFonts w:ascii="Times New Roman" w:eastAsia="Times New Roman" w:hAnsi="Times New Roman" w:cs="Times New Roman"/>
                <w:b/>
                <w:sz w:val="20"/>
                <w:szCs w:val="20"/>
                <w:lang w:eastAsia="lv-LV"/>
              </w:rPr>
              <w:t>0,0</w:t>
            </w:r>
          </w:p>
        </w:tc>
        <w:tc>
          <w:tcPr>
            <w:tcW w:w="772" w:type="dxa"/>
            <w:shd w:val="clear" w:color="auto" w:fill="DEEAF6" w:themeFill="accent1" w:themeFillTint="33"/>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b/>
                <w:sz w:val="20"/>
                <w:szCs w:val="20"/>
                <w:lang w:eastAsia="lv-LV"/>
              </w:rPr>
            </w:pPr>
            <w:r w:rsidRPr="00674CB9">
              <w:rPr>
                <w:rFonts w:ascii="Times New Roman" w:eastAsia="Times New Roman" w:hAnsi="Times New Roman" w:cs="Times New Roman"/>
                <w:b/>
                <w:sz w:val="20"/>
                <w:szCs w:val="20"/>
                <w:lang w:eastAsia="lv-LV"/>
              </w:rPr>
              <w:t>0,4</w:t>
            </w:r>
          </w:p>
        </w:tc>
        <w:tc>
          <w:tcPr>
            <w:tcW w:w="772" w:type="dxa"/>
            <w:shd w:val="clear" w:color="auto" w:fill="DEEAF6" w:themeFill="accent1" w:themeFillTint="33"/>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b/>
                <w:sz w:val="20"/>
                <w:szCs w:val="20"/>
                <w:lang w:eastAsia="lv-LV"/>
              </w:rPr>
            </w:pPr>
            <w:r w:rsidRPr="00674CB9">
              <w:rPr>
                <w:rFonts w:ascii="Times New Roman" w:eastAsia="Times New Roman" w:hAnsi="Times New Roman" w:cs="Times New Roman"/>
                <w:b/>
                <w:sz w:val="20"/>
                <w:szCs w:val="20"/>
                <w:lang w:eastAsia="lv-LV"/>
              </w:rPr>
              <w:t>0,6</w:t>
            </w:r>
          </w:p>
        </w:tc>
        <w:tc>
          <w:tcPr>
            <w:tcW w:w="772" w:type="dxa"/>
            <w:shd w:val="clear" w:color="auto" w:fill="DEEAF6" w:themeFill="accent1" w:themeFillTint="33"/>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b/>
                <w:sz w:val="20"/>
                <w:szCs w:val="20"/>
                <w:lang w:eastAsia="lv-LV"/>
              </w:rPr>
            </w:pPr>
            <w:r w:rsidRPr="00674CB9">
              <w:rPr>
                <w:rFonts w:ascii="Times New Roman" w:eastAsia="Times New Roman" w:hAnsi="Times New Roman" w:cs="Times New Roman"/>
                <w:b/>
                <w:sz w:val="20"/>
                <w:szCs w:val="20"/>
                <w:lang w:eastAsia="lv-LV"/>
              </w:rPr>
              <w:t>0,7</w:t>
            </w:r>
          </w:p>
        </w:tc>
      </w:tr>
      <w:tr w:rsidR="00674CB9" w:rsidRPr="00674CB9" w:rsidTr="00674CB9">
        <w:trPr>
          <w:trHeight w:val="315"/>
          <w:jc w:val="center"/>
        </w:trPr>
        <w:tc>
          <w:tcPr>
            <w:tcW w:w="2752" w:type="dxa"/>
            <w:shd w:val="clear" w:color="auto" w:fill="auto"/>
            <w:vAlign w:val="center"/>
          </w:tcPr>
          <w:p w:rsidR="00674CB9" w:rsidRPr="00674CB9" w:rsidRDefault="00674CB9" w:rsidP="00674CB9">
            <w:pPr>
              <w:spacing w:after="0" w:line="240" w:lineRule="auto"/>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Vispārējās valdības budžeta bilance</w:t>
            </w:r>
          </w:p>
        </w:tc>
        <w:tc>
          <w:tcPr>
            <w:tcW w:w="771" w:type="dxa"/>
            <w:shd w:val="clear" w:color="auto" w:fill="auto"/>
            <w:tcMar>
              <w:left w:w="57" w:type="dxa"/>
              <w:right w:w="57" w:type="dxa"/>
            </w:tcMar>
            <w:vAlign w:val="center"/>
          </w:tcPr>
          <w:p w:rsidR="00674CB9" w:rsidRPr="00674CB9" w:rsidRDefault="00674CB9" w:rsidP="00A84124">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w:t>
            </w:r>
            <w:r w:rsidR="00A84124">
              <w:rPr>
                <w:rFonts w:ascii="Times New Roman" w:eastAsia="Times New Roman" w:hAnsi="Times New Roman" w:cs="Times New Roman"/>
                <w:sz w:val="20"/>
                <w:szCs w:val="20"/>
                <w:lang w:eastAsia="lv-LV"/>
              </w:rPr>
              <w:t>295,4</w:t>
            </w:r>
          </w:p>
        </w:tc>
        <w:tc>
          <w:tcPr>
            <w:tcW w:w="771" w:type="dxa"/>
            <w:shd w:val="clear" w:color="auto" w:fill="auto"/>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-162,6</w:t>
            </w:r>
          </w:p>
        </w:tc>
        <w:tc>
          <w:tcPr>
            <w:tcW w:w="772" w:type="dxa"/>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43,5</w:t>
            </w:r>
          </w:p>
        </w:tc>
        <w:tc>
          <w:tcPr>
            <w:tcW w:w="772" w:type="dxa"/>
            <w:shd w:val="clear" w:color="auto" w:fill="auto"/>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-207,9</w:t>
            </w:r>
          </w:p>
        </w:tc>
        <w:tc>
          <w:tcPr>
            <w:tcW w:w="772" w:type="dxa"/>
            <w:shd w:val="clear" w:color="auto" w:fill="auto"/>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0,0</w:t>
            </w:r>
          </w:p>
        </w:tc>
        <w:tc>
          <w:tcPr>
            <w:tcW w:w="772" w:type="dxa"/>
            <w:shd w:val="clear" w:color="auto" w:fill="auto"/>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109,1</w:t>
            </w:r>
          </w:p>
        </w:tc>
        <w:tc>
          <w:tcPr>
            <w:tcW w:w="772" w:type="dxa"/>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194,9</w:t>
            </w:r>
          </w:p>
        </w:tc>
        <w:tc>
          <w:tcPr>
            <w:tcW w:w="772" w:type="dxa"/>
            <w:shd w:val="clear" w:color="auto" w:fill="auto"/>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240,3</w:t>
            </w:r>
          </w:p>
        </w:tc>
      </w:tr>
      <w:tr w:rsidR="00674CB9" w:rsidRPr="00674CB9" w:rsidTr="00674CB9">
        <w:trPr>
          <w:trHeight w:val="342"/>
          <w:jc w:val="center"/>
        </w:trPr>
        <w:tc>
          <w:tcPr>
            <w:tcW w:w="2752" w:type="dxa"/>
            <w:shd w:val="clear" w:color="auto" w:fill="auto"/>
            <w:vAlign w:val="center"/>
          </w:tcPr>
          <w:p w:rsidR="00674CB9" w:rsidRPr="00674CB9" w:rsidRDefault="00674CB9" w:rsidP="00674CB9">
            <w:pPr>
              <w:spacing w:after="0" w:line="240" w:lineRule="auto"/>
              <w:ind w:left="166"/>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Nodokļu ieņēmumi</w:t>
            </w:r>
          </w:p>
        </w:tc>
        <w:tc>
          <w:tcPr>
            <w:tcW w:w="771" w:type="dxa"/>
            <w:shd w:val="clear" w:color="auto" w:fill="auto"/>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8657,7</w:t>
            </w:r>
          </w:p>
        </w:tc>
        <w:tc>
          <w:tcPr>
            <w:tcW w:w="771" w:type="dxa"/>
            <w:shd w:val="clear" w:color="auto" w:fill="auto"/>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914</w:t>
            </w:r>
            <w:r w:rsidR="00C151F5">
              <w:rPr>
                <w:rFonts w:ascii="Times New Roman" w:eastAsia="Times New Roman" w:hAnsi="Times New Roman" w:cs="Times New Roman"/>
                <w:sz w:val="20"/>
                <w:szCs w:val="20"/>
                <w:lang w:eastAsia="lv-LV"/>
              </w:rPr>
              <w:t>6</w:t>
            </w:r>
            <w:r w:rsidRPr="00674CB9">
              <w:rPr>
                <w:rFonts w:ascii="Times New Roman" w:eastAsia="Times New Roman" w:hAnsi="Times New Roman" w:cs="Times New Roman"/>
                <w:sz w:val="20"/>
                <w:szCs w:val="20"/>
                <w:lang w:eastAsia="lv-LV"/>
              </w:rPr>
              <w:t>,</w:t>
            </w:r>
            <w:r w:rsidR="00C151F5">
              <w:rPr>
                <w:rFonts w:ascii="Times New Roman" w:eastAsia="Times New Roman" w:hAnsi="Times New Roman" w:cs="Times New Roman"/>
                <w:sz w:val="20"/>
                <w:szCs w:val="20"/>
                <w:lang w:eastAsia="lv-LV"/>
              </w:rPr>
              <w:t>9</w:t>
            </w:r>
          </w:p>
        </w:tc>
        <w:tc>
          <w:tcPr>
            <w:tcW w:w="772" w:type="dxa"/>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9874,9</w:t>
            </w:r>
          </w:p>
        </w:tc>
        <w:tc>
          <w:tcPr>
            <w:tcW w:w="772" w:type="dxa"/>
            <w:shd w:val="clear" w:color="auto" w:fill="auto"/>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10430,5</w:t>
            </w:r>
          </w:p>
        </w:tc>
        <w:tc>
          <w:tcPr>
            <w:tcW w:w="772" w:type="dxa"/>
            <w:shd w:val="clear" w:color="auto" w:fill="auto"/>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0,0</w:t>
            </w:r>
          </w:p>
        </w:tc>
        <w:tc>
          <w:tcPr>
            <w:tcW w:w="772" w:type="dxa"/>
            <w:shd w:val="clear" w:color="auto" w:fill="auto"/>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103,3</w:t>
            </w:r>
          </w:p>
        </w:tc>
        <w:tc>
          <w:tcPr>
            <w:tcW w:w="772" w:type="dxa"/>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183,4</w:t>
            </w:r>
          </w:p>
        </w:tc>
        <w:tc>
          <w:tcPr>
            <w:tcW w:w="772" w:type="dxa"/>
            <w:shd w:val="clear" w:color="auto" w:fill="auto"/>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223,7</w:t>
            </w:r>
          </w:p>
        </w:tc>
      </w:tr>
      <w:tr w:rsidR="00674CB9" w:rsidRPr="00674CB9" w:rsidTr="00674CB9">
        <w:trPr>
          <w:trHeight w:val="315"/>
          <w:jc w:val="center"/>
        </w:trPr>
        <w:tc>
          <w:tcPr>
            <w:tcW w:w="2752" w:type="dxa"/>
            <w:shd w:val="clear" w:color="auto" w:fill="auto"/>
            <w:vAlign w:val="center"/>
          </w:tcPr>
          <w:p w:rsidR="00674CB9" w:rsidRPr="00674CB9" w:rsidRDefault="00674CB9" w:rsidP="00674CB9">
            <w:pPr>
              <w:spacing w:after="0" w:line="240" w:lineRule="auto"/>
              <w:ind w:left="166"/>
              <w:rPr>
                <w:rFonts w:ascii="Times New Roman" w:eastAsia="Times New Roman" w:hAnsi="Times New Roman" w:cs="Times New Roman"/>
                <w:noProof/>
                <w:sz w:val="20"/>
                <w:szCs w:val="20"/>
                <w:lang w:eastAsia="lv-LV"/>
              </w:rPr>
            </w:pPr>
            <w:r w:rsidRPr="00674CB9">
              <w:rPr>
                <w:rFonts w:ascii="Times New Roman" w:eastAsia="Times New Roman" w:hAnsi="Times New Roman" w:cs="Times New Roman"/>
                <w:noProof/>
                <w:sz w:val="20"/>
                <w:szCs w:val="20"/>
                <w:lang w:eastAsia="lv-LV"/>
              </w:rPr>
              <w:t>Nenodokļu ieņēmumi</w:t>
            </w:r>
          </w:p>
        </w:tc>
        <w:tc>
          <w:tcPr>
            <w:tcW w:w="771" w:type="dxa"/>
            <w:shd w:val="clear" w:color="auto" w:fill="auto"/>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717,7</w:t>
            </w:r>
          </w:p>
        </w:tc>
        <w:tc>
          <w:tcPr>
            <w:tcW w:w="771" w:type="dxa"/>
            <w:shd w:val="clear" w:color="auto" w:fill="auto"/>
            <w:tcMar>
              <w:left w:w="57" w:type="dxa"/>
              <w:right w:w="57" w:type="dxa"/>
            </w:tcMar>
            <w:vAlign w:val="center"/>
          </w:tcPr>
          <w:p w:rsidR="00674CB9" w:rsidRPr="00674CB9" w:rsidRDefault="00674CB9" w:rsidP="00C151F5">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60</w:t>
            </w:r>
            <w:r w:rsidR="00C151F5">
              <w:rPr>
                <w:rFonts w:ascii="Times New Roman" w:eastAsia="Times New Roman" w:hAnsi="Times New Roman" w:cs="Times New Roman"/>
                <w:sz w:val="20"/>
                <w:szCs w:val="20"/>
                <w:lang w:eastAsia="lv-LV"/>
              </w:rPr>
              <w:t>5</w:t>
            </w:r>
            <w:r w:rsidRPr="00674CB9">
              <w:rPr>
                <w:rFonts w:ascii="Times New Roman" w:eastAsia="Times New Roman" w:hAnsi="Times New Roman" w:cs="Times New Roman"/>
                <w:sz w:val="20"/>
                <w:szCs w:val="20"/>
                <w:lang w:eastAsia="lv-LV"/>
              </w:rPr>
              <w:t>,</w:t>
            </w:r>
            <w:r w:rsidR="00C151F5">
              <w:rPr>
                <w:rFonts w:ascii="Times New Roman" w:eastAsia="Times New Roman" w:hAnsi="Times New Roman" w:cs="Times New Roman"/>
                <w:sz w:val="20"/>
                <w:szCs w:val="20"/>
                <w:lang w:eastAsia="lv-LV"/>
              </w:rPr>
              <w:t>2</w:t>
            </w:r>
          </w:p>
        </w:tc>
        <w:tc>
          <w:tcPr>
            <w:tcW w:w="772" w:type="dxa"/>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539,9</w:t>
            </w:r>
          </w:p>
        </w:tc>
        <w:tc>
          <w:tcPr>
            <w:tcW w:w="772" w:type="dxa"/>
            <w:shd w:val="clear" w:color="auto" w:fill="auto"/>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439,9</w:t>
            </w:r>
          </w:p>
        </w:tc>
        <w:tc>
          <w:tcPr>
            <w:tcW w:w="772" w:type="dxa"/>
            <w:shd w:val="clear" w:color="auto" w:fill="auto"/>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0,0</w:t>
            </w:r>
          </w:p>
        </w:tc>
        <w:tc>
          <w:tcPr>
            <w:tcW w:w="772" w:type="dxa"/>
            <w:shd w:val="clear" w:color="auto" w:fill="auto"/>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5,8</w:t>
            </w:r>
          </w:p>
        </w:tc>
        <w:tc>
          <w:tcPr>
            <w:tcW w:w="772" w:type="dxa"/>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8,4</w:t>
            </w:r>
          </w:p>
        </w:tc>
        <w:tc>
          <w:tcPr>
            <w:tcW w:w="772" w:type="dxa"/>
            <w:shd w:val="clear" w:color="auto" w:fill="auto"/>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7,5</w:t>
            </w:r>
          </w:p>
        </w:tc>
      </w:tr>
      <w:tr w:rsidR="00674CB9" w:rsidRPr="00674CB9" w:rsidTr="00674CB9">
        <w:trPr>
          <w:trHeight w:val="246"/>
          <w:jc w:val="center"/>
        </w:trPr>
        <w:tc>
          <w:tcPr>
            <w:tcW w:w="2752" w:type="dxa"/>
            <w:tcBorders>
              <w:bottom w:val="double" w:sz="4" w:space="0" w:color="auto"/>
            </w:tcBorders>
            <w:shd w:val="clear" w:color="auto" w:fill="auto"/>
            <w:vAlign w:val="center"/>
          </w:tcPr>
          <w:p w:rsidR="00674CB9" w:rsidRPr="00674CB9" w:rsidRDefault="00674CB9" w:rsidP="00674CB9">
            <w:pPr>
              <w:spacing w:after="0" w:line="240" w:lineRule="auto"/>
              <w:ind w:left="166"/>
              <w:rPr>
                <w:rFonts w:ascii="Times New Roman" w:eastAsia="Times New Roman" w:hAnsi="Times New Roman" w:cs="Times New Roman"/>
                <w:noProof/>
                <w:sz w:val="20"/>
                <w:szCs w:val="20"/>
                <w:lang w:eastAsia="lv-LV"/>
              </w:rPr>
            </w:pPr>
            <w:r w:rsidRPr="00674CB9">
              <w:rPr>
                <w:rFonts w:ascii="Times New Roman" w:eastAsia="Times New Roman" w:hAnsi="Times New Roman" w:cs="Times New Roman"/>
                <w:noProof/>
                <w:sz w:val="20"/>
                <w:szCs w:val="20"/>
                <w:lang w:eastAsia="lv-LV"/>
              </w:rPr>
              <w:t>Procentu izdevumi</w:t>
            </w:r>
          </w:p>
        </w:tc>
        <w:tc>
          <w:tcPr>
            <w:tcW w:w="771" w:type="dxa"/>
            <w:tcBorders>
              <w:bottom w:val="double" w:sz="4" w:space="0" w:color="auto"/>
            </w:tcBorders>
            <w:shd w:val="clear" w:color="auto" w:fill="auto"/>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275,7</w:t>
            </w:r>
          </w:p>
        </w:tc>
        <w:tc>
          <w:tcPr>
            <w:tcW w:w="771" w:type="dxa"/>
            <w:tcBorders>
              <w:bottom w:val="double" w:sz="4" w:space="0" w:color="auto"/>
            </w:tcBorders>
            <w:shd w:val="clear" w:color="auto" w:fill="auto"/>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224,4</w:t>
            </w:r>
          </w:p>
        </w:tc>
        <w:tc>
          <w:tcPr>
            <w:tcW w:w="772" w:type="dxa"/>
            <w:tcBorders>
              <w:bottom w:val="double" w:sz="4" w:space="0" w:color="auto"/>
            </w:tcBorders>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252,4</w:t>
            </w:r>
          </w:p>
        </w:tc>
        <w:tc>
          <w:tcPr>
            <w:tcW w:w="772" w:type="dxa"/>
            <w:tcBorders>
              <w:bottom w:val="double" w:sz="4" w:space="0" w:color="auto"/>
            </w:tcBorders>
            <w:shd w:val="clear" w:color="auto" w:fill="auto"/>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266,6</w:t>
            </w:r>
          </w:p>
        </w:tc>
        <w:tc>
          <w:tcPr>
            <w:tcW w:w="772" w:type="dxa"/>
            <w:tcBorders>
              <w:bottom w:val="double" w:sz="4" w:space="0" w:color="auto"/>
            </w:tcBorders>
            <w:shd w:val="clear" w:color="auto" w:fill="auto"/>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0,0</w:t>
            </w:r>
          </w:p>
        </w:tc>
        <w:tc>
          <w:tcPr>
            <w:tcW w:w="772" w:type="dxa"/>
            <w:tcBorders>
              <w:bottom w:val="double" w:sz="4" w:space="0" w:color="auto"/>
            </w:tcBorders>
            <w:shd w:val="clear" w:color="auto" w:fill="auto"/>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0,0</w:t>
            </w:r>
          </w:p>
        </w:tc>
        <w:tc>
          <w:tcPr>
            <w:tcW w:w="772" w:type="dxa"/>
            <w:tcBorders>
              <w:bottom w:val="double" w:sz="4" w:space="0" w:color="auto"/>
            </w:tcBorders>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-3,1</w:t>
            </w:r>
          </w:p>
        </w:tc>
        <w:tc>
          <w:tcPr>
            <w:tcW w:w="772" w:type="dxa"/>
            <w:tcBorders>
              <w:bottom w:val="double" w:sz="4" w:space="0" w:color="auto"/>
            </w:tcBorders>
            <w:shd w:val="clear" w:color="auto" w:fill="auto"/>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-9,1</w:t>
            </w:r>
          </w:p>
        </w:tc>
      </w:tr>
      <w:tr w:rsidR="00674CB9" w:rsidRPr="00674CB9" w:rsidTr="00674CB9">
        <w:trPr>
          <w:trHeight w:val="495"/>
          <w:jc w:val="center"/>
        </w:trPr>
        <w:tc>
          <w:tcPr>
            <w:tcW w:w="2752" w:type="dxa"/>
            <w:tcBorders>
              <w:top w:val="double" w:sz="4" w:space="0" w:color="auto"/>
              <w:left w:val="single" w:sz="4" w:space="0" w:color="auto"/>
            </w:tcBorders>
            <w:shd w:val="clear" w:color="auto" w:fill="auto"/>
            <w:vAlign w:val="center"/>
          </w:tcPr>
          <w:p w:rsidR="00674CB9" w:rsidRPr="00674CB9" w:rsidRDefault="00674CB9" w:rsidP="00674CB9">
            <w:pPr>
              <w:spacing w:after="0" w:line="240" w:lineRule="auto"/>
              <w:rPr>
                <w:rFonts w:ascii="Times New Roman" w:eastAsia="Times New Roman" w:hAnsi="Times New Roman" w:cs="Times New Roman"/>
                <w:noProof/>
                <w:sz w:val="20"/>
                <w:szCs w:val="20"/>
                <w:lang w:eastAsia="lv-LV"/>
              </w:rPr>
            </w:pPr>
            <w:r w:rsidRPr="00674CB9">
              <w:rPr>
                <w:rFonts w:ascii="Times New Roman" w:eastAsia="Times New Roman" w:hAnsi="Times New Roman" w:cs="Times New Roman"/>
                <w:noProof/>
                <w:sz w:val="20"/>
                <w:szCs w:val="20"/>
                <w:lang w:eastAsia="lv-LV"/>
              </w:rPr>
              <w:t xml:space="preserve">   Procentu izdevumi</w:t>
            </w:r>
            <w:r w:rsidRPr="00674CB9">
              <w:rPr>
                <w:rFonts w:ascii="Times New Roman" w:eastAsia="Times New Roman" w:hAnsi="Times New Roman" w:cs="Times New Roman"/>
                <w:noProof/>
                <w:sz w:val="20"/>
                <w:szCs w:val="20"/>
                <w:lang w:eastAsia="lv-LV"/>
              </w:rPr>
              <w:br/>
              <w:t xml:space="preserve">  (% likmes paliel. par 1 pp)</w:t>
            </w:r>
          </w:p>
        </w:tc>
        <w:tc>
          <w:tcPr>
            <w:tcW w:w="771" w:type="dxa"/>
            <w:tcBorders>
              <w:top w:val="double" w:sz="4" w:space="0" w:color="auto"/>
            </w:tcBorders>
            <w:shd w:val="clear" w:color="auto" w:fill="auto"/>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275,7</w:t>
            </w:r>
          </w:p>
        </w:tc>
        <w:tc>
          <w:tcPr>
            <w:tcW w:w="771" w:type="dxa"/>
            <w:tcBorders>
              <w:top w:val="double" w:sz="4" w:space="0" w:color="auto"/>
            </w:tcBorders>
            <w:shd w:val="clear" w:color="auto" w:fill="auto"/>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224,4</w:t>
            </w:r>
          </w:p>
        </w:tc>
        <w:tc>
          <w:tcPr>
            <w:tcW w:w="772" w:type="dxa"/>
            <w:tcBorders>
              <w:top w:val="double" w:sz="4" w:space="0" w:color="auto"/>
            </w:tcBorders>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257,0</w:t>
            </w:r>
          </w:p>
        </w:tc>
        <w:tc>
          <w:tcPr>
            <w:tcW w:w="772" w:type="dxa"/>
            <w:tcBorders>
              <w:top w:val="double" w:sz="4" w:space="0" w:color="auto"/>
            </w:tcBorders>
            <w:shd w:val="clear" w:color="auto" w:fill="auto"/>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290,1</w:t>
            </w:r>
          </w:p>
        </w:tc>
        <w:tc>
          <w:tcPr>
            <w:tcW w:w="772" w:type="dxa"/>
            <w:tcBorders>
              <w:top w:val="double" w:sz="4" w:space="0" w:color="auto"/>
            </w:tcBorders>
            <w:shd w:val="clear" w:color="auto" w:fill="auto"/>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0,0</w:t>
            </w:r>
          </w:p>
        </w:tc>
        <w:tc>
          <w:tcPr>
            <w:tcW w:w="772" w:type="dxa"/>
            <w:tcBorders>
              <w:top w:val="double" w:sz="4" w:space="0" w:color="auto"/>
            </w:tcBorders>
            <w:shd w:val="clear" w:color="auto" w:fill="auto"/>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0,0</w:t>
            </w:r>
          </w:p>
        </w:tc>
        <w:tc>
          <w:tcPr>
            <w:tcW w:w="772" w:type="dxa"/>
            <w:tcBorders>
              <w:top w:val="double" w:sz="4" w:space="0" w:color="auto"/>
            </w:tcBorders>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1,5</w:t>
            </w:r>
          </w:p>
        </w:tc>
        <w:tc>
          <w:tcPr>
            <w:tcW w:w="772" w:type="dxa"/>
            <w:tcBorders>
              <w:top w:val="double" w:sz="4" w:space="0" w:color="auto"/>
              <w:right w:val="single" w:sz="4" w:space="0" w:color="auto"/>
            </w:tcBorders>
            <w:shd w:val="clear" w:color="auto" w:fill="auto"/>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14,4</w:t>
            </w:r>
          </w:p>
        </w:tc>
      </w:tr>
      <w:tr w:rsidR="00674CB9" w:rsidRPr="00674CB9" w:rsidTr="00674CB9">
        <w:trPr>
          <w:trHeight w:val="495"/>
          <w:jc w:val="center"/>
        </w:trPr>
        <w:tc>
          <w:tcPr>
            <w:tcW w:w="2752" w:type="dxa"/>
            <w:tcBorders>
              <w:left w:val="single" w:sz="4" w:space="0" w:color="auto"/>
              <w:bottom w:val="double" w:sz="4" w:space="0" w:color="auto"/>
            </w:tcBorders>
            <w:shd w:val="clear" w:color="auto" w:fill="auto"/>
            <w:vAlign w:val="center"/>
          </w:tcPr>
          <w:p w:rsidR="00674CB9" w:rsidRPr="00674CB9" w:rsidRDefault="00674CB9" w:rsidP="00674CB9">
            <w:pPr>
              <w:spacing w:after="0" w:line="240" w:lineRule="auto"/>
              <w:rPr>
                <w:rFonts w:ascii="Times New Roman" w:hAnsi="Times New Roman" w:cs="Times New Roman"/>
                <w:noProof/>
                <w:sz w:val="20"/>
                <w:szCs w:val="20"/>
              </w:rPr>
            </w:pPr>
            <w:r w:rsidRPr="00674CB9">
              <w:rPr>
                <w:rFonts w:ascii="Times New Roman" w:eastAsia="Times New Roman" w:hAnsi="Times New Roman" w:cs="Times New Roman"/>
                <w:noProof/>
                <w:sz w:val="20"/>
                <w:szCs w:val="20"/>
                <w:lang w:eastAsia="lv-LV"/>
              </w:rPr>
              <w:lastRenderedPageBreak/>
              <w:t xml:space="preserve">   Procentu izdevumi</w:t>
            </w:r>
            <w:r w:rsidRPr="00674CB9">
              <w:rPr>
                <w:rFonts w:ascii="Times New Roman" w:eastAsia="Times New Roman" w:hAnsi="Times New Roman" w:cs="Times New Roman"/>
                <w:noProof/>
                <w:sz w:val="20"/>
                <w:szCs w:val="20"/>
                <w:lang w:eastAsia="lv-LV"/>
              </w:rPr>
              <w:br/>
              <w:t xml:space="preserve">   (% likmes samaz. par 1 pp)</w:t>
            </w:r>
          </w:p>
        </w:tc>
        <w:tc>
          <w:tcPr>
            <w:tcW w:w="771" w:type="dxa"/>
            <w:tcBorders>
              <w:bottom w:val="double" w:sz="4" w:space="0" w:color="auto"/>
            </w:tcBorders>
            <w:shd w:val="clear" w:color="auto" w:fill="auto"/>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275,7</w:t>
            </w:r>
          </w:p>
        </w:tc>
        <w:tc>
          <w:tcPr>
            <w:tcW w:w="771" w:type="dxa"/>
            <w:tcBorders>
              <w:bottom w:val="double" w:sz="4" w:space="0" w:color="auto"/>
            </w:tcBorders>
            <w:shd w:val="clear" w:color="auto" w:fill="auto"/>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224,4</w:t>
            </w:r>
          </w:p>
        </w:tc>
        <w:tc>
          <w:tcPr>
            <w:tcW w:w="772" w:type="dxa"/>
            <w:tcBorders>
              <w:bottom w:val="double" w:sz="4" w:space="0" w:color="auto"/>
            </w:tcBorders>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247,8</w:t>
            </w:r>
          </w:p>
        </w:tc>
        <w:tc>
          <w:tcPr>
            <w:tcW w:w="772" w:type="dxa"/>
            <w:tcBorders>
              <w:bottom w:val="double" w:sz="4" w:space="0" w:color="auto"/>
            </w:tcBorders>
            <w:shd w:val="clear" w:color="auto" w:fill="auto"/>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242,9</w:t>
            </w:r>
          </w:p>
        </w:tc>
        <w:tc>
          <w:tcPr>
            <w:tcW w:w="772" w:type="dxa"/>
            <w:tcBorders>
              <w:bottom w:val="double" w:sz="4" w:space="0" w:color="auto"/>
            </w:tcBorders>
            <w:shd w:val="clear" w:color="auto" w:fill="auto"/>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0,0</w:t>
            </w:r>
          </w:p>
        </w:tc>
        <w:tc>
          <w:tcPr>
            <w:tcW w:w="772" w:type="dxa"/>
            <w:tcBorders>
              <w:bottom w:val="double" w:sz="4" w:space="0" w:color="auto"/>
            </w:tcBorders>
            <w:shd w:val="clear" w:color="auto" w:fill="auto"/>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0,0</w:t>
            </w:r>
          </w:p>
        </w:tc>
        <w:tc>
          <w:tcPr>
            <w:tcW w:w="772" w:type="dxa"/>
            <w:tcBorders>
              <w:bottom w:val="double" w:sz="4" w:space="0" w:color="auto"/>
            </w:tcBorders>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-7,7</w:t>
            </w:r>
          </w:p>
        </w:tc>
        <w:tc>
          <w:tcPr>
            <w:tcW w:w="772" w:type="dxa"/>
            <w:tcBorders>
              <w:bottom w:val="double" w:sz="4" w:space="0" w:color="auto"/>
              <w:right w:val="single" w:sz="4" w:space="0" w:color="auto"/>
            </w:tcBorders>
            <w:shd w:val="clear" w:color="auto" w:fill="auto"/>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-32,8</w:t>
            </w:r>
          </w:p>
        </w:tc>
      </w:tr>
      <w:tr w:rsidR="00674CB9" w:rsidRPr="00674CB9" w:rsidTr="00674CB9">
        <w:trPr>
          <w:trHeight w:val="495"/>
          <w:jc w:val="center"/>
        </w:trPr>
        <w:tc>
          <w:tcPr>
            <w:tcW w:w="2752" w:type="dxa"/>
            <w:tcBorders>
              <w:top w:val="double" w:sz="4" w:space="0" w:color="auto"/>
            </w:tcBorders>
            <w:shd w:val="clear" w:color="auto" w:fill="auto"/>
            <w:vAlign w:val="center"/>
          </w:tcPr>
          <w:p w:rsidR="00674CB9" w:rsidRPr="00674CB9" w:rsidRDefault="00674CB9" w:rsidP="00674CB9">
            <w:pPr>
              <w:spacing w:after="0" w:line="240" w:lineRule="auto"/>
              <w:rPr>
                <w:rFonts w:ascii="Times New Roman" w:eastAsia="Times New Roman" w:hAnsi="Times New Roman" w:cs="Times New Roman"/>
                <w:noProof/>
                <w:sz w:val="20"/>
                <w:szCs w:val="20"/>
                <w:lang w:eastAsia="lv-LV"/>
              </w:rPr>
            </w:pPr>
            <w:r w:rsidRPr="00674CB9">
              <w:rPr>
                <w:rFonts w:ascii="Times New Roman" w:eastAsia="Times New Roman" w:hAnsi="Times New Roman" w:cs="Times New Roman"/>
                <w:noProof/>
                <w:sz w:val="20"/>
                <w:szCs w:val="20"/>
                <w:lang w:eastAsia="lv-LV"/>
              </w:rPr>
              <w:t xml:space="preserve">Vispārējās valdības parāds, izmaiņas % </w:t>
            </w:r>
          </w:p>
        </w:tc>
        <w:tc>
          <w:tcPr>
            <w:tcW w:w="771" w:type="dxa"/>
            <w:tcBorders>
              <w:top w:val="double" w:sz="4" w:space="0" w:color="auto"/>
            </w:tcBorders>
            <w:shd w:val="clear" w:color="auto" w:fill="auto"/>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w:t>
            </w:r>
          </w:p>
        </w:tc>
        <w:tc>
          <w:tcPr>
            <w:tcW w:w="771" w:type="dxa"/>
            <w:tcBorders>
              <w:top w:val="double" w:sz="4" w:space="0" w:color="auto"/>
            </w:tcBorders>
            <w:shd w:val="clear" w:color="auto" w:fill="auto"/>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w:t>
            </w:r>
          </w:p>
        </w:tc>
        <w:tc>
          <w:tcPr>
            <w:tcW w:w="772" w:type="dxa"/>
            <w:tcBorders>
              <w:top w:val="double" w:sz="4" w:space="0" w:color="auto"/>
            </w:tcBorders>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w:t>
            </w:r>
          </w:p>
        </w:tc>
        <w:tc>
          <w:tcPr>
            <w:tcW w:w="772" w:type="dxa"/>
            <w:tcBorders>
              <w:top w:val="double" w:sz="4" w:space="0" w:color="auto"/>
            </w:tcBorders>
            <w:shd w:val="clear" w:color="auto" w:fill="auto"/>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w:t>
            </w:r>
          </w:p>
        </w:tc>
        <w:tc>
          <w:tcPr>
            <w:tcW w:w="772" w:type="dxa"/>
            <w:tcBorders>
              <w:top w:val="double" w:sz="4" w:space="0" w:color="auto"/>
            </w:tcBorders>
            <w:shd w:val="clear" w:color="auto" w:fill="auto"/>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0,0</w:t>
            </w:r>
          </w:p>
        </w:tc>
        <w:tc>
          <w:tcPr>
            <w:tcW w:w="772" w:type="dxa"/>
            <w:tcBorders>
              <w:top w:val="double" w:sz="4" w:space="0" w:color="auto"/>
            </w:tcBorders>
            <w:shd w:val="clear" w:color="auto" w:fill="auto"/>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-0,8</w:t>
            </w:r>
          </w:p>
        </w:tc>
        <w:tc>
          <w:tcPr>
            <w:tcW w:w="772" w:type="dxa"/>
            <w:tcBorders>
              <w:top w:val="double" w:sz="4" w:space="0" w:color="auto"/>
            </w:tcBorders>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-2,2</w:t>
            </w:r>
          </w:p>
        </w:tc>
        <w:tc>
          <w:tcPr>
            <w:tcW w:w="772" w:type="dxa"/>
            <w:tcBorders>
              <w:top w:val="double" w:sz="4" w:space="0" w:color="auto"/>
            </w:tcBorders>
            <w:shd w:val="clear" w:color="auto" w:fill="auto"/>
            <w:tcMar>
              <w:left w:w="57" w:type="dxa"/>
              <w:right w:w="57" w:type="dxa"/>
            </w:tcMar>
            <w:vAlign w:val="center"/>
          </w:tcPr>
          <w:p w:rsidR="00674CB9" w:rsidRPr="00674CB9" w:rsidRDefault="00674CB9" w:rsidP="00674CB9">
            <w:pPr>
              <w:spacing w:after="0" w:line="240" w:lineRule="auto"/>
              <w:jc w:val="right"/>
              <w:rPr>
                <w:rFonts w:ascii="Times New Roman" w:eastAsia="Times New Roman" w:hAnsi="Times New Roman" w:cs="Times New Roman"/>
                <w:sz w:val="20"/>
                <w:szCs w:val="20"/>
                <w:lang w:eastAsia="lv-LV"/>
              </w:rPr>
            </w:pPr>
            <w:r w:rsidRPr="00674CB9">
              <w:rPr>
                <w:rFonts w:ascii="Times New Roman" w:eastAsia="Times New Roman" w:hAnsi="Times New Roman" w:cs="Times New Roman"/>
                <w:sz w:val="20"/>
                <w:szCs w:val="20"/>
                <w:lang w:eastAsia="lv-LV"/>
              </w:rPr>
              <w:t>-4,0</w:t>
            </w:r>
          </w:p>
        </w:tc>
      </w:tr>
    </w:tbl>
    <w:p w:rsidR="00674CB9" w:rsidRDefault="00674CB9" w:rsidP="00674CB9">
      <w:pPr>
        <w:pStyle w:val="Default"/>
        <w:spacing w:before="0"/>
        <w:ind w:left="0" w:firstLine="709"/>
        <w:rPr>
          <w:noProof/>
        </w:rPr>
      </w:pPr>
    </w:p>
    <w:p w:rsidR="00674CB9" w:rsidRPr="00F334FA" w:rsidRDefault="00674CB9" w:rsidP="00674CB9">
      <w:pPr>
        <w:pStyle w:val="Default"/>
        <w:spacing w:before="0"/>
        <w:ind w:left="0" w:firstLine="709"/>
        <w:rPr>
          <w:noProof/>
        </w:rPr>
      </w:pPr>
      <w:r w:rsidRPr="00F334FA">
        <w:rPr>
          <w:noProof/>
        </w:rPr>
        <w:t xml:space="preserve">Pie šāda scenārija, pieaugot nodokļu ieņēmumiem, uzlabotos valsts budžeta finansiālā bilance, kā rezultātā samazinātos kopējā finansēšanas nepieciešamība un attiecīgi arī aizņemšanās apjoms attiecīgajā periodā, salīdzinot ar bāzes scenāriju. Mazāks aizņemšanās apjoms izraisītu ietaupījumu procentu izdevumos. Optimistiskā scenārija gadījumā procentu izdevumi 2019. gadā nemainītos, jo aizņemšanos neietekmētu, 2020. gadā izdevumi būtu par 3,1 milj. </w:t>
      </w:r>
      <w:r w:rsidRPr="00F70F86">
        <w:rPr>
          <w:i/>
          <w:noProof/>
        </w:rPr>
        <w:t>euro</w:t>
      </w:r>
      <w:r w:rsidRPr="00F334FA">
        <w:rPr>
          <w:noProof/>
        </w:rPr>
        <w:t xml:space="preserve"> un 2021.gadā par 9,1 milj. </w:t>
      </w:r>
      <w:r w:rsidRPr="00F70F86">
        <w:rPr>
          <w:i/>
          <w:noProof/>
        </w:rPr>
        <w:t xml:space="preserve">euro </w:t>
      </w:r>
      <w:r w:rsidRPr="00F334FA">
        <w:rPr>
          <w:noProof/>
        </w:rPr>
        <w:t>mazāki nekā bāzes scenārijā.</w:t>
      </w:r>
    </w:p>
    <w:p w:rsidR="00674CB9" w:rsidRPr="00F334FA" w:rsidRDefault="00674CB9" w:rsidP="00674CB9">
      <w:pPr>
        <w:pStyle w:val="Default"/>
        <w:spacing w:before="0"/>
        <w:ind w:left="0" w:firstLine="709"/>
        <w:rPr>
          <w:noProof/>
        </w:rPr>
      </w:pPr>
      <w:r w:rsidRPr="00F334FA">
        <w:rPr>
          <w:noProof/>
        </w:rPr>
        <w:t>Vispārējās valdības budžeta bilance optimistiskajā scenārijā uzlabotos attiecīgi par 0,4% no IKP 2019.gadā, par 0,6% no IKP 2020.ga</w:t>
      </w:r>
      <w:r>
        <w:rPr>
          <w:noProof/>
        </w:rPr>
        <w:t>dā un par 0,7% no IKP 2021.gadā, tādējādi jau sākot ar 2020.gadu, vispārējās valdības budžetā veidotos pārpalikums.</w:t>
      </w:r>
    </w:p>
    <w:p w:rsidR="00674CB9" w:rsidRDefault="00674CB9" w:rsidP="00674CB9">
      <w:pPr>
        <w:pStyle w:val="Default"/>
        <w:spacing w:before="0"/>
        <w:ind w:left="0" w:firstLine="709"/>
        <w:rPr>
          <w:noProof/>
        </w:rPr>
      </w:pPr>
      <w:r w:rsidRPr="00F334FA">
        <w:rPr>
          <w:noProof/>
        </w:rPr>
        <w:t xml:space="preserve">Papildus aplūkojam scenārijus, kuros aizņemšanās procentu likmes parāda pārfinansēšanai nosvārstās viena procentpukta robežās, par vienu procentpuktu palielinoties un šādā apmērā samazinoties. Procentu likmēm par vienu procentpuktu palielinoties, vienlaikus mainoties budžeta bilancei, ņemot vērā scenārijā minētās izmaiņas,  izdevumi 2019. gadā nemainītos, jo aizņemšanos neietekmētu, 2020. gadā izdevumi būtu par 1,5 milj. </w:t>
      </w:r>
      <w:r w:rsidRPr="00F70F86">
        <w:rPr>
          <w:i/>
          <w:noProof/>
        </w:rPr>
        <w:t>euro</w:t>
      </w:r>
      <w:r w:rsidRPr="00F334FA">
        <w:rPr>
          <w:noProof/>
        </w:rPr>
        <w:t xml:space="preserve"> lielāki, bet 2021. gadā par 14,4 milj. </w:t>
      </w:r>
      <w:r w:rsidRPr="00F70F86">
        <w:rPr>
          <w:i/>
          <w:noProof/>
        </w:rPr>
        <w:t>euro</w:t>
      </w:r>
      <w:r w:rsidRPr="00F334FA">
        <w:rPr>
          <w:noProof/>
        </w:rPr>
        <w:t xml:space="preserve"> lielāki nekā bāzes scenārijā. Savukārt procentu likmēm par vienu procentpuktu samazinoties izdevumi 2019. gadā nemainītos, jo aizņemšanos neietekmētu, 2020. gadā izdevumi būtu par 7,7 milj. </w:t>
      </w:r>
      <w:r w:rsidRPr="00F70F86">
        <w:rPr>
          <w:i/>
          <w:noProof/>
        </w:rPr>
        <w:t>euro</w:t>
      </w:r>
      <w:r w:rsidRPr="00F334FA">
        <w:rPr>
          <w:noProof/>
        </w:rPr>
        <w:t xml:space="preserve"> un 2021. gadā par 32,8 milj. </w:t>
      </w:r>
      <w:r w:rsidRPr="00F70F86">
        <w:rPr>
          <w:i/>
          <w:noProof/>
        </w:rPr>
        <w:t>euro</w:t>
      </w:r>
      <w:r w:rsidRPr="00F334FA">
        <w:rPr>
          <w:noProof/>
        </w:rPr>
        <w:t xml:space="preserve"> mazāki nekā bāzes scenārijā</w:t>
      </w:r>
      <w:r>
        <w:rPr>
          <w:noProof/>
        </w:rPr>
        <w:t>.</w:t>
      </w:r>
    </w:p>
    <w:p w:rsidR="00674CB9" w:rsidRDefault="00674CB9" w:rsidP="00674CB9">
      <w:pPr>
        <w:pStyle w:val="Default"/>
        <w:spacing w:before="0"/>
        <w:ind w:left="0" w:firstLine="709"/>
        <w:rPr>
          <w:noProof/>
        </w:rPr>
      </w:pPr>
    </w:p>
    <w:p w:rsidR="00674CB9" w:rsidRPr="00674CB9" w:rsidRDefault="00674CB9" w:rsidP="00674CB9">
      <w:pPr>
        <w:pStyle w:val="Heading3"/>
        <w:jc w:val="center"/>
        <w:rPr>
          <w:rFonts w:ascii="Times New Roman" w:hAnsi="Times New Roman" w:cs="Times New Roman"/>
          <w:b/>
          <w:noProof/>
          <w:color w:val="auto"/>
          <w:sz w:val="32"/>
          <w:szCs w:val="32"/>
        </w:rPr>
      </w:pPr>
      <w:r w:rsidRPr="00674CB9">
        <w:rPr>
          <w:rFonts w:ascii="Times New Roman" w:hAnsi="Times New Roman" w:cs="Times New Roman"/>
          <w:b/>
          <w:noProof/>
          <w:color w:val="auto"/>
          <w:sz w:val="32"/>
          <w:szCs w:val="32"/>
        </w:rPr>
        <w:t>1.5.2. Pesimistiskais scenārijs</w:t>
      </w:r>
    </w:p>
    <w:p w:rsidR="00674CB9" w:rsidRPr="00674CB9" w:rsidRDefault="00674CB9" w:rsidP="00674CB9">
      <w:pPr>
        <w:spacing w:after="120" w:line="240" w:lineRule="auto"/>
        <w:ind w:firstLine="709"/>
        <w:jc w:val="both"/>
        <w:rPr>
          <w:rFonts w:ascii="Times New Roman" w:hAnsi="Times New Roman" w:cs="Times New Roman"/>
          <w:sz w:val="24"/>
          <w:szCs w:val="24"/>
        </w:rPr>
      </w:pPr>
    </w:p>
    <w:p w:rsidR="00674CB9" w:rsidRPr="00674CB9" w:rsidRDefault="00674CB9" w:rsidP="00674CB9">
      <w:pPr>
        <w:pStyle w:val="Default"/>
        <w:spacing w:before="0"/>
        <w:ind w:left="0" w:firstLine="709"/>
        <w:rPr>
          <w:color w:val="auto"/>
        </w:rPr>
      </w:pPr>
      <w:r w:rsidRPr="00674CB9">
        <w:rPr>
          <w:color w:val="auto"/>
        </w:rPr>
        <w:t xml:space="preserve">Pesimistiskais scenārijs paredz pesimistiskākus pieņēmumus par ārējās ekonomiskās vides attīstību un lēnāku ES fondu apguves tempu. 2018.gads </w:t>
      </w:r>
      <w:r w:rsidR="00ED1667">
        <w:rPr>
          <w:color w:val="auto"/>
        </w:rPr>
        <w:t xml:space="preserve">Latvijas ekonomikai </w:t>
      </w:r>
      <w:r w:rsidRPr="00674CB9">
        <w:rPr>
          <w:color w:val="auto"/>
        </w:rPr>
        <w:t>bija</w:t>
      </w:r>
      <w:r w:rsidR="00ED1667">
        <w:rPr>
          <w:color w:val="auto"/>
        </w:rPr>
        <w:t xml:space="preserve"> ļoti</w:t>
      </w:r>
      <w:r w:rsidRPr="00674CB9">
        <w:rPr>
          <w:color w:val="auto"/>
        </w:rPr>
        <w:t xml:space="preserve"> labs, </w:t>
      </w:r>
      <w:r w:rsidR="008C2F8C">
        <w:rPr>
          <w:color w:val="auto"/>
        </w:rPr>
        <w:t>sasniedzot ļoti augstu</w:t>
      </w:r>
      <w:r w:rsidRPr="00674CB9">
        <w:rPr>
          <w:color w:val="auto"/>
        </w:rPr>
        <w:t xml:space="preserve"> ES fondu apguves</w:t>
      </w:r>
      <w:r w:rsidR="008C2F8C">
        <w:rPr>
          <w:color w:val="auto"/>
        </w:rPr>
        <w:t xml:space="preserve"> līmeni, t</w:t>
      </w:r>
      <w:r w:rsidRPr="00674CB9">
        <w:rPr>
          <w:color w:val="auto"/>
        </w:rPr>
        <w:t>āpēc scenārijs paredz, ka, sākot no 2019.gada līdz 2021.gadam, fondu apguve vairs nestimulēs investīciju pieaugumu. Arī būvniecības nozares infrastruktūra un darbaspēka resursi var izrādīties nepietiekami, tādējādi kavējot investīcijas un straujāku ekonomisko attīstību. Turklāt investīcijas varētu bremzēt arī ārējie ekonomiskie un politiskie notikumi. Investīcijas negatīvi varētu ietekmēt arī nelabvēlīgs investoru noskaņojums saistībā ar reformām nerezidentu banku sektorā. Investīciju pieaugums varētu būt lēnāks vidēji par 1 procentpunktu.</w:t>
      </w:r>
    </w:p>
    <w:p w:rsidR="00674CB9" w:rsidRPr="00674CB9" w:rsidRDefault="00674CB9" w:rsidP="00674CB9">
      <w:pPr>
        <w:pStyle w:val="Default"/>
        <w:spacing w:before="0"/>
        <w:ind w:left="0" w:firstLine="709"/>
        <w:rPr>
          <w:color w:val="auto"/>
        </w:rPr>
      </w:pPr>
      <w:r w:rsidRPr="00674CB9">
        <w:rPr>
          <w:color w:val="auto"/>
        </w:rPr>
        <w:t xml:space="preserve">Pesimistiskais scenārijs paredz, ka var mazināties Latvijas eksportspēja, ņemot vērā pieaugušo ārējās tirdzniecības protekcionismu, eksporta </w:t>
      </w:r>
      <w:r w:rsidR="008C2F8C">
        <w:rPr>
          <w:color w:val="auto"/>
        </w:rPr>
        <w:t>kāpumam</w:t>
      </w:r>
      <w:r w:rsidRPr="00674CB9">
        <w:rPr>
          <w:color w:val="auto"/>
        </w:rPr>
        <w:t xml:space="preserve"> samazinoties par vidēji 1,2 procentpunktiem. To ietekmētu nelabvēlīgs </w:t>
      </w:r>
      <w:proofErr w:type="spellStart"/>
      <w:r w:rsidRPr="00674CB9">
        <w:rPr>
          <w:i/>
          <w:color w:val="auto"/>
        </w:rPr>
        <w:t>euro</w:t>
      </w:r>
      <w:proofErr w:type="spellEnd"/>
      <w:r w:rsidRPr="00674CB9">
        <w:rPr>
          <w:color w:val="auto"/>
        </w:rPr>
        <w:t xml:space="preserve"> kurss, </w:t>
      </w:r>
      <w:proofErr w:type="spellStart"/>
      <w:r w:rsidRPr="00674CB9">
        <w:rPr>
          <w:i/>
          <w:color w:val="auto"/>
        </w:rPr>
        <w:t>euro</w:t>
      </w:r>
      <w:proofErr w:type="spellEnd"/>
      <w:r w:rsidR="008C2F8C">
        <w:rPr>
          <w:color w:val="auto"/>
        </w:rPr>
        <w:t xml:space="preserve"> vērtības pieaugumam mazinot</w:t>
      </w:r>
      <w:r w:rsidRPr="00674CB9">
        <w:rPr>
          <w:color w:val="auto"/>
        </w:rPr>
        <w:t xml:space="preserve"> pieprasījumu pēc Latvijas eksporta. Eksporta apjomu mazinās arī straujāka Krievijas kravu novirzīšana no Latvijas ostām uz Krievijas Baltijas jūras </w:t>
      </w:r>
      <w:proofErr w:type="spellStart"/>
      <w:r w:rsidRPr="00674CB9">
        <w:rPr>
          <w:color w:val="auto"/>
        </w:rPr>
        <w:t>austrumkrasta</w:t>
      </w:r>
      <w:proofErr w:type="spellEnd"/>
      <w:r w:rsidRPr="00674CB9">
        <w:rPr>
          <w:color w:val="auto"/>
        </w:rPr>
        <w:t xml:space="preserve"> ostām.</w:t>
      </w:r>
    </w:p>
    <w:p w:rsidR="00674CB9" w:rsidRPr="00674CB9" w:rsidRDefault="00674CB9" w:rsidP="00674CB9">
      <w:pPr>
        <w:spacing w:after="120" w:line="240" w:lineRule="auto"/>
        <w:ind w:firstLine="709"/>
        <w:jc w:val="both"/>
        <w:rPr>
          <w:rFonts w:ascii="Times New Roman" w:hAnsi="Times New Roman" w:cs="Times New Roman"/>
          <w:sz w:val="24"/>
          <w:szCs w:val="24"/>
          <w:lang w:eastAsia="lv-LV"/>
        </w:rPr>
      </w:pPr>
      <w:r w:rsidRPr="00674CB9">
        <w:rPr>
          <w:rFonts w:ascii="Times New Roman" w:hAnsi="Times New Roman" w:cs="Times New Roman"/>
          <w:sz w:val="24"/>
          <w:szCs w:val="24"/>
          <w:lang w:eastAsia="lv-LV"/>
        </w:rPr>
        <w:t xml:space="preserve">Atbilstoši pesimistiskajam scenārijam, bremzējoties ekonomiskajai izaugsmei un mazinoties ienākumiem no eksporta salīdzinājumā ar pamata scenāriju, arī nodarbināto darba samaksas pieaugums būtu par aptuveni 0,5 procentpunktu mazāks. Tomēr, ņemot vērā darbaspēka trūkumu atsevišķos sektoros, darba algas samazinājums varētu būt īslaicīgs, tikai 2019. un 2020. gados. Turklāt arī nodarbināto skaita pieaugums varētu kļūt negatīvs. Līdz ar to </w:t>
      </w:r>
      <w:r w:rsidRPr="00674CB9">
        <w:rPr>
          <w:rFonts w:ascii="Times New Roman" w:hAnsi="Times New Roman" w:cs="Times New Roman"/>
          <w:sz w:val="24"/>
          <w:szCs w:val="24"/>
          <w:lang w:eastAsia="lv-LV"/>
        </w:rPr>
        <w:lastRenderedPageBreak/>
        <w:t>arī privātā patēriņa pieaugums visā prognožu periodā būtu vidēji par 0,9 procentpunktiem lēnāks nekā paredzēts pamata scenārijā.</w:t>
      </w:r>
    </w:p>
    <w:p w:rsidR="00674CB9" w:rsidRPr="00674CB9" w:rsidRDefault="00674CB9" w:rsidP="00674CB9">
      <w:pPr>
        <w:spacing w:after="120" w:line="240" w:lineRule="auto"/>
        <w:ind w:firstLine="709"/>
        <w:jc w:val="both"/>
        <w:rPr>
          <w:rFonts w:ascii="Times New Roman" w:hAnsi="Times New Roman" w:cs="Times New Roman"/>
          <w:sz w:val="24"/>
          <w:szCs w:val="24"/>
        </w:rPr>
      </w:pPr>
      <w:r w:rsidRPr="00674CB9">
        <w:rPr>
          <w:rFonts w:ascii="Times New Roman" w:hAnsi="Times New Roman" w:cs="Times New Roman"/>
          <w:sz w:val="24"/>
          <w:szCs w:val="24"/>
        </w:rPr>
        <w:t>Tādējādi jau 2019.gada vidū IKP izaugsme sāktu bremzēties un izaugsme prognožu periodā būtu par 0,2 – 0,9 procentpunktiem zemāka nekā bāzes scenārijā.</w:t>
      </w:r>
    </w:p>
    <w:p w:rsidR="00674CB9" w:rsidRPr="00674CB9" w:rsidRDefault="00674CB9" w:rsidP="00674CB9">
      <w:pPr>
        <w:spacing w:after="120" w:line="240" w:lineRule="auto"/>
        <w:ind w:firstLine="709"/>
        <w:jc w:val="both"/>
        <w:rPr>
          <w:rFonts w:ascii="Times New Roman" w:hAnsi="Times New Roman" w:cs="Times New Roman"/>
          <w:sz w:val="24"/>
          <w:szCs w:val="24"/>
        </w:rPr>
      </w:pPr>
    </w:p>
    <w:p w:rsidR="00674CB9" w:rsidRPr="00674CB9" w:rsidRDefault="00674CB9" w:rsidP="00674CB9">
      <w:pPr>
        <w:ind w:firstLine="709"/>
        <w:jc w:val="center"/>
        <w:rPr>
          <w:rFonts w:ascii="Times New Roman" w:hAnsi="Times New Roman" w:cs="Times New Roman"/>
          <w:b/>
          <w:i/>
          <w:sz w:val="24"/>
          <w:szCs w:val="24"/>
        </w:rPr>
      </w:pPr>
      <w:r w:rsidRPr="00674CB9">
        <w:rPr>
          <w:rFonts w:ascii="Times New Roman" w:hAnsi="Times New Roman" w:cs="Times New Roman"/>
          <w:b/>
          <w:i/>
          <w:sz w:val="24"/>
          <w:szCs w:val="24"/>
        </w:rPr>
        <w:t>1.6.tabula. Pesimistiskais makroekonomisko rādītāju attīstības scenārijs</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1"/>
        <w:gridCol w:w="708"/>
        <w:gridCol w:w="709"/>
        <w:gridCol w:w="709"/>
        <w:gridCol w:w="709"/>
        <w:gridCol w:w="637"/>
        <w:gridCol w:w="638"/>
        <w:gridCol w:w="638"/>
        <w:gridCol w:w="638"/>
      </w:tblGrid>
      <w:tr w:rsidR="00674CB9" w:rsidRPr="00674CB9" w:rsidTr="00674CB9">
        <w:trPr>
          <w:cantSplit/>
          <w:trHeight w:val="315"/>
          <w:tblHeader/>
          <w:jc w:val="center"/>
        </w:trPr>
        <w:tc>
          <w:tcPr>
            <w:tcW w:w="3251" w:type="dxa"/>
            <w:shd w:val="clear" w:color="auto" w:fill="auto"/>
            <w:vAlign w:val="center"/>
            <w:hideMark/>
          </w:tcPr>
          <w:p w:rsidR="00674CB9" w:rsidRPr="00674CB9" w:rsidRDefault="00674CB9" w:rsidP="00674CB9">
            <w:pPr>
              <w:spacing w:after="0" w:line="240" w:lineRule="auto"/>
              <w:rPr>
                <w:rFonts w:ascii="Times New Roman" w:eastAsia="Times New Roman" w:hAnsi="Times New Roman" w:cs="Times New Roman"/>
                <w:sz w:val="20"/>
                <w:szCs w:val="20"/>
                <w:lang w:eastAsia="lv-LV"/>
              </w:rPr>
            </w:pPr>
          </w:p>
        </w:tc>
        <w:tc>
          <w:tcPr>
            <w:tcW w:w="2835" w:type="dxa"/>
            <w:gridSpan w:val="4"/>
            <w:vAlign w:val="center"/>
          </w:tcPr>
          <w:p w:rsidR="00674CB9" w:rsidRPr="00674CB9" w:rsidRDefault="00674CB9" w:rsidP="00674CB9">
            <w:pPr>
              <w:spacing w:after="0" w:line="240" w:lineRule="auto"/>
              <w:jc w:val="center"/>
              <w:rPr>
                <w:rFonts w:ascii="Times New Roman" w:eastAsia="Times New Roman" w:hAnsi="Times New Roman" w:cs="Times New Roman"/>
                <w:b/>
                <w:sz w:val="20"/>
                <w:szCs w:val="20"/>
                <w:lang w:eastAsia="lv-LV"/>
              </w:rPr>
            </w:pPr>
            <w:r w:rsidRPr="00674CB9">
              <w:rPr>
                <w:rFonts w:ascii="Times New Roman" w:eastAsia="Times New Roman" w:hAnsi="Times New Roman" w:cs="Times New Roman"/>
                <w:b/>
                <w:sz w:val="20"/>
                <w:szCs w:val="20"/>
                <w:lang w:eastAsia="lv-LV"/>
              </w:rPr>
              <w:t>Pesimistiskais scenārijs</w:t>
            </w:r>
          </w:p>
        </w:tc>
        <w:tc>
          <w:tcPr>
            <w:tcW w:w="2551" w:type="dxa"/>
            <w:gridSpan w:val="4"/>
            <w:vAlign w:val="center"/>
          </w:tcPr>
          <w:p w:rsidR="00674CB9" w:rsidRPr="00674CB9" w:rsidRDefault="00674CB9" w:rsidP="00674CB9">
            <w:pPr>
              <w:spacing w:after="0" w:line="240" w:lineRule="auto"/>
              <w:jc w:val="center"/>
              <w:rPr>
                <w:rFonts w:ascii="Times New Roman" w:eastAsia="Times New Roman" w:hAnsi="Times New Roman" w:cs="Times New Roman"/>
                <w:b/>
                <w:sz w:val="20"/>
                <w:szCs w:val="20"/>
                <w:lang w:eastAsia="lv-LV"/>
              </w:rPr>
            </w:pPr>
            <w:r w:rsidRPr="00674CB9">
              <w:rPr>
                <w:rFonts w:ascii="Times New Roman" w:eastAsia="Times New Roman" w:hAnsi="Times New Roman" w:cs="Times New Roman"/>
                <w:b/>
                <w:sz w:val="20"/>
                <w:szCs w:val="20"/>
                <w:lang w:eastAsia="lv-LV"/>
              </w:rPr>
              <w:t>Novirze no bāzes scenārija</w:t>
            </w:r>
          </w:p>
        </w:tc>
      </w:tr>
      <w:tr w:rsidR="00674CB9" w:rsidRPr="00674CB9" w:rsidTr="00674CB9">
        <w:trPr>
          <w:trHeight w:val="191"/>
          <w:jc w:val="center"/>
        </w:trPr>
        <w:tc>
          <w:tcPr>
            <w:tcW w:w="3251" w:type="dxa"/>
            <w:shd w:val="clear" w:color="auto" w:fill="auto"/>
            <w:vAlign w:val="center"/>
            <w:hideMark/>
          </w:tcPr>
          <w:p w:rsidR="00674CB9" w:rsidRPr="00674CB9" w:rsidRDefault="00674CB9" w:rsidP="00674CB9">
            <w:pPr>
              <w:spacing w:after="0" w:line="240" w:lineRule="auto"/>
              <w:rPr>
                <w:rFonts w:ascii="Times New Roman" w:eastAsia="Times New Roman" w:hAnsi="Times New Roman" w:cs="Times New Roman"/>
                <w:sz w:val="20"/>
                <w:szCs w:val="20"/>
                <w:lang w:eastAsia="lv-LV"/>
              </w:rPr>
            </w:pPr>
          </w:p>
        </w:tc>
        <w:tc>
          <w:tcPr>
            <w:tcW w:w="708" w:type="dxa"/>
            <w:shd w:val="clear" w:color="auto" w:fill="auto"/>
            <w:tcMar>
              <w:left w:w="57" w:type="dxa"/>
              <w:right w:w="57" w:type="dxa"/>
            </w:tcMar>
            <w:vAlign w:val="center"/>
            <w:hideMark/>
          </w:tcPr>
          <w:p w:rsidR="00674CB9" w:rsidRPr="00674CB9" w:rsidRDefault="00674CB9" w:rsidP="00674CB9">
            <w:pPr>
              <w:spacing w:after="0" w:line="240" w:lineRule="auto"/>
              <w:jc w:val="center"/>
              <w:rPr>
                <w:rFonts w:ascii="Times New Roman" w:eastAsia="Times New Roman" w:hAnsi="Times New Roman" w:cs="Times New Roman"/>
                <w:b/>
                <w:sz w:val="20"/>
                <w:szCs w:val="20"/>
                <w:lang w:eastAsia="lv-LV"/>
              </w:rPr>
            </w:pPr>
            <w:r w:rsidRPr="00674CB9">
              <w:rPr>
                <w:rFonts w:ascii="Times New Roman" w:eastAsia="Times New Roman" w:hAnsi="Times New Roman" w:cs="Times New Roman"/>
                <w:b/>
                <w:sz w:val="20"/>
                <w:szCs w:val="20"/>
                <w:lang w:eastAsia="lv-LV"/>
              </w:rPr>
              <w:t>2018</w:t>
            </w:r>
          </w:p>
        </w:tc>
        <w:tc>
          <w:tcPr>
            <w:tcW w:w="709" w:type="dxa"/>
            <w:shd w:val="clear" w:color="auto" w:fill="auto"/>
            <w:tcMar>
              <w:left w:w="57" w:type="dxa"/>
              <w:right w:w="57" w:type="dxa"/>
            </w:tcMar>
            <w:vAlign w:val="center"/>
            <w:hideMark/>
          </w:tcPr>
          <w:p w:rsidR="00674CB9" w:rsidRPr="00674CB9" w:rsidRDefault="00674CB9" w:rsidP="00674CB9">
            <w:pPr>
              <w:spacing w:after="0" w:line="240" w:lineRule="auto"/>
              <w:jc w:val="center"/>
              <w:rPr>
                <w:rFonts w:ascii="Times New Roman" w:eastAsia="Times New Roman" w:hAnsi="Times New Roman" w:cs="Times New Roman"/>
                <w:b/>
                <w:sz w:val="20"/>
                <w:szCs w:val="20"/>
                <w:lang w:eastAsia="lv-LV"/>
              </w:rPr>
            </w:pPr>
            <w:r w:rsidRPr="00674CB9">
              <w:rPr>
                <w:rFonts w:ascii="Times New Roman" w:eastAsia="Times New Roman" w:hAnsi="Times New Roman" w:cs="Times New Roman"/>
                <w:b/>
                <w:sz w:val="20"/>
                <w:szCs w:val="20"/>
                <w:lang w:eastAsia="lv-LV"/>
              </w:rPr>
              <w:t>2019</w:t>
            </w:r>
          </w:p>
        </w:tc>
        <w:tc>
          <w:tcPr>
            <w:tcW w:w="709" w:type="dxa"/>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b/>
                <w:sz w:val="20"/>
                <w:szCs w:val="20"/>
                <w:lang w:eastAsia="lv-LV"/>
              </w:rPr>
            </w:pPr>
            <w:r w:rsidRPr="00674CB9">
              <w:rPr>
                <w:rFonts w:ascii="Times New Roman" w:eastAsia="Times New Roman" w:hAnsi="Times New Roman" w:cs="Times New Roman"/>
                <w:b/>
                <w:sz w:val="20"/>
                <w:szCs w:val="20"/>
                <w:lang w:eastAsia="lv-LV"/>
              </w:rPr>
              <w:t>2020</w:t>
            </w:r>
          </w:p>
        </w:tc>
        <w:tc>
          <w:tcPr>
            <w:tcW w:w="709" w:type="dxa"/>
            <w:shd w:val="clear" w:color="auto" w:fill="auto"/>
            <w:tcMar>
              <w:left w:w="57" w:type="dxa"/>
              <w:right w:w="57" w:type="dxa"/>
            </w:tcMar>
            <w:vAlign w:val="center"/>
            <w:hideMark/>
          </w:tcPr>
          <w:p w:rsidR="00674CB9" w:rsidRPr="00674CB9" w:rsidRDefault="00674CB9" w:rsidP="00674CB9">
            <w:pPr>
              <w:spacing w:after="0" w:line="240" w:lineRule="auto"/>
              <w:jc w:val="center"/>
              <w:rPr>
                <w:rFonts w:ascii="Times New Roman" w:eastAsia="Times New Roman" w:hAnsi="Times New Roman" w:cs="Times New Roman"/>
                <w:b/>
                <w:sz w:val="20"/>
                <w:szCs w:val="20"/>
                <w:lang w:eastAsia="lv-LV"/>
              </w:rPr>
            </w:pPr>
            <w:r w:rsidRPr="00674CB9">
              <w:rPr>
                <w:rFonts w:ascii="Times New Roman" w:eastAsia="Times New Roman" w:hAnsi="Times New Roman" w:cs="Times New Roman"/>
                <w:b/>
                <w:sz w:val="20"/>
                <w:szCs w:val="20"/>
                <w:lang w:eastAsia="lv-LV"/>
              </w:rPr>
              <w:t>2021</w:t>
            </w:r>
          </w:p>
        </w:tc>
        <w:tc>
          <w:tcPr>
            <w:tcW w:w="637" w:type="dxa"/>
            <w:shd w:val="clear" w:color="auto" w:fill="auto"/>
            <w:tcMar>
              <w:left w:w="57" w:type="dxa"/>
              <w:right w:w="57" w:type="dxa"/>
            </w:tcMar>
            <w:vAlign w:val="center"/>
            <w:hideMark/>
          </w:tcPr>
          <w:p w:rsidR="00674CB9" w:rsidRPr="00674CB9" w:rsidRDefault="00674CB9" w:rsidP="00674CB9">
            <w:pPr>
              <w:spacing w:after="0" w:line="240" w:lineRule="auto"/>
              <w:jc w:val="center"/>
              <w:rPr>
                <w:rFonts w:ascii="Times New Roman" w:eastAsia="Times New Roman" w:hAnsi="Times New Roman" w:cs="Times New Roman"/>
                <w:b/>
                <w:sz w:val="20"/>
                <w:szCs w:val="20"/>
                <w:lang w:eastAsia="lv-LV"/>
              </w:rPr>
            </w:pPr>
            <w:r w:rsidRPr="00674CB9">
              <w:rPr>
                <w:rFonts w:ascii="Times New Roman" w:eastAsia="Times New Roman" w:hAnsi="Times New Roman" w:cs="Times New Roman"/>
                <w:b/>
                <w:sz w:val="20"/>
                <w:szCs w:val="20"/>
                <w:lang w:eastAsia="lv-LV"/>
              </w:rPr>
              <w:t>2018</w:t>
            </w:r>
          </w:p>
        </w:tc>
        <w:tc>
          <w:tcPr>
            <w:tcW w:w="638" w:type="dxa"/>
            <w:shd w:val="clear" w:color="auto" w:fill="auto"/>
            <w:tcMar>
              <w:left w:w="57" w:type="dxa"/>
              <w:right w:w="57" w:type="dxa"/>
            </w:tcMar>
            <w:vAlign w:val="center"/>
            <w:hideMark/>
          </w:tcPr>
          <w:p w:rsidR="00674CB9" w:rsidRPr="00674CB9" w:rsidRDefault="00674CB9" w:rsidP="00674CB9">
            <w:pPr>
              <w:spacing w:after="0" w:line="240" w:lineRule="auto"/>
              <w:jc w:val="center"/>
              <w:rPr>
                <w:rFonts w:ascii="Times New Roman" w:eastAsia="Times New Roman" w:hAnsi="Times New Roman" w:cs="Times New Roman"/>
                <w:b/>
                <w:sz w:val="20"/>
                <w:szCs w:val="20"/>
                <w:lang w:eastAsia="lv-LV"/>
              </w:rPr>
            </w:pPr>
            <w:r w:rsidRPr="00674CB9">
              <w:rPr>
                <w:rFonts w:ascii="Times New Roman" w:eastAsia="Times New Roman" w:hAnsi="Times New Roman" w:cs="Times New Roman"/>
                <w:b/>
                <w:sz w:val="20"/>
                <w:szCs w:val="20"/>
                <w:lang w:eastAsia="lv-LV"/>
              </w:rPr>
              <w:t>2019</w:t>
            </w:r>
          </w:p>
        </w:tc>
        <w:tc>
          <w:tcPr>
            <w:tcW w:w="638" w:type="dxa"/>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b/>
                <w:sz w:val="20"/>
                <w:szCs w:val="20"/>
                <w:lang w:eastAsia="lv-LV"/>
              </w:rPr>
            </w:pPr>
            <w:r w:rsidRPr="00674CB9">
              <w:rPr>
                <w:rFonts w:ascii="Times New Roman" w:eastAsia="Times New Roman" w:hAnsi="Times New Roman" w:cs="Times New Roman"/>
                <w:b/>
                <w:sz w:val="20"/>
                <w:szCs w:val="20"/>
                <w:lang w:eastAsia="lv-LV"/>
              </w:rPr>
              <w:t>2020</w:t>
            </w:r>
          </w:p>
        </w:tc>
        <w:tc>
          <w:tcPr>
            <w:tcW w:w="638" w:type="dxa"/>
            <w:shd w:val="clear" w:color="auto" w:fill="auto"/>
            <w:tcMar>
              <w:left w:w="57" w:type="dxa"/>
              <w:right w:w="57" w:type="dxa"/>
            </w:tcMar>
            <w:vAlign w:val="center"/>
            <w:hideMark/>
          </w:tcPr>
          <w:p w:rsidR="00674CB9" w:rsidRPr="00674CB9" w:rsidRDefault="00674CB9" w:rsidP="00674CB9">
            <w:pPr>
              <w:spacing w:after="0" w:line="240" w:lineRule="auto"/>
              <w:jc w:val="center"/>
              <w:rPr>
                <w:rFonts w:ascii="Times New Roman" w:eastAsia="Times New Roman" w:hAnsi="Times New Roman" w:cs="Times New Roman"/>
                <w:b/>
                <w:sz w:val="20"/>
                <w:szCs w:val="20"/>
                <w:lang w:eastAsia="lv-LV"/>
              </w:rPr>
            </w:pPr>
            <w:r w:rsidRPr="00674CB9">
              <w:rPr>
                <w:rFonts w:ascii="Times New Roman" w:eastAsia="Times New Roman" w:hAnsi="Times New Roman" w:cs="Times New Roman"/>
                <w:b/>
                <w:sz w:val="20"/>
                <w:szCs w:val="20"/>
                <w:lang w:eastAsia="lv-LV"/>
              </w:rPr>
              <w:t>2021</w:t>
            </w:r>
          </w:p>
        </w:tc>
      </w:tr>
      <w:tr w:rsidR="00674CB9" w:rsidRPr="00674CB9" w:rsidTr="00674CB9">
        <w:trPr>
          <w:trHeight w:val="315"/>
          <w:jc w:val="center"/>
        </w:trPr>
        <w:tc>
          <w:tcPr>
            <w:tcW w:w="3251" w:type="dxa"/>
            <w:shd w:val="clear" w:color="auto" w:fill="auto"/>
            <w:vAlign w:val="center"/>
            <w:hideMark/>
          </w:tcPr>
          <w:p w:rsidR="00674CB9" w:rsidRPr="00674CB9" w:rsidRDefault="00674CB9" w:rsidP="00674CB9">
            <w:pPr>
              <w:spacing w:after="0" w:line="240" w:lineRule="auto"/>
              <w:rPr>
                <w:rFonts w:ascii="Times New Roman" w:eastAsia="Times New Roman" w:hAnsi="Times New Roman" w:cs="Times New Roman"/>
                <w:noProof/>
                <w:sz w:val="20"/>
                <w:szCs w:val="20"/>
                <w:lang w:eastAsia="lv-LV"/>
              </w:rPr>
            </w:pPr>
            <w:r w:rsidRPr="00674CB9">
              <w:rPr>
                <w:rFonts w:ascii="Times New Roman" w:eastAsia="Times New Roman" w:hAnsi="Times New Roman" w:cs="Times New Roman"/>
                <w:noProof/>
                <w:sz w:val="20"/>
                <w:szCs w:val="20"/>
                <w:lang w:eastAsia="lv-LV"/>
              </w:rPr>
              <w:t xml:space="preserve">Iekšzemes kopprodukts (IKP), </w:t>
            </w:r>
            <w:r w:rsidRPr="00674CB9">
              <w:rPr>
                <w:rFonts w:ascii="Times New Roman" w:eastAsia="Times New Roman" w:hAnsi="Times New Roman" w:cs="Times New Roman"/>
                <w:noProof/>
                <w:sz w:val="20"/>
                <w:szCs w:val="20"/>
                <w:lang w:eastAsia="lv-LV"/>
              </w:rPr>
              <w:br/>
              <w:t>milj. euro</w:t>
            </w:r>
          </w:p>
        </w:tc>
        <w:tc>
          <w:tcPr>
            <w:tcW w:w="708"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29194</w:t>
            </w:r>
          </w:p>
        </w:tc>
        <w:tc>
          <w:tcPr>
            <w:tcW w:w="709"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30666</w:t>
            </w:r>
          </w:p>
        </w:tc>
        <w:tc>
          <w:tcPr>
            <w:tcW w:w="709" w:type="dxa"/>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32139</w:t>
            </w:r>
          </w:p>
        </w:tc>
        <w:tc>
          <w:tcPr>
            <w:tcW w:w="709"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33756</w:t>
            </w:r>
          </w:p>
        </w:tc>
        <w:tc>
          <w:tcPr>
            <w:tcW w:w="637"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0</w:t>
            </w:r>
          </w:p>
        </w:tc>
        <w:tc>
          <w:tcPr>
            <w:tcW w:w="638"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-339</w:t>
            </w:r>
          </w:p>
        </w:tc>
        <w:tc>
          <w:tcPr>
            <w:tcW w:w="638" w:type="dxa"/>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-674</w:t>
            </w:r>
          </w:p>
        </w:tc>
        <w:tc>
          <w:tcPr>
            <w:tcW w:w="638"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-869</w:t>
            </w:r>
          </w:p>
        </w:tc>
      </w:tr>
      <w:tr w:rsidR="00674CB9" w:rsidRPr="00674CB9" w:rsidTr="00674CB9">
        <w:trPr>
          <w:trHeight w:val="215"/>
          <w:jc w:val="center"/>
        </w:trPr>
        <w:tc>
          <w:tcPr>
            <w:tcW w:w="3251" w:type="dxa"/>
            <w:shd w:val="clear" w:color="auto" w:fill="auto"/>
            <w:vAlign w:val="center"/>
            <w:hideMark/>
          </w:tcPr>
          <w:p w:rsidR="00674CB9" w:rsidRPr="00674CB9" w:rsidRDefault="00674CB9" w:rsidP="00674CB9">
            <w:pPr>
              <w:spacing w:after="0" w:line="240" w:lineRule="auto"/>
              <w:ind w:left="164"/>
              <w:rPr>
                <w:rFonts w:ascii="Times New Roman" w:eastAsia="Times New Roman" w:hAnsi="Times New Roman" w:cs="Times New Roman"/>
                <w:noProof/>
                <w:sz w:val="20"/>
                <w:szCs w:val="20"/>
                <w:lang w:eastAsia="lv-LV"/>
              </w:rPr>
            </w:pPr>
            <w:r w:rsidRPr="00674CB9">
              <w:rPr>
                <w:rFonts w:ascii="Times New Roman" w:eastAsia="Times New Roman" w:hAnsi="Times New Roman" w:cs="Times New Roman"/>
                <w:noProof/>
                <w:sz w:val="20"/>
                <w:szCs w:val="20"/>
                <w:lang w:eastAsia="lv-LV"/>
              </w:rPr>
              <w:t>pieaugums faktiskajās cenās,%</w:t>
            </w:r>
          </w:p>
        </w:tc>
        <w:tc>
          <w:tcPr>
            <w:tcW w:w="708"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8,0</w:t>
            </w:r>
          </w:p>
        </w:tc>
        <w:tc>
          <w:tcPr>
            <w:tcW w:w="709"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5,0</w:t>
            </w:r>
          </w:p>
        </w:tc>
        <w:tc>
          <w:tcPr>
            <w:tcW w:w="709" w:type="dxa"/>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4,8</w:t>
            </w:r>
          </w:p>
        </w:tc>
        <w:tc>
          <w:tcPr>
            <w:tcW w:w="709"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5,0</w:t>
            </w:r>
          </w:p>
        </w:tc>
        <w:tc>
          <w:tcPr>
            <w:tcW w:w="637"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0,0</w:t>
            </w:r>
          </w:p>
        </w:tc>
        <w:tc>
          <w:tcPr>
            <w:tcW w:w="638"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-1,2</w:t>
            </w:r>
          </w:p>
        </w:tc>
        <w:tc>
          <w:tcPr>
            <w:tcW w:w="638" w:type="dxa"/>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-1,0</w:t>
            </w:r>
          </w:p>
        </w:tc>
        <w:tc>
          <w:tcPr>
            <w:tcW w:w="638"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-0,5</w:t>
            </w:r>
          </w:p>
        </w:tc>
      </w:tr>
      <w:tr w:rsidR="00674CB9" w:rsidRPr="00674CB9" w:rsidTr="00674CB9">
        <w:trPr>
          <w:trHeight w:val="315"/>
          <w:jc w:val="center"/>
        </w:trPr>
        <w:tc>
          <w:tcPr>
            <w:tcW w:w="3251" w:type="dxa"/>
            <w:shd w:val="clear" w:color="auto" w:fill="auto"/>
            <w:vAlign w:val="center"/>
            <w:hideMark/>
          </w:tcPr>
          <w:p w:rsidR="00674CB9" w:rsidRPr="00674CB9" w:rsidRDefault="00674CB9" w:rsidP="00674CB9">
            <w:pPr>
              <w:spacing w:after="0" w:line="240" w:lineRule="auto"/>
              <w:ind w:left="164"/>
              <w:rPr>
                <w:rFonts w:ascii="Times New Roman" w:eastAsia="Times New Roman" w:hAnsi="Times New Roman" w:cs="Times New Roman"/>
                <w:noProof/>
                <w:sz w:val="20"/>
                <w:szCs w:val="20"/>
                <w:lang w:eastAsia="lv-LV"/>
              </w:rPr>
            </w:pPr>
            <w:r w:rsidRPr="00674CB9">
              <w:rPr>
                <w:rFonts w:ascii="Times New Roman" w:eastAsia="Times New Roman" w:hAnsi="Times New Roman" w:cs="Times New Roman"/>
                <w:noProof/>
                <w:sz w:val="20"/>
                <w:szCs w:val="20"/>
                <w:lang w:eastAsia="lv-LV"/>
              </w:rPr>
              <w:t>pieaugums salīdzināmās cenās,%</w:t>
            </w:r>
          </w:p>
        </w:tc>
        <w:tc>
          <w:tcPr>
            <w:tcW w:w="708"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4,8</w:t>
            </w:r>
          </w:p>
        </w:tc>
        <w:tc>
          <w:tcPr>
            <w:tcW w:w="709"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2,1</w:t>
            </w:r>
          </w:p>
        </w:tc>
        <w:tc>
          <w:tcPr>
            <w:tcW w:w="709" w:type="dxa"/>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2,4</w:t>
            </w:r>
          </w:p>
        </w:tc>
        <w:tc>
          <w:tcPr>
            <w:tcW w:w="709"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2,7</w:t>
            </w:r>
          </w:p>
        </w:tc>
        <w:tc>
          <w:tcPr>
            <w:tcW w:w="637"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0,0</w:t>
            </w:r>
          </w:p>
        </w:tc>
        <w:tc>
          <w:tcPr>
            <w:tcW w:w="638"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-0,9</w:t>
            </w:r>
          </w:p>
        </w:tc>
        <w:tc>
          <w:tcPr>
            <w:tcW w:w="638" w:type="dxa"/>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-0,6</w:t>
            </w:r>
          </w:p>
        </w:tc>
        <w:tc>
          <w:tcPr>
            <w:tcW w:w="638"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-0,2</w:t>
            </w:r>
          </w:p>
        </w:tc>
      </w:tr>
      <w:tr w:rsidR="00674CB9" w:rsidRPr="00674CB9" w:rsidTr="00674CB9">
        <w:trPr>
          <w:trHeight w:val="315"/>
          <w:jc w:val="center"/>
        </w:trPr>
        <w:tc>
          <w:tcPr>
            <w:tcW w:w="3251" w:type="dxa"/>
            <w:shd w:val="clear" w:color="auto" w:fill="auto"/>
            <w:vAlign w:val="center"/>
            <w:hideMark/>
          </w:tcPr>
          <w:p w:rsidR="00674CB9" w:rsidRPr="00674CB9" w:rsidRDefault="00674CB9" w:rsidP="00674CB9">
            <w:pPr>
              <w:spacing w:after="0" w:line="240" w:lineRule="auto"/>
              <w:rPr>
                <w:rFonts w:ascii="Times New Roman" w:eastAsia="Times New Roman" w:hAnsi="Times New Roman" w:cs="Times New Roman"/>
                <w:noProof/>
                <w:sz w:val="20"/>
                <w:szCs w:val="20"/>
                <w:lang w:eastAsia="lv-LV"/>
              </w:rPr>
            </w:pPr>
            <w:r w:rsidRPr="00674CB9">
              <w:rPr>
                <w:rFonts w:ascii="Times New Roman" w:eastAsia="Times New Roman" w:hAnsi="Times New Roman" w:cs="Times New Roman"/>
                <w:noProof/>
                <w:sz w:val="20"/>
                <w:szCs w:val="20"/>
                <w:lang w:eastAsia="lv-LV"/>
              </w:rPr>
              <w:t>PCI (gads pret gadu),%</w:t>
            </w:r>
          </w:p>
        </w:tc>
        <w:tc>
          <w:tcPr>
            <w:tcW w:w="708"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2,5</w:t>
            </w:r>
          </w:p>
        </w:tc>
        <w:tc>
          <w:tcPr>
            <w:tcW w:w="709"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2,4</w:t>
            </w:r>
          </w:p>
        </w:tc>
        <w:tc>
          <w:tcPr>
            <w:tcW w:w="709" w:type="dxa"/>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2,0</w:t>
            </w:r>
          </w:p>
        </w:tc>
        <w:tc>
          <w:tcPr>
            <w:tcW w:w="709"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1,8</w:t>
            </w:r>
          </w:p>
        </w:tc>
        <w:tc>
          <w:tcPr>
            <w:tcW w:w="637"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0,0</w:t>
            </w:r>
          </w:p>
        </w:tc>
        <w:tc>
          <w:tcPr>
            <w:tcW w:w="638"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-0,1</w:t>
            </w:r>
          </w:p>
        </w:tc>
        <w:tc>
          <w:tcPr>
            <w:tcW w:w="638" w:type="dxa"/>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-0,2</w:t>
            </w:r>
          </w:p>
        </w:tc>
        <w:tc>
          <w:tcPr>
            <w:tcW w:w="638"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-0,3</w:t>
            </w:r>
          </w:p>
        </w:tc>
      </w:tr>
      <w:tr w:rsidR="00674CB9" w:rsidRPr="00674CB9" w:rsidTr="00674CB9">
        <w:trPr>
          <w:trHeight w:val="342"/>
          <w:jc w:val="center"/>
        </w:trPr>
        <w:tc>
          <w:tcPr>
            <w:tcW w:w="3251" w:type="dxa"/>
            <w:shd w:val="clear" w:color="auto" w:fill="auto"/>
            <w:vAlign w:val="center"/>
            <w:hideMark/>
          </w:tcPr>
          <w:p w:rsidR="00674CB9" w:rsidRPr="00674CB9" w:rsidRDefault="00674CB9" w:rsidP="00674CB9">
            <w:pPr>
              <w:spacing w:after="0" w:line="240" w:lineRule="auto"/>
              <w:rPr>
                <w:rFonts w:ascii="Times New Roman" w:eastAsia="Times New Roman" w:hAnsi="Times New Roman" w:cs="Times New Roman"/>
                <w:noProof/>
                <w:sz w:val="20"/>
                <w:szCs w:val="20"/>
                <w:lang w:eastAsia="lv-LV"/>
              </w:rPr>
            </w:pPr>
            <w:r w:rsidRPr="00674CB9">
              <w:rPr>
                <w:rFonts w:ascii="Times New Roman" w:eastAsia="Times New Roman" w:hAnsi="Times New Roman" w:cs="Times New Roman"/>
                <w:noProof/>
                <w:sz w:val="20"/>
                <w:szCs w:val="20"/>
                <w:lang w:eastAsia="lv-LV"/>
              </w:rPr>
              <w:t>Tautsaimniecībā nodarbināto mēn. vid. bruto darba samaksa, euro</w:t>
            </w:r>
          </w:p>
        </w:tc>
        <w:tc>
          <w:tcPr>
            <w:tcW w:w="708"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1003</w:t>
            </w:r>
          </w:p>
        </w:tc>
        <w:tc>
          <w:tcPr>
            <w:tcW w:w="709"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1053</w:t>
            </w:r>
          </w:p>
        </w:tc>
        <w:tc>
          <w:tcPr>
            <w:tcW w:w="709" w:type="dxa"/>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1095</w:t>
            </w:r>
          </w:p>
        </w:tc>
        <w:tc>
          <w:tcPr>
            <w:tcW w:w="709"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1144</w:t>
            </w:r>
          </w:p>
        </w:tc>
        <w:tc>
          <w:tcPr>
            <w:tcW w:w="637"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0</w:t>
            </w:r>
          </w:p>
        </w:tc>
        <w:tc>
          <w:tcPr>
            <w:tcW w:w="638"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-10</w:t>
            </w:r>
          </w:p>
        </w:tc>
        <w:tc>
          <w:tcPr>
            <w:tcW w:w="638" w:type="dxa"/>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-26</w:t>
            </w:r>
          </w:p>
        </w:tc>
        <w:tc>
          <w:tcPr>
            <w:tcW w:w="638"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-33</w:t>
            </w:r>
          </w:p>
        </w:tc>
      </w:tr>
      <w:tr w:rsidR="00674CB9" w:rsidRPr="00674CB9" w:rsidTr="00674CB9">
        <w:trPr>
          <w:trHeight w:val="315"/>
          <w:jc w:val="center"/>
        </w:trPr>
        <w:tc>
          <w:tcPr>
            <w:tcW w:w="3251" w:type="dxa"/>
            <w:shd w:val="clear" w:color="auto" w:fill="auto"/>
            <w:vAlign w:val="center"/>
            <w:hideMark/>
          </w:tcPr>
          <w:p w:rsidR="00674CB9" w:rsidRPr="00674CB9" w:rsidRDefault="00674CB9" w:rsidP="00674CB9">
            <w:pPr>
              <w:spacing w:after="0" w:line="240" w:lineRule="auto"/>
              <w:ind w:left="164"/>
              <w:rPr>
                <w:rFonts w:ascii="Times New Roman" w:eastAsia="Times New Roman" w:hAnsi="Times New Roman" w:cs="Times New Roman"/>
                <w:noProof/>
                <w:sz w:val="20"/>
                <w:szCs w:val="20"/>
                <w:lang w:eastAsia="lv-LV"/>
              </w:rPr>
            </w:pPr>
            <w:r w:rsidRPr="00674CB9">
              <w:rPr>
                <w:rFonts w:ascii="Times New Roman" w:eastAsia="Times New Roman" w:hAnsi="Times New Roman" w:cs="Times New Roman"/>
                <w:noProof/>
                <w:sz w:val="20"/>
                <w:szCs w:val="20"/>
                <w:lang w:eastAsia="lv-LV"/>
              </w:rPr>
              <w:t>pieaugums faktiskajās cenās,%</w:t>
            </w:r>
          </w:p>
        </w:tc>
        <w:tc>
          <w:tcPr>
            <w:tcW w:w="708"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8,3</w:t>
            </w:r>
          </w:p>
        </w:tc>
        <w:tc>
          <w:tcPr>
            <w:tcW w:w="709"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5,0</w:t>
            </w:r>
          </w:p>
        </w:tc>
        <w:tc>
          <w:tcPr>
            <w:tcW w:w="709" w:type="dxa"/>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4,0</w:t>
            </w:r>
          </w:p>
        </w:tc>
        <w:tc>
          <w:tcPr>
            <w:tcW w:w="709"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4,5</w:t>
            </w:r>
          </w:p>
        </w:tc>
        <w:tc>
          <w:tcPr>
            <w:tcW w:w="637"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0,0</w:t>
            </w:r>
          </w:p>
        </w:tc>
        <w:tc>
          <w:tcPr>
            <w:tcW w:w="638"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-1,0</w:t>
            </w:r>
          </w:p>
        </w:tc>
        <w:tc>
          <w:tcPr>
            <w:tcW w:w="638" w:type="dxa"/>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-1,5</w:t>
            </w:r>
          </w:p>
        </w:tc>
        <w:tc>
          <w:tcPr>
            <w:tcW w:w="638"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-0,5</w:t>
            </w:r>
          </w:p>
        </w:tc>
      </w:tr>
      <w:tr w:rsidR="00674CB9" w:rsidRPr="00674CB9" w:rsidTr="00674CB9">
        <w:trPr>
          <w:trHeight w:val="495"/>
          <w:jc w:val="center"/>
        </w:trPr>
        <w:tc>
          <w:tcPr>
            <w:tcW w:w="3251" w:type="dxa"/>
            <w:shd w:val="clear" w:color="auto" w:fill="auto"/>
            <w:vAlign w:val="center"/>
            <w:hideMark/>
          </w:tcPr>
          <w:p w:rsidR="00674CB9" w:rsidRPr="00674CB9" w:rsidRDefault="00674CB9" w:rsidP="00674CB9">
            <w:pPr>
              <w:spacing w:after="0" w:line="240" w:lineRule="auto"/>
              <w:rPr>
                <w:rFonts w:ascii="Times New Roman" w:eastAsia="Times New Roman" w:hAnsi="Times New Roman" w:cs="Times New Roman"/>
                <w:noProof/>
                <w:sz w:val="20"/>
                <w:szCs w:val="20"/>
                <w:lang w:eastAsia="lv-LV"/>
              </w:rPr>
            </w:pPr>
            <w:r w:rsidRPr="00674CB9">
              <w:rPr>
                <w:rFonts w:ascii="Times New Roman" w:eastAsia="Times New Roman" w:hAnsi="Times New Roman" w:cs="Times New Roman"/>
                <w:noProof/>
                <w:sz w:val="20"/>
                <w:szCs w:val="20"/>
                <w:lang w:eastAsia="lv-LV"/>
              </w:rPr>
              <w:t>Nodarbinātība, tūkst. iedzīvotāju (atbilstoši darbaspēka apsekojumam)</w:t>
            </w:r>
          </w:p>
        </w:tc>
        <w:tc>
          <w:tcPr>
            <w:tcW w:w="708"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906</w:t>
            </w:r>
          </w:p>
        </w:tc>
        <w:tc>
          <w:tcPr>
            <w:tcW w:w="709"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904</w:t>
            </w:r>
          </w:p>
        </w:tc>
        <w:tc>
          <w:tcPr>
            <w:tcW w:w="709" w:type="dxa"/>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897</w:t>
            </w:r>
          </w:p>
        </w:tc>
        <w:tc>
          <w:tcPr>
            <w:tcW w:w="709"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897</w:t>
            </w:r>
          </w:p>
        </w:tc>
        <w:tc>
          <w:tcPr>
            <w:tcW w:w="637"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0</w:t>
            </w:r>
          </w:p>
        </w:tc>
        <w:tc>
          <w:tcPr>
            <w:tcW w:w="638"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-3</w:t>
            </w:r>
          </w:p>
        </w:tc>
        <w:tc>
          <w:tcPr>
            <w:tcW w:w="638" w:type="dxa"/>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-9</w:t>
            </w:r>
          </w:p>
        </w:tc>
        <w:tc>
          <w:tcPr>
            <w:tcW w:w="638"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-9</w:t>
            </w:r>
          </w:p>
        </w:tc>
      </w:tr>
      <w:tr w:rsidR="00674CB9" w:rsidRPr="00674CB9" w:rsidTr="00674CB9">
        <w:trPr>
          <w:trHeight w:val="315"/>
          <w:jc w:val="center"/>
        </w:trPr>
        <w:tc>
          <w:tcPr>
            <w:tcW w:w="3251" w:type="dxa"/>
            <w:shd w:val="clear" w:color="auto" w:fill="auto"/>
            <w:vAlign w:val="center"/>
            <w:hideMark/>
          </w:tcPr>
          <w:p w:rsidR="00674CB9" w:rsidRPr="00674CB9" w:rsidRDefault="00674CB9" w:rsidP="00674CB9">
            <w:pPr>
              <w:spacing w:after="0" w:line="240" w:lineRule="auto"/>
              <w:ind w:left="164"/>
              <w:rPr>
                <w:rFonts w:ascii="Times New Roman" w:eastAsia="Times New Roman" w:hAnsi="Times New Roman" w:cs="Times New Roman"/>
                <w:noProof/>
                <w:sz w:val="20"/>
                <w:szCs w:val="20"/>
                <w:lang w:eastAsia="lv-LV"/>
              </w:rPr>
            </w:pPr>
            <w:r w:rsidRPr="00674CB9">
              <w:rPr>
                <w:rFonts w:ascii="Times New Roman" w:eastAsia="Times New Roman" w:hAnsi="Times New Roman" w:cs="Times New Roman"/>
                <w:noProof/>
                <w:sz w:val="20"/>
                <w:szCs w:val="20"/>
                <w:lang w:eastAsia="lv-LV"/>
              </w:rPr>
              <w:t>pieaugums,%</w:t>
            </w:r>
          </w:p>
        </w:tc>
        <w:tc>
          <w:tcPr>
            <w:tcW w:w="708"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1,2</w:t>
            </w:r>
          </w:p>
        </w:tc>
        <w:tc>
          <w:tcPr>
            <w:tcW w:w="709"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-0,2</w:t>
            </w:r>
          </w:p>
        </w:tc>
        <w:tc>
          <w:tcPr>
            <w:tcW w:w="709" w:type="dxa"/>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-0,7</w:t>
            </w:r>
          </w:p>
        </w:tc>
        <w:tc>
          <w:tcPr>
            <w:tcW w:w="709"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-0,1</w:t>
            </w:r>
          </w:p>
        </w:tc>
        <w:tc>
          <w:tcPr>
            <w:tcW w:w="637"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0,0</w:t>
            </w:r>
          </w:p>
        </w:tc>
        <w:tc>
          <w:tcPr>
            <w:tcW w:w="638"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-0,3</w:t>
            </w:r>
          </w:p>
        </w:tc>
        <w:tc>
          <w:tcPr>
            <w:tcW w:w="638" w:type="dxa"/>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-0,7</w:t>
            </w:r>
          </w:p>
        </w:tc>
        <w:tc>
          <w:tcPr>
            <w:tcW w:w="638"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0,0</w:t>
            </w:r>
          </w:p>
        </w:tc>
      </w:tr>
      <w:tr w:rsidR="00674CB9" w:rsidRPr="00674CB9" w:rsidTr="00674CB9">
        <w:trPr>
          <w:trHeight w:val="495"/>
          <w:jc w:val="center"/>
        </w:trPr>
        <w:tc>
          <w:tcPr>
            <w:tcW w:w="3251" w:type="dxa"/>
            <w:shd w:val="clear" w:color="auto" w:fill="auto"/>
            <w:vAlign w:val="center"/>
            <w:hideMark/>
          </w:tcPr>
          <w:p w:rsidR="00674CB9" w:rsidRPr="00674CB9" w:rsidRDefault="00674CB9" w:rsidP="00674CB9">
            <w:pPr>
              <w:spacing w:after="0" w:line="240" w:lineRule="auto"/>
              <w:rPr>
                <w:rFonts w:ascii="Times New Roman" w:eastAsia="Times New Roman" w:hAnsi="Times New Roman" w:cs="Times New Roman"/>
                <w:noProof/>
                <w:sz w:val="20"/>
                <w:szCs w:val="20"/>
                <w:lang w:eastAsia="lv-LV"/>
              </w:rPr>
            </w:pPr>
            <w:r w:rsidRPr="00674CB9">
              <w:rPr>
                <w:rFonts w:ascii="Times New Roman" w:eastAsia="Times New Roman" w:hAnsi="Times New Roman" w:cs="Times New Roman"/>
                <w:noProof/>
                <w:sz w:val="20"/>
                <w:szCs w:val="20"/>
                <w:lang w:eastAsia="lv-LV"/>
              </w:rPr>
              <w:t>Bezdarba līmenis (gada vidējais),% no ekon. aktīviem iedzīv.</w:t>
            </w:r>
          </w:p>
        </w:tc>
        <w:tc>
          <w:tcPr>
            <w:tcW w:w="708" w:type="dxa"/>
            <w:shd w:val="clear" w:color="auto" w:fill="auto"/>
            <w:tcMar>
              <w:left w:w="57" w:type="dxa"/>
              <w:right w:w="57" w:type="dxa"/>
            </w:tcMar>
            <w:vAlign w:val="center"/>
            <w:hideMark/>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7,7</w:t>
            </w:r>
          </w:p>
        </w:tc>
        <w:tc>
          <w:tcPr>
            <w:tcW w:w="709" w:type="dxa"/>
            <w:shd w:val="clear" w:color="auto" w:fill="auto"/>
            <w:tcMar>
              <w:left w:w="57" w:type="dxa"/>
              <w:right w:w="57" w:type="dxa"/>
            </w:tcMar>
            <w:vAlign w:val="center"/>
            <w:hideMark/>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7,6</w:t>
            </w:r>
          </w:p>
        </w:tc>
        <w:tc>
          <w:tcPr>
            <w:tcW w:w="709" w:type="dxa"/>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7,6</w:t>
            </w:r>
          </w:p>
        </w:tc>
        <w:tc>
          <w:tcPr>
            <w:tcW w:w="709" w:type="dxa"/>
            <w:shd w:val="clear" w:color="auto" w:fill="auto"/>
            <w:tcMar>
              <w:left w:w="57" w:type="dxa"/>
              <w:right w:w="57" w:type="dxa"/>
            </w:tcMar>
            <w:vAlign w:val="center"/>
            <w:hideMark/>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7,6</w:t>
            </w:r>
          </w:p>
        </w:tc>
        <w:tc>
          <w:tcPr>
            <w:tcW w:w="637"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0,0</w:t>
            </w:r>
          </w:p>
        </w:tc>
        <w:tc>
          <w:tcPr>
            <w:tcW w:w="638"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0,1</w:t>
            </w:r>
          </w:p>
        </w:tc>
        <w:tc>
          <w:tcPr>
            <w:tcW w:w="638" w:type="dxa"/>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0,7</w:t>
            </w:r>
          </w:p>
        </w:tc>
        <w:tc>
          <w:tcPr>
            <w:tcW w:w="638" w:type="dxa"/>
            <w:shd w:val="clear" w:color="auto" w:fill="auto"/>
            <w:tcMar>
              <w:left w:w="57" w:type="dxa"/>
              <w:right w:w="57" w:type="dxa"/>
            </w:tcMar>
            <w:vAlign w:val="center"/>
          </w:tcPr>
          <w:p w:rsidR="00674CB9" w:rsidRPr="00674CB9" w:rsidRDefault="00674CB9" w:rsidP="00674CB9">
            <w:pPr>
              <w:spacing w:after="0" w:line="240" w:lineRule="auto"/>
              <w:jc w:val="center"/>
              <w:rPr>
                <w:rFonts w:ascii="Times New Roman" w:eastAsia="Times New Roman" w:hAnsi="Times New Roman" w:cs="Times New Roman"/>
                <w:noProof/>
                <w:color w:val="000000" w:themeColor="text1"/>
                <w:sz w:val="20"/>
                <w:szCs w:val="20"/>
                <w:lang w:eastAsia="lv-LV"/>
              </w:rPr>
            </w:pPr>
            <w:r w:rsidRPr="00674CB9">
              <w:rPr>
                <w:rFonts w:ascii="Times New Roman" w:eastAsia="Times New Roman" w:hAnsi="Times New Roman" w:cs="Times New Roman"/>
                <w:noProof/>
                <w:color w:val="000000" w:themeColor="text1"/>
                <w:sz w:val="20"/>
                <w:szCs w:val="20"/>
                <w:lang w:eastAsia="lv-LV"/>
              </w:rPr>
              <w:t>0,8</w:t>
            </w:r>
          </w:p>
        </w:tc>
      </w:tr>
    </w:tbl>
    <w:p w:rsidR="00674CB9" w:rsidRPr="00674CB9" w:rsidRDefault="00674CB9" w:rsidP="00674CB9">
      <w:pPr>
        <w:autoSpaceDE w:val="0"/>
        <w:autoSpaceDN w:val="0"/>
        <w:adjustRightInd w:val="0"/>
        <w:spacing w:before="120" w:after="120"/>
        <w:ind w:firstLine="709"/>
        <w:jc w:val="both"/>
        <w:rPr>
          <w:rFonts w:ascii="Times New Roman" w:eastAsia="Times New Roman" w:hAnsi="Times New Roman" w:cs="Times New Roman"/>
          <w:b/>
          <w:color w:val="000000"/>
          <w:sz w:val="24"/>
          <w:szCs w:val="24"/>
          <w:lang w:eastAsia="lv-LV"/>
        </w:rPr>
      </w:pPr>
    </w:p>
    <w:p w:rsidR="00674CB9" w:rsidRPr="00674CB9" w:rsidRDefault="00674CB9" w:rsidP="00674CB9">
      <w:pPr>
        <w:autoSpaceDE w:val="0"/>
        <w:autoSpaceDN w:val="0"/>
        <w:adjustRightInd w:val="0"/>
        <w:spacing w:before="120" w:after="120"/>
        <w:ind w:firstLine="709"/>
        <w:jc w:val="both"/>
        <w:rPr>
          <w:rFonts w:ascii="Times New Roman" w:eastAsia="Times New Roman" w:hAnsi="Times New Roman" w:cs="Times New Roman"/>
          <w:b/>
          <w:color w:val="000000"/>
          <w:sz w:val="24"/>
          <w:szCs w:val="24"/>
          <w:lang w:eastAsia="lv-LV"/>
        </w:rPr>
      </w:pPr>
      <w:r w:rsidRPr="00674CB9">
        <w:rPr>
          <w:rFonts w:ascii="Times New Roman" w:eastAsia="Times New Roman" w:hAnsi="Times New Roman" w:cs="Times New Roman"/>
          <w:b/>
          <w:color w:val="000000"/>
          <w:sz w:val="24"/>
          <w:szCs w:val="24"/>
          <w:lang w:eastAsia="lv-LV"/>
        </w:rPr>
        <w:t>Ietekme uz vispārējās valdības budžetu</w:t>
      </w:r>
    </w:p>
    <w:p w:rsidR="00674CB9" w:rsidRPr="00674CB9" w:rsidRDefault="00674CB9" w:rsidP="00674CB9">
      <w:pPr>
        <w:autoSpaceDE w:val="0"/>
        <w:autoSpaceDN w:val="0"/>
        <w:adjustRightInd w:val="0"/>
        <w:spacing w:after="120"/>
        <w:ind w:firstLine="709"/>
        <w:jc w:val="both"/>
        <w:rPr>
          <w:rFonts w:ascii="Times New Roman" w:eastAsia="Times New Roman" w:hAnsi="Times New Roman" w:cs="Times New Roman"/>
          <w:noProof/>
          <w:color w:val="000000"/>
          <w:sz w:val="24"/>
          <w:szCs w:val="24"/>
          <w:lang w:eastAsia="lv-LV"/>
        </w:rPr>
      </w:pPr>
      <w:r w:rsidRPr="00674CB9">
        <w:rPr>
          <w:rFonts w:ascii="Times New Roman" w:eastAsia="Times New Roman" w:hAnsi="Times New Roman" w:cs="Times New Roman"/>
          <w:noProof/>
          <w:color w:val="000000"/>
          <w:sz w:val="24"/>
          <w:szCs w:val="24"/>
          <w:lang w:eastAsia="lv-LV"/>
        </w:rPr>
        <w:t xml:space="preserve">Īstenojoties pesimistiskajam scenārijam, kopbudžeta nodokļu ieņēmumi un valsts pamatbudžeta nenodokļu ieņēmumi samazinātos par 51,1 milj. </w:t>
      </w:r>
      <w:r w:rsidRPr="00674CB9">
        <w:rPr>
          <w:rFonts w:ascii="Times New Roman" w:eastAsia="Times New Roman" w:hAnsi="Times New Roman" w:cs="Times New Roman"/>
          <w:i/>
          <w:noProof/>
          <w:color w:val="000000"/>
          <w:sz w:val="24"/>
          <w:szCs w:val="24"/>
          <w:lang w:eastAsia="lv-LV"/>
        </w:rPr>
        <w:t>euro</w:t>
      </w:r>
      <w:r w:rsidRPr="00674CB9">
        <w:rPr>
          <w:rFonts w:ascii="Times New Roman" w:eastAsia="Times New Roman" w:hAnsi="Times New Roman" w:cs="Times New Roman"/>
          <w:noProof/>
          <w:color w:val="000000"/>
          <w:sz w:val="24"/>
          <w:szCs w:val="24"/>
          <w:lang w:eastAsia="lv-LV"/>
        </w:rPr>
        <w:t xml:space="preserve"> jeb 0,2% no IKP 2019.gadā salīdzinājumā ar bāzes scenāriju. Savukārt 2020. un 2021.gadā tie būtu attiecīgi par 146,8 milj. </w:t>
      </w:r>
      <w:r w:rsidRPr="00674CB9">
        <w:rPr>
          <w:rFonts w:ascii="Times New Roman" w:eastAsia="Times New Roman" w:hAnsi="Times New Roman" w:cs="Times New Roman"/>
          <w:i/>
          <w:noProof/>
          <w:color w:val="000000"/>
          <w:sz w:val="24"/>
          <w:szCs w:val="24"/>
          <w:lang w:eastAsia="lv-LV"/>
        </w:rPr>
        <w:t>euro</w:t>
      </w:r>
      <w:r w:rsidRPr="00674CB9">
        <w:rPr>
          <w:rFonts w:ascii="Times New Roman" w:eastAsia="Times New Roman" w:hAnsi="Times New Roman" w:cs="Times New Roman"/>
          <w:noProof/>
          <w:color w:val="000000"/>
          <w:sz w:val="24"/>
          <w:szCs w:val="24"/>
          <w:lang w:eastAsia="lv-LV"/>
        </w:rPr>
        <w:t xml:space="preserve"> jeb 0,5% no IKP un 198,6 milj. </w:t>
      </w:r>
      <w:r w:rsidRPr="00674CB9">
        <w:rPr>
          <w:rFonts w:ascii="Times New Roman" w:eastAsia="Times New Roman" w:hAnsi="Times New Roman" w:cs="Times New Roman"/>
          <w:i/>
          <w:noProof/>
          <w:color w:val="000000"/>
          <w:sz w:val="24"/>
          <w:szCs w:val="24"/>
          <w:lang w:eastAsia="lv-LV"/>
        </w:rPr>
        <w:t>euro</w:t>
      </w:r>
      <w:r w:rsidRPr="00674CB9">
        <w:rPr>
          <w:rFonts w:ascii="Times New Roman" w:eastAsia="Times New Roman" w:hAnsi="Times New Roman" w:cs="Times New Roman"/>
          <w:noProof/>
          <w:color w:val="000000"/>
          <w:sz w:val="24"/>
          <w:szCs w:val="24"/>
          <w:lang w:eastAsia="lv-LV"/>
        </w:rPr>
        <w:t xml:space="preserve"> jeb 0,6% no IKP zemāki nekā bāzes scenārijā.</w:t>
      </w:r>
    </w:p>
    <w:p w:rsidR="00674CB9" w:rsidRPr="00674CB9" w:rsidRDefault="00674CB9" w:rsidP="00674CB9">
      <w:pPr>
        <w:autoSpaceDE w:val="0"/>
        <w:autoSpaceDN w:val="0"/>
        <w:adjustRightInd w:val="0"/>
        <w:spacing w:after="120"/>
        <w:ind w:firstLine="709"/>
        <w:jc w:val="both"/>
        <w:rPr>
          <w:rFonts w:ascii="Times New Roman" w:eastAsia="Times New Roman" w:hAnsi="Times New Roman" w:cs="Times New Roman"/>
          <w:noProof/>
          <w:color w:val="000000"/>
          <w:sz w:val="24"/>
          <w:szCs w:val="24"/>
          <w:lang w:eastAsia="lv-LV"/>
        </w:rPr>
      </w:pPr>
      <w:r w:rsidRPr="00674CB9">
        <w:rPr>
          <w:rFonts w:ascii="Times New Roman" w:eastAsia="Times New Roman" w:hAnsi="Times New Roman" w:cs="Times New Roman"/>
          <w:noProof/>
          <w:color w:val="000000"/>
          <w:sz w:val="24"/>
          <w:szCs w:val="24"/>
          <w:lang w:eastAsia="lv-LV"/>
        </w:rPr>
        <w:t xml:space="preserve">Izpildoties pesimistiskajam scenārijam, vairāk kā puse no kopbudžeta ieņēmuma samazinājuma būtu attiecināma uz valsts pamatbudžetu. Attiecīgi valsts pamatbudžeta ieņēmumi, salīdzinot ar bāzes scenāriju, samazinātos par 27,7 milj. </w:t>
      </w:r>
      <w:r w:rsidRPr="00674CB9">
        <w:rPr>
          <w:rFonts w:ascii="Times New Roman" w:eastAsia="Times New Roman" w:hAnsi="Times New Roman" w:cs="Times New Roman"/>
          <w:i/>
          <w:noProof/>
          <w:color w:val="000000"/>
          <w:sz w:val="24"/>
          <w:szCs w:val="24"/>
          <w:lang w:eastAsia="lv-LV"/>
        </w:rPr>
        <w:t>euro</w:t>
      </w:r>
      <w:r w:rsidRPr="00674CB9">
        <w:rPr>
          <w:rFonts w:ascii="Times New Roman" w:eastAsia="Times New Roman" w:hAnsi="Times New Roman" w:cs="Times New Roman"/>
          <w:noProof/>
          <w:color w:val="000000"/>
          <w:sz w:val="24"/>
          <w:szCs w:val="24"/>
          <w:lang w:eastAsia="lv-LV"/>
        </w:rPr>
        <w:t xml:space="preserve"> jeb 0,1% no IKP 2019.gadā, 81,2 milj. </w:t>
      </w:r>
      <w:r w:rsidRPr="00674CB9">
        <w:rPr>
          <w:rFonts w:ascii="Times New Roman" w:eastAsia="Times New Roman" w:hAnsi="Times New Roman" w:cs="Times New Roman"/>
          <w:i/>
          <w:noProof/>
          <w:color w:val="000000"/>
          <w:sz w:val="24"/>
          <w:szCs w:val="24"/>
          <w:lang w:eastAsia="lv-LV"/>
        </w:rPr>
        <w:t>euro</w:t>
      </w:r>
      <w:r w:rsidRPr="00674CB9">
        <w:rPr>
          <w:rFonts w:ascii="Times New Roman" w:eastAsia="Times New Roman" w:hAnsi="Times New Roman" w:cs="Times New Roman"/>
          <w:noProof/>
          <w:color w:val="000000"/>
          <w:sz w:val="24"/>
          <w:szCs w:val="24"/>
          <w:lang w:eastAsia="lv-LV"/>
        </w:rPr>
        <w:t xml:space="preserve"> jeb 0,3% no IKP 2020.gadā un 108,9 milj. </w:t>
      </w:r>
      <w:r w:rsidRPr="00674CB9">
        <w:rPr>
          <w:rFonts w:ascii="Times New Roman" w:eastAsia="Times New Roman" w:hAnsi="Times New Roman" w:cs="Times New Roman"/>
          <w:i/>
          <w:noProof/>
          <w:color w:val="000000"/>
          <w:sz w:val="24"/>
          <w:szCs w:val="24"/>
          <w:lang w:eastAsia="lv-LV"/>
        </w:rPr>
        <w:t>euro</w:t>
      </w:r>
      <w:r w:rsidRPr="00674CB9">
        <w:rPr>
          <w:rFonts w:ascii="Times New Roman" w:eastAsia="Times New Roman" w:hAnsi="Times New Roman" w:cs="Times New Roman"/>
          <w:noProof/>
          <w:color w:val="000000"/>
          <w:sz w:val="24"/>
          <w:szCs w:val="24"/>
          <w:lang w:eastAsia="lv-LV"/>
        </w:rPr>
        <w:t xml:space="preserve"> jeb 0,3% no IKP 2021.gadā. </w:t>
      </w:r>
    </w:p>
    <w:p w:rsidR="00674CB9" w:rsidRPr="00674CB9" w:rsidRDefault="00674CB9" w:rsidP="00674CB9">
      <w:pPr>
        <w:autoSpaceDE w:val="0"/>
        <w:autoSpaceDN w:val="0"/>
        <w:adjustRightInd w:val="0"/>
        <w:spacing w:after="120"/>
        <w:ind w:firstLine="709"/>
        <w:jc w:val="both"/>
        <w:rPr>
          <w:rFonts w:ascii="Times New Roman" w:eastAsia="Times New Roman" w:hAnsi="Times New Roman" w:cs="Times New Roman"/>
          <w:noProof/>
          <w:color w:val="000000"/>
          <w:sz w:val="24"/>
          <w:szCs w:val="24"/>
          <w:lang w:eastAsia="lv-LV"/>
        </w:rPr>
      </w:pPr>
    </w:p>
    <w:p w:rsidR="00674CB9" w:rsidRPr="00DE4428" w:rsidRDefault="00674CB9" w:rsidP="00674CB9">
      <w:pPr>
        <w:keepNext/>
        <w:spacing w:before="240" w:after="120"/>
        <w:jc w:val="center"/>
        <w:rPr>
          <w:rFonts w:ascii="Times New Roman" w:hAnsi="Times New Roman" w:cs="Times New Roman"/>
          <w:b/>
          <w:i/>
          <w:noProof/>
          <w:sz w:val="24"/>
          <w:szCs w:val="24"/>
        </w:rPr>
      </w:pPr>
      <w:r w:rsidRPr="00DE4428">
        <w:rPr>
          <w:rFonts w:ascii="Times New Roman" w:hAnsi="Times New Roman" w:cs="Times New Roman"/>
          <w:b/>
          <w:i/>
          <w:sz w:val="24"/>
          <w:szCs w:val="24"/>
        </w:rPr>
        <w:t>1.7.tabula.</w:t>
      </w:r>
      <w:r w:rsidR="00DE4428" w:rsidRPr="00DE4428">
        <w:rPr>
          <w:rFonts w:ascii="Times New Roman" w:hAnsi="Times New Roman" w:cs="Times New Roman"/>
          <w:b/>
          <w:i/>
          <w:sz w:val="24"/>
          <w:szCs w:val="24"/>
        </w:rPr>
        <w:t xml:space="preserve"> Pesimistiskā scenārija ietekme </w:t>
      </w:r>
      <w:r w:rsidRPr="00DE4428">
        <w:rPr>
          <w:rFonts w:ascii="Times New Roman" w:hAnsi="Times New Roman" w:cs="Times New Roman"/>
          <w:b/>
          <w:i/>
          <w:sz w:val="24"/>
          <w:szCs w:val="24"/>
        </w:rPr>
        <w:t xml:space="preserve">uz vispārējās valdības budžetu, </w:t>
      </w:r>
      <w:r w:rsidRPr="00DE4428">
        <w:rPr>
          <w:rFonts w:ascii="Times New Roman" w:hAnsi="Times New Roman" w:cs="Times New Roman"/>
          <w:b/>
          <w:i/>
          <w:noProof/>
          <w:sz w:val="24"/>
          <w:szCs w:val="24"/>
        </w:rPr>
        <w:t>milj. euro</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2"/>
        <w:gridCol w:w="771"/>
        <w:gridCol w:w="771"/>
        <w:gridCol w:w="772"/>
        <w:gridCol w:w="772"/>
        <w:gridCol w:w="772"/>
        <w:gridCol w:w="772"/>
        <w:gridCol w:w="772"/>
        <w:gridCol w:w="772"/>
      </w:tblGrid>
      <w:tr w:rsidR="00674CB9" w:rsidRPr="00DE4428" w:rsidTr="00674CB9">
        <w:trPr>
          <w:trHeight w:val="507"/>
          <w:tblHeader/>
          <w:jc w:val="center"/>
        </w:trPr>
        <w:tc>
          <w:tcPr>
            <w:tcW w:w="2752" w:type="dxa"/>
            <w:shd w:val="clear" w:color="auto" w:fill="auto"/>
            <w:vAlign w:val="center"/>
            <w:hideMark/>
          </w:tcPr>
          <w:p w:rsidR="00674CB9" w:rsidRPr="00DE4428" w:rsidRDefault="00674CB9" w:rsidP="00DE4428">
            <w:pPr>
              <w:spacing w:after="0" w:line="240" w:lineRule="auto"/>
              <w:rPr>
                <w:rFonts w:ascii="Times New Roman" w:eastAsia="Times New Roman" w:hAnsi="Times New Roman" w:cs="Times New Roman"/>
                <w:sz w:val="20"/>
                <w:szCs w:val="20"/>
                <w:lang w:eastAsia="lv-LV"/>
              </w:rPr>
            </w:pPr>
          </w:p>
        </w:tc>
        <w:tc>
          <w:tcPr>
            <w:tcW w:w="3086" w:type="dxa"/>
            <w:gridSpan w:val="4"/>
            <w:vAlign w:val="center"/>
          </w:tcPr>
          <w:p w:rsidR="00674CB9" w:rsidRPr="00DE4428" w:rsidRDefault="00674CB9" w:rsidP="00DE4428">
            <w:pPr>
              <w:spacing w:after="0" w:line="240" w:lineRule="auto"/>
              <w:jc w:val="center"/>
              <w:rPr>
                <w:rFonts w:ascii="Times New Roman" w:eastAsia="Times New Roman" w:hAnsi="Times New Roman" w:cs="Times New Roman"/>
                <w:b/>
                <w:sz w:val="20"/>
                <w:szCs w:val="20"/>
                <w:lang w:eastAsia="lv-LV"/>
              </w:rPr>
            </w:pPr>
            <w:r w:rsidRPr="00DE4428">
              <w:rPr>
                <w:rFonts w:ascii="Times New Roman" w:eastAsia="Times New Roman" w:hAnsi="Times New Roman" w:cs="Times New Roman"/>
                <w:b/>
                <w:sz w:val="20"/>
                <w:szCs w:val="20"/>
                <w:lang w:eastAsia="lv-LV"/>
              </w:rPr>
              <w:t>Pesimistiskais scenārijs</w:t>
            </w:r>
          </w:p>
        </w:tc>
        <w:tc>
          <w:tcPr>
            <w:tcW w:w="3088" w:type="dxa"/>
            <w:gridSpan w:val="4"/>
            <w:vAlign w:val="center"/>
          </w:tcPr>
          <w:p w:rsidR="00674CB9" w:rsidRPr="00DE4428" w:rsidRDefault="00674CB9" w:rsidP="00DE4428">
            <w:pPr>
              <w:spacing w:after="0" w:line="240" w:lineRule="auto"/>
              <w:jc w:val="center"/>
              <w:rPr>
                <w:rFonts w:ascii="Times New Roman" w:eastAsia="Times New Roman" w:hAnsi="Times New Roman" w:cs="Times New Roman"/>
                <w:b/>
                <w:sz w:val="20"/>
                <w:szCs w:val="20"/>
                <w:lang w:eastAsia="lv-LV"/>
              </w:rPr>
            </w:pPr>
            <w:r w:rsidRPr="00DE4428">
              <w:rPr>
                <w:rFonts w:ascii="Times New Roman" w:eastAsia="Times New Roman" w:hAnsi="Times New Roman" w:cs="Times New Roman"/>
                <w:b/>
                <w:sz w:val="20"/>
                <w:szCs w:val="20"/>
                <w:lang w:eastAsia="lv-LV"/>
              </w:rPr>
              <w:t>Novirze no bāzes scenārija</w:t>
            </w:r>
          </w:p>
        </w:tc>
      </w:tr>
      <w:tr w:rsidR="00674CB9" w:rsidRPr="00DE4428" w:rsidTr="00674CB9">
        <w:trPr>
          <w:trHeight w:val="191"/>
          <w:jc w:val="center"/>
        </w:trPr>
        <w:tc>
          <w:tcPr>
            <w:tcW w:w="2752" w:type="dxa"/>
            <w:shd w:val="clear" w:color="auto" w:fill="auto"/>
            <w:vAlign w:val="center"/>
            <w:hideMark/>
          </w:tcPr>
          <w:p w:rsidR="00674CB9" w:rsidRPr="00DE4428" w:rsidRDefault="00674CB9" w:rsidP="00DE4428">
            <w:pPr>
              <w:spacing w:after="0" w:line="240" w:lineRule="auto"/>
              <w:rPr>
                <w:rFonts w:ascii="Times New Roman" w:eastAsia="Times New Roman" w:hAnsi="Times New Roman" w:cs="Times New Roman"/>
                <w:sz w:val="20"/>
                <w:szCs w:val="20"/>
                <w:lang w:eastAsia="lv-LV"/>
              </w:rPr>
            </w:pPr>
          </w:p>
        </w:tc>
        <w:tc>
          <w:tcPr>
            <w:tcW w:w="771" w:type="dxa"/>
            <w:shd w:val="clear" w:color="auto" w:fill="auto"/>
            <w:tcMar>
              <w:left w:w="57" w:type="dxa"/>
              <w:right w:w="57" w:type="dxa"/>
            </w:tcMar>
            <w:vAlign w:val="center"/>
          </w:tcPr>
          <w:p w:rsidR="00674CB9" w:rsidRPr="00DE4428" w:rsidRDefault="00674CB9" w:rsidP="00DE4428">
            <w:pPr>
              <w:spacing w:after="0" w:line="240" w:lineRule="auto"/>
              <w:jc w:val="center"/>
              <w:rPr>
                <w:rFonts w:ascii="Times New Roman" w:eastAsia="Times New Roman" w:hAnsi="Times New Roman" w:cs="Times New Roman"/>
                <w:b/>
                <w:sz w:val="20"/>
                <w:szCs w:val="20"/>
                <w:lang w:eastAsia="lv-LV"/>
              </w:rPr>
            </w:pPr>
            <w:r w:rsidRPr="00DE4428">
              <w:rPr>
                <w:rFonts w:ascii="Times New Roman" w:eastAsia="Times New Roman" w:hAnsi="Times New Roman" w:cs="Times New Roman"/>
                <w:b/>
                <w:sz w:val="20"/>
                <w:szCs w:val="20"/>
                <w:lang w:eastAsia="lv-LV"/>
              </w:rPr>
              <w:t>2018</w:t>
            </w:r>
          </w:p>
        </w:tc>
        <w:tc>
          <w:tcPr>
            <w:tcW w:w="771" w:type="dxa"/>
            <w:shd w:val="clear" w:color="auto" w:fill="auto"/>
            <w:tcMar>
              <w:left w:w="57" w:type="dxa"/>
              <w:right w:w="57" w:type="dxa"/>
            </w:tcMar>
            <w:vAlign w:val="center"/>
          </w:tcPr>
          <w:p w:rsidR="00674CB9" w:rsidRPr="00DE4428" w:rsidRDefault="00674CB9" w:rsidP="00DE4428">
            <w:pPr>
              <w:spacing w:after="0" w:line="240" w:lineRule="auto"/>
              <w:jc w:val="center"/>
              <w:rPr>
                <w:rFonts w:ascii="Times New Roman" w:eastAsia="Times New Roman" w:hAnsi="Times New Roman" w:cs="Times New Roman"/>
                <w:b/>
                <w:sz w:val="20"/>
                <w:szCs w:val="20"/>
                <w:lang w:eastAsia="lv-LV"/>
              </w:rPr>
            </w:pPr>
            <w:r w:rsidRPr="00DE4428">
              <w:rPr>
                <w:rFonts w:ascii="Times New Roman" w:eastAsia="Times New Roman" w:hAnsi="Times New Roman" w:cs="Times New Roman"/>
                <w:b/>
                <w:sz w:val="20"/>
                <w:szCs w:val="20"/>
                <w:lang w:eastAsia="lv-LV"/>
              </w:rPr>
              <w:t>2019</w:t>
            </w:r>
          </w:p>
        </w:tc>
        <w:tc>
          <w:tcPr>
            <w:tcW w:w="772" w:type="dxa"/>
            <w:tcMar>
              <w:left w:w="57" w:type="dxa"/>
              <w:right w:w="57" w:type="dxa"/>
            </w:tcMar>
            <w:vAlign w:val="center"/>
          </w:tcPr>
          <w:p w:rsidR="00674CB9" w:rsidRPr="00DE4428" w:rsidRDefault="00674CB9" w:rsidP="00DE4428">
            <w:pPr>
              <w:spacing w:after="0" w:line="240" w:lineRule="auto"/>
              <w:jc w:val="center"/>
              <w:rPr>
                <w:rFonts w:ascii="Times New Roman" w:eastAsia="Times New Roman" w:hAnsi="Times New Roman" w:cs="Times New Roman"/>
                <w:b/>
                <w:sz w:val="20"/>
                <w:szCs w:val="20"/>
                <w:lang w:eastAsia="lv-LV"/>
              </w:rPr>
            </w:pPr>
            <w:r w:rsidRPr="00DE4428">
              <w:rPr>
                <w:rFonts w:ascii="Times New Roman" w:eastAsia="Times New Roman" w:hAnsi="Times New Roman" w:cs="Times New Roman"/>
                <w:b/>
                <w:sz w:val="20"/>
                <w:szCs w:val="20"/>
                <w:lang w:eastAsia="lv-LV"/>
              </w:rPr>
              <w:t>2020</w:t>
            </w:r>
          </w:p>
        </w:tc>
        <w:tc>
          <w:tcPr>
            <w:tcW w:w="772" w:type="dxa"/>
            <w:shd w:val="clear" w:color="auto" w:fill="auto"/>
            <w:tcMar>
              <w:left w:w="57" w:type="dxa"/>
              <w:right w:w="57" w:type="dxa"/>
            </w:tcMar>
            <w:vAlign w:val="center"/>
          </w:tcPr>
          <w:p w:rsidR="00674CB9" w:rsidRPr="00DE4428" w:rsidRDefault="00674CB9" w:rsidP="00DE4428">
            <w:pPr>
              <w:spacing w:after="0" w:line="240" w:lineRule="auto"/>
              <w:jc w:val="center"/>
              <w:rPr>
                <w:rFonts w:ascii="Times New Roman" w:eastAsia="Times New Roman" w:hAnsi="Times New Roman" w:cs="Times New Roman"/>
                <w:b/>
                <w:sz w:val="20"/>
                <w:szCs w:val="20"/>
                <w:lang w:eastAsia="lv-LV"/>
              </w:rPr>
            </w:pPr>
            <w:r w:rsidRPr="00DE4428">
              <w:rPr>
                <w:rFonts w:ascii="Times New Roman" w:eastAsia="Times New Roman" w:hAnsi="Times New Roman" w:cs="Times New Roman"/>
                <w:b/>
                <w:sz w:val="20"/>
                <w:szCs w:val="20"/>
                <w:lang w:eastAsia="lv-LV"/>
              </w:rPr>
              <w:t>2021</w:t>
            </w:r>
          </w:p>
        </w:tc>
        <w:tc>
          <w:tcPr>
            <w:tcW w:w="772" w:type="dxa"/>
            <w:shd w:val="clear" w:color="auto" w:fill="auto"/>
            <w:tcMar>
              <w:left w:w="57" w:type="dxa"/>
              <w:right w:w="57" w:type="dxa"/>
            </w:tcMar>
            <w:vAlign w:val="center"/>
            <w:hideMark/>
          </w:tcPr>
          <w:p w:rsidR="00674CB9" w:rsidRPr="00DE4428" w:rsidRDefault="00674CB9" w:rsidP="00DE4428">
            <w:pPr>
              <w:spacing w:after="0" w:line="240" w:lineRule="auto"/>
              <w:jc w:val="center"/>
              <w:rPr>
                <w:rFonts w:ascii="Times New Roman" w:eastAsia="Times New Roman" w:hAnsi="Times New Roman" w:cs="Times New Roman"/>
                <w:b/>
                <w:sz w:val="20"/>
                <w:szCs w:val="20"/>
                <w:lang w:eastAsia="lv-LV"/>
              </w:rPr>
            </w:pPr>
            <w:r w:rsidRPr="00DE4428">
              <w:rPr>
                <w:rFonts w:ascii="Times New Roman" w:eastAsia="Times New Roman" w:hAnsi="Times New Roman" w:cs="Times New Roman"/>
                <w:b/>
                <w:sz w:val="20"/>
                <w:szCs w:val="20"/>
                <w:lang w:eastAsia="lv-LV"/>
              </w:rPr>
              <w:t>2018</w:t>
            </w:r>
          </w:p>
        </w:tc>
        <w:tc>
          <w:tcPr>
            <w:tcW w:w="772" w:type="dxa"/>
            <w:shd w:val="clear" w:color="auto" w:fill="auto"/>
            <w:tcMar>
              <w:left w:w="57" w:type="dxa"/>
              <w:right w:w="57" w:type="dxa"/>
            </w:tcMar>
            <w:vAlign w:val="center"/>
            <w:hideMark/>
          </w:tcPr>
          <w:p w:rsidR="00674CB9" w:rsidRPr="00DE4428" w:rsidRDefault="00674CB9" w:rsidP="00DE4428">
            <w:pPr>
              <w:spacing w:after="0" w:line="240" w:lineRule="auto"/>
              <w:jc w:val="center"/>
              <w:rPr>
                <w:rFonts w:ascii="Times New Roman" w:eastAsia="Times New Roman" w:hAnsi="Times New Roman" w:cs="Times New Roman"/>
                <w:b/>
                <w:sz w:val="20"/>
                <w:szCs w:val="20"/>
                <w:lang w:eastAsia="lv-LV"/>
              </w:rPr>
            </w:pPr>
            <w:r w:rsidRPr="00DE4428">
              <w:rPr>
                <w:rFonts w:ascii="Times New Roman" w:eastAsia="Times New Roman" w:hAnsi="Times New Roman" w:cs="Times New Roman"/>
                <w:b/>
                <w:sz w:val="20"/>
                <w:szCs w:val="20"/>
                <w:lang w:eastAsia="lv-LV"/>
              </w:rPr>
              <w:t>2019</w:t>
            </w:r>
          </w:p>
        </w:tc>
        <w:tc>
          <w:tcPr>
            <w:tcW w:w="772" w:type="dxa"/>
            <w:tcMar>
              <w:left w:w="57" w:type="dxa"/>
              <w:right w:w="57" w:type="dxa"/>
            </w:tcMar>
            <w:vAlign w:val="center"/>
          </w:tcPr>
          <w:p w:rsidR="00674CB9" w:rsidRPr="00DE4428" w:rsidRDefault="00674CB9" w:rsidP="00DE4428">
            <w:pPr>
              <w:spacing w:after="0" w:line="240" w:lineRule="auto"/>
              <w:jc w:val="center"/>
              <w:rPr>
                <w:rFonts w:ascii="Times New Roman" w:eastAsia="Times New Roman" w:hAnsi="Times New Roman" w:cs="Times New Roman"/>
                <w:b/>
                <w:sz w:val="20"/>
                <w:szCs w:val="20"/>
                <w:lang w:eastAsia="lv-LV"/>
              </w:rPr>
            </w:pPr>
            <w:r w:rsidRPr="00DE4428">
              <w:rPr>
                <w:rFonts w:ascii="Times New Roman" w:eastAsia="Times New Roman" w:hAnsi="Times New Roman" w:cs="Times New Roman"/>
                <w:b/>
                <w:sz w:val="20"/>
                <w:szCs w:val="20"/>
                <w:lang w:eastAsia="lv-LV"/>
              </w:rPr>
              <w:t>2020</w:t>
            </w:r>
          </w:p>
        </w:tc>
        <w:tc>
          <w:tcPr>
            <w:tcW w:w="772" w:type="dxa"/>
            <w:shd w:val="clear" w:color="auto" w:fill="auto"/>
            <w:tcMar>
              <w:left w:w="57" w:type="dxa"/>
              <w:right w:w="57" w:type="dxa"/>
            </w:tcMar>
            <w:vAlign w:val="center"/>
            <w:hideMark/>
          </w:tcPr>
          <w:p w:rsidR="00674CB9" w:rsidRPr="00DE4428" w:rsidRDefault="00674CB9" w:rsidP="00DE4428">
            <w:pPr>
              <w:spacing w:after="0" w:line="240" w:lineRule="auto"/>
              <w:jc w:val="center"/>
              <w:rPr>
                <w:rFonts w:ascii="Times New Roman" w:eastAsia="Times New Roman" w:hAnsi="Times New Roman" w:cs="Times New Roman"/>
                <w:b/>
                <w:sz w:val="20"/>
                <w:szCs w:val="20"/>
                <w:lang w:eastAsia="lv-LV"/>
              </w:rPr>
            </w:pPr>
            <w:r w:rsidRPr="00DE4428">
              <w:rPr>
                <w:rFonts w:ascii="Times New Roman" w:eastAsia="Times New Roman" w:hAnsi="Times New Roman" w:cs="Times New Roman"/>
                <w:b/>
                <w:sz w:val="20"/>
                <w:szCs w:val="20"/>
                <w:lang w:eastAsia="lv-LV"/>
              </w:rPr>
              <w:t>2021</w:t>
            </w:r>
          </w:p>
        </w:tc>
      </w:tr>
      <w:tr w:rsidR="00674CB9" w:rsidRPr="00DE4428" w:rsidTr="00674CB9">
        <w:trPr>
          <w:trHeight w:val="315"/>
          <w:jc w:val="center"/>
        </w:trPr>
        <w:tc>
          <w:tcPr>
            <w:tcW w:w="2752" w:type="dxa"/>
            <w:shd w:val="clear" w:color="auto" w:fill="DEEAF6" w:themeFill="accent1" w:themeFillTint="33"/>
            <w:vAlign w:val="center"/>
          </w:tcPr>
          <w:p w:rsidR="00674CB9" w:rsidRPr="00DE4428" w:rsidRDefault="00674CB9" w:rsidP="00DE4428">
            <w:pPr>
              <w:spacing w:after="0" w:line="240" w:lineRule="auto"/>
              <w:rPr>
                <w:rFonts w:ascii="Times New Roman" w:eastAsia="Times New Roman" w:hAnsi="Times New Roman" w:cs="Times New Roman"/>
                <w:b/>
                <w:sz w:val="20"/>
                <w:szCs w:val="20"/>
                <w:lang w:eastAsia="lv-LV"/>
              </w:rPr>
            </w:pPr>
            <w:r w:rsidRPr="00DE4428">
              <w:rPr>
                <w:rFonts w:ascii="Times New Roman" w:eastAsia="Times New Roman" w:hAnsi="Times New Roman" w:cs="Times New Roman"/>
                <w:b/>
                <w:sz w:val="20"/>
                <w:szCs w:val="20"/>
                <w:lang w:eastAsia="lv-LV"/>
              </w:rPr>
              <w:t>Vispārējās valdības budžeta bilance</w:t>
            </w:r>
            <w:r w:rsidRPr="00DE4428">
              <w:rPr>
                <w:rFonts w:ascii="Times New Roman" w:eastAsia="Times New Roman" w:hAnsi="Times New Roman" w:cs="Times New Roman"/>
                <w:b/>
                <w:sz w:val="20"/>
                <w:szCs w:val="20"/>
                <w:vertAlign w:val="superscript"/>
                <w:lang w:eastAsia="lv-LV"/>
              </w:rPr>
              <w:footnoteReference w:id="10"/>
            </w:r>
            <w:r w:rsidRPr="00DE4428">
              <w:rPr>
                <w:rFonts w:ascii="Times New Roman" w:eastAsia="Times New Roman" w:hAnsi="Times New Roman" w:cs="Times New Roman"/>
                <w:b/>
                <w:sz w:val="20"/>
                <w:szCs w:val="20"/>
                <w:lang w:eastAsia="lv-LV"/>
              </w:rPr>
              <w:t>, % no IKP</w:t>
            </w:r>
          </w:p>
        </w:tc>
        <w:tc>
          <w:tcPr>
            <w:tcW w:w="771" w:type="dxa"/>
            <w:shd w:val="clear" w:color="auto" w:fill="DEEAF6" w:themeFill="accent1" w:themeFillTint="33"/>
            <w:tcMar>
              <w:left w:w="57" w:type="dxa"/>
              <w:right w:w="57" w:type="dxa"/>
            </w:tcMar>
            <w:vAlign w:val="center"/>
          </w:tcPr>
          <w:p w:rsidR="00674CB9" w:rsidRPr="00DE4428" w:rsidRDefault="00674CB9" w:rsidP="00A84124">
            <w:pPr>
              <w:spacing w:after="0" w:line="240" w:lineRule="auto"/>
              <w:jc w:val="right"/>
              <w:rPr>
                <w:rFonts w:ascii="Times New Roman" w:eastAsia="Times New Roman" w:hAnsi="Times New Roman" w:cs="Times New Roman"/>
                <w:b/>
                <w:noProof/>
                <w:sz w:val="20"/>
                <w:szCs w:val="20"/>
                <w:lang w:eastAsia="lv-LV"/>
              </w:rPr>
            </w:pPr>
            <w:r w:rsidRPr="00DE4428">
              <w:rPr>
                <w:rFonts w:ascii="Times New Roman" w:eastAsia="Times New Roman" w:hAnsi="Times New Roman" w:cs="Times New Roman"/>
                <w:b/>
                <w:noProof/>
                <w:sz w:val="20"/>
                <w:szCs w:val="20"/>
                <w:lang w:eastAsia="lv-LV"/>
              </w:rPr>
              <w:t>-</w:t>
            </w:r>
            <w:r w:rsidR="00A84124">
              <w:rPr>
                <w:rFonts w:ascii="Times New Roman" w:eastAsia="Times New Roman" w:hAnsi="Times New Roman" w:cs="Times New Roman"/>
                <w:b/>
                <w:noProof/>
                <w:sz w:val="20"/>
                <w:szCs w:val="20"/>
                <w:lang w:eastAsia="lv-LV"/>
              </w:rPr>
              <w:t>1</w:t>
            </w:r>
            <w:r w:rsidRPr="00DE4428">
              <w:rPr>
                <w:rFonts w:ascii="Times New Roman" w:eastAsia="Times New Roman" w:hAnsi="Times New Roman" w:cs="Times New Roman"/>
                <w:b/>
                <w:noProof/>
                <w:sz w:val="20"/>
                <w:szCs w:val="20"/>
                <w:lang w:eastAsia="lv-LV"/>
              </w:rPr>
              <w:t>,</w:t>
            </w:r>
            <w:r w:rsidR="00A84124">
              <w:rPr>
                <w:rFonts w:ascii="Times New Roman" w:eastAsia="Times New Roman" w:hAnsi="Times New Roman" w:cs="Times New Roman"/>
                <w:b/>
                <w:noProof/>
                <w:sz w:val="20"/>
                <w:szCs w:val="20"/>
                <w:lang w:eastAsia="lv-LV"/>
              </w:rPr>
              <w:t>0</w:t>
            </w:r>
          </w:p>
        </w:tc>
        <w:tc>
          <w:tcPr>
            <w:tcW w:w="771" w:type="dxa"/>
            <w:shd w:val="clear" w:color="auto" w:fill="DEEAF6" w:themeFill="accent1" w:themeFillTint="33"/>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b/>
                <w:noProof/>
                <w:sz w:val="20"/>
                <w:szCs w:val="20"/>
                <w:lang w:eastAsia="lv-LV"/>
              </w:rPr>
            </w:pPr>
            <w:r w:rsidRPr="00DE4428">
              <w:rPr>
                <w:rFonts w:ascii="Times New Roman" w:eastAsia="Times New Roman" w:hAnsi="Times New Roman" w:cs="Times New Roman"/>
                <w:b/>
                <w:noProof/>
                <w:sz w:val="20"/>
                <w:szCs w:val="20"/>
                <w:lang w:eastAsia="lv-LV"/>
              </w:rPr>
              <w:t>-0,7</w:t>
            </w:r>
          </w:p>
        </w:tc>
        <w:tc>
          <w:tcPr>
            <w:tcW w:w="772" w:type="dxa"/>
            <w:shd w:val="clear" w:color="auto" w:fill="DEEAF6" w:themeFill="accent1" w:themeFillTint="33"/>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b/>
                <w:noProof/>
                <w:sz w:val="20"/>
                <w:szCs w:val="20"/>
                <w:lang w:eastAsia="lv-LV"/>
              </w:rPr>
            </w:pPr>
            <w:r w:rsidRPr="00DE4428">
              <w:rPr>
                <w:rFonts w:ascii="Times New Roman" w:eastAsia="Times New Roman" w:hAnsi="Times New Roman" w:cs="Times New Roman"/>
                <w:b/>
                <w:noProof/>
                <w:sz w:val="20"/>
                <w:szCs w:val="20"/>
                <w:lang w:eastAsia="lv-LV"/>
              </w:rPr>
              <w:t>-0,8</w:t>
            </w:r>
          </w:p>
        </w:tc>
        <w:tc>
          <w:tcPr>
            <w:tcW w:w="772" w:type="dxa"/>
            <w:shd w:val="clear" w:color="auto" w:fill="DEEAF6" w:themeFill="accent1" w:themeFillTint="33"/>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b/>
                <w:noProof/>
                <w:sz w:val="20"/>
                <w:szCs w:val="20"/>
                <w:lang w:eastAsia="lv-LV"/>
              </w:rPr>
            </w:pPr>
            <w:r w:rsidRPr="00DE4428">
              <w:rPr>
                <w:rFonts w:ascii="Times New Roman" w:eastAsia="Times New Roman" w:hAnsi="Times New Roman" w:cs="Times New Roman"/>
                <w:b/>
                <w:noProof/>
                <w:sz w:val="20"/>
                <w:szCs w:val="20"/>
                <w:lang w:eastAsia="lv-LV"/>
              </w:rPr>
              <w:t>-0,9</w:t>
            </w:r>
          </w:p>
        </w:tc>
        <w:tc>
          <w:tcPr>
            <w:tcW w:w="772" w:type="dxa"/>
            <w:shd w:val="clear" w:color="auto" w:fill="DEEAF6" w:themeFill="accent1" w:themeFillTint="33"/>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b/>
                <w:noProof/>
                <w:sz w:val="20"/>
                <w:szCs w:val="20"/>
                <w:lang w:eastAsia="lv-LV"/>
              </w:rPr>
            </w:pPr>
            <w:r w:rsidRPr="00DE4428">
              <w:rPr>
                <w:rFonts w:ascii="Times New Roman" w:eastAsia="Times New Roman" w:hAnsi="Times New Roman" w:cs="Times New Roman"/>
                <w:b/>
                <w:noProof/>
                <w:sz w:val="20"/>
                <w:szCs w:val="20"/>
                <w:lang w:eastAsia="lv-LV"/>
              </w:rPr>
              <w:t>0,0</w:t>
            </w:r>
          </w:p>
        </w:tc>
        <w:tc>
          <w:tcPr>
            <w:tcW w:w="772" w:type="dxa"/>
            <w:shd w:val="clear" w:color="auto" w:fill="DEEAF6" w:themeFill="accent1" w:themeFillTint="33"/>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b/>
                <w:noProof/>
                <w:sz w:val="20"/>
                <w:szCs w:val="20"/>
                <w:lang w:eastAsia="lv-LV"/>
              </w:rPr>
            </w:pPr>
            <w:r w:rsidRPr="00DE4428">
              <w:rPr>
                <w:rFonts w:ascii="Times New Roman" w:eastAsia="Times New Roman" w:hAnsi="Times New Roman" w:cs="Times New Roman"/>
                <w:b/>
                <w:noProof/>
                <w:sz w:val="20"/>
                <w:szCs w:val="20"/>
                <w:lang w:eastAsia="lv-LV"/>
              </w:rPr>
              <w:t>-0,2</w:t>
            </w:r>
          </w:p>
        </w:tc>
        <w:tc>
          <w:tcPr>
            <w:tcW w:w="772" w:type="dxa"/>
            <w:shd w:val="clear" w:color="auto" w:fill="DEEAF6" w:themeFill="accent1" w:themeFillTint="33"/>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b/>
                <w:noProof/>
                <w:sz w:val="20"/>
                <w:szCs w:val="20"/>
                <w:lang w:eastAsia="lv-LV"/>
              </w:rPr>
            </w:pPr>
            <w:r w:rsidRPr="00DE4428">
              <w:rPr>
                <w:rFonts w:ascii="Times New Roman" w:eastAsia="Times New Roman" w:hAnsi="Times New Roman" w:cs="Times New Roman"/>
                <w:b/>
                <w:noProof/>
                <w:sz w:val="20"/>
                <w:szCs w:val="20"/>
                <w:lang w:eastAsia="lv-LV"/>
              </w:rPr>
              <w:t>-0,5</w:t>
            </w:r>
          </w:p>
        </w:tc>
        <w:tc>
          <w:tcPr>
            <w:tcW w:w="772" w:type="dxa"/>
            <w:shd w:val="clear" w:color="auto" w:fill="DEEAF6" w:themeFill="accent1" w:themeFillTint="33"/>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b/>
                <w:noProof/>
                <w:sz w:val="20"/>
                <w:szCs w:val="20"/>
                <w:lang w:eastAsia="lv-LV"/>
              </w:rPr>
            </w:pPr>
            <w:r w:rsidRPr="00DE4428">
              <w:rPr>
                <w:rFonts w:ascii="Times New Roman" w:eastAsia="Times New Roman" w:hAnsi="Times New Roman" w:cs="Times New Roman"/>
                <w:b/>
                <w:noProof/>
                <w:sz w:val="20"/>
                <w:szCs w:val="20"/>
                <w:lang w:eastAsia="lv-LV"/>
              </w:rPr>
              <w:t>-0,6</w:t>
            </w:r>
          </w:p>
        </w:tc>
      </w:tr>
      <w:tr w:rsidR="00674CB9" w:rsidRPr="00DE4428" w:rsidTr="00674CB9">
        <w:trPr>
          <w:trHeight w:val="315"/>
          <w:jc w:val="center"/>
        </w:trPr>
        <w:tc>
          <w:tcPr>
            <w:tcW w:w="2752" w:type="dxa"/>
            <w:shd w:val="clear" w:color="auto" w:fill="auto"/>
            <w:vAlign w:val="center"/>
          </w:tcPr>
          <w:p w:rsidR="00674CB9" w:rsidRPr="00DE4428" w:rsidRDefault="00674CB9" w:rsidP="00DE4428">
            <w:pPr>
              <w:spacing w:after="0" w:line="240" w:lineRule="auto"/>
              <w:rPr>
                <w:rFonts w:ascii="Times New Roman" w:eastAsia="Times New Roman" w:hAnsi="Times New Roman" w:cs="Times New Roman"/>
                <w:sz w:val="20"/>
                <w:szCs w:val="20"/>
                <w:lang w:eastAsia="lv-LV"/>
              </w:rPr>
            </w:pPr>
            <w:r w:rsidRPr="00DE4428">
              <w:rPr>
                <w:rFonts w:ascii="Times New Roman" w:eastAsia="Times New Roman" w:hAnsi="Times New Roman" w:cs="Times New Roman"/>
                <w:sz w:val="20"/>
                <w:szCs w:val="20"/>
                <w:lang w:eastAsia="lv-LV"/>
              </w:rPr>
              <w:t>Vispārējās valdības budžeta bilance</w:t>
            </w:r>
          </w:p>
        </w:tc>
        <w:tc>
          <w:tcPr>
            <w:tcW w:w="771" w:type="dxa"/>
            <w:shd w:val="clear" w:color="auto" w:fill="auto"/>
            <w:tcMar>
              <w:left w:w="57" w:type="dxa"/>
              <w:right w:w="57" w:type="dxa"/>
            </w:tcMar>
            <w:vAlign w:val="center"/>
          </w:tcPr>
          <w:p w:rsidR="00674CB9" w:rsidRPr="00DE4428" w:rsidRDefault="00674CB9" w:rsidP="00A84124">
            <w:pPr>
              <w:spacing w:after="0" w:line="240" w:lineRule="auto"/>
              <w:jc w:val="right"/>
              <w:rPr>
                <w:rFonts w:ascii="Times New Roman" w:eastAsia="Times New Roman" w:hAnsi="Times New Roman" w:cs="Times New Roman"/>
                <w:noProof/>
                <w:sz w:val="20"/>
                <w:szCs w:val="20"/>
                <w:lang w:eastAsia="lv-LV"/>
              </w:rPr>
            </w:pPr>
            <w:r w:rsidRPr="00DE4428">
              <w:rPr>
                <w:rFonts w:ascii="Times New Roman" w:eastAsia="Times New Roman" w:hAnsi="Times New Roman" w:cs="Times New Roman"/>
                <w:noProof/>
                <w:sz w:val="20"/>
                <w:szCs w:val="20"/>
                <w:lang w:eastAsia="lv-LV"/>
              </w:rPr>
              <w:t>-</w:t>
            </w:r>
            <w:r w:rsidR="00A84124">
              <w:rPr>
                <w:rFonts w:ascii="Times New Roman" w:eastAsia="Times New Roman" w:hAnsi="Times New Roman" w:cs="Times New Roman"/>
                <w:noProof/>
                <w:sz w:val="20"/>
                <w:szCs w:val="20"/>
                <w:lang w:eastAsia="lv-LV"/>
              </w:rPr>
              <w:t>294,5</w:t>
            </w:r>
          </w:p>
        </w:tc>
        <w:tc>
          <w:tcPr>
            <w:tcW w:w="771" w:type="dxa"/>
            <w:shd w:val="clear" w:color="auto" w:fill="auto"/>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noProof/>
                <w:sz w:val="20"/>
                <w:szCs w:val="20"/>
                <w:lang w:eastAsia="lv-LV"/>
              </w:rPr>
            </w:pPr>
            <w:r w:rsidRPr="00DE4428">
              <w:rPr>
                <w:rFonts w:ascii="Times New Roman" w:eastAsia="Times New Roman" w:hAnsi="Times New Roman" w:cs="Times New Roman"/>
                <w:noProof/>
                <w:sz w:val="20"/>
                <w:szCs w:val="20"/>
                <w:lang w:eastAsia="lv-LV"/>
              </w:rPr>
              <w:t>-322,8</w:t>
            </w:r>
          </w:p>
        </w:tc>
        <w:tc>
          <w:tcPr>
            <w:tcW w:w="772" w:type="dxa"/>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noProof/>
                <w:sz w:val="20"/>
                <w:szCs w:val="20"/>
                <w:lang w:eastAsia="lv-LV"/>
              </w:rPr>
            </w:pPr>
            <w:r w:rsidRPr="00DE4428">
              <w:rPr>
                <w:rFonts w:ascii="Times New Roman" w:eastAsia="Times New Roman" w:hAnsi="Times New Roman" w:cs="Times New Roman"/>
                <w:noProof/>
                <w:sz w:val="20"/>
                <w:szCs w:val="20"/>
                <w:lang w:eastAsia="lv-LV"/>
              </w:rPr>
              <w:t>-299,8</w:t>
            </w:r>
          </w:p>
        </w:tc>
        <w:tc>
          <w:tcPr>
            <w:tcW w:w="772" w:type="dxa"/>
            <w:shd w:val="clear" w:color="auto" w:fill="auto"/>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noProof/>
                <w:sz w:val="20"/>
                <w:szCs w:val="20"/>
                <w:lang w:eastAsia="lv-LV"/>
              </w:rPr>
            </w:pPr>
            <w:r w:rsidRPr="00DE4428">
              <w:rPr>
                <w:rFonts w:ascii="Times New Roman" w:eastAsia="Times New Roman" w:hAnsi="Times New Roman" w:cs="Times New Roman"/>
                <w:noProof/>
                <w:sz w:val="20"/>
                <w:szCs w:val="20"/>
                <w:lang w:eastAsia="lv-LV"/>
              </w:rPr>
              <w:t>-653,0</w:t>
            </w:r>
          </w:p>
        </w:tc>
        <w:tc>
          <w:tcPr>
            <w:tcW w:w="772" w:type="dxa"/>
            <w:shd w:val="clear" w:color="auto" w:fill="auto"/>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noProof/>
                <w:sz w:val="20"/>
                <w:szCs w:val="20"/>
                <w:lang w:eastAsia="lv-LV"/>
              </w:rPr>
            </w:pPr>
            <w:r w:rsidRPr="00DE4428">
              <w:rPr>
                <w:rFonts w:ascii="Times New Roman" w:eastAsia="Times New Roman" w:hAnsi="Times New Roman" w:cs="Times New Roman"/>
                <w:noProof/>
                <w:sz w:val="20"/>
                <w:szCs w:val="20"/>
                <w:lang w:eastAsia="lv-LV"/>
              </w:rPr>
              <w:t>0,0</w:t>
            </w:r>
          </w:p>
        </w:tc>
        <w:tc>
          <w:tcPr>
            <w:tcW w:w="772" w:type="dxa"/>
            <w:shd w:val="clear" w:color="auto" w:fill="auto"/>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noProof/>
                <w:sz w:val="20"/>
                <w:szCs w:val="20"/>
                <w:lang w:eastAsia="lv-LV"/>
              </w:rPr>
            </w:pPr>
            <w:r w:rsidRPr="00DE4428">
              <w:rPr>
                <w:rFonts w:ascii="Times New Roman" w:eastAsia="Times New Roman" w:hAnsi="Times New Roman" w:cs="Times New Roman"/>
                <w:noProof/>
                <w:sz w:val="20"/>
                <w:szCs w:val="20"/>
                <w:lang w:eastAsia="lv-LV"/>
              </w:rPr>
              <w:t>-51,1</w:t>
            </w:r>
          </w:p>
        </w:tc>
        <w:tc>
          <w:tcPr>
            <w:tcW w:w="772" w:type="dxa"/>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noProof/>
                <w:sz w:val="20"/>
                <w:szCs w:val="20"/>
                <w:lang w:eastAsia="lv-LV"/>
              </w:rPr>
            </w:pPr>
            <w:r w:rsidRPr="00DE4428">
              <w:rPr>
                <w:rFonts w:ascii="Times New Roman" w:eastAsia="Times New Roman" w:hAnsi="Times New Roman" w:cs="Times New Roman"/>
                <w:noProof/>
                <w:sz w:val="20"/>
                <w:szCs w:val="20"/>
                <w:lang w:eastAsia="lv-LV"/>
              </w:rPr>
              <w:t>-148,4</w:t>
            </w:r>
          </w:p>
        </w:tc>
        <w:tc>
          <w:tcPr>
            <w:tcW w:w="772" w:type="dxa"/>
            <w:shd w:val="clear" w:color="auto" w:fill="auto"/>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noProof/>
                <w:sz w:val="20"/>
                <w:szCs w:val="20"/>
                <w:lang w:eastAsia="lv-LV"/>
              </w:rPr>
            </w:pPr>
            <w:r w:rsidRPr="00DE4428">
              <w:rPr>
                <w:rFonts w:ascii="Times New Roman" w:eastAsia="Times New Roman" w:hAnsi="Times New Roman" w:cs="Times New Roman"/>
                <w:noProof/>
                <w:sz w:val="20"/>
                <w:szCs w:val="20"/>
                <w:lang w:eastAsia="lv-LV"/>
              </w:rPr>
              <w:t>-204,7</w:t>
            </w:r>
          </w:p>
        </w:tc>
      </w:tr>
      <w:tr w:rsidR="00674CB9" w:rsidRPr="00DE4428" w:rsidTr="00674CB9">
        <w:trPr>
          <w:trHeight w:val="342"/>
          <w:jc w:val="center"/>
        </w:trPr>
        <w:tc>
          <w:tcPr>
            <w:tcW w:w="2752" w:type="dxa"/>
            <w:shd w:val="clear" w:color="auto" w:fill="auto"/>
            <w:vAlign w:val="center"/>
          </w:tcPr>
          <w:p w:rsidR="00674CB9" w:rsidRPr="00DE4428" w:rsidRDefault="00674CB9" w:rsidP="00DE4428">
            <w:pPr>
              <w:spacing w:after="0" w:line="240" w:lineRule="auto"/>
              <w:ind w:left="166"/>
              <w:rPr>
                <w:rFonts w:ascii="Times New Roman" w:eastAsia="Times New Roman" w:hAnsi="Times New Roman" w:cs="Times New Roman"/>
                <w:sz w:val="20"/>
                <w:szCs w:val="20"/>
                <w:lang w:eastAsia="lv-LV"/>
              </w:rPr>
            </w:pPr>
            <w:r w:rsidRPr="00DE4428">
              <w:rPr>
                <w:rFonts w:ascii="Times New Roman" w:eastAsia="Times New Roman" w:hAnsi="Times New Roman" w:cs="Times New Roman"/>
                <w:sz w:val="20"/>
                <w:szCs w:val="20"/>
                <w:lang w:eastAsia="lv-LV"/>
              </w:rPr>
              <w:t>Nodokļu ieņēmumi</w:t>
            </w:r>
          </w:p>
        </w:tc>
        <w:tc>
          <w:tcPr>
            <w:tcW w:w="771" w:type="dxa"/>
            <w:shd w:val="clear" w:color="auto" w:fill="auto"/>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noProof/>
                <w:sz w:val="20"/>
                <w:szCs w:val="20"/>
                <w:lang w:eastAsia="lv-LV"/>
              </w:rPr>
            </w:pPr>
            <w:r w:rsidRPr="00DE4428">
              <w:rPr>
                <w:rFonts w:ascii="Times New Roman" w:eastAsia="Times New Roman" w:hAnsi="Times New Roman" w:cs="Times New Roman"/>
                <w:noProof/>
                <w:sz w:val="20"/>
                <w:szCs w:val="20"/>
                <w:lang w:eastAsia="lv-LV"/>
              </w:rPr>
              <w:t>8657,7</w:t>
            </w:r>
          </w:p>
        </w:tc>
        <w:tc>
          <w:tcPr>
            <w:tcW w:w="771" w:type="dxa"/>
            <w:shd w:val="clear" w:color="auto" w:fill="auto"/>
            <w:tcMar>
              <w:left w:w="57" w:type="dxa"/>
              <w:right w:w="57" w:type="dxa"/>
            </w:tcMar>
            <w:vAlign w:val="center"/>
          </w:tcPr>
          <w:p w:rsidR="00674CB9" w:rsidRPr="00DE4428" w:rsidRDefault="00674CB9" w:rsidP="00C151F5">
            <w:pPr>
              <w:spacing w:after="0" w:line="240" w:lineRule="auto"/>
              <w:jc w:val="right"/>
              <w:rPr>
                <w:rFonts w:ascii="Times New Roman" w:eastAsia="Times New Roman" w:hAnsi="Times New Roman" w:cs="Times New Roman"/>
                <w:noProof/>
                <w:sz w:val="20"/>
                <w:szCs w:val="20"/>
                <w:lang w:eastAsia="lv-LV"/>
              </w:rPr>
            </w:pPr>
            <w:r w:rsidRPr="00DE4428">
              <w:rPr>
                <w:rFonts w:ascii="Times New Roman" w:eastAsia="Times New Roman" w:hAnsi="Times New Roman" w:cs="Times New Roman"/>
                <w:noProof/>
                <w:sz w:val="20"/>
                <w:szCs w:val="20"/>
                <w:lang w:eastAsia="lv-LV"/>
              </w:rPr>
              <w:t>899</w:t>
            </w:r>
            <w:r w:rsidR="00C151F5">
              <w:rPr>
                <w:rFonts w:ascii="Times New Roman" w:eastAsia="Times New Roman" w:hAnsi="Times New Roman" w:cs="Times New Roman"/>
                <w:noProof/>
                <w:sz w:val="20"/>
                <w:szCs w:val="20"/>
                <w:lang w:eastAsia="lv-LV"/>
              </w:rPr>
              <w:t>5</w:t>
            </w:r>
            <w:r w:rsidRPr="00DE4428">
              <w:rPr>
                <w:rFonts w:ascii="Times New Roman" w:eastAsia="Times New Roman" w:hAnsi="Times New Roman" w:cs="Times New Roman"/>
                <w:noProof/>
                <w:sz w:val="20"/>
                <w:szCs w:val="20"/>
                <w:lang w:eastAsia="lv-LV"/>
              </w:rPr>
              <w:t>,</w:t>
            </w:r>
            <w:r w:rsidR="00C151F5">
              <w:rPr>
                <w:rFonts w:ascii="Times New Roman" w:eastAsia="Times New Roman" w:hAnsi="Times New Roman" w:cs="Times New Roman"/>
                <w:noProof/>
                <w:sz w:val="20"/>
                <w:szCs w:val="20"/>
                <w:lang w:eastAsia="lv-LV"/>
              </w:rPr>
              <w:t>3</w:t>
            </w:r>
          </w:p>
        </w:tc>
        <w:tc>
          <w:tcPr>
            <w:tcW w:w="772" w:type="dxa"/>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noProof/>
                <w:sz w:val="20"/>
                <w:szCs w:val="20"/>
                <w:lang w:eastAsia="lv-LV"/>
              </w:rPr>
            </w:pPr>
            <w:r w:rsidRPr="00DE4428">
              <w:rPr>
                <w:rFonts w:ascii="Times New Roman" w:eastAsia="Times New Roman" w:hAnsi="Times New Roman" w:cs="Times New Roman"/>
                <w:noProof/>
                <w:sz w:val="20"/>
                <w:szCs w:val="20"/>
                <w:lang w:eastAsia="lv-LV"/>
              </w:rPr>
              <w:t>9551,2</w:t>
            </w:r>
          </w:p>
        </w:tc>
        <w:tc>
          <w:tcPr>
            <w:tcW w:w="772" w:type="dxa"/>
            <w:shd w:val="clear" w:color="auto" w:fill="auto"/>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noProof/>
                <w:sz w:val="20"/>
                <w:szCs w:val="20"/>
                <w:lang w:eastAsia="lv-LV"/>
              </w:rPr>
            </w:pPr>
            <w:r w:rsidRPr="00DE4428">
              <w:rPr>
                <w:rFonts w:ascii="Times New Roman" w:eastAsia="Times New Roman" w:hAnsi="Times New Roman" w:cs="Times New Roman"/>
                <w:noProof/>
                <w:sz w:val="20"/>
                <w:szCs w:val="20"/>
                <w:lang w:eastAsia="lv-LV"/>
              </w:rPr>
              <w:t>10014,7</w:t>
            </w:r>
          </w:p>
        </w:tc>
        <w:tc>
          <w:tcPr>
            <w:tcW w:w="772" w:type="dxa"/>
            <w:shd w:val="clear" w:color="auto" w:fill="auto"/>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noProof/>
                <w:sz w:val="20"/>
                <w:szCs w:val="20"/>
                <w:lang w:eastAsia="lv-LV"/>
              </w:rPr>
            </w:pPr>
            <w:r w:rsidRPr="00DE4428">
              <w:rPr>
                <w:rFonts w:ascii="Times New Roman" w:eastAsia="Times New Roman" w:hAnsi="Times New Roman" w:cs="Times New Roman"/>
                <w:noProof/>
                <w:sz w:val="20"/>
                <w:szCs w:val="20"/>
                <w:lang w:eastAsia="lv-LV"/>
              </w:rPr>
              <w:t>0,0</w:t>
            </w:r>
          </w:p>
        </w:tc>
        <w:tc>
          <w:tcPr>
            <w:tcW w:w="772" w:type="dxa"/>
            <w:shd w:val="clear" w:color="auto" w:fill="auto"/>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noProof/>
                <w:sz w:val="20"/>
                <w:szCs w:val="20"/>
                <w:lang w:eastAsia="lv-LV"/>
              </w:rPr>
            </w:pPr>
            <w:r w:rsidRPr="00DE4428">
              <w:rPr>
                <w:rFonts w:ascii="Times New Roman" w:eastAsia="Times New Roman" w:hAnsi="Times New Roman" w:cs="Times New Roman"/>
                <w:noProof/>
                <w:sz w:val="20"/>
                <w:szCs w:val="20"/>
                <w:lang w:eastAsia="lv-LV"/>
              </w:rPr>
              <w:t>-48,4</w:t>
            </w:r>
          </w:p>
        </w:tc>
        <w:tc>
          <w:tcPr>
            <w:tcW w:w="772" w:type="dxa"/>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noProof/>
                <w:sz w:val="20"/>
                <w:szCs w:val="20"/>
                <w:lang w:eastAsia="lv-LV"/>
              </w:rPr>
            </w:pPr>
            <w:r w:rsidRPr="00DE4428">
              <w:rPr>
                <w:rFonts w:ascii="Times New Roman" w:eastAsia="Times New Roman" w:hAnsi="Times New Roman" w:cs="Times New Roman"/>
                <w:noProof/>
                <w:sz w:val="20"/>
                <w:szCs w:val="20"/>
                <w:lang w:eastAsia="lv-LV"/>
              </w:rPr>
              <w:t>-140,3</w:t>
            </w:r>
          </w:p>
        </w:tc>
        <w:tc>
          <w:tcPr>
            <w:tcW w:w="772" w:type="dxa"/>
            <w:shd w:val="clear" w:color="auto" w:fill="auto"/>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noProof/>
                <w:sz w:val="20"/>
                <w:szCs w:val="20"/>
                <w:lang w:eastAsia="lv-LV"/>
              </w:rPr>
            </w:pPr>
            <w:r w:rsidRPr="00DE4428">
              <w:rPr>
                <w:rFonts w:ascii="Times New Roman" w:eastAsia="Times New Roman" w:hAnsi="Times New Roman" w:cs="Times New Roman"/>
                <w:noProof/>
                <w:sz w:val="20"/>
                <w:szCs w:val="20"/>
                <w:lang w:eastAsia="lv-LV"/>
              </w:rPr>
              <w:t>-192,1</w:t>
            </w:r>
          </w:p>
        </w:tc>
      </w:tr>
      <w:tr w:rsidR="00674CB9" w:rsidRPr="00DE4428" w:rsidTr="00674CB9">
        <w:trPr>
          <w:trHeight w:val="315"/>
          <w:jc w:val="center"/>
        </w:trPr>
        <w:tc>
          <w:tcPr>
            <w:tcW w:w="2752" w:type="dxa"/>
            <w:shd w:val="clear" w:color="auto" w:fill="auto"/>
            <w:vAlign w:val="center"/>
          </w:tcPr>
          <w:p w:rsidR="00674CB9" w:rsidRPr="00DE4428" w:rsidRDefault="00674CB9" w:rsidP="00DE4428">
            <w:pPr>
              <w:spacing w:after="0" w:line="240" w:lineRule="auto"/>
              <w:ind w:left="166"/>
              <w:rPr>
                <w:rFonts w:ascii="Times New Roman" w:eastAsia="Times New Roman" w:hAnsi="Times New Roman" w:cs="Times New Roman"/>
                <w:noProof/>
                <w:sz w:val="20"/>
                <w:szCs w:val="20"/>
                <w:lang w:eastAsia="lv-LV"/>
              </w:rPr>
            </w:pPr>
            <w:r w:rsidRPr="00DE4428">
              <w:rPr>
                <w:rFonts w:ascii="Times New Roman" w:eastAsia="Times New Roman" w:hAnsi="Times New Roman" w:cs="Times New Roman"/>
                <w:noProof/>
                <w:sz w:val="20"/>
                <w:szCs w:val="20"/>
                <w:lang w:eastAsia="lv-LV"/>
              </w:rPr>
              <w:t>Nenodokļu ieņēmumi</w:t>
            </w:r>
          </w:p>
        </w:tc>
        <w:tc>
          <w:tcPr>
            <w:tcW w:w="771" w:type="dxa"/>
            <w:shd w:val="clear" w:color="auto" w:fill="auto"/>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noProof/>
                <w:sz w:val="20"/>
                <w:szCs w:val="20"/>
                <w:lang w:eastAsia="lv-LV"/>
              </w:rPr>
            </w:pPr>
            <w:r w:rsidRPr="00DE4428">
              <w:rPr>
                <w:rFonts w:ascii="Times New Roman" w:eastAsia="Times New Roman" w:hAnsi="Times New Roman" w:cs="Times New Roman"/>
                <w:noProof/>
                <w:sz w:val="20"/>
                <w:szCs w:val="20"/>
                <w:lang w:eastAsia="lv-LV"/>
              </w:rPr>
              <w:t>717,7</w:t>
            </w:r>
          </w:p>
        </w:tc>
        <w:tc>
          <w:tcPr>
            <w:tcW w:w="771" w:type="dxa"/>
            <w:shd w:val="clear" w:color="auto" w:fill="auto"/>
            <w:tcMar>
              <w:left w:w="57" w:type="dxa"/>
              <w:right w:w="57" w:type="dxa"/>
            </w:tcMar>
            <w:vAlign w:val="center"/>
          </w:tcPr>
          <w:p w:rsidR="00674CB9" w:rsidRPr="00DE4428" w:rsidRDefault="00674CB9" w:rsidP="00C151F5">
            <w:pPr>
              <w:spacing w:after="0" w:line="240" w:lineRule="auto"/>
              <w:jc w:val="right"/>
              <w:rPr>
                <w:rFonts w:ascii="Times New Roman" w:eastAsia="Times New Roman" w:hAnsi="Times New Roman" w:cs="Times New Roman"/>
                <w:noProof/>
                <w:sz w:val="20"/>
                <w:szCs w:val="20"/>
                <w:lang w:eastAsia="lv-LV"/>
              </w:rPr>
            </w:pPr>
            <w:r w:rsidRPr="00DE4428">
              <w:rPr>
                <w:rFonts w:ascii="Times New Roman" w:eastAsia="Times New Roman" w:hAnsi="Times New Roman" w:cs="Times New Roman"/>
                <w:noProof/>
                <w:sz w:val="20"/>
                <w:szCs w:val="20"/>
                <w:lang w:eastAsia="lv-LV"/>
              </w:rPr>
              <w:t>59</w:t>
            </w:r>
            <w:r w:rsidR="00C151F5">
              <w:rPr>
                <w:rFonts w:ascii="Times New Roman" w:eastAsia="Times New Roman" w:hAnsi="Times New Roman" w:cs="Times New Roman"/>
                <w:noProof/>
                <w:sz w:val="20"/>
                <w:szCs w:val="20"/>
                <w:lang w:eastAsia="lv-LV"/>
              </w:rPr>
              <w:t>6</w:t>
            </w:r>
            <w:r w:rsidRPr="00DE4428">
              <w:rPr>
                <w:rFonts w:ascii="Times New Roman" w:eastAsia="Times New Roman" w:hAnsi="Times New Roman" w:cs="Times New Roman"/>
                <w:noProof/>
                <w:sz w:val="20"/>
                <w:szCs w:val="20"/>
                <w:lang w:eastAsia="lv-LV"/>
              </w:rPr>
              <w:t>,</w:t>
            </w:r>
            <w:r w:rsidR="00C151F5">
              <w:rPr>
                <w:rFonts w:ascii="Times New Roman" w:eastAsia="Times New Roman" w:hAnsi="Times New Roman" w:cs="Times New Roman"/>
                <w:noProof/>
                <w:sz w:val="20"/>
                <w:szCs w:val="20"/>
                <w:lang w:eastAsia="lv-LV"/>
              </w:rPr>
              <w:t>7</w:t>
            </w:r>
          </w:p>
        </w:tc>
        <w:tc>
          <w:tcPr>
            <w:tcW w:w="772" w:type="dxa"/>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noProof/>
                <w:sz w:val="20"/>
                <w:szCs w:val="20"/>
                <w:lang w:eastAsia="lv-LV"/>
              </w:rPr>
            </w:pPr>
            <w:r w:rsidRPr="00DE4428">
              <w:rPr>
                <w:rFonts w:ascii="Times New Roman" w:eastAsia="Times New Roman" w:hAnsi="Times New Roman" w:cs="Times New Roman"/>
                <w:noProof/>
                <w:sz w:val="20"/>
                <w:szCs w:val="20"/>
                <w:lang w:eastAsia="lv-LV"/>
              </w:rPr>
              <w:t>525,0</w:t>
            </w:r>
          </w:p>
        </w:tc>
        <w:tc>
          <w:tcPr>
            <w:tcW w:w="772" w:type="dxa"/>
            <w:shd w:val="clear" w:color="auto" w:fill="auto"/>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noProof/>
                <w:sz w:val="20"/>
                <w:szCs w:val="20"/>
                <w:lang w:eastAsia="lv-LV"/>
              </w:rPr>
            </w:pPr>
            <w:r w:rsidRPr="00DE4428">
              <w:rPr>
                <w:rFonts w:ascii="Times New Roman" w:eastAsia="Times New Roman" w:hAnsi="Times New Roman" w:cs="Times New Roman"/>
                <w:noProof/>
                <w:sz w:val="20"/>
                <w:szCs w:val="20"/>
                <w:lang w:eastAsia="lv-LV"/>
              </w:rPr>
              <w:t>425,9</w:t>
            </w:r>
          </w:p>
        </w:tc>
        <w:tc>
          <w:tcPr>
            <w:tcW w:w="772" w:type="dxa"/>
            <w:shd w:val="clear" w:color="auto" w:fill="auto"/>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noProof/>
                <w:sz w:val="20"/>
                <w:szCs w:val="20"/>
                <w:lang w:eastAsia="lv-LV"/>
              </w:rPr>
            </w:pPr>
            <w:r w:rsidRPr="00DE4428">
              <w:rPr>
                <w:rFonts w:ascii="Times New Roman" w:eastAsia="Times New Roman" w:hAnsi="Times New Roman" w:cs="Times New Roman"/>
                <w:noProof/>
                <w:sz w:val="20"/>
                <w:szCs w:val="20"/>
                <w:lang w:eastAsia="lv-LV"/>
              </w:rPr>
              <w:t>0,0</w:t>
            </w:r>
          </w:p>
        </w:tc>
        <w:tc>
          <w:tcPr>
            <w:tcW w:w="772" w:type="dxa"/>
            <w:shd w:val="clear" w:color="auto" w:fill="auto"/>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noProof/>
                <w:sz w:val="20"/>
                <w:szCs w:val="20"/>
                <w:lang w:eastAsia="lv-LV"/>
              </w:rPr>
            </w:pPr>
            <w:r w:rsidRPr="00DE4428">
              <w:rPr>
                <w:rFonts w:ascii="Times New Roman" w:eastAsia="Times New Roman" w:hAnsi="Times New Roman" w:cs="Times New Roman"/>
                <w:noProof/>
                <w:sz w:val="20"/>
                <w:szCs w:val="20"/>
                <w:lang w:eastAsia="lv-LV"/>
              </w:rPr>
              <w:t>-2,7</w:t>
            </w:r>
          </w:p>
        </w:tc>
        <w:tc>
          <w:tcPr>
            <w:tcW w:w="772" w:type="dxa"/>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noProof/>
                <w:sz w:val="20"/>
                <w:szCs w:val="20"/>
                <w:lang w:eastAsia="lv-LV"/>
              </w:rPr>
            </w:pPr>
            <w:r w:rsidRPr="00DE4428">
              <w:rPr>
                <w:rFonts w:ascii="Times New Roman" w:eastAsia="Times New Roman" w:hAnsi="Times New Roman" w:cs="Times New Roman"/>
                <w:noProof/>
                <w:sz w:val="20"/>
                <w:szCs w:val="20"/>
                <w:lang w:eastAsia="lv-LV"/>
              </w:rPr>
              <w:t>-6,5</w:t>
            </w:r>
          </w:p>
        </w:tc>
        <w:tc>
          <w:tcPr>
            <w:tcW w:w="772" w:type="dxa"/>
            <w:shd w:val="clear" w:color="auto" w:fill="auto"/>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noProof/>
                <w:sz w:val="20"/>
                <w:szCs w:val="20"/>
                <w:lang w:eastAsia="lv-LV"/>
              </w:rPr>
            </w:pPr>
            <w:r w:rsidRPr="00DE4428">
              <w:rPr>
                <w:rFonts w:ascii="Times New Roman" w:eastAsia="Times New Roman" w:hAnsi="Times New Roman" w:cs="Times New Roman"/>
                <w:noProof/>
                <w:sz w:val="20"/>
                <w:szCs w:val="20"/>
                <w:lang w:eastAsia="lv-LV"/>
              </w:rPr>
              <w:t>-6,5</w:t>
            </w:r>
          </w:p>
        </w:tc>
      </w:tr>
      <w:tr w:rsidR="00674CB9" w:rsidRPr="00DE4428" w:rsidTr="00674CB9">
        <w:trPr>
          <w:trHeight w:val="246"/>
          <w:jc w:val="center"/>
        </w:trPr>
        <w:tc>
          <w:tcPr>
            <w:tcW w:w="2752" w:type="dxa"/>
            <w:tcBorders>
              <w:bottom w:val="double" w:sz="4" w:space="0" w:color="auto"/>
            </w:tcBorders>
            <w:shd w:val="clear" w:color="auto" w:fill="auto"/>
            <w:vAlign w:val="center"/>
          </w:tcPr>
          <w:p w:rsidR="00674CB9" w:rsidRPr="00DE4428" w:rsidRDefault="00674CB9" w:rsidP="00DE4428">
            <w:pPr>
              <w:spacing w:after="0" w:line="240" w:lineRule="auto"/>
              <w:ind w:left="166"/>
              <w:rPr>
                <w:rFonts w:ascii="Times New Roman" w:eastAsia="Times New Roman" w:hAnsi="Times New Roman" w:cs="Times New Roman"/>
                <w:noProof/>
                <w:sz w:val="20"/>
                <w:szCs w:val="20"/>
                <w:lang w:eastAsia="lv-LV"/>
              </w:rPr>
            </w:pPr>
            <w:r w:rsidRPr="00DE4428">
              <w:rPr>
                <w:rFonts w:ascii="Times New Roman" w:eastAsia="Times New Roman" w:hAnsi="Times New Roman" w:cs="Times New Roman"/>
                <w:noProof/>
                <w:sz w:val="20"/>
                <w:szCs w:val="20"/>
                <w:lang w:eastAsia="lv-LV"/>
              </w:rPr>
              <w:t>Procentu izdevumi</w:t>
            </w:r>
          </w:p>
        </w:tc>
        <w:tc>
          <w:tcPr>
            <w:tcW w:w="771" w:type="dxa"/>
            <w:tcBorders>
              <w:bottom w:val="double" w:sz="4" w:space="0" w:color="auto"/>
            </w:tcBorders>
            <w:shd w:val="clear" w:color="auto" w:fill="auto"/>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noProof/>
                <w:sz w:val="20"/>
                <w:szCs w:val="20"/>
                <w:lang w:eastAsia="lv-LV"/>
              </w:rPr>
            </w:pPr>
            <w:r w:rsidRPr="00DE4428">
              <w:rPr>
                <w:rFonts w:ascii="Times New Roman" w:eastAsia="Times New Roman" w:hAnsi="Times New Roman" w:cs="Times New Roman"/>
                <w:noProof/>
                <w:sz w:val="20"/>
                <w:szCs w:val="20"/>
                <w:lang w:eastAsia="lv-LV"/>
              </w:rPr>
              <w:t>275,7</w:t>
            </w:r>
          </w:p>
        </w:tc>
        <w:tc>
          <w:tcPr>
            <w:tcW w:w="771" w:type="dxa"/>
            <w:tcBorders>
              <w:bottom w:val="double" w:sz="4" w:space="0" w:color="auto"/>
            </w:tcBorders>
            <w:shd w:val="clear" w:color="auto" w:fill="auto"/>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noProof/>
                <w:sz w:val="20"/>
                <w:szCs w:val="20"/>
                <w:lang w:eastAsia="lv-LV"/>
              </w:rPr>
            </w:pPr>
            <w:r w:rsidRPr="00DE4428">
              <w:rPr>
                <w:rFonts w:ascii="Times New Roman" w:eastAsia="Times New Roman" w:hAnsi="Times New Roman" w:cs="Times New Roman"/>
                <w:noProof/>
                <w:sz w:val="20"/>
                <w:szCs w:val="20"/>
                <w:lang w:eastAsia="lv-LV"/>
              </w:rPr>
              <w:t>224,4</w:t>
            </w:r>
          </w:p>
        </w:tc>
        <w:tc>
          <w:tcPr>
            <w:tcW w:w="772" w:type="dxa"/>
            <w:tcBorders>
              <w:bottom w:val="double" w:sz="4" w:space="0" w:color="auto"/>
            </w:tcBorders>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noProof/>
                <w:sz w:val="20"/>
                <w:szCs w:val="20"/>
                <w:lang w:eastAsia="lv-LV"/>
              </w:rPr>
            </w:pPr>
            <w:r w:rsidRPr="00DE4428">
              <w:rPr>
                <w:rFonts w:ascii="Times New Roman" w:eastAsia="Times New Roman" w:hAnsi="Times New Roman" w:cs="Times New Roman"/>
                <w:noProof/>
                <w:sz w:val="20"/>
                <w:szCs w:val="20"/>
                <w:lang w:eastAsia="lv-LV"/>
              </w:rPr>
              <w:t>257,1</w:t>
            </w:r>
          </w:p>
        </w:tc>
        <w:tc>
          <w:tcPr>
            <w:tcW w:w="772" w:type="dxa"/>
            <w:tcBorders>
              <w:bottom w:val="double" w:sz="4" w:space="0" w:color="auto"/>
            </w:tcBorders>
            <w:shd w:val="clear" w:color="auto" w:fill="auto"/>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noProof/>
                <w:sz w:val="20"/>
                <w:szCs w:val="20"/>
                <w:lang w:eastAsia="lv-LV"/>
              </w:rPr>
            </w:pPr>
            <w:r w:rsidRPr="00DE4428">
              <w:rPr>
                <w:rFonts w:ascii="Times New Roman" w:eastAsia="Times New Roman" w:hAnsi="Times New Roman" w:cs="Times New Roman"/>
                <w:noProof/>
                <w:sz w:val="20"/>
                <w:szCs w:val="20"/>
                <w:lang w:eastAsia="lv-LV"/>
              </w:rPr>
              <w:t>281,8</w:t>
            </w:r>
          </w:p>
        </w:tc>
        <w:tc>
          <w:tcPr>
            <w:tcW w:w="772" w:type="dxa"/>
            <w:tcBorders>
              <w:bottom w:val="double" w:sz="4" w:space="0" w:color="auto"/>
            </w:tcBorders>
            <w:shd w:val="clear" w:color="auto" w:fill="auto"/>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noProof/>
                <w:sz w:val="20"/>
                <w:szCs w:val="20"/>
                <w:lang w:eastAsia="lv-LV"/>
              </w:rPr>
            </w:pPr>
            <w:r w:rsidRPr="00DE4428">
              <w:rPr>
                <w:rFonts w:ascii="Times New Roman" w:eastAsia="Times New Roman" w:hAnsi="Times New Roman" w:cs="Times New Roman"/>
                <w:noProof/>
                <w:sz w:val="20"/>
                <w:szCs w:val="20"/>
                <w:lang w:eastAsia="lv-LV"/>
              </w:rPr>
              <w:t>0,0</w:t>
            </w:r>
          </w:p>
        </w:tc>
        <w:tc>
          <w:tcPr>
            <w:tcW w:w="772" w:type="dxa"/>
            <w:tcBorders>
              <w:bottom w:val="double" w:sz="4" w:space="0" w:color="auto"/>
            </w:tcBorders>
            <w:shd w:val="clear" w:color="auto" w:fill="auto"/>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noProof/>
                <w:sz w:val="20"/>
                <w:szCs w:val="20"/>
                <w:lang w:eastAsia="lv-LV"/>
              </w:rPr>
            </w:pPr>
            <w:r w:rsidRPr="00DE4428">
              <w:rPr>
                <w:rFonts w:ascii="Times New Roman" w:eastAsia="Times New Roman" w:hAnsi="Times New Roman" w:cs="Times New Roman"/>
                <w:noProof/>
                <w:sz w:val="20"/>
                <w:szCs w:val="20"/>
                <w:lang w:eastAsia="lv-LV"/>
              </w:rPr>
              <w:t>0,0</w:t>
            </w:r>
          </w:p>
        </w:tc>
        <w:tc>
          <w:tcPr>
            <w:tcW w:w="772" w:type="dxa"/>
            <w:tcBorders>
              <w:bottom w:val="double" w:sz="4" w:space="0" w:color="auto"/>
            </w:tcBorders>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noProof/>
                <w:sz w:val="20"/>
                <w:szCs w:val="20"/>
                <w:lang w:eastAsia="lv-LV"/>
              </w:rPr>
            </w:pPr>
            <w:r w:rsidRPr="00DE4428">
              <w:rPr>
                <w:rFonts w:ascii="Times New Roman" w:eastAsia="Times New Roman" w:hAnsi="Times New Roman" w:cs="Times New Roman"/>
                <w:noProof/>
                <w:sz w:val="20"/>
                <w:szCs w:val="20"/>
                <w:lang w:eastAsia="lv-LV"/>
              </w:rPr>
              <w:t>1,6</w:t>
            </w:r>
          </w:p>
        </w:tc>
        <w:tc>
          <w:tcPr>
            <w:tcW w:w="772" w:type="dxa"/>
            <w:tcBorders>
              <w:bottom w:val="double" w:sz="4" w:space="0" w:color="auto"/>
            </w:tcBorders>
            <w:shd w:val="clear" w:color="auto" w:fill="auto"/>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noProof/>
                <w:sz w:val="20"/>
                <w:szCs w:val="20"/>
                <w:lang w:eastAsia="lv-LV"/>
              </w:rPr>
            </w:pPr>
            <w:r w:rsidRPr="00DE4428">
              <w:rPr>
                <w:rFonts w:ascii="Times New Roman" w:eastAsia="Times New Roman" w:hAnsi="Times New Roman" w:cs="Times New Roman"/>
                <w:noProof/>
                <w:sz w:val="20"/>
                <w:szCs w:val="20"/>
                <w:lang w:eastAsia="lv-LV"/>
              </w:rPr>
              <w:t>6,1</w:t>
            </w:r>
          </w:p>
        </w:tc>
      </w:tr>
      <w:tr w:rsidR="00674CB9" w:rsidRPr="00DE4428" w:rsidTr="00674CB9">
        <w:trPr>
          <w:trHeight w:val="495"/>
          <w:jc w:val="center"/>
        </w:trPr>
        <w:tc>
          <w:tcPr>
            <w:tcW w:w="2752" w:type="dxa"/>
            <w:tcBorders>
              <w:top w:val="double" w:sz="4" w:space="0" w:color="auto"/>
              <w:left w:val="single" w:sz="4" w:space="0" w:color="auto"/>
            </w:tcBorders>
            <w:shd w:val="clear" w:color="auto" w:fill="auto"/>
            <w:vAlign w:val="center"/>
          </w:tcPr>
          <w:p w:rsidR="00674CB9" w:rsidRPr="00DE4428" w:rsidRDefault="00674CB9" w:rsidP="00DE4428">
            <w:pPr>
              <w:spacing w:after="0" w:line="240" w:lineRule="auto"/>
              <w:rPr>
                <w:rFonts w:ascii="Times New Roman" w:eastAsia="Times New Roman" w:hAnsi="Times New Roman" w:cs="Times New Roman"/>
                <w:noProof/>
                <w:sz w:val="20"/>
                <w:szCs w:val="20"/>
                <w:lang w:eastAsia="lv-LV"/>
              </w:rPr>
            </w:pPr>
            <w:r w:rsidRPr="00DE4428">
              <w:rPr>
                <w:rFonts w:ascii="Times New Roman" w:eastAsia="Times New Roman" w:hAnsi="Times New Roman" w:cs="Times New Roman"/>
                <w:noProof/>
                <w:sz w:val="20"/>
                <w:szCs w:val="20"/>
                <w:lang w:eastAsia="lv-LV"/>
              </w:rPr>
              <w:lastRenderedPageBreak/>
              <w:t xml:space="preserve">   Procentu izdevumi</w:t>
            </w:r>
            <w:r w:rsidRPr="00DE4428">
              <w:rPr>
                <w:rFonts w:ascii="Times New Roman" w:eastAsia="Times New Roman" w:hAnsi="Times New Roman" w:cs="Times New Roman"/>
                <w:noProof/>
                <w:sz w:val="20"/>
                <w:szCs w:val="20"/>
                <w:lang w:eastAsia="lv-LV"/>
              </w:rPr>
              <w:br/>
              <w:t xml:space="preserve">  (% likmes paliel. par 1 pp)</w:t>
            </w:r>
          </w:p>
        </w:tc>
        <w:tc>
          <w:tcPr>
            <w:tcW w:w="771" w:type="dxa"/>
            <w:tcBorders>
              <w:top w:val="double" w:sz="4" w:space="0" w:color="auto"/>
            </w:tcBorders>
            <w:shd w:val="clear" w:color="auto" w:fill="auto"/>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sz w:val="20"/>
                <w:szCs w:val="20"/>
                <w:lang w:eastAsia="lv-LV"/>
              </w:rPr>
            </w:pPr>
            <w:r w:rsidRPr="00DE4428">
              <w:rPr>
                <w:rFonts w:ascii="Times New Roman" w:eastAsia="Times New Roman" w:hAnsi="Times New Roman" w:cs="Times New Roman"/>
                <w:sz w:val="20"/>
                <w:szCs w:val="20"/>
                <w:lang w:eastAsia="lv-LV"/>
              </w:rPr>
              <w:t>275,7</w:t>
            </w:r>
          </w:p>
        </w:tc>
        <w:tc>
          <w:tcPr>
            <w:tcW w:w="771" w:type="dxa"/>
            <w:tcBorders>
              <w:top w:val="double" w:sz="4" w:space="0" w:color="auto"/>
            </w:tcBorders>
            <w:shd w:val="clear" w:color="auto" w:fill="auto"/>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sz w:val="20"/>
                <w:szCs w:val="20"/>
                <w:lang w:eastAsia="lv-LV"/>
              </w:rPr>
            </w:pPr>
            <w:r w:rsidRPr="00DE4428">
              <w:rPr>
                <w:rFonts w:ascii="Times New Roman" w:eastAsia="Times New Roman" w:hAnsi="Times New Roman" w:cs="Times New Roman"/>
                <w:sz w:val="20"/>
                <w:szCs w:val="20"/>
                <w:lang w:eastAsia="lv-LV"/>
              </w:rPr>
              <w:t>224,4</w:t>
            </w:r>
          </w:p>
        </w:tc>
        <w:tc>
          <w:tcPr>
            <w:tcW w:w="772" w:type="dxa"/>
            <w:tcBorders>
              <w:top w:val="double" w:sz="4" w:space="0" w:color="auto"/>
            </w:tcBorders>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sz w:val="20"/>
                <w:szCs w:val="20"/>
                <w:lang w:eastAsia="lv-LV"/>
              </w:rPr>
            </w:pPr>
            <w:r w:rsidRPr="00DE4428">
              <w:rPr>
                <w:rFonts w:ascii="Times New Roman" w:eastAsia="Times New Roman" w:hAnsi="Times New Roman" w:cs="Times New Roman"/>
                <w:sz w:val="20"/>
                <w:szCs w:val="20"/>
                <w:lang w:eastAsia="lv-LV"/>
              </w:rPr>
              <w:t>263,2</w:t>
            </w:r>
          </w:p>
        </w:tc>
        <w:tc>
          <w:tcPr>
            <w:tcW w:w="772" w:type="dxa"/>
            <w:tcBorders>
              <w:top w:val="double" w:sz="4" w:space="0" w:color="auto"/>
            </w:tcBorders>
            <w:shd w:val="clear" w:color="auto" w:fill="auto"/>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sz w:val="20"/>
                <w:szCs w:val="20"/>
                <w:lang w:eastAsia="lv-LV"/>
              </w:rPr>
            </w:pPr>
            <w:r w:rsidRPr="00DE4428">
              <w:rPr>
                <w:rFonts w:ascii="Times New Roman" w:eastAsia="Times New Roman" w:hAnsi="Times New Roman" w:cs="Times New Roman"/>
                <w:sz w:val="20"/>
                <w:szCs w:val="20"/>
                <w:lang w:eastAsia="lv-LV"/>
              </w:rPr>
              <w:t>310,3</w:t>
            </w:r>
          </w:p>
        </w:tc>
        <w:tc>
          <w:tcPr>
            <w:tcW w:w="772" w:type="dxa"/>
            <w:tcBorders>
              <w:top w:val="double" w:sz="4" w:space="0" w:color="auto"/>
            </w:tcBorders>
            <w:shd w:val="clear" w:color="auto" w:fill="auto"/>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sz w:val="20"/>
                <w:szCs w:val="20"/>
                <w:lang w:eastAsia="lv-LV"/>
              </w:rPr>
            </w:pPr>
            <w:r w:rsidRPr="00DE4428">
              <w:rPr>
                <w:rFonts w:ascii="Times New Roman" w:eastAsia="Times New Roman" w:hAnsi="Times New Roman" w:cs="Times New Roman"/>
                <w:sz w:val="20"/>
                <w:szCs w:val="20"/>
                <w:lang w:eastAsia="lv-LV"/>
              </w:rPr>
              <w:t>0,0</w:t>
            </w:r>
          </w:p>
        </w:tc>
        <w:tc>
          <w:tcPr>
            <w:tcW w:w="772" w:type="dxa"/>
            <w:tcBorders>
              <w:top w:val="double" w:sz="4" w:space="0" w:color="auto"/>
            </w:tcBorders>
            <w:shd w:val="clear" w:color="auto" w:fill="auto"/>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sz w:val="20"/>
                <w:szCs w:val="20"/>
                <w:lang w:eastAsia="lv-LV"/>
              </w:rPr>
            </w:pPr>
            <w:r w:rsidRPr="00DE4428">
              <w:rPr>
                <w:rFonts w:ascii="Times New Roman" w:eastAsia="Times New Roman" w:hAnsi="Times New Roman" w:cs="Times New Roman"/>
                <w:sz w:val="20"/>
                <w:szCs w:val="20"/>
                <w:lang w:eastAsia="lv-LV"/>
              </w:rPr>
              <w:t>0,0</w:t>
            </w:r>
          </w:p>
        </w:tc>
        <w:tc>
          <w:tcPr>
            <w:tcW w:w="772" w:type="dxa"/>
            <w:tcBorders>
              <w:top w:val="double" w:sz="4" w:space="0" w:color="auto"/>
            </w:tcBorders>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sz w:val="20"/>
                <w:szCs w:val="20"/>
                <w:lang w:eastAsia="lv-LV"/>
              </w:rPr>
            </w:pPr>
            <w:r w:rsidRPr="00DE4428">
              <w:rPr>
                <w:rFonts w:ascii="Times New Roman" w:eastAsia="Times New Roman" w:hAnsi="Times New Roman" w:cs="Times New Roman"/>
                <w:sz w:val="20"/>
                <w:szCs w:val="20"/>
                <w:lang w:eastAsia="lv-LV"/>
              </w:rPr>
              <w:t>7,7</w:t>
            </w:r>
          </w:p>
        </w:tc>
        <w:tc>
          <w:tcPr>
            <w:tcW w:w="772" w:type="dxa"/>
            <w:tcBorders>
              <w:top w:val="double" w:sz="4" w:space="0" w:color="auto"/>
              <w:right w:val="single" w:sz="4" w:space="0" w:color="auto"/>
            </w:tcBorders>
            <w:shd w:val="clear" w:color="auto" w:fill="auto"/>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sz w:val="20"/>
                <w:szCs w:val="20"/>
                <w:lang w:eastAsia="lv-LV"/>
              </w:rPr>
            </w:pPr>
            <w:r w:rsidRPr="00DE4428">
              <w:rPr>
                <w:rFonts w:ascii="Times New Roman" w:eastAsia="Times New Roman" w:hAnsi="Times New Roman" w:cs="Times New Roman"/>
                <w:sz w:val="20"/>
                <w:szCs w:val="20"/>
                <w:lang w:eastAsia="lv-LV"/>
              </w:rPr>
              <w:t>34,6</w:t>
            </w:r>
          </w:p>
        </w:tc>
      </w:tr>
      <w:tr w:rsidR="00674CB9" w:rsidRPr="00DE4428" w:rsidTr="00674CB9">
        <w:trPr>
          <w:trHeight w:val="495"/>
          <w:jc w:val="center"/>
        </w:trPr>
        <w:tc>
          <w:tcPr>
            <w:tcW w:w="2752" w:type="dxa"/>
            <w:tcBorders>
              <w:left w:val="single" w:sz="4" w:space="0" w:color="auto"/>
              <w:bottom w:val="double" w:sz="4" w:space="0" w:color="auto"/>
            </w:tcBorders>
            <w:shd w:val="clear" w:color="auto" w:fill="auto"/>
            <w:vAlign w:val="center"/>
          </w:tcPr>
          <w:p w:rsidR="00674CB9" w:rsidRPr="00DE4428" w:rsidRDefault="00674CB9" w:rsidP="00DE4428">
            <w:pPr>
              <w:spacing w:after="0" w:line="240" w:lineRule="auto"/>
              <w:rPr>
                <w:rFonts w:ascii="Times New Roman" w:hAnsi="Times New Roman" w:cs="Times New Roman"/>
                <w:noProof/>
                <w:sz w:val="20"/>
                <w:szCs w:val="20"/>
              </w:rPr>
            </w:pPr>
            <w:r w:rsidRPr="00DE4428">
              <w:rPr>
                <w:rFonts w:ascii="Times New Roman" w:eastAsia="Times New Roman" w:hAnsi="Times New Roman" w:cs="Times New Roman"/>
                <w:noProof/>
                <w:sz w:val="20"/>
                <w:szCs w:val="20"/>
                <w:lang w:eastAsia="lv-LV"/>
              </w:rPr>
              <w:t xml:space="preserve">   Procentu izdevumi</w:t>
            </w:r>
            <w:r w:rsidRPr="00DE4428">
              <w:rPr>
                <w:rFonts w:ascii="Times New Roman" w:eastAsia="Times New Roman" w:hAnsi="Times New Roman" w:cs="Times New Roman"/>
                <w:noProof/>
                <w:sz w:val="20"/>
                <w:szCs w:val="20"/>
                <w:lang w:eastAsia="lv-LV"/>
              </w:rPr>
              <w:br/>
              <w:t xml:space="preserve">   (% likmes samaz. par 1 pp)</w:t>
            </w:r>
          </w:p>
        </w:tc>
        <w:tc>
          <w:tcPr>
            <w:tcW w:w="771" w:type="dxa"/>
            <w:tcBorders>
              <w:bottom w:val="double" w:sz="4" w:space="0" w:color="auto"/>
            </w:tcBorders>
            <w:shd w:val="clear" w:color="auto" w:fill="auto"/>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sz w:val="20"/>
                <w:szCs w:val="20"/>
                <w:lang w:eastAsia="lv-LV"/>
              </w:rPr>
            </w:pPr>
            <w:r w:rsidRPr="00DE4428">
              <w:rPr>
                <w:rFonts w:ascii="Times New Roman" w:eastAsia="Times New Roman" w:hAnsi="Times New Roman" w:cs="Times New Roman"/>
                <w:sz w:val="20"/>
                <w:szCs w:val="20"/>
                <w:lang w:eastAsia="lv-LV"/>
              </w:rPr>
              <w:t>275,7</w:t>
            </w:r>
          </w:p>
        </w:tc>
        <w:tc>
          <w:tcPr>
            <w:tcW w:w="771" w:type="dxa"/>
            <w:tcBorders>
              <w:bottom w:val="double" w:sz="4" w:space="0" w:color="auto"/>
            </w:tcBorders>
            <w:shd w:val="clear" w:color="auto" w:fill="auto"/>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sz w:val="20"/>
                <w:szCs w:val="20"/>
                <w:lang w:eastAsia="lv-LV"/>
              </w:rPr>
            </w:pPr>
            <w:r w:rsidRPr="00DE4428">
              <w:rPr>
                <w:rFonts w:ascii="Times New Roman" w:eastAsia="Times New Roman" w:hAnsi="Times New Roman" w:cs="Times New Roman"/>
                <w:sz w:val="20"/>
                <w:szCs w:val="20"/>
                <w:lang w:eastAsia="lv-LV"/>
              </w:rPr>
              <w:t>224,4</w:t>
            </w:r>
          </w:p>
        </w:tc>
        <w:tc>
          <w:tcPr>
            <w:tcW w:w="772" w:type="dxa"/>
            <w:tcBorders>
              <w:bottom w:val="double" w:sz="4" w:space="0" w:color="auto"/>
            </w:tcBorders>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sz w:val="20"/>
                <w:szCs w:val="20"/>
                <w:lang w:eastAsia="lv-LV"/>
              </w:rPr>
            </w:pPr>
            <w:r w:rsidRPr="00DE4428">
              <w:rPr>
                <w:rFonts w:ascii="Times New Roman" w:eastAsia="Times New Roman" w:hAnsi="Times New Roman" w:cs="Times New Roman"/>
                <w:sz w:val="20"/>
                <w:szCs w:val="20"/>
                <w:lang w:eastAsia="lv-LV"/>
              </w:rPr>
              <w:t>251,0</w:t>
            </w:r>
          </w:p>
        </w:tc>
        <w:tc>
          <w:tcPr>
            <w:tcW w:w="772" w:type="dxa"/>
            <w:tcBorders>
              <w:bottom w:val="double" w:sz="4" w:space="0" w:color="auto"/>
            </w:tcBorders>
            <w:shd w:val="clear" w:color="auto" w:fill="auto"/>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sz w:val="20"/>
                <w:szCs w:val="20"/>
                <w:lang w:eastAsia="lv-LV"/>
              </w:rPr>
            </w:pPr>
            <w:r w:rsidRPr="00DE4428">
              <w:rPr>
                <w:rFonts w:ascii="Times New Roman" w:eastAsia="Times New Roman" w:hAnsi="Times New Roman" w:cs="Times New Roman"/>
                <w:sz w:val="20"/>
                <w:szCs w:val="20"/>
                <w:lang w:eastAsia="lv-LV"/>
              </w:rPr>
              <w:t>253,8</w:t>
            </w:r>
          </w:p>
        </w:tc>
        <w:tc>
          <w:tcPr>
            <w:tcW w:w="772" w:type="dxa"/>
            <w:tcBorders>
              <w:bottom w:val="double" w:sz="4" w:space="0" w:color="auto"/>
            </w:tcBorders>
            <w:shd w:val="clear" w:color="auto" w:fill="auto"/>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sz w:val="20"/>
                <w:szCs w:val="20"/>
                <w:lang w:eastAsia="lv-LV"/>
              </w:rPr>
            </w:pPr>
            <w:r w:rsidRPr="00DE4428">
              <w:rPr>
                <w:rFonts w:ascii="Times New Roman" w:eastAsia="Times New Roman" w:hAnsi="Times New Roman" w:cs="Times New Roman"/>
                <w:sz w:val="20"/>
                <w:szCs w:val="20"/>
                <w:lang w:eastAsia="lv-LV"/>
              </w:rPr>
              <w:t>0,0</w:t>
            </w:r>
          </w:p>
        </w:tc>
        <w:tc>
          <w:tcPr>
            <w:tcW w:w="772" w:type="dxa"/>
            <w:tcBorders>
              <w:bottom w:val="double" w:sz="4" w:space="0" w:color="auto"/>
            </w:tcBorders>
            <w:shd w:val="clear" w:color="auto" w:fill="auto"/>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sz w:val="20"/>
                <w:szCs w:val="20"/>
                <w:lang w:eastAsia="lv-LV"/>
              </w:rPr>
            </w:pPr>
            <w:r w:rsidRPr="00DE4428">
              <w:rPr>
                <w:rFonts w:ascii="Times New Roman" w:eastAsia="Times New Roman" w:hAnsi="Times New Roman" w:cs="Times New Roman"/>
                <w:sz w:val="20"/>
                <w:szCs w:val="20"/>
                <w:lang w:eastAsia="lv-LV"/>
              </w:rPr>
              <w:t>0,0</w:t>
            </w:r>
          </w:p>
        </w:tc>
        <w:tc>
          <w:tcPr>
            <w:tcW w:w="772" w:type="dxa"/>
            <w:tcBorders>
              <w:bottom w:val="double" w:sz="4" w:space="0" w:color="auto"/>
            </w:tcBorders>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sz w:val="20"/>
                <w:szCs w:val="20"/>
                <w:lang w:eastAsia="lv-LV"/>
              </w:rPr>
            </w:pPr>
            <w:r w:rsidRPr="00DE4428">
              <w:rPr>
                <w:rFonts w:ascii="Times New Roman" w:eastAsia="Times New Roman" w:hAnsi="Times New Roman" w:cs="Times New Roman"/>
                <w:sz w:val="20"/>
                <w:szCs w:val="20"/>
                <w:lang w:eastAsia="lv-LV"/>
              </w:rPr>
              <w:t>-4,5</w:t>
            </w:r>
          </w:p>
        </w:tc>
        <w:tc>
          <w:tcPr>
            <w:tcW w:w="772" w:type="dxa"/>
            <w:tcBorders>
              <w:bottom w:val="double" w:sz="4" w:space="0" w:color="auto"/>
              <w:right w:val="single" w:sz="4" w:space="0" w:color="auto"/>
            </w:tcBorders>
            <w:shd w:val="clear" w:color="auto" w:fill="auto"/>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sz w:val="20"/>
                <w:szCs w:val="20"/>
                <w:lang w:eastAsia="lv-LV"/>
              </w:rPr>
            </w:pPr>
            <w:r w:rsidRPr="00DE4428">
              <w:rPr>
                <w:rFonts w:ascii="Times New Roman" w:eastAsia="Times New Roman" w:hAnsi="Times New Roman" w:cs="Times New Roman"/>
                <w:sz w:val="20"/>
                <w:szCs w:val="20"/>
                <w:lang w:eastAsia="lv-LV"/>
              </w:rPr>
              <w:t>-21,9</w:t>
            </w:r>
          </w:p>
        </w:tc>
      </w:tr>
      <w:tr w:rsidR="00674CB9" w:rsidRPr="00DE4428" w:rsidTr="00674CB9">
        <w:trPr>
          <w:trHeight w:val="495"/>
          <w:jc w:val="center"/>
        </w:trPr>
        <w:tc>
          <w:tcPr>
            <w:tcW w:w="2752" w:type="dxa"/>
            <w:tcBorders>
              <w:top w:val="double" w:sz="4" w:space="0" w:color="auto"/>
            </w:tcBorders>
            <w:shd w:val="clear" w:color="auto" w:fill="auto"/>
            <w:vAlign w:val="center"/>
          </w:tcPr>
          <w:p w:rsidR="00674CB9" w:rsidRPr="00DE4428" w:rsidRDefault="00674CB9" w:rsidP="00DE4428">
            <w:pPr>
              <w:spacing w:after="0" w:line="240" w:lineRule="auto"/>
              <w:rPr>
                <w:rFonts w:ascii="Times New Roman" w:eastAsia="Times New Roman" w:hAnsi="Times New Roman" w:cs="Times New Roman"/>
                <w:noProof/>
                <w:sz w:val="20"/>
                <w:szCs w:val="20"/>
                <w:lang w:eastAsia="lv-LV"/>
              </w:rPr>
            </w:pPr>
            <w:r w:rsidRPr="00DE4428">
              <w:rPr>
                <w:rFonts w:ascii="Times New Roman" w:eastAsia="Times New Roman" w:hAnsi="Times New Roman" w:cs="Times New Roman"/>
                <w:noProof/>
                <w:sz w:val="20"/>
                <w:szCs w:val="20"/>
                <w:lang w:eastAsia="lv-LV"/>
              </w:rPr>
              <w:t xml:space="preserve">Vispārējās valdības parāds, izmaiņas % </w:t>
            </w:r>
          </w:p>
        </w:tc>
        <w:tc>
          <w:tcPr>
            <w:tcW w:w="771" w:type="dxa"/>
            <w:tcBorders>
              <w:top w:val="double" w:sz="4" w:space="0" w:color="auto"/>
            </w:tcBorders>
            <w:shd w:val="clear" w:color="auto" w:fill="auto"/>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sz w:val="20"/>
                <w:szCs w:val="20"/>
                <w:lang w:eastAsia="lv-LV"/>
              </w:rPr>
            </w:pPr>
            <w:r w:rsidRPr="00DE4428">
              <w:rPr>
                <w:rFonts w:ascii="Times New Roman" w:eastAsia="Times New Roman" w:hAnsi="Times New Roman" w:cs="Times New Roman"/>
                <w:sz w:val="20"/>
                <w:szCs w:val="20"/>
                <w:lang w:eastAsia="lv-LV"/>
              </w:rPr>
              <w:t>-</w:t>
            </w:r>
          </w:p>
        </w:tc>
        <w:tc>
          <w:tcPr>
            <w:tcW w:w="771" w:type="dxa"/>
            <w:tcBorders>
              <w:top w:val="double" w:sz="4" w:space="0" w:color="auto"/>
            </w:tcBorders>
            <w:shd w:val="clear" w:color="auto" w:fill="auto"/>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sz w:val="20"/>
                <w:szCs w:val="20"/>
                <w:lang w:eastAsia="lv-LV"/>
              </w:rPr>
            </w:pPr>
            <w:r w:rsidRPr="00DE4428">
              <w:rPr>
                <w:rFonts w:ascii="Times New Roman" w:eastAsia="Times New Roman" w:hAnsi="Times New Roman" w:cs="Times New Roman"/>
                <w:sz w:val="20"/>
                <w:szCs w:val="20"/>
                <w:lang w:eastAsia="lv-LV"/>
              </w:rPr>
              <w:t>-</w:t>
            </w:r>
          </w:p>
        </w:tc>
        <w:tc>
          <w:tcPr>
            <w:tcW w:w="772" w:type="dxa"/>
            <w:tcBorders>
              <w:top w:val="double" w:sz="4" w:space="0" w:color="auto"/>
            </w:tcBorders>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sz w:val="20"/>
                <w:szCs w:val="20"/>
                <w:lang w:eastAsia="lv-LV"/>
              </w:rPr>
            </w:pPr>
            <w:r w:rsidRPr="00DE4428">
              <w:rPr>
                <w:rFonts w:ascii="Times New Roman" w:eastAsia="Times New Roman" w:hAnsi="Times New Roman" w:cs="Times New Roman"/>
                <w:sz w:val="20"/>
                <w:szCs w:val="20"/>
                <w:lang w:eastAsia="lv-LV"/>
              </w:rPr>
              <w:t>-</w:t>
            </w:r>
          </w:p>
        </w:tc>
        <w:tc>
          <w:tcPr>
            <w:tcW w:w="772" w:type="dxa"/>
            <w:tcBorders>
              <w:top w:val="double" w:sz="4" w:space="0" w:color="auto"/>
            </w:tcBorders>
            <w:shd w:val="clear" w:color="auto" w:fill="auto"/>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sz w:val="20"/>
                <w:szCs w:val="20"/>
                <w:lang w:eastAsia="lv-LV"/>
              </w:rPr>
            </w:pPr>
            <w:r w:rsidRPr="00DE4428">
              <w:rPr>
                <w:rFonts w:ascii="Times New Roman" w:eastAsia="Times New Roman" w:hAnsi="Times New Roman" w:cs="Times New Roman"/>
                <w:sz w:val="20"/>
                <w:szCs w:val="20"/>
                <w:lang w:eastAsia="lv-LV"/>
              </w:rPr>
              <w:t>-</w:t>
            </w:r>
          </w:p>
        </w:tc>
        <w:tc>
          <w:tcPr>
            <w:tcW w:w="772" w:type="dxa"/>
            <w:tcBorders>
              <w:top w:val="double" w:sz="4" w:space="0" w:color="auto"/>
            </w:tcBorders>
            <w:shd w:val="clear" w:color="auto" w:fill="auto"/>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noProof/>
                <w:sz w:val="20"/>
                <w:szCs w:val="20"/>
                <w:lang w:eastAsia="lv-LV"/>
              </w:rPr>
            </w:pPr>
            <w:r w:rsidRPr="00DE4428">
              <w:rPr>
                <w:rFonts w:ascii="Times New Roman" w:eastAsia="Times New Roman" w:hAnsi="Times New Roman" w:cs="Times New Roman"/>
                <w:noProof/>
                <w:sz w:val="20"/>
                <w:szCs w:val="20"/>
                <w:lang w:eastAsia="lv-LV"/>
              </w:rPr>
              <w:t>0,0</w:t>
            </w:r>
          </w:p>
        </w:tc>
        <w:tc>
          <w:tcPr>
            <w:tcW w:w="772" w:type="dxa"/>
            <w:tcBorders>
              <w:top w:val="double" w:sz="4" w:space="0" w:color="auto"/>
            </w:tcBorders>
            <w:shd w:val="clear" w:color="auto" w:fill="auto"/>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noProof/>
                <w:sz w:val="20"/>
                <w:szCs w:val="20"/>
                <w:lang w:eastAsia="lv-LV"/>
              </w:rPr>
            </w:pPr>
            <w:r w:rsidRPr="00DE4428">
              <w:rPr>
                <w:rFonts w:ascii="Times New Roman" w:eastAsia="Times New Roman" w:hAnsi="Times New Roman" w:cs="Times New Roman"/>
                <w:noProof/>
                <w:sz w:val="20"/>
                <w:szCs w:val="20"/>
                <w:lang w:eastAsia="lv-LV"/>
              </w:rPr>
              <w:t>0,4</w:t>
            </w:r>
          </w:p>
        </w:tc>
        <w:tc>
          <w:tcPr>
            <w:tcW w:w="772" w:type="dxa"/>
            <w:tcBorders>
              <w:top w:val="double" w:sz="4" w:space="0" w:color="auto"/>
            </w:tcBorders>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noProof/>
                <w:sz w:val="20"/>
                <w:szCs w:val="20"/>
                <w:lang w:eastAsia="lv-LV"/>
              </w:rPr>
            </w:pPr>
            <w:r w:rsidRPr="00DE4428">
              <w:rPr>
                <w:rFonts w:ascii="Times New Roman" w:eastAsia="Times New Roman" w:hAnsi="Times New Roman" w:cs="Times New Roman"/>
                <w:noProof/>
                <w:sz w:val="20"/>
                <w:szCs w:val="20"/>
                <w:lang w:eastAsia="lv-LV"/>
              </w:rPr>
              <w:t>1,5</w:t>
            </w:r>
          </w:p>
        </w:tc>
        <w:tc>
          <w:tcPr>
            <w:tcW w:w="772" w:type="dxa"/>
            <w:tcBorders>
              <w:top w:val="double" w:sz="4" w:space="0" w:color="auto"/>
            </w:tcBorders>
            <w:shd w:val="clear" w:color="auto" w:fill="auto"/>
            <w:tcMar>
              <w:left w:w="57" w:type="dxa"/>
              <w:right w:w="57" w:type="dxa"/>
            </w:tcMar>
            <w:vAlign w:val="center"/>
          </w:tcPr>
          <w:p w:rsidR="00674CB9" w:rsidRPr="00DE4428" w:rsidRDefault="00674CB9" w:rsidP="00DE4428">
            <w:pPr>
              <w:spacing w:after="0" w:line="240" w:lineRule="auto"/>
              <w:jc w:val="right"/>
              <w:rPr>
                <w:rFonts w:ascii="Times New Roman" w:eastAsia="Times New Roman" w:hAnsi="Times New Roman" w:cs="Times New Roman"/>
                <w:noProof/>
                <w:sz w:val="20"/>
                <w:szCs w:val="20"/>
                <w:lang w:eastAsia="lv-LV"/>
              </w:rPr>
            </w:pPr>
            <w:r w:rsidRPr="00DE4428">
              <w:rPr>
                <w:rFonts w:ascii="Times New Roman" w:eastAsia="Times New Roman" w:hAnsi="Times New Roman" w:cs="Times New Roman"/>
                <w:noProof/>
                <w:sz w:val="20"/>
                <w:szCs w:val="20"/>
                <w:lang w:eastAsia="lv-LV"/>
              </w:rPr>
              <w:t>3,0</w:t>
            </w:r>
          </w:p>
        </w:tc>
      </w:tr>
    </w:tbl>
    <w:p w:rsidR="00DE4428" w:rsidRPr="00DE4428" w:rsidRDefault="00DE4428" w:rsidP="00DE4428">
      <w:pPr>
        <w:autoSpaceDE w:val="0"/>
        <w:autoSpaceDN w:val="0"/>
        <w:adjustRightInd w:val="0"/>
        <w:spacing w:after="0" w:line="240" w:lineRule="auto"/>
        <w:ind w:firstLine="709"/>
        <w:jc w:val="both"/>
        <w:rPr>
          <w:rFonts w:ascii="Times New Roman" w:eastAsia="Times New Roman" w:hAnsi="Times New Roman" w:cs="Times New Roman"/>
          <w:noProof/>
          <w:color w:val="000000"/>
          <w:sz w:val="24"/>
          <w:szCs w:val="24"/>
          <w:lang w:eastAsia="lv-LV"/>
        </w:rPr>
      </w:pPr>
    </w:p>
    <w:p w:rsidR="00674CB9" w:rsidRPr="00DE4428" w:rsidRDefault="00674CB9" w:rsidP="00DE4428">
      <w:pPr>
        <w:autoSpaceDE w:val="0"/>
        <w:autoSpaceDN w:val="0"/>
        <w:adjustRightInd w:val="0"/>
        <w:spacing w:before="240" w:after="120" w:line="240" w:lineRule="auto"/>
        <w:ind w:firstLine="709"/>
        <w:jc w:val="both"/>
        <w:rPr>
          <w:rFonts w:ascii="Times New Roman" w:eastAsia="Times New Roman" w:hAnsi="Times New Roman" w:cs="Times New Roman"/>
          <w:noProof/>
          <w:color w:val="000000"/>
          <w:sz w:val="24"/>
          <w:szCs w:val="24"/>
          <w:lang w:eastAsia="lv-LV"/>
        </w:rPr>
      </w:pPr>
      <w:r w:rsidRPr="00DE4428">
        <w:rPr>
          <w:rFonts w:ascii="Times New Roman" w:eastAsia="Times New Roman" w:hAnsi="Times New Roman" w:cs="Times New Roman"/>
          <w:noProof/>
          <w:color w:val="000000"/>
          <w:sz w:val="24"/>
          <w:szCs w:val="24"/>
          <w:lang w:eastAsia="lv-LV"/>
        </w:rPr>
        <w:t xml:space="preserve">Pie šāda scenārija, samazinoties nodokļu ieņēmumiem, pasliktinātos valsts budžeta finansiālā bilance, kā rezultātā palielinātos kopējā finansēšanas nepieciešamība un attiecīgi arī aizņemšanās apjoms attiecīgajā periodā, salīdzinot ar bāzes scenāriju. Lielāks aizņemšanās apjoms izraisītu palielinājumu procentu izdevumos. Pesimistiskā scenārija gadījumā procentu izdevumi 2019. gadā nemainītos, jo aizņemšanos neietekmētu, 2020.gadā izdevumi būtu par 1,6 milj. </w:t>
      </w:r>
      <w:r w:rsidRPr="00DE4428">
        <w:rPr>
          <w:rFonts w:ascii="Times New Roman" w:eastAsia="Times New Roman" w:hAnsi="Times New Roman" w:cs="Times New Roman"/>
          <w:i/>
          <w:noProof/>
          <w:color w:val="000000"/>
          <w:sz w:val="24"/>
          <w:szCs w:val="24"/>
          <w:lang w:eastAsia="lv-LV"/>
        </w:rPr>
        <w:t>euro</w:t>
      </w:r>
      <w:r w:rsidRPr="00DE4428">
        <w:rPr>
          <w:rFonts w:ascii="Times New Roman" w:eastAsia="Times New Roman" w:hAnsi="Times New Roman" w:cs="Times New Roman"/>
          <w:noProof/>
          <w:color w:val="000000"/>
          <w:sz w:val="24"/>
          <w:szCs w:val="24"/>
          <w:lang w:eastAsia="lv-LV"/>
        </w:rPr>
        <w:t xml:space="preserve"> un 2021.gadā par 6,1 milj. </w:t>
      </w:r>
      <w:r w:rsidRPr="00DE4428">
        <w:rPr>
          <w:rFonts w:ascii="Times New Roman" w:eastAsia="Times New Roman" w:hAnsi="Times New Roman" w:cs="Times New Roman"/>
          <w:i/>
          <w:noProof/>
          <w:color w:val="000000"/>
          <w:sz w:val="24"/>
          <w:szCs w:val="24"/>
          <w:lang w:eastAsia="lv-LV"/>
        </w:rPr>
        <w:t>euro</w:t>
      </w:r>
      <w:r w:rsidRPr="00DE4428">
        <w:rPr>
          <w:rFonts w:ascii="Times New Roman" w:eastAsia="Times New Roman" w:hAnsi="Times New Roman" w:cs="Times New Roman"/>
          <w:noProof/>
          <w:color w:val="000000"/>
          <w:sz w:val="24"/>
          <w:szCs w:val="24"/>
          <w:lang w:eastAsia="lv-LV"/>
        </w:rPr>
        <w:t xml:space="preserve"> lielāki nekā bāzes scenārijā.</w:t>
      </w:r>
    </w:p>
    <w:p w:rsidR="00674CB9" w:rsidRPr="00DE4428" w:rsidRDefault="00674CB9" w:rsidP="00DE4428">
      <w:pPr>
        <w:autoSpaceDE w:val="0"/>
        <w:autoSpaceDN w:val="0"/>
        <w:adjustRightInd w:val="0"/>
        <w:spacing w:after="120" w:line="240" w:lineRule="auto"/>
        <w:ind w:firstLine="709"/>
        <w:jc w:val="both"/>
        <w:rPr>
          <w:rFonts w:ascii="Times New Roman" w:eastAsia="Times New Roman" w:hAnsi="Times New Roman" w:cs="Times New Roman"/>
          <w:noProof/>
          <w:color w:val="000000"/>
          <w:sz w:val="24"/>
          <w:szCs w:val="24"/>
          <w:lang w:eastAsia="lv-LV"/>
        </w:rPr>
      </w:pPr>
      <w:r w:rsidRPr="00DE4428">
        <w:rPr>
          <w:rFonts w:ascii="Times New Roman" w:eastAsia="Times New Roman" w:hAnsi="Times New Roman" w:cs="Times New Roman"/>
          <w:noProof/>
          <w:color w:val="000000"/>
          <w:sz w:val="24"/>
          <w:szCs w:val="24"/>
          <w:lang w:eastAsia="lv-LV"/>
        </w:rPr>
        <w:t>Vispārējās valdības budžeta bilance pesimistiskajā scenārijā pasliktinātos attiecīgi par 0,2% no IKP 2019.gadā, par 0,5% no IKP 2020.gadā un par 0,6% no IKP 2021.gadā un attiecīgi deficīts par šo apjomu vidējā termiņā palielinātos.</w:t>
      </w:r>
    </w:p>
    <w:p w:rsidR="00674CB9" w:rsidRPr="00DE4428" w:rsidRDefault="00674CB9" w:rsidP="00057613">
      <w:pPr>
        <w:spacing w:after="120" w:line="240" w:lineRule="auto"/>
        <w:ind w:firstLine="709"/>
        <w:jc w:val="both"/>
        <w:rPr>
          <w:rFonts w:ascii="Times New Roman" w:eastAsia="Times New Roman" w:hAnsi="Times New Roman" w:cs="Times New Roman"/>
          <w:noProof/>
          <w:color w:val="000000"/>
          <w:sz w:val="24"/>
          <w:szCs w:val="24"/>
          <w:lang w:eastAsia="lv-LV"/>
        </w:rPr>
      </w:pPr>
      <w:r w:rsidRPr="00DE4428">
        <w:rPr>
          <w:rFonts w:ascii="Times New Roman" w:eastAsia="Times New Roman" w:hAnsi="Times New Roman" w:cs="Times New Roman"/>
          <w:noProof/>
          <w:color w:val="000000"/>
          <w:sz w:val="24"/>
          <w:szCs w:val="24"/>
          <w:lang w:eastAsia="lv-LV"/>
        </w:rPr>
        <w:t xml:space="preserve">Papildus aplūkojam scenārijus, kuros aizņemšanās procentu likmes parāda pārfinansēšanai nosvārstās viena procentpukta robežās, par vienu procentpuktu palielinoties un šādā apmērā samazinoties. Procentu likmēm par vienu procentpuktu palielinoties, vienlaikus mainoties budžeta bilancei, ņemot vērā scenārijā minētās izmaiņas, izdevumi 2019. gadā nemainītos, jo aizņemšanos neietekmētu, 2020.gadā izdevumi būtu par 7,7 milj. </w:t>
      </w:r>
      <w:r w:rsidRPr="00DE4428">
        <w:rPr>
          <w:rFonts w:ascii="Times New Roman" w:eastAsia="Times New Roman" w:hAnsi="Times New Roman" w:cs="Times New Roman"/>
          <w:i/>
          <w:noProof/>
          <w:color w:val="000000"/>
          <w:sz w:val="24"/>
          <w:szCs w:val="24"/>
          <w:lang w:eastAsia="lv-LV"/>
        </w:rPr>
        <w:t>euro</w:t>
      </w:r>
      <w:r w:rsidRPr="00DE4428">
        <w:rPr>
          <w:rFonts w:ascii="Times New Roman" w:eastAsia="Times New Roman" w:hAnsi="Times New Roman" w:cs="Times New Roman"/>
          <w:noProof/>
          <w:color w:val="000000"/>
          <w:sz w:val="24"/>
          <w:szCs w:val="24"/>
          <w:lang w:eastAsia="lv-LV"/>
        </w:rPr>
        <w:t xml:space="preserve"> un 2021. gadā par 34,6 milj. </w:t>
      </w:r>
      <w:r w:rsidRPr="00DE4428">
        <w:rPr>
          <w:rFonts w:ascii="Times New Roman" w:eastAsia="Times New Roman" w:hAnsi="Times New Roman" w:cs="Times New Roman"/>
          <w:i/>
          <w:noProof/>
          <w:color w:val="000000"/>
          <w:sz w:val="24"/>
          <w:szCs w:val="24"/>
          <w:lang w:eastAsia="lv-LV"/>
        </w:rPr>
        <w:t>euro</w:t>
      </w:r>
      <w:r w:rsidRPr="00DE4428">
        <w:rPr>
          <w:rFonts w:ascii="Times New Roman" w:eastAsia="Times New Roman" w:hAnsi="Times New Roman" w:cs="Times New Roman"/>
          <w:noProof/>
          <w:color w:val="000000"/>
          <w:sz w:val="24"/>
          <w:szCs w:val="24"/>
          <w:lang w:eastAsia="lv-LV"/>
        </w:rPr>
        <w:t xml:space="preserve"> lielāki nekā bāzes scenārijā. Savukārt procentu likmēm par vienu procentpuktu samazinoties izdevumi 2019. gadā nemainītos, jo aizņemšanos neietekmētu, 2020. gadā izdevumi būtu par 4,5 milj. </w:t>
      </w:r>
      <w:r w:rsidRPr="00DE4428">
        <w:rPr>
          <w:rFonts w:ascii="Times New Roman" w:eastAsia="Times New Roman" w:hAnsi="Times New Roman" w:cs="Times New Roman"/>
          <w:i/>
          <w:noProof/>
          <w:color w:val="000000"/>
          <w:sz w:val="24"/>
          <w:szCs w:val="24"/>
          <w:lang w:eastAsia="lv-LV"/>
        </w:rPr>
        <w:t>euro</w:t>
      </w:r>
      <w:r w:rsidRPr="00DE4428">
        <w:rPr>
          <w:rFonts w:ascii="Times New Roman" w:eastAsia="Times New Roman" w:hAnsi="Times New Roman" w:cs="Times New Roman"/>
          <w:noProof/>
          <w:color w:val="000000"/>
          <w:sz w:val="24"/>
          <w:szCs w:val="24"/>
          <w:lang w:eastAsia="lv-LV"/>
        </w:rPr>
        <w:t xml:space="preserve"> un 2021.gadā par 21,9 milj. </w:t>
      </w:r>
      <w:r w:rsidRPr="00DE4428">
        <w:rPr>
          <w:rFonts w:ascii="Times New Roman" w:eastAsia="Times New Roman" w:hAnsi="Times New Roman" w:cs="Times New Roman"/>
          <w:i/>
          <w:noProof/>
          <w:color w:val="000000"/>
          <w:sz w:val="24"/>
          <w:szCs w:val="24"/>
          <w:lang w:eastAsia="lv-LV"/>
        </w:rPr>
        <w:t>euro</w:t>
      </w:r>
      <w:r w:rsidRPr="00DE4428">
        <w:rPr>
          <w:rFonts w:ascii="Times New Roman" w:eastAsia="Times New Roman" w:hAnsi="Times New Roman" w:cs="Times New Roman"/>
          <w:noProof/>
          <w:color w:val="000000"/>
          <w:sz w:val="24"/>
          <w:szCs w:val="24"/>
          <w:lang w:eastAsia="lv-LV"/>
        </w:rPr>
        <w:t xml:space="preserve"> mazāki nekā bāzes scenārijā.</w:t>
      </w:r>
    </w:p>
    <w:p w:rsidR="00674CB9" w:rsidRPr="00DE4428" w:rsidRDefault="00674CB9" w:rsidP="00DE4428">
      <w:pPr>
        <w:spacing w:after="120" w:line="240" w:lineRule="auto"/>
        <w:ind w:firstLine="709"/>
        <w:jc w:val="both"/>
        <w:rPr>
          <w:rFonts w:ascii="Times New Roman" w:hAnsi="Times New Roman" w:cs="Times New Roman"/>
          <w:color w:val="000000" w:themeColor="text1"/>
          <w:sz w:val="24"/>
          <w:szCs w:val="24"/>
        </w:rPr>
      </w:pPr>
    </w:p>
    <w:p w:rsidR="00380FB0" w:rsidRPr="00553854" w:rsidRDefault="005152E4" w:rsidP="00153D71">
      <w:pPr>
        <w:pStyle w:val="Heading2"/>
        <w:jc w:val="center"/>
        <w:rPr>
          <w:rFonts w:ascii="Times New Roman" w:hAnsi="Times New Roman" w:cs="Times New Roman"/>
          <w:b/>
          <w:color w:val="auto"/>
          <w:sz w:val="36"/>
          <w:szCs w:val="36"/>
        </w:rPr>
      </w:pPr>
      <w:r w:rsidRPr="00553854">
        <w:rPr>
          <w:rFonts w:ascii="Times New Roman" w:hAnsi="Times New Roman" w:cs="Times New Roman"/>
          <w:b/>
          <w:color w:val="auto"/>
          <w:sz w:val="36"/>
          <w:szCs w:val="36"/>
        </w:rPr>
        <w:t xml:space="preserve">1.6. </w:t>
      </w:r>
      <w:r w:rsidR="00553854" w:rsidRPr="00553854">
        <w:rPr>
          <w:rFonts w:ascii="Times New Roman" w:hAnsi="Times New Roman" w:cs="Times New Roman"/>
          <w:b/>
          <w:color w:val="auto"/>
          <w:sz w:val="36"/>
          <w:szCs w:val="36"/>
        </w:rPr>
        <w:t>M</w:t>
      </w:r>
      <w:r w:rsidR="00380FB0" w:rsidRPr="00553854">
        <w:rPr>
          <w:rFonts w:ascii="Times New Roman" w:hAnsi="Times New Roman" w:cs="Times New Roman"/>
          <w:b/>
          <w:color w:val="auto"/>
          <w:sz w:val="36"/>
          <w:szCs w:val="36"/>
        </w:rPr>
        <w:t xml:space="preserve">akroekonomisko prognožu </w:t>
      </w:r>
      <w:proofErr w:type="spellStart"/>
      <w:r w:rsidR="00380FB0" w:rsidRPr="00553854">
        <w:rPr>
          <w:rFonts w:ascii="Times New Roman" w:hAnsi="Times New Roman" w:cs="Times New Roman"/>
          <w:b/>
          <w:color w:val="auto"/>
          <w:sz w:val="36"/>
          <w:szCs w:val="36"/>
        </w:rPr>
        <w:t>izvērtējums</w:t>
      </w:r>
      <w:proofErr w:type="spellEnd"/>
      <w:r w:rsidR="00553854">
        <w:rPr>
          <w:rFonts w:ascii="Times New Roman" w:hAnsi="Times New Roman" w:cs="Times New Roman"/>
          <w:b/>
          <w:color w:val="auto"/>
          <w:sz w:val="36"/>
          <w:szCs w:val="36"/>
        </w:rPr>
        <w:t xml:space="preserve"> un salīdzinājums ar EK prognozēm</w:t>
      </w:r>
    </w:p>
    <w:p w:rsidR="00153D71" w:rsidRPr="00DE4428" w:rsidRDefault="00153D71" w:rsidP="00DE4428">
      <w:pPr>
        <w:spacing w:after="120" w:line="240" w:lineRule="auto"/>
        <w:ind w:firstLine="709"/>
        <w:jc w:val="both"/>
        <w:rPr>
          <w:rFonts w:ascii="Times New Roman" w:hAnsi="Times New Roman" w:cs="Times New Roman"/>
          <w:sz w:val="24"/>
          <w:szCs w:val="24"/>
        </w:rPr>
      </w:pPr>
    </w:p>
    <w:p w:rsidR="004468F8" w:rsidRPr="004468F8" w:rsidRDefault="00DE4428" w:rsidP="004468F8">
      <w:pPr>
        <w:jc w:val="both"/>
        <w:rPr>
          <w:rFonts w:ascii="Times New Roman" w:hAnsi="Times New Roman" w:cs="Times New Roman"/>
          <w:sz w:val="24"/>
          <w:szCs w:val="24"/>
        </w:rPr>
      </w:pPr>
      <w:r w:rsidRPr="00DE4428">
        <w:rPr>
          <w:rFonts w:ascii="Times New Roman" w:hAnsi="Times New Roman" w:cs="Times New Roman"/>
          <w:sz w:val="24"/>
          <w:szCs w:val="24"/>
        </w:rPr>
        <w:t xml:space="preserve">FM makroekonomisko rādītāju prognozes š.g. budžeta vajadzībām tika izstrādātas 2018.gada oktobrī, balstoties uz pēdējiem uz to brīdi pieejamiem statistikas datiem un informāciju par ekonomisko attīstību. </w:t>
      </w:r>
      <w:r w:rsidR="004468F8" w:rsidRPr="004468F8">
        <w:rPr>
          <w:rFonts w:ascii="Times New Roman" w:hAnsi="Times New Roman" w:cs="Times New Roman"/>
          <w:sz w:val="24"/>
          <w:szCs w:val="24"/>
        </w:rPr>
        <w:t>Prognozes tiek balstītas uz piesardzīgiem pieņēmumiem, ļaujot veidot arī piesardzīgu fiskālo politiku. Pēdējos trīs gadus FM prognozes kopumā ir atbildušas ekonomiskajam trendam.</w:t>
      </w:r>
    </w:p>
    <w:p w:rsidR="00DE4428" w:rsidRPr="00636ED4" w:rsidRDefault="00EC5268" w:rsidP="00057613">
      <w:pPr>
        <w:spacing w:after="120" w:line="240" w:lineRule="auto"/>
        <w:ind w:firstLine="709"/>
        <w:jc w:val="center"/>
        <w:rPr>
          <w:rFonts w:ascii="Times New Roman" w:eastAsia="Times New Roman" w:hAnsi="Times New Roman" w:cs="Times New Roman"/>
          <w:b/>
          <w:i/>
          <w:sz w:val="24"/>
          <w:szCs w:val="24"/>
        </w:rPr>
      </w:pPr>
      <w:r>
        <w:lastRenderedPageBreak/>
        <w:fldChar w:fldCharType="begin"/>
      </w:r>
      <w:r>
        <w:instrText xml:space="preserve"> LINK Excel.Sheet.12 "\\\\fs\\tand\\TAND\\_Budzeta paskaidrojumi\\bu_2019 jaunā valdība\\Scenārijs un jūtīgums\\Prognozu salīdzinājums 2019.xlsx!LV![Prognozu salīdzinājums 2019.xlsx]LV Chart 1" "" \p </w:instrText>
      </w:r>
      <w:r>
        <w:fldChar w:fldCharType="separate"/>
      </w:r>
      <w:r w:rsidR="005D301D">
        <w:object w:dxaOrig="11430" w:dyaOrig="6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35pt;height:237.25pt" o:ole="">
            <v:imagedata r:id="rId18" o:title=""/>
          </v:shape>
        </w:object>
      </w:r>
      <w:r>
        <w:fldChar w:fldCharType="end"/>
      </w:r>
      <w:r w:rsidR="00DE4428" w:rsidRPr="00146C39">
        <w:br/>
      </w:r>
      <w:r w:rsidR="00DE4428" w:rsidRPr="00DE4428">
        <w:rPr>
          <w:rFonts w:ascii="Times New Roman" w:eastAsia="Times New Roman" w:hAnsi="Times New Roman" w:cs="Times New Roman"/>
          <w:b/>
          <w:i/>
          <w:sz w:val="24"/>
          <w:szCs w:val="24"/>
        </w:rPr>
        <w:t>1.10. att. IKP vidēja termiņa prognozes un faktiskā izpilde, salīdzināmās cenās, 2007=100</w:t>
      </w:r>
    </w:p>
    <w:p w:rsidR="00DE4428" w:rsidRPr="00DE4428" w:rsidRDefault="008C2F8C" w:rsidP="00DE4428">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Izvērtējot gadskārtējā</w:t>
      </w:r>
      <w:r w:rsidR="00DE4428" w:rsidRPr="00DE4428">
        <w:rPr>
          <w:rFonts w:ascii="Times New Roman" w:hAnsi="Times New Roman" w:cs="Times New Roman"/>
          <w:sz w:val="24"/>
          <w:szCs w:val="24"/>
        </w:rPr>
        <w:t xml:space="preserve"> valst</w:t>
      </w:r>
      <w:r>
        <w:rPr>
          <w:rFonts w:ascii="Times New Roman" w:hAnsi="Times New Roman" w:cs="Times New Roman"/>
          <w:sz w:val="24"/>
          <w:szCs w:val="24"/>
        </w:rPr>
        <w:t>s budžeta likumā ietverto vidējā</w:t>
      </w:r>
      <w:r w:rsidR="00DE4428" w:rsidRPr="00DE4428">
        <w:rPr>
          <w:rFonts w:ascii="Times New Roman" w:hAnsi="Times New Roman" w:cs="Times New Roman"/>
          <w:sz w:val="24"/>
          <w:szCs w:val="24"/>
        </w:rPr>
        <w:t xml:space="preserve"> termiņa IKP prognožu atbilstību </w:t>
      </w:r>
      <w:r>
        <w:rPr>
          <w:rFonts w:ascii="Times New Roman" w:hAnsi="Times New Roman" w:cs="Times New Roman"/>
          <w:sz w:val="24"/>
          <w:szCs w:val="24"/>
        </w:rPr>
        <w:t>faktiskajai IKP izaugsmei</w:t>
      </w:r>
      <w:r w:rsidR="00DE4428" w:rsidRPr="00DE4428">
        <w:rPr>
          <w:rFonts w:ascii="Times New Roman" w:hAnsi="Times New Roman" w:cs="Times New Roman"/>
          <w:sz w:val="24"/>
          <w:szCs w:val="24"/>
        </w:rPr>
        <w:t>, var secināt, ka pēdējo divu gadu FM prognozes bija vidēji par 1 procentpunktu zemākas nekā fakts. Kļūda lielāko tiesu ir saistīta ar augšupejošo ekonomikas ciklu, kā arī piesardzīgiem pieņēmumiem par Latvijas tirdzniecības partnervalstu ekonomisko attīstību, kas pēdējos gados bija augstāka nekā gaidīts.</w:t>
      </w:r>
    </w:p>
    <w:p w:rsidR="00DE4428" w:rsidRPr="00DE4428" w:rsidRDefault="00DE4428" w:rsidP="00DE4428">
      <w:pPr>
        <w:spacing w:after="120" w:line="240" w:lineRule="auto"/>
        <w:ind w:firstLine="709"/>
        <w:jc w:val="both"/>
        <w:rPr>
          <w:rFonts w:ascii="Times New Roman" w:hAnsi="Times New Roman" w:cs="Times New Roman"/>
          <w:sz w:val="24"/>
          <w:szCs w:val="24"/>
        </w:rPr>
      </w:pPr>
      <w:r w:rsidRPr="00DE4428">
        <w:rPr>
          <w:rFonts w:ascii="Times New Roman" w:hAnsi="Times New Roman" w:cs="Times New Roman"/>
          <w:sz w:val="24"/>
          <w:szCs w:val="24"/>
        </w:rPr>
        <w:t xml:space="preserve">Ļoti būtisku prognožu kļūdu cēlonis pēdējos trijos gados ir krājumu izmaiņas, kas iekļauj ekonomiskajai darbībai nepieciešamos krājumus un arī statistisko kļūdu, kas rodas CSP balansējot IKP kontus no ražošanas un izlietojuma puses. Piemēram, 2016.gadā krājumiem bija negatīvs 1,8 procentpunktu un 2017.gadā pozitīvs 2,5 procentpunktu devums IKP izaugsmē, kamēr IKP pieauga attiecīgi par 2,1% un 4,6%. Tieši šī statistiskā novirze, kuras dinamika ir pilnīgi neprognozējama, pēdējos gados radīja lielākās prognožu kļūdas. Parasti prognozējot tiek mazināta šī neprognozējamā faktora ietekme uz IKP pieauguma prognozi. </w:t>
      </w:r>
    </w:p>
    <w:p w:rsidR="00DE4428" w:rsidRPr="00DE4428" w:rsidRDefault="00DE4428" w:rsidP="00DE4428">
      <w:pPr>
        <w:spacing w:after="120" w:line="240" w:lineRule="auto"/>
        <w:ind w:firstLine="709"/>
        <w:jc w:val="both"/>
        <w:rPr>
          <w:rFonts w:ascii="Times New Roman" w:hAnsi="Times New Roman" w:cs="Times New Roman"/>
          <w:sz w:val="24"/>
          <w:szCs w:val="24"/>
        </w:rPr>
      </w:pPr>
      <w:r w:rsidRPr="00DE4428">
        <w:rPr>
          <w:rFonts w:ascii="Times New Roman" w:hAnsi="Times New Roman" w:cs="Times New Roman"/>
          <w:sz w:val="24"/>
          <w:szCs w:val="24"/>
        </w:rPr>
        <w:t>Vislielākās prognožu kļūdas bija laikā, kad 2009.gadā Latvija un pasaule piedzīvoja ekonomisko un finanšu krīzi. Savukārt 2010.gada prognožu kļūda ir saistīta ar straujāku nekā prognozēts iekšējā patēriņa atkopšanos, kas sekojošos gados atgriezās pie normāla attīstības tempa, kas atbilst iedzīvotāju ienākumu pieauguma tempam.</w:t>
      </w:r>
    </w:p>
    <w:p w:rsidR="00DE4428" w:rsidRPr="00DE4428" w:rsidRDefault="00DE4428" w:rsidP="00DE4428">
      <w:pPr>
        <w:spacing w:after="120" w:line="240" w:lineRule="auto"/>
        <w:ind w:firstLine="709"/>
        <w:jc w:val="both"/>
        <w:rPr>
          <w:rFonts w:ascii="Times New Roman" w:hAnsi="Times New Roman" w:cs="Times New Roman"/>
          <w:sz w:val="24"/>
          <w:szCs w:val="24"/>
        </w:rPr>
      </w:pPr>
      <w:r w:rsidRPr="00DE4428">
        <w:rPr>
          <w:rFonts w:ascii="Times New Roman" w:hAnsi="Times New Roman" w:cs="Times New Roman"/>
          <w:sz w:val="24"/>
          <w:szCs w:val="24"/>
        </w:rPr>
        <w:t xml:space="preserve">Kļūdu neto eksporta prognozē radīja virkne notikumu ar neprognozējamām sekām uz starptautisko tirdzniecību: 2010.gadā saasinājās </w:t>
      </w:r>
      <w:proofErr w:type="spellStart"/>
      <w:r w:rsidRPr="00DE4428">
        <w:rPr>
          <w:rFonts w:ascii="Times New Roman" w:hAnsi="Times New Roman" w:cs="Times New Roman"/>
          <w:sz w:val="24"/>
          <w:szCs w:val="24"/>
        </w:rPr>
        <w:t>eirozonas</w:t>
      </w:r>
      <w:proofErr w:type="spellEnd"/>
      <w:r w:rsidRPr="00DE4428">
        <w:rPr>
          <w:rFonts w:ascii="Times New Roman" w:hAnsi="Times New Roman" w:cs="Times New Roman"/>
          <w:sz w:val="24"/>
          <w:szCs w:val="24"/>
        </w:rPr>
        <w:t xml:space="preserve"> parādu krīze, kad pastāvēja reāli </w:t>
      </w:r>
      <w:r w:rsidR="004468F8" w:rsidRPr="00DE4428">
        <w:rPr>
          <w:rFonts w:ascii="Times New Roman" w:hAnsi="Times New Roman" w:cs="Times New Roman"/>
          <w:sz w:val="24"/>
          <w:szCs w:val="24"/>
        </w:rPr>
        <w:t xml:space="preserve">draudi </w:t>
      </w:r>
      <w:r w:rsidRPr="00DE4428">
        <w:rPr>
          <w:rFonts w:ascii="Times New Roman" w:hAnsi="Times New Roman" w:cs="Times New Roman"/>
          <w:sz w:val="24"/>
          <w:szCs w:val="24"/>
        </w:rPr>
        <w:t>ats</w:t>
      </w:r>
      <w:r w:rsidR="004468F8">
        <w:rPr>
          <w:rFonts w:ascii="Times New Roman" w:hAnsi="Times New Roman" w:cs="Times New Roman"/>
          <w:sz w:val="24"/>
          <w:szCs w:val="24"/>
        </w:rPr>
        <w:t xml:space="preserve">evišķu </w:t>
      </w:r>
      <w:proofErr w:type="spellStart"/>
      <w:r w:rsidR="004468F8">
        <w:rPr>
          <w:rFonts w:ascii="Times New Roman" w:hAnsi="Times New Roman" w:cs="Times New Roman"/>
          <w:sz w:val="24"/>
          <w:szCs w:val="24"/>
        </w:rPr>
        <w:t>eirozonas</w:t>
      </w:r>
      <w:proofErr w:type="spellEnd"/>
      <w:r w:rsidR="004468F8">
        <w:rPr>
          <w:rFonts w:ascii="Times New Roman" w:hAnsi="Times New Roman" w:cs="Times New Roman"/>
          <w:sz w:val="24"/>
          <w:szCs w:val="24"/>
        </w:rPr>
        <w:t xml:space="preserve"> valstu maksātspējai</w:t>
      </w:r>
      <w:r w:rsidRPr="00DE4428">
        <w:rPr>
          <w:rFonts w:ascii="Times New Roman" w:hAnsi="Times New Roman" w:cs="Times New Roman"/>
          <w:sz w:val="24"/>
          <w:szCs w:val="24"/>
        </w:rPr>
        <w:t>, tad kopš 2014.gada to papildus ietekmē</w:t>
      </w:r>
      <w:r w:rsidR="004468F8">
        <w:rPr>
          <w:rFonts w:ascii="Times New Roman" w:hAnsi="Times New Roman" w:cs="Times New Roman"/>
          <w:sz w:val="24"/>
          <w:szCs w:val="24"/>
        </w:rPr>
        <w:t>ja</w:t>
      </w:r>
      <w:r w:rsidRPr="00DE4428">
        <w:rPr>
          <w:rFonts w:ascii="Times New Roman" w:hAnsi="Times New Roman" w:cs="Times New Roman"/>
          <w:sz w:val="24"/>
          <w:szCs w:val="24"/>
        </w:rPr>
        <w:t xml:space="preserve"> vēl nepieredzēta pasaules ekonomikas reakcija uz zemajām izejvielu cenām un eksporta kritums uz Krieviju. Tomēr kopš 2012.gada ārējās tirdzniecības devums IKP izaugsmē bija pozitīvāks nekā sākotnēji prognozēts.</w:t>
      </w:r>
    </w:p>
    <w:p w:rsidR="00DE4428" w:rsidRPr="00DE4428" w:rsidRDefault="00DE4428" w:rsidP="00DE4428">
      <w:pPr>
        <w:spacing w:after="120" w:line="240" w:lineRule="auto"/>
        <w:ind w:firstLine="709"/>
        <w:jc w:val="both"/>
        <w:rPr>
          <w:rFonts w:ascii="Times New Roman" w:hAnsi="Times New Roman" w:cs="Times New Roman"/>
          <w:sz w:val="24"/>
          <w:szCs w:val="24"/>
        </w:rPr>
      </w:pPr>
    </w:p>
    <w:p w:rsidR="00DE4428" w:rsidRDefault="00EC5268" w:rsidP="00DE4428">
      <w:r>
        <w:lastRenderedPageBreak/>
        <w:fldChar w:fldCharType="begin"/>
      </w:r>
      <w:r>
        <w:instrText xml:space="preserve"> LINK Excel.Sheet.12 "\\\\fs\\tand\\TAND\\_Budzeta paskaidrojumi\\bu_2019 jaunā valdība\\Scenārijs un jūtīgums\\Prognozu salīdzinājums 2019.xlsx!LV![Prognozu salīdzinājums 2019.xlsx]LV Chart 3" "" \p </w:instrText>
      </w:r>
      <w:r>
        <w:fldChar w:fldCharType="separate"/>
      </w:r>
      <w:r w:rsidR="005D301D">
        <w:object w:dxaOrig="12136" w:dyaOrig="6615">
          <v:shape id="_x0000_i1026" type="#_x0000_t75" style="width:453.8pt;height:244.9pt" o:ole="">
            <v:imagedata r:id="rId19" o:title=""/>
          </v:shape>
        </w:object>
      </w:r>
      <w:r>
        <w:fldChar w:fldCharType="end"/>
      </w:r>
    </w:p>
    <w:p w:rsidR="00DE4428" w:rsidRPr="00636ED4" w:rsidRDefault="00DE4428" w:rsidP="00636ED4">
      <w:pPr>
        <w:spacing w:after="120" w:line="240" w:lineRule="auto"/>
        <w:ind w:left="709"/>
        <w:jc w:val="center"/>
        <w:rPr>
          <w:rFonts w:ascii="Times New Roman" w:hAnsi="Times New Roman" w:cs="Times New Roman"/>
          <w:b/>
          <w:i/>
          <w:sz w:val="24"/>
          <w:szCs w:val="24"/>
        </w:rPr>
      </w:pPr>
      <w:r w:rsidRPr="00DE4428">
        <w:rPr>
          <w:rFonts w:ascii="Times New Roman" w:hAnsi="Times New Roman" w:cs="Times New Roman"/>
          <w:b/>
          <w:i/>
          <w:sz w:val="24"/>
          <w:szCs w:val="24"/>
        </w:rPr>
        <w:t>1.11. att. IKP salīdzināmās cenās faktiskā izaugsmes un attiecīgā gada gadskārtējā valsts budžeta likumā iekļautās IKP izaugsmes prognozes starpība pa IKP komponentēm, procentpunkti</w:t>
      </w:r>
    </w:p>
    <w:p w:rsidR="00DE4428" w:rsidRPr="00DE4428" w:rsidRDefault="00DE4428" w:rsidP="00DE4428">
      <w:pPr>
        <w:ind w:firstLine="709"/>
        <w:jc w:val="both"/>
        <w:rPr>
          <w:rFonts w:ascii="Times New Roman" w:hAnsi="Times New Roman" w:cs="Times New Roman"/>
          <w:sz w:val="24"/>
          <w:szCs w:val="24"/>
        </w:rPr>
      </w:pPr>
      <w:r w:rsidRPr="00DE4428">
        <w:rPr>
          <w:rFonts w:ascii="Times New Roman" w:hAnsi="Times New Roman" w:cs="Times New Roman"/>
          <w:sz w:val="24"/>
          <w:szCs w:val="24"/>
        </w:rPr>
        <w:t xml:space="preserve">Salīdzinot ar starptautisko institūciju prognozēm, jāsecina, ka FM prognožu tendences ir līdzīgas, piemēram, 2013. un 2014.gadu IKP izaugsmes sabremzēšanos nenoprognozēja neviena institūcija. </w:t>
      </w:r>
    </w:p>
    <w:p w:rsidR="00DE4428" w:rsidRPr="00DE4428" w:rsidRDefault="00DE4428" w:rsidP="00DE4428">
      <w:pPr>
        <w:jc w:val="both"/>
        <w:rPr>
          <w:rFonts w:ascii="Times New Roman" w:hAnsi="Times New Roman" w:cs="Times New Roman"/>
          <w:b/>
          <w:sz w:val="24"/>
          <w:szCs w:val="24"/>
        </w:rPr>
      </w:pPr>
    </w:p>
    <w:p w:rsidR="00DE4428" w:rsidRPr="00DE4428" w:rsidRDefault="00DE4428" w:rsidP="00DE4428">
      <w:pPr>
        <w:spacing w:after="120" w:line="240" w:lineRule="auto"/>
        <w:jc w:val="center"/>
        <w:rPr>
          <w:rFonts w:ascii="Times New Roman" w:hAnsi="Times New Roman" w:cs="Times New Roman"/>
          <w:i/>
          <w:vanish/>
          <w:sz w:val="24"/>
          <w:szCs w:val="24"/>
          <w:specVanish/>
        </w:rPr>
      </w:pPr>
      <w:r w:rsidRPr="00DE4428">
        <w:rPr>
          <w:rFonts w:ascii="Times New Roman" w:hAnsi="Times New Roman" w:cs="Times New Roman"/>
          <w:b/>
          <w:i/>
          <w:sz w:val="24"/>
          <w:szCs w:val="24"/>
        </w:rPr>
        <w:t>1.8.tabula. Finanšu ministrijas un starptautisko finanšu institūciju IKP pieauguma salīdzināmajās cenās (%) prognožu salīdzinājums</w:t>
      </w:r>
      <w:r w:rsidRPr="00DE4428">
        <w:rPr>
          <w:rStyle w:val="FootnoteReference"/>
          <w:rFonts w:ascii="Times New Roman" w:hAnsi="Times New Roman" w:cs="Times New Roman"/>
          <w:b/>
          <w:i/>
          <w:sz w:val="24"/>
          <w:szCs w:val="24"/>
        </w:rPr>
        <w:footnoteReference w:id="11"/>
      </w:r>
    </w:p>
    <w:p w:rsidR="00DE4428" w:rsidRPr="00DE4428" w:rsidRDefault="00DE4428" w:rsidP="00DE4428">
      <w:pPr>
        <w:spacing w:after="120" w:line="240" w:lineRule="auto"/>
        <w:rPr>
          <w:rFonts w:ascii="Times New Roman" w:hAnsi="Times New Roman" w:cs="Times New Roman"/>
          <w:sz w:val="24"/>
          <w:szCs w:val="24"/>
        </w:rPr>
      </w:pPr>
      <w:r>
        <w:rPr>
          <w:rFonts w:ascii="Times New Roman" w:hAnsi="Times New Roman" w:cs="Times New Roman"/>
          <w:sz w:val="24"/>
          <w:szCs w:val="24"/>
        </w:rPr>
        <w:fldChar w:fldCharType="begin"/>
      </w:r>
      <w:r w:rsidRPr="00DE4428">
        <w:rPr>
          <w:rFonts w:ascii="Times New Roman" w:hAnsi="Times New Roman" w:cs="Times New Roman"/>
          <w:sz w:val="24"/>
          <w:szCs w:val="24"/>
        </w:rPr>
        <w:instrText xml:space="preserve"> LINK Excel.Sheet.12 "\\\\fs\\tand\\TAND\\_Budzeta paskaidrojumi\\bu_2019 jaunā valdība\\Scenārijs un jūtīgums\\Prognozu salīdzinājums 2019.xlsx" "starptautiskās inst!R3C1:R8C13" \f 4 \h \* MERGEFORMAT </w:instrText>
      </w:r>
      <w:r>
        <w:rPr>
          <w:rFonts w:ascii="Times New Roman" w:hAnsi="Times New Roman" w:cs="Times New Roman"/>
          <w:sz w:val="24"/>
          <w:szCs w:val="24"/>
        </w:rPr>
        <w:fldChar w:fldCharType="separate"/>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33"/>
        <w:gridCol w:w="648"/>
        <w:gridCol w:w="649"/>
        <w:gridCol w:w="649"/>
        <w:gridCol w:w="649"/>
        <w:gridCol w:w="649"/>
        <w:gridCol w:w="649"/>
        <w:gridCol w:w="649"/>
        <w:gridCol w:w="649"/>
        <w:gridCol w:w="649"/>
        <w:gridCol w:w="649"/>
        <w:gridCol w:w="649"/>
      </w:tblGrid>
      <w:tr w:rsidR="00DE4428" w:rsidRPr="00DE4428" w:rsidTr="00DE4428">
        <w:trPr>
          <w:trHeight w:val="300"/>
        </w:trPr>
        <w:tc>
          <w:tcPr>
            <w:tcW w:w="1933" w:type="dxa"/>
            <w:shd w:val="clear" w:color="auto" w:fill="auto"/>
            <w:noWrap/>
            <w:hideMark/>
          </w:tcPr>
          <w:p w:rsidR="00DE4428" w:rsidRPr="00DE4428" w:rsidRDefault="00DE4428" w:rsidP="00DE4428">
            <w:pPr>
              <w:spacing w:after="120" w:line="240" w:lineRule="auto"/>
              <w:rPr>
                <w:rFonts w:ascii="Times New Roman" w:hAnsi="Times New Roman" w:cs="Times New Roman"/>
                <w:sz w:val="24"/>
                <w:szCs w:val="24"/>
                <w:lang w:eastAsia="lv-LV"/>
              </w:rPr>
            </w:pPr>
            <w:r w:rsidRPr="00DE4428">
              <w:rPr>
                <w:rFonts w:ascii="Times New Roman" w:hAnsi="Times New Roman" w:cs="Times New Roman"/>
                <w:sz w:val="24"/>
                <w:szCs w:val="24"/>
                <w:lang w:eastAsia="lv-LV"/>
              </w:rPr>
              <w:t> </w:t>
            </w:r>
          </w:p>
        </w:tc>
        <w:tc>
          <w:tcPr>
            <w:tcW w:w="648" w:type="dxa"/>
            <w:shd w:val="clear" w:color="auto" w:fill="auto"/>
            <w:noWrap/>
            <w:vAlign w:val="center"/>
            <w:hideMark/>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2010</w:t>
            </w:r>
          </w:p>
        </w:tc>
        <w:tc>
          <w:tcPr>
            <w:tcW w:w="649" w:type="dxa"/>
            <w:shd w:val="clear" w:color="auto" w:fill="auto"/>
            <w:noWrap/>
            <w:vAlign w:val="center"/>
            <w:hideMark/>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2011</w:t>
            </w:r>
          </w:p>
        </w:tc>
        <w:tc>
          <w:tcPr>
            <w:tcW w:w="649" w:type="dxa"/>
            <w:shd w:val="clear" w:color="auto" w:fill="auto"/>
            <w:noWrap/>
            <w:vAlign w:val="center"/>
            <w:hideMark/>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2012</w:t>
            </w:r>
          </w:p>
        </w:tc>
        <w:tc>
          <w:tcPr>
            <w:tcW w:w="649" w:type="dxa"/>
            <w:shd w:val="clear" w:color="auto" w:fill="auto"/>
            <w:noWrap/>
            <w:vAlign w:val="center"/>
            <w:hideMark/>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2013</w:t>
            </w:r>
          </w:p>
        </w:tc>
        <w:tc>
          <w:tcPr>
            <w:tcW w:w="649" w:type="dxa"/>
            <w:shd w:val="clear" w:color="auto" w:fill="auto"/>
            <w:noWrap/>
            <w:vAlign w:val="center"/>
            <w:hideMark/>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2014</w:t>
            </w:r>
          </w:p>
        </w:tc>
        <w:tc>
          <w:tcPr>
            <w:tcW w:w="649" w:type="dxa"/>
            <w:shd w:val="clear" w:color="auto" w:fill="auto"/>
            <w:vAlign w:val="center"/>
            <w:hideMark/>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2015</w:t>
            </w:r>
          </w:p>
        </w:tc>
        <w:tc>
          <w:tcPr>
            <w:tcW w:w="649" w:type="dxa"/>
            <w:shd w:val="clear" w:color="auto" w:fill="auto"/>
            <w:vAlign w:val="center"/>
            <w:hideMark/>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2016</w:t>
            </w:r>
          </w:p>
        </w:tc>
        <w:tc>
          <w:tcPr>
            <w:tcW w:w="649" w:type="dxa"/>
            <w:shd w:val="clear" w:color="auto" w:fill="auto"/>
            <w:noWrap/>
            <w:vAlign w:val="center"/>
            <w:hideMark/>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2017</w:t>
            </w:r>
          </w:p>
        </w:tc>
        <w:tc>
          <w:tcPr>
            <w:tcW w:w="649" w:type="dxa"/>
            <w:shd w:val="clear" w:color="auto" w:fill="auto"/>
            <w:noWrap/>
            <w:vAlign w:val="center"/>
            <w:hideMark/>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2018p</w:t>
            </w:r>
          </w:p>
        </w:tc>
        <w:tc>
          <w:tcPr>
            <w:tcW w:w="649" w:type="dxa"/>
            <w:shd w:val="clear" w:color="auto" w:fill="auto"/>
            <w:noWrap/>
            <w:vAlign w:val="center"/>
            <w:hideMark/>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2019p</w:t>
            </w:r>
          </w:p>
        </w:tc>
        <w:tc>
          <w:tcPr>
            <w:tcW w:w="649" w:type="dxa"/>
            <w:shd w:val="clear" w:color="auto" w:fill="auto"/>
            <w:noWrap/>
            <w:vAlign w:val="center"/>
            <w:hideMark/>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2020p</w:t>
            </w:r>
          </w:p>
        </w:tc>
      </w:tr>
      <w:tr w:rsidR="00DE4428" w:rsidRPr="00DE4428" w:rsidTr="00DE4428">
        <w:trPr>
          <w:trHeight w:val="300"/>
        </w:trPr>
        <w:tc>
          <w:tcPr>
            <w:tcW w:w="1933" w:type="dxa"/>
            <w:shd w:val="clear" w:color="auto" w:fill="auto"/>
            <w:noWrap/>
            <w:vAlign w:val="center"/>
          </w:tcPr>
          <w:p w:rsidR="00DE4428" w:rsidRPr="00DE4428" w:rsidRDefault="00DE4428" w:rsidP="00DE4428">
            <w:pPr>
              <w:spacing w:after="120" w:line="240" w:lineRule="auto"/>
              <w:rPr>
                <w:rFonts w:ascii="Times New Roman" w:hAnsi="Times New Roman" w:cs="Times New Roman"/>
                <w:sz w:val="24"/>
                <w:szCs w:val="24"/>
                <w:lang w:eastAsia="lv-LV"/>
              </w:rPr>
            </w:pPr>
            <w:r w:rsidRPr="00DE4428">
              <w:rPr>
                <w:rFonts w:ascii="Times New Roman" w:hAnsi="Times New Roman" w:cs="Times New Roman"/>
                <w:sz w:val="24"/>
                <w:szCs w:val="24"/>
                <w:lang w:eastAsia="lv-LV"/>
              </w:rPr>
              <w:t>IKP fakts</w:t>
            </w:r>
          </w:p>
        </w:tc>
        <w:tc>
          <w:tcPr>
            <w:tcW w:w="648" w:type="dxa"/>
            <w:shd w:val="clear" w:color="auto" w:fill="auto"/>
            <w:noWrap/>
            <w:vAlign w:val="center"/>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-3,9</w:t>
            </w:r>
          </w:p>
        </w:tc>
        <w:tc>
          <w:tcPr>
            <w:tcW w:w="649" w:type="dxa"/>
            <w:shd w:val="clear" w:color="auto" w:fill="auto"/>
            <w:noWrap/>
            <w:vAlign w:val="center"/>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6,4</w:t>
            </w:r>
          </w:p>
        </w:tc>
        <w:tc>
          <w:tcPr>
            <w:tcW w:w="649" w:type="dxa"/>
            <w:shd w:val="clear" w:color="auto" w:fill="auto"/>
            <w:noWrap/>
            <w:vAlign w:val="center"/>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4,0</w:t>
            </w:r>
          </w:p>
        </w:tc>
        <w:tc>
          <w:tcPr>
            <w:tcW w:w="649" w:type="dxa"/>
            <w:shd w:val="clear" w:color="auto" w:fill="auto"/>
            <w:noWrap/>
            <w:vAlign w:val="center"/>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2,4</w:t>
            </w:r>
          </w:p>
        </w:tc>
        <w:tc>
          <w:tcPr>
            <w:tcW w:w="649" w:type="dxa"/>
            <w:shd w:val="clear" w:color="auto" w:fill="auto"/>
            <w:noWrap/>
            <w:vAlign w:val="center"/>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1,9</w:t>
            </w:r>
          </w:p>
        </w:tc>
        <w:tc>
          <w:tcPr>
            <w:tcW w:w="649" w:type="dxa"/>
            <w:shd w:val="clear" w:color="auto" w:fill="auto"/>
            <w:vAlign w:val="center"/>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3,0</w:t>
            </w:r>
          </w:p>
        </w:tc>
        <w:tc>
          <w:tcPr>
            <w:tcW w:w="649" w:type="dxa"/>
            <w:shd w:val="clear" w:color="auto" w:fill="auto"/>
            <w:vAlign w:val="center"/>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2,1</w:t>
            </w:r>
          </w:p>
        </w:tc>
        <w:tc>
          <w:tcPr>
            <w:tcW w:w="649" w:type="dxa"/>
            <w:shd w:val="clear" w:color="auto" w:fill="auto"/>
            <w:noWrap/>
            <w:vAlign w:val="center"/>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4,6</w:t>
            </w:r>
          </w:p>
        </w:tc>
        <w:tc>
          <w:tcPr>
            <w:tcW w:w="649" w:type="dxa"/>
            <w:shd w:val="clear" w:color="auto" w:fill="auto"/>
            <w:noWrap/>
            <w:vAlign w:val="center"/>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4,8</w:t>
            </w:r>
          </w:p>
        </w:tc>
        <w:tc>
          <w:tcPr>
            <w:tcW w:w="649" w:type="dxa"/>
            <w:shd w:val="clear" w:color="auto" w:fill="auto"/>
            <w:noWrap/>
            <w:vAlign w:val="bottom"/>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 </w:t>
            </w:r>
          </w:p>
        </w:tc>
        <w:tc>
          <w:tcPr>
            <w:tcW w:w="649" w:type="dxa"/>
            <w:shd w:val="clear" w:color="auto" w:fill="auto"/>
            <w:noWrap/>
            <w:vAlign w:val="bottom"/>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 </w:t>
            </w:r>
          </w:p>
        </w:tc>
      </w:tr>
      <w:tr w:rsidR="00DE4428" w:rsidRPr="00DE4428" w:rsidTr="00DE4428">
        <w:trPr>
          <w:trHeight w:val="300"/>
        </w:trPr>
        <w:tc>
          <w:tcPr>
            <w:tcW w:w="1933" w:type="dxa"/>
            <w:shd w:val="clear" w:color="auto" w:fill="auto"/>
            <w:noWrap/>
            <w:vAlign w:val="center"/>
            <w:hideMark/>
          </w:tcPr>
          <w:p w:rsidR="00DE4428" w:rsidRPr="00DE4428" w:rsidRDefault="00DE4428" w:rsidP="00DE4428">
            <w:pPr>
              <w:spacing w:after="120" w:line="240" w:lineRule="auto"/>
              <w:rPr>
                <w:rFonts w:ascii="Times New Roman" w:hAnsi="Times New Roman" w:cs="Times New Roman"/>
                <w:sz w:val="24"/>
                <w:szCs w:val="24"/>
                <w:lang w:eastAsia="lv-LV"/>
              </w:rPr>
            </w:pPr>
            <w:r w:rsidRPr="00DE4428">
              <w:rPr>
                <w:rFonts w:ascii="Times New Roman" w:hAnsi="Times New Roman" w:cs="Times New Roman"/>
                <w:sz w:val="24"/>
                <w:szCs w:val="24"/>
                <w:lang w:eastAsia="lv-LV"/>
              </w:rPr>
              <w:t>Finanšu ministrija</w:t>
            </w:r>
          </w:p>
        </w:tc>
        <w:tc>
          <w:tcPr>
            <w:tcW w:w="648" w:type="dxa"/>
            <w:shd w:val="clear" w:color="auto" w:fill="auto"/>
            <w:noWrap/>
            <w:vAlign w:val="center"/>
            <w:hideMark/>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-4,0</w:t>
            </w:r>
          </w:p>
        </w:tc>
        <w:tc>
          <w:tcPr>
            <w:tcW w:w="649" w:type="dxa"/>
            <w:shd w:val="clear" w:color="auto" w:fill="auto"/>
            <w:noWrap/>
            <w:vAlign w:val="center"/>
            <w:hideMark/>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3,3</w:t>
            </w:r>
          </w:p>
        </w:tc>
        <w:tc>
          <w:tcPr>
            <w:tcW w:w="649" w:type="dxa"/>
            <w:shd w:val="clear" w:color="auto" w:fill="auto"/>
            <w:noWrap/>
            <w:vAlign w:val="center"/>
            <w:hideMark/>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2,5</w:t>
            </w:r>
          </w:p>
        </w:tc>
        <w:tc>
          <w:tcPr>
            <w:tcW w:w="649" w:type="dxa"/>
            <w:shd w:val="clear" w:color="auto" w:fill="auto"/>
            <w:noWrap/>
            <w:vAlign w:val="center"/>
            <w:hideMark/>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3,7</w:t>
            </w:r>
          </w:p>
        </w:tc>
        <w:tc>
          <w:tcPr>
            <w:tcW w:w="649" w:type="dxa"/>
            <w:shd w:val="clear" w:color="auto" w:fill="auto"/>
            <w:noWrap/>
            <w:vAlign w:val="center"/>
            <w:hideMark/>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4,2</w:t>
            </w:r>
          </w:p>
        </w:tc>
        <w:tc>
          <w:tcPr>
            <w:tcW w:w="649" w:type="dxa"/>
            <w:shd w:val="clear" w:color="auto" w:fill="auto"/>
            <w:vAlign w:val="center"/>
            <w:hideMark/>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2,8</w:t>
            </w:r>
          </w:p>
        </w:tc>
        <w:tc>
          <w:tcPr>
            <w:tcW w:w="649" w:type="dxa"/>
            <w:shd w:val="clear" w:color="auto" w:fill="auto"/>
            <w:vAlign w:val="center"/>
            <w:hideMark/>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2,5</w:t>
            </w:r>
          </w:p>
        </w:tc>
        <w:tc>
          <w:tcPr>
            <w:tcW w:w="649" w:type="dxa"/>
            <w:shd w:val="clear" w:color="auto" w:fill="auto"/>
            <w:noWrap/>
            <w:vAlign w:val="center"/>
            <w:hideMark/>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3,7</w:t>
            </w:r>
          </w:p>
        </w:tc>
        <w:tc>
          <w:tcPr>
            <w:tcW w:w="649" w:type="dxa"/>
            <w:shd w:val="clear" w:color="auto" w:fill="auto"/>
            <w:noWrap/>
            <w:vAlign w:val="center"/>
            <w:hideMark/>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3,4</w:t>
            </w:r>
          </w:p>
        </w:tc>
        <w:tc>
          <w:tcPr>
            <w:tcW w:w="649" w:type="dxa"/>
            <w:shd w:val="clear" w:color="auto" w:fill="auto"/>
            <w:noWrap/>
            <w:vAlign w:val="center"/>
            <w:hideMark/>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3,0</w:t>
            </w:r>
          </w:p>
        </w:tc>
        <w:tc>
          <w:tcPr>
            <w:tcW w:w="649" w:type="dxa"/>
            <w:shd w:val="clear" w:color="auto" w:fill="auto"/>
            <w:noWrap/>
            <w:vAlign w:val="center"/>
            <w:hideMark/>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3,0</w:t>
            </w:r>
          </w:p>
        </w:tc>
      </w:tr>
      <w:tr w:rsidR="00DE4428" w:rsidRPr="00DE4428" w:rsidTr="00DE4428">
        <w:trPr>
          <w:trHeight w:val="300"/>
        </w:trPr>
        <w:tc>
          <w:tcPr>
            <w:tcW w:w="1933" w:type="dxa"/>
            <w:shd w:val="clear" w:color="auto" w:fill="auto"/>
            <w:noWrap/>
            <w:vAlign w:val="center"/>
            <w:hideMark/>
          </w:tcPr>
          <w:p w:rsidR="00DE4428" w:rsidRPr="00DE4428" w:rsidRDefault="00DE4428" w:rsidP="00DE4428">
            <w:pPr>
              <w:spacing w:after="120" w:line="240" w:lineRule="auto"/>
              <w:rPr>
                <w:rFonts w:ascii="Times New Roman" w:hAnsi="Times New Roman" w:cs="Times New Roman"/>
                <w:sz w:val="24"/>
                <w:szCs w:val="24"/>
                <w:lang w:eastAsia="lv-LV"/>
              </w:rPr>
            </w:pPr>
            <w:r w:rsidRPr="00DE4428">
              <w:rPr>
                <w:rFonts w:ascii="Times New Roman" w:hAnsi="Times New Roman" w:cs="Times New Roman"/>
                <w:sz w:val="24"/>
                <w:szCs w:val="24"/>
                <w:lang w:eastAsia="lv-LV"/>
              </w:rPr>
              <w:t>Eiropas Komisija</w:t>
            </w:r>
          </w:p>
        </w:tc>
        <w:tc>
          <w:tcPr>
            <w:tcW w:w="648" w:type="dxa"/>
            <w:shd w:val="clear" w:color="auto" w:fill="auto"/>
            <w:noWrap/>
            <w:vAlign w:val="center"/>
            <w:hideMark/>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-4,0</w:t>
            </w:r>
          </w:p>
        </w:tc>
        <w:tc>
          <w:tcPr>
            <w:tcW w:w="649" w:type="dxa"/>
            <w:shd w:val="clear" w:color="auto" w:fill="auto"/>
            <w:noWrap/>
            <w:vAlign w:val="center"/>
            <w:hideMark/>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3,3</w:t>
            </w:r>
          </w:p>
        </w:tc>
        <w:tc>
          <w:tcPr>
            <w:tcW w:w="649" w:type="dxa"/>
            <w:shd w:val="clear" w:color="auto" w:fill="auto"/>
            <w:noWrap/>
            <w:vAlign w:val="center"/>
            <w:hideMark/>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2,5</w:t>
            </w:r>
          </w:p>
        </w:tc>
        <w:tc>
          <w:tcPr>
            <w:tcW w:w="649" w:type="dxa"/>
            <w:shd w:val="clear" w:color="auto" w:fill="auto"/>
            <w:noWrap/>
            <w:vAlign w:val="center"/>
            <w:hideMark/>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3,6</w:t>
            </w:r>
          </w:p>
        </w:tc>
        <w:tc>
          <w:tcPr>
            <w:tcW w:w="649" w:type="dxa"/>
            <w:shd w:val="clear" w:color="auto" w:fill="auto"/>
            <w:noWrap/>
            <w:vAlign w:val="center"/>
            <w:hideMark/>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4,0</w:t>
            </w:r>
          </w:p>
        </w:tc>
        <w:tc>
          <w:tcPr>
            <w:tcW w:w="649" w:type="dxa"/>
            <w:shd w:val="clear" w:color="auto" w:fill="auto"/>
            <w:vAlign w:val="center"/>
            <w:hideMark/>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2,9</w:t>
            </w:r>
          </w:p>
        </w:tc>
        <w:tc>
          <w:tcPr>
            <w:tcW w:w="649" w:type="dxa"/>
            <w:shd w:val="clear" w:color="auto" w:fill="auto"/>
            <w:vAlign w:val="center"/>
            <w:hideMark/>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2,8</w:t>
            </w:r>
          </w:p>
        </w:tc>
        <w:tc>
          <w:tcPr>
            <w:tcW w:w="649" w:type="dxa"/>
            <w:shd w:val="clear" w:color="auto" w:fill="auto"/>
            <w:vAlign w:val="center"/>
            <w:hideMark/>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3,2</w:t>
            </w:r>
          </w:p>
        </w:tc>
        <w:tc>
          <w:tcPr>
            <w:tcW w:w="649" w:type="dxa"/>
            <w:shd w:val="clear" w:color="auto" w:fill="auto"/>
            <w:vAlign w:val="center"/>
            <w:hideMark/>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3,5</w:t>
            </w:r>
          </w:p>
        </w:tc>
        <w:tc>
          <w:tcPr>
            <w:tcW w:w="649" w:type="dxa"/>
            <w:shd w:val="clear" w:color="auto" w:fill="auto"/>
            <w:vAlign w:val="center"/>
            <w:hideMark/>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3,2</w:t>
            </w:r>
          </w:p>
        </w:tc>
        <w:tc>
          <w:tcPr>
            <w:tcW w:w="649" w:type="dxa"/>
            <w:shd w:val="clear" w:color="auto" w:fill="auto"/>
            <w:vAlign w:val="center"/>
            <w:hideMark/>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2,9</w:t>
            </w:r>
          </w:p>
        </w:tc>
      </w:tr>
      <w:tr w:rsidR="00DE4428" w:rsidRPr="00DE4428" w:rsidTr="00DE4428">
        <w:trPr>
          <w:trHeight w:val="300"/>
        </w:trPr>
        <w:tc>
          <w:tcPr>
            <w:tcW w:w="1933" w:type="dxa"/>
            <w:shd w:val="clear" w:color="auto" w:fill="auto"/>
            <w:noWrap/>
            <w:vAlign w:val="center"/>
            <w:hideMark/>
          </w:tcPr>
          <w:p w:rsidR="00DE4428" w:rsidRPr="00DE4428" w:rsidRDefault="00DE4428" w:rsidP="00DE4428">
            <w:pPr>
              <w:spacing w:after="120" w:line="240" w:lineRule="auto"/>
              <w:rPr>
                <w:rFonts w:ascii="Times New Roman" w:hAnsi="Times New Roman" w:cs="Times New Roman"/>
                <w:sz w:val="24"/>
                <w:szCs w:val="24"/>
                <w:lang w:eastAsia="lv-LV"/>
              </w:rPr>
            </w:pPr>
            <w:r w:rsidRPr="00DE4428">
              <w:rPr>
                <w:rFonts w:ascii="Times New Roman" w:hAnsi="Times New Roman" w:cs="Times New Roman"/>
                <w:sz w:val="24"/>
                <w:szCs w:val="24"/>
                <w:lang w:eastAsia="lv-LV"/>
              </w:rPr>
              <w:t>Starptautiskais Valūtas fonds</w:t>
            </w:r>
          </w:p>
        </w:tc>
        <w:tc>
          <w:tcPr>
            <w:tcW w:w="648" w:type="dxa"/>
            <w:shd w:val="clear" w:color="auto" w:fill="auto"/>
            <w:noWrap/>
            <w:vAlign w:val="center"/>
            <w:hideMark/>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-4,0</w:t>
            </w:r>
          </w:p>
        </w:tc>
        <w:tc>
          <w:tcPr>
            <w:tcW w:w="649" w:type="dxa"/>
            <w:shd w:val="clear" w:color="auto" w:fill="auto"/>
            <w:noWrap/>
            <w:vAlign w:val="center"/>
            <w:hideMark/>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3,3</w:t>
            </w:r>
          </w:p>
        </w:tc>
        <w:tc>
          <w:tcPr>
            <w:tcW w:w="649" w:type="dxa"/>
            <w:shd w:val="clear" w:color="auto" w:fill="auto"/>
            <w:noWrap/>
            <w:vAlign w:val="center"/>
            <w:hideMark/>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3,0</w:t>
            </w:r>
          </w:p>
        </w:tc>
        <w:tc>
          <w:tcPr>
            <w:tcW w:w="649" w:type="dxa"/>
            <w:shd w:val="clear" w:color="auto" w:fill="auto"/>
            <w:noWrap/>
            <w:vAlign w:val="center"/>
            <w:hideMark/>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3,5</w:t>
            </w:r>
          </w:p>
        </w:tc>
        <w:tc>
          <w:tcPr>
            <w:tcW w:w="649" w:type="dxa"/>
            <w:shd w:val="clear" w:color="auto" w:fill="auto"/>
            <w:noWrap/>
            <w:vAlign w:val="center"/>
            <w:hideMark/>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4,2</w:t>
            </w:r>
          </w:p>
        </w:tc>
        <w:tc>
          <w:tcPr>
            <w:tcW w:w="649" w:type="dxa"/>
            <w:shd w:val="clear" w:color="auto" w:fill="auto"/>
            <w:vAlign w:val="center"/>
            <w:hideMark/>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3,2</w:t>
            </w:r>
          </w:p>
        </w:tc>
        <w:tc>
          <w:tcPr>
            <w:tcW w:w="649" w:type="dxa"/>
            <w:shd w:val="clear" w:color="auto" w:fill="auto"/>
            <w:vAlign w:val="center"/>
            <w:hideMark/>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3,2</w:t>
            </w:r>
          </w:p>
        </w:tc>
        <w:tc>
          <w:tcPr>
            <w:tcW w:w="649" w:type="dxa"/>
            <w:shd w:val="clear" w:color="auto" w:fill="auto"/>
            <w:vAlign w:val="center"/>
            <w:hideMark/>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3,0</w:t>
            </w:r>
          </w:p>
        </w:tc>
        <w:tc>
          <w:tcPr>
            <w:tcW w:w="649" w:type="dxa"/>
            <w:shd w:val="clear" w:color="auto" w:fill="auto"/>
            <w:vAlign w:val="center"/>
            <w:hideMark/>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3,3</w:t>
            </w:r>
          </w:p>
        </w:tc>
        <w:tc>
          <w:tcPr>
            <w:tcW w:w="649" w:type="dxa"/>
            <w:shd w:val="clear" w:color="auto" w:fill="auto"/>
            <w:vAlign w:val="center"/>
            <w:hideMark/>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3,3</w:t>
            </w:r>
          </w:p>
        </w:tc>
        <w:tc>
          <w:tcPr>
            <w:tcW w:w="649" w:type="dxa"/>
            <w:shd w:val="clear" w:color="auto" w:fill="auto"/>
            <w:vAlign w:val="center"/>
            <w:hideMark/>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3,0</w:t>
            </w:r>
          </w:p>
        </w:tc>
      </w:tr>
      <w:tr w:rsidR="00DE4428" w:rsidRPr="00DE4428" w:rsidTr="00DE4428">
        <w:trPr>
          <w:trHeight w:val="300"/>
        </w:trPr>
        <w:tc>
          <w:tcPr>
            <w:tcW w:w="1933" w:type="dxa"/>
            <w:shd w:val="clear" w:color="auto" w:fill="auto"/>
            <w:noWrap/>
            <w:vAlign w:val="center"/>
            <w:hideMark/>
          </w:tcPr>
          <w:p w:rsidR="00DE4428" w:rsidRPr="00DE4428" w:rsidRDefault="00DE4428" w:rsidP="00DE4428">
            <w:pPr>
              <w:spacing w:after="120" w:line="240" w:lineRule="auto"/>
              <w:rPr>
                <w:rFonts w:ascii="Times New Roman" w:hAnsi="Times New Roman" w:cs="Times New Roman"/>
                <w:sz w:val="24"/>
                <w:szCs w:val="24"/>
                <w:lang w:eastAsia="lv-LV"/>
              </w:rPr>
            </w:pPr>
            <w:r w:rsidRPr="00DE4428">
              <w:rPr>
                <w:rFonts w:ascii="Times New Roman" w:hAnsi="Times New Roman" w:cs="Times New Roman"/>
                <w:sz w:val="24"/>
                <w:szCs w:val="24"/>
                <w:lang w:eastAsia="lv-LV"/>
              </w:rPr>
              <w:t>OECD</w:t>
            </w:r>
          </w:p>
        </w:tc>
        <w:tc>
          <w:tcPr>
            <w:tcW w:w="648" w:type="dxa"/>
            <w:shd w:val="clear" w:color="auto" w:fill="auto"/>
            <w:noWrap/>
            <w:vAlign w:val="center"/>
            <w:hideMark/>
          </w:tcPr>
          <w:p w:rsidR="00DE4428" w:rsidRPr="00DE4428" w:rsidRDefault="00DE4428" w:rsidP="00DE4428">
            <w:pPr>
              <w:spacing w:after="120" w:line="240" w:lineRule="auto"/>
              <w:jc w:val="center"/>
              <w:rPr>
                <w:rFonts w:ascii="Times New Roman" w:eastAsia="Times New Roman" w:hAnsi="Times New Roman" w:cs="Times New Roman"/>
                <w:color w:val="000000"/>
                <w:sz w:val="24"/>
                <w:szCs w:val="24"/>
                <w:lang w:eastAsia="lv-LV"/>
              </w:rPr>
            </w:pPr>
            <w:r w:rsidRPr="00DE4428">
              <w:rPr>
                <w:rFonts w:ascii="Times New Roman" w:hAnsi="Times New Roman" w:cs="Times New Roman"/>
                <w:sz w:val="24"/>
                <w:szCs w:val="24"/>
                <w:lang w:eastAsia="lv-LV"/>
              </w:rPr>
              <w:t> </w:t>
            </w:r>
          </w:p>
        </w:tc>
        <w:tc>
          <w:tcPr>
            <w:tcW w:w="649" w:type="dxa"/>
            <w:shd w:val="clear" w:color="auto" w:fill="auto"/>
            <w:noWrap/>
            <w:vAlign w:val="center"/>
            <w:hideMark/>
          </w:tcPr>
          <w:p w:rsidR="00DE4428" w:rsidRPr="00DE4428" w:rsidRDefault="00DE4428" w:rsidP="00DE4428">
            <w:pPr>
              <w:spacing w:after="120" w:line="240" w:lineRule="auto"/>
              <w:jc w:val="center"/>
              <w:rPr>
                <w:rFonts w:ascii="Times New Roman" w:eastAsia="Times New Roman" w:hAnsi="Times New Roman" w:cs="Times New Roman"/>
                <w:color w:val="000000"/>
                <w:sz w:val="24"/>
                <w:szCs w:val="24"/>
                <w:lang w:eastAsia="lv-LV"/>
              </w:rPr>
            </w:pPr>
            <w:r w:rsidRPr="00DE4428">
              <w:rPr>
                <w:rFonts w:ascii="Times New Roman" w:hAnsi="Times New Roman" w:cs="Times New Roman"/>
                <w:sz w:val="24"/>
                <w:szCs w:val="24"/>
                <w:lang w:eastAsia="lv-LV"/>
              </w:rPr>
              <w:t> </w:t>
            </w:r>
          </w:p>
        </w:tc>
        <w:tc>
          <w:tcPr>
            <w:tcW w:w="649" w:type="dxa"/>
            <w:shd w:val="clear" w:color="auto" w:fill="auto"/>
            <w:noWrap/>
            <w:vAlign w:val="center"/>
            <w:hideMark/>
          </w:tcPr>
          <w:p w:rsidR="00DE4428" w:rsidRPr="00DE4428" w:rsidRDefault="00DE4428" w:rsidP="00DE4428">
            <w:pPr>
              <w:spacing w:after="120" w:line="240" w:lineRule="auto"/>
              <w:jc w:val="center"/>
              <w:rPr>
                <w:rFonts w:ascii="Times New Roman" w:eastAsia="Times New Roman" w:hAnsi="Times New Roman" w:cs="Times New Roman"/>
                <w:color w:val="000000"/>
                <w:sz w:val="24"/>
                <w:szCs w:val="24"/>
                <w:lang w:eastAsia="lv-LV"/>
              </w:rPr>
            </w:pPr>
            <w:r w:rsidRPr="00DE4428">
              <w:rPr>
                <w:rFonts w:ascii="Times New Roman" w:hAnsi="Times New Roman" w:cs="Times New Roman"/>
                <w:sz w:val="24"/>
                <w:szCs w:val="24"/>
                <w:lang w:eastAsia="lv-LV"/>
              </w:rPr>
              <w:t> </w:t>
            </w:r>
          </w:p>
        </w:tc>
        <w:tc>
          <w:tcPr>
            <w:tcW w:w="649" w:type="dxa"/>
            <w:shd w:val="clear" w:color="auto" w:fill="auto"/>
            <w:noWrap/>
            <w:vAlign w:val="center"/>
            <w:hideMark/>
          </w:tcPr>
          <w:p w:rsidR="00DE4428" w:rsidRPr="00DE4428" w:rsidRDefault="00DE4428" w:rsidP="00DE4428">
            <w:pPr>
              <w:spacing w:after="120" w:line="240" w:lineRule="auto"/>
              <w:jc w:val="center"/>
              <w:rPr>
                <w:rFonts w:ascii="Times New Roman" w:eastAsia="Times New Roman" w:hAnsi="Times New Roman" w:cs="Times New Roman"/>
                <w:color w:val="000000"/>
                <w:sz w:val="24"/>
                <w:szCs w:val="24"/>
                <w:lang w:eastAsia="lv-LV"/>
              </w:rPr>
            </w:pPr>
            <w:r w:rsidRPr="00DE4428">
              <w:rPr>
                <w:rFonts w:ascii="Times New Roman" w:hAnsi="Times New Roman" w:cs="Times New Roman"/>
                <w:sz w:val="24"/>
                <w:szCs w:val="24"/>
                <w:lang w:eastAsia="lv-LV"/>
              </w:rPr>
              <w:t> </w:t>
            </w:r>
          </w:p>
        </w:tc>
        <w:tc>
          <w:tcPr>
            <w:tcW w:w="649" w:type="dxa"/>
            <w:shd w:val="clear" w:color="auto" w:fill="auto"/>
            <w:noWrap/>
            <w:vAlign w:val="center"/>
            <w:hideMark/>
          </w:tcPr>
          <w:p w:rsidR="00DE4428" w:rsidRPr="00DE4428" w:rsidRDefault="00DE4428" w:rsidP="00DE4428">
            <w:pPr>
              <w:spacing w:after="120" w:line="240" w:lineRule="auto"/>
              <w:jc w:val="center"/>
              <w:rPr>
                <w:rFonts w:ascii="Times New Roman" w:eastAsia="Times New Roman" w:hAnsi="Times New Roman" w:cs="Times New Roman"/>
                <w:color w:val="000000"/>
                <w:sz w:val="24"/>
                <w:szCs w:val="24"/>
                <w:lang w:eastAsia="lv-LV"/>
              </w:rPr>
            </w:pPr>
            <w:r w:rsidRPr="00DE4428">
              <w:rPr>
                <w:rFonts w:ascii="Times New Roman" w:hAnsi="Times New Roman" w:cs="Times New Roman"/>
                <w:sz w:val="24"/>
                <w:szCs w:val="24"/>
                <w:lang w:eastAsia="lv-LV"/>
              </w:rPr>
              <w:t> </w:t>
            </w:r>
          </w:p>
        </w:tc>
        <w:tc>
          <w:tcPr>
            <w:tcW w:w="649" w:type="dxa"/>
            <w:shd w:val="clear" w:color="auto" w:fill="auto"/>
            <w:vAlign w:val="center"/>
            <w:hideMark/>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3,2</w:t>
            </w:r>
          </w:p>
        </w:tc>
        <w:tc>
          <w:tcPr>
            <w:tcW w:w="649" w:type="dxa"/>
            <w:shd w:val="clear" w:color="auto" w:fill="auto"/>
            <w:vAlign w:val="center"/>
            <w:hideMark/>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3,6</w:t>
            </w:r>
          </w:p>
        </w:tc>
        <w:tc>
          <w:tcPr>
            <w:tcW w:w="649" w:type="dxa"/>
            <w:shd w:val="clear" w:color="auto" w:fill="auto"/>
            <w:vAlign w:val="center"/>
            <w:hideMark/>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3,5</w:t>
            </w:r>
          </w:p>
        </w:tc>
        <w:tc>
          <w:tcPr>
            <w:tcW w:w="649" w:type="dxa"/>
            <w:shd w:val="clear" w:color="auto" w:fill="auto"/>
            <w:vAlign w:val="center"/>
            <w:hideMark/>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3,5</w:t>
            </w:r>
          </w:p>
        </w:tc>
        <w:tc>
          <w:tcPr>
            <w:tcW w:w="649" w:type="dxa"/>
            <w:shd w:val="clear" w:color="auto" w:fill="auto"/>
            <w:vAlign w:val="center"/>
            <w:hideMark/>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3,6</w:t>
            </w:r>
          </w:p>
        </w:tc>
        <w:tc>
          <w:tcPr>
            <w:tcW w:w="649" w:type="dxa"/>
            <w:shd w:val="clear" w:color="auto" w:fill="auto"/>
            <w:vAlign w:val="center"/>
            <w:hideMark/>
          </w:tcPr>
          <w:p w:rsidR="00DE4428" w:rsidRPr="00DE4428" w:rsidRDefault="00DE4428" w:rsidP="00DE4428">
            <w:pPr>
              <w:spacing w:after="120" w:line="240" w:lineRule="auto"/>
              <w:jc w:val="center"/>
              <w:rPr>
                <w:rFonts w:ascii="Times New Roman" w:hAnsi="Times New Roman" w:cs="Times New Roman"/>
                <w:sz w:val="24"/>
                <w:szCs w:val="24"/>
                <w:lang w:eastAsia="lv-LV"/>
              </w:rPr>
            </w:pPr>
            <w:r w:rsidRPr="00DE4428">
              <w:rPr>
                <w:rFonts w:ascii="Times New Roman" w:hAnsi="Times New Roman" w:cs="Times New Roman"/>
                <w:sz w:val="24"/>
                <w:szCs w:val="24"/>
                <w:lang w:eastAsia="lv-LV"/>
              </w:rPr>
              <w:t>2,8</w:t>
            </w:r>
          </w:p>
        </w:tc>
      </w:tr>
    </w:tbl>
    <w:p w:rsidR="00DE4428" w:rsidRDefault="00DE4428" w:rsidP="00DE4428">
      <w:r>
        <w:fldChar w:fldCharType="end"/>
      </w:r>
    </w:p>
    <w:p w:rsidR="00DE4428" w:rsidRPr="00DE4428" w:rsidRDefault="00DE4428" w:rsidP="00DE4428">
      <w:pPr>
        <w:spacing w:after="120" w:line="240" w:lineRule="auto"/>
        <w:ind w:firstLine="709"/>
        <w:jc w:val="both"/>
        <w:rPr>
          <w:rFonts w:ascii="Times New Roman" w:hAnsi="Times New Roman" w:cs="Times New Roman"/>
          <w:sz w:val="24"/>
          <w:szCs w:val="24"/>
        </w:rPr>
      </w:pPr>
      <w:r w:rsidRPr="00DE4428">
        <w:rPr>
          <w:rFonts w:ascii="Times New Roman" w:hAnsi="Times New Roman" w:cs="Times New Roman"/>
          <w:sz w:val="24"/>
          <w:szCs w:val="24"/>
        </w:rPr>
        <w:t>Savukārt, sākot ar 2017.gadu, FM prognozes ir precīzākas, salīdzinot ar citām institūcijām,  tomēr jāņem vērā, ka starptautisko institūciju prognozes tiek veiktas ātrāk nekā FM, balstoties uz vecākiem statistikas datiem, piemēram, EK veic prognozēšanas procesu aptuveni pusgadu agrāk nekā FM.</w:t>
      </w:r>
    </w:p>
    <w:p w:rsidR="00877959" w:rsidRDefault="00DE4428" w:rsidP="00DE4428">
      <w:pPr>
        <w:spacing w:after="120" w:line="240" w:lineRule="auto"/>
        <w:ind w:firstLine="709"/>
        <w:jc w:val="both"/>
        <w:rPr>
          <w:rFonts w:ascii="Times New Roman" w:hAnsi="Times New Roman" w:cs="Times New Roman"/>
          <w:sz w:val="24"/>
          <w:szCs w:val="24"/>
        </w:rPr>
      </w:pPr>
      <w:r w:rsidRPr="00DE4428">
        <w:rPr>
          <w:rFonts w:ascii="Times New Roman" w:hAnsi="Times New Roman" w:cs="Times New Roman"/>
          <w:sz w:val="24"/>
          <w:szCs w:val="24"/>
        </w:rPr>
        <w:t xml:space="preserve">Salīdzinot Finanšu ministrijas prognožu kļūdu veidošanās iemeslus, ir jāsecina, ka prognožu kļūdas ir saistītas ar faktoriem, kuru dinamiku ir grūti prognozēt, piemēram, krājumu </w:t>
      </w:r>
      <w:r w:rsidRPr="00DE4428">
        <w:rPr>
          <w:rFonts w:ascii="Times New Roman" w:hAnsi="Times New Roman" w:cs="Times New Roman"/>
          <w:sz w:val="24"/>
          <w:szCs w:val="24"/>
        </w:rPr>
        <w:lastRenderedPageBreak/>
        <w:t>veidošana. Tomēr galvenais secinājums ir tas, ka prognozēm nav sistemātisku kļūdu, līdz ar to prognozēšanas process kopumā ir apmierinošs.</w:t>
      </w:r>
    </w:p>
    <w:p w:rsidR="00553854" w:rsidRPr="00553854" w:rsidRDefault="00553854" w:rsidP="00553854">
      <w:pPr>
        <w:spacing w:after="120" w:line="240" w:lineRule="auto"/>
        <w:ind w:firstLine="709"/>
        <w:jc w:val="both"/>
        <w:rPr>
          <w:rFonts w:ascii="Times New Roman" w:hAnsi="Times New Roman" w:cs="Times New Roman"/>
          <w:sz w:val="24"/>
          <w:szCs w:val="24"/>
        </w:rPr>
      </w:pPr>
      <w:r w:rsidRPr="00553854">
        <w:rPr>
          <w:rFonts w:ascii="Times New Roman" w:hAnsi="Times New Roman" w:cs="Times New Roman"/>
          <w:sz w:val="24"/>
          <w:szCs w:val="24"/>
        </w:rPr>
        <w:t xml:space="preserve">Jānorāda, ka FM iekšzemes kopprodukta pieauguma prognozes, kas 2019.gadam paredz IKP pieaugumu par 3,0% salīdzināmās cenās, ir nedaudz piesardzīgākas nekā tā brīža aktuālās EK prognozes (2018.gada vasaras </w:t>
      </w:r>
      <w:proofErr w:type="spellStart"/>
      <w:r w:rsidRPr="00553854">
        <w:rPr>
          <w:rFonts w:ascii="Times New Roman" w:hAnsi="Times New Roman" w:cs="Times New Roman"/>
          <w:sz w:val="24"/>
          <w:szCs w:val="24"/>
        </w:rPr>
        <w:t>starpprognozes</w:t>
      </w:r>
      <w:proofErr w:type="spellEnd"/>
      <w:r w:rsidRPr="00553854">
        <w:rPr>
          <w:rFonts w:ascii="Times New Roman" w:hAnsi="Times New Roman" w:cs="Times New Roman"/>
          <w:sz w:val="24"/>
          <w:szCs w:val="24"/>
        </w:rPr>
        <w:t>), kas 2019.gadam Latvijai prognozēja 3,2% izaugsmi. Līdzīgi arī ļoti neliela atšķirība ir inflācijas prognozēs, kur FM prognozētais patēriņa cenu pieaugums 2019.gadam ir 2,5%, kamēr EK prognozēja 2,6% inflāciju.</w:t>
      </w:r>
    </w:p>
    <w:sectPr w:rsidR="00553854" w:rsidRPr="00553854" w:rsidSect="00985129">
      <w:headerReference w:type="even" r:id="rId20"/>
      <w:headerReference w:type="default" r:id="rId21"/>
      <w:footerReference w:type="even" r:id="rId22"/>
      <w:footerReference w:type="default" r:id="rId23"/>
      <w:headerReference w:type="first" r:id="rId24"/>
      <w:footerReference w:type="first" r:id="rId25"/>
      <w:type w:val="continuous"/>
      <w:pgSz w:w="11906" w:h="16838"/>
      <w:pgMar w:top="1418" w:right="1134" w:bottom="1134" w:left="1701" w:header="709" w:footer="709" w:gutter="0"/>
      <w:pgNumType w:start="4"/>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AA7" w:rsidRDefault="004D0AA7" w:rsidP="00FC5582">
      <w:pPr>
        <w:spacing w:after="0" w:line="240" w:lineRule="auto"/>
      </w:pPr>
      <w:r>
        <w:separator/>
      </w:r>
    </w:p>
  </w:endnote>
  <w:endnote w:type="continuationSeparator" w:id="0">
    <w:p w:rsidR="004D0AA7" w:rsidRDefault="004D0AA7" w:rsidP="00FC5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01D" w:rsidRDefault="005D30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4DF" w:rsidRPr="00A45193" w:rsidRDefault="000D14DF" w:rsidP="00A45193">
    <w:pPr>
      <w:pStyle w:val="Footer"/>
      <w:jc w:val="both"/>
      <w:rPr>
        <w:rFonts w:ascii="Times New Roman" w:hAnsi="Times New Roman" w:cs="Times New Roman"/>
        <w:sz w:val="20"/>
        <w:szCs w:val="20"/>
      </w:rPr>
    </w:pPr>
    <w:r w:rsidRPr="007A2FB2">
      <w:rPr>
        <w:rFonts w:ascii="Times New Roman" w:hAnsi="Times New Roman" w:cs="Times New Roman"/>
        <w:sz w:val="20"/>
        <w:szCs w:val="20"/>
      </w:rPr>
      <w:fldChar w:fldCharType="begin"/>
    </w:r>
    <w:r w:rsidRPr="007A2FB2">
      <w:rPr>
        <w:rFonts w:ascii="Times New Roman" w:hAnsi="Times New Roman" w:cs="Times New Roman"/>
        <w:sz w:val="20"/>
        <w:szCs w:val="20"/>
      </w:rPr>
      <w:instrText xml:space="preserve"> FILENAME   \* MERGEFORMAT </w:instrText>
    </w:r>
    <w:r w:rsidRPr="007A2FB2">
      <w:rPr>
        <w:rFonts w:ascii="Times New Roman" w:hAnsi="Times New Roman" w:cs="Times New Roman"/>
        <w:sz w:val="20"/>
        <w:szCs w:val="20"/>
      </w:rPr>
      <w:fldChar w:fldCharType="separate"/>
    </w:r>
    <w:r w:rsidR="00E51F7F">
      <w:rPr>
        <w:rFonts w:ascii="Times New Roman" w:hAnsi="Times New Roman" w:cs="Times New Roman"/>
        <w:noProof/>
        <w:sz w:val="20"/>
        <w:szCs w:val="20"/>
      </w:rPr>
      <w:t>FMPask_B_090519_bud2019</w:t>
    </w:r>
    <w:r w:rsidRPr="007A2FB2">
      <w:rPr>
        <w:rFonts w:ascii="Times New Roman" w:hAnsi="Times New Roman" w:cs="Times New Roman"/>
        <w:noProof/>
        <w:sz w:val="20"/>
        <w:szCs w:val="20"/>
      </w:rPr>
      <w:fldChar w:fldCharType="end"/>
    </w:r>
    <w:r w:rsidR="00E51F7F" w:rsidRPr="00A45193">
      <w:rPr>
        <w:rFonts w:ascii="Times New Roman" w:hAnsi="Times New Roman" w:cs="Times New Roman"/>
        <w:sz w:val="20"/>
        <w:szCs w:val="20"/>
      </w:rPr>
      <w:t xml:space="preserve"> </w:t>
    </w:r>
    <w:bookmarkStart w:id="4" w:name="_GoBack"/>
    <w:bookmarkEnd w:id="4"/>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01D" w:rsidRDefault="005D30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AA7" w:rsidRDefault="004D0AA7" w:rsidP="00FC5582">
      <w:pPr>
        <w:spacing w:after="0" w:line="240" w:lineRule="auto"/>
      </w:pPr>
      <w:r>
        <w:separator/>
      </w:r>
    </w:p>
  </w:footnote>
  <w:footnote w:type="continuationSeparator" w:id="0">
    <w:p w:rsidR="004D0AA7" w:rsidRDefault="004D0AA7" w:rsidP="00FC5582">
      <w:pPr>
        <w:spacing w:after="0" w:line="240" w:lineRule="auto"/>
      </w:pPr>
      <w:r>
        <w:continuationSeparator/>
      </w:r>
    </w:p>
  </w:footnote>
  <w:footnote w:id="1">
    <w:p w:rsidR="000D14DF" w:rsidRPr="0002693A" w:rsidRDefault="000D14DF" w:rsidP="005D5097">
      <w:pPr>
        <w:pStyle w:val="FootnoteText"/>
        <w:jc w:val="both"/>
        <w:rPr>
          <w:rFonts w:ascii="Times New Roman" w:hAnsi="Times New Roman" w:cs="Times New Roman"/>
          <w:sz w:val="18"/>
          <w:szCs w:val="18"/>
        </w:rPr>
      </w:pPr>
      <w:r w:rsidRPr="0002693A">
        <w:rPr>
          <w:rStyle w:val="FootnoteReference"/>
          <w:rFonts w:ascii="Times New Roman" w:hAnsi="Times New Roman" w:cs="Times New Roman"/>
          <w:sz w:val="18"/>
          <w:szCs w:val="18"/>
        </w:rPr>
        <w:footnoteRef/>
      </w:r>
      <w:r w:rsidRPr="0002693A">
        <w:rPr>
          <w:rFonts w:ascii="Times New Roman" w:hAnsi="Times New Roman" w:cs="Times New Roman"/>
          <w:sz w:val="18"/>
          <w:szCs w:val="18"/>
        </w:rPr>
        <w:t xml:space="preserve"> Datu avoti: Ja nav norādīts citādi - Centrālā Statistikas pārvalde (CSP) un FM prognozes</w:t>
      </w:r>
    </w:p>
  </w:footnote>
  <w:footnote w:id="2">
    <w:p w:rsidR="000D14DF" w:rsidRDefault="000D14DF" w:rsidP="005D5097">
      <w:pPr>
        <w:pStyle w:val="FootnoteText"/>
        <w:jc w:val="both"/>
      </w:pPr>
      <w:r w:rsidRPr="0002693A">
        <w:rPr>
          <w:rStyle w:val="FootnoteReference"/>
          <w:rFonts w:ascii="Times New Roman" w:hAnsi="Times New Roman" w:cs="Times New Roman"/>
          <w:sz w:val="18"/>
          <w:szCs w:val="18"/>
        </w:rPr>
        <w:footnoteRef/>
      </w:r>
      <w:r w:rsidRPr="0002693A">
        <w:rPr>
          <w:rFonts w:ascii="Times New Roman" w:hAnsi="Times New Roman" w:cs="Times New Roman"/>
          <w:sz w:val="18"/>
          <w:szCs w:val="18"/>
        </w:rPr>
        <w:t xml:space="preserve"> 2019.gada budžeta izstrādei tiek izmantotas makroekonomisko rādītāju prognozes 2018.-2021.gadam, kas tika izstrādātas 2018.gada septembrī, ņemot vērā 2018.gada pirmās puses iekšzemes kopprodukta datus un līdz 2018.gada septembrim pieejamo īstermiņa makroekonomisko informāciju.</w:t>
      </w:r>
    </w:p>
  </w:footnote>
  <w:footnote w:id="3">
    <w:p w:rsidR="000D14DF" w:rsidRPr="005D5097" w:rsidRDefault="000D14DF" w:rsidP="000D75FD">
      <w:pPr>
        <w:pStyle w:val="FootnoteText"/>
        <w:rPr>
          <w:rFonts w:ascii="Times New Roman" w:hAnsi="Times New Roman" w:cs="Times New Roman"/>
          <w:sz w:val="18"/>
          <w:szCs w:val="18"/>
        </w:rPr>
      </w:pPr>
      <w:r w:rsidRPr="005D5097">
        <w:rPr>
          <w:rStyle w:val="FootnoteReference"/>
          <w:rFonts w:ascii="Times New Roman" w:hAnsi="Times New Roman" w:cs="Times New Roman"/>
          <w:sz w:val="18"/>
          <w:szCs w:val="18"/>
        </w:rPr>
        <w:footnoteRef/>
      </w:r>
      <w:r w:rsidRPr="005D5097">
        <w:rPr>
          <w:rFonts w:ascii="Times New Roman" w:hAnsi="Times New Roman" w:cs="Times New Roman"/>
          <w:sz w:val="18"/>
          <w:szCs w:val="18"/>
        </w:rPr>
        <w:t xml:space="preserve"> Lai nodrošinātu datu salīdzināmību un vienoto metodoloģiju, dati par ārējo tirdzniecību tiek publicēti sākot no 1995.gada  </w:t>
      </w:r>
    </w:p>
  </w:footnote>
  <w:footnote w:id="4">
    <w:p w:rsidR="000D14DF" w:rsidRPr="00586A5E" w:rsidRDefault="000D14DF" w:rsidP="005D5097">
      <w:pPr>
        <w:pStyle w:val="FootnoteText"/>
        <w:jc w:val="both"/>
      </w:pPr>
      <w:r w:rsidRPr="00586A5E">
        <w:rPr>
          <w:vertAlign w:val="superscript"/>
        </w:rPr>
        <w:footnoteRef/>
      </w:r>
      <w:r w:rsidRPr="00586A5E">
        <w:rPr>
          <w:vertAlign w:val="superscript"/>
        </w:rPr>
        <w:t xml:space="preserve"> </w:t>
      </w:r>
      <w:r w:rsidRPr="00707C80">
        <w:rPr>
          <w:rFonts w:ascii="Times New Roman" w:hAnsi="Times New Roman" w:cs="Times New Roman"/>
          <w:sz w:val="18"/>
          <w:szCs w:val="18"/>
        </w:rPr>
        <w:t xml:space="preserve">http://eur-lex.europa.eu: Jaunās regulas veido arī par Eiropas Semestra pamatu. Eiropas Semestris ir ES ekonomikas un budžeta politikas saskaņošanas ikgadējais cikls, kura ietvaros ES dalībvalstis saņem Eiropas komisijas ieteikumus - ieteikumi tiek sniegti Stabilitātes un izaugsmes </w:t>
      </w:r>
      <w:proofErr w:type="spellStart"/>
      <w:r w:rsidRPr="00707C80">
        <w:rPr>
          <w:rFonts w:ascii="Times New Roman" w:hAnsi="Times New Roman" w:cs="Times New Roman"/>
          <w:sz w:val="18"/>
          <w:szCs w:val="18"/>
        </w:rPr>
        <w:t>pakta</w:t>
      </w:r>
      <w:proofErr w:type="spellEnd"/>
      <w:r w:rsidRPr="00707C80">
        <w:rPr>
          <w:rFonts w:ascii="Times New Roman" w:hAnsi="Times New Roman" w:cs="Times New Roman"/>
          <w:sz w:val="18"/>
          <w:szCs w:val="18"/>
        </w:rPr>
        <w:t xml:space="preserve"> un makroekonomikas nelīdzsvarotības novēršanas procedūras kontekstā.</w:t>
      </w:r>
    </w:p>
  </w:footnote>
  <w:footnote w:id="5">
    <w:p w:rsidR="000D14DF" w:rsidRPr="00707C80" w:rsidRDefault="000D14DF" w:rsidP="00707C80">
      <w:pPr>
        <w:pStyle w:val="FootnoteText"/>
        <w:rPr>
          <w:rFonts w:ascii="Times New Roman" w:hAnsi="Times New Roman" w:cs="Times New Roman"/>
          <w:sz w:val="18"/>
          <w:szCs w:val="18"/>
        </w:rPr>
      </w:pPr>
      <w:r w:rsidRPr="00707C80">
        <w:rPr>
          <w:rFonts w:ascii="Times New Roman" w:hAnsi="Times New Roman" w:cs="Times New Roman"/>
          <w:sz w:val="18"/>
          <w:szCs w:val="18"/>
          <w:vertAlign w:val="superscript"/>
        </w:rPr>
        <w:footnoteRef/>
      </w:r>
      <w:r w:rsidRPr="00707C80">
        <w:rPr>
          <w:rFonts w:ascii="Times New Roman" w:hAnsi="Times New Roman" w:cs="Times New Roman"/>
          <w:sz w:val="18"/>
          <w:szCs w:val="18"/>
        </w:rPr>
        <w:t xml:space="preserve"> http://ec.europa.eu/</w:t>
      </w:r>
    </w:p>
  </w:footnote>
  <w:footnote w:id="6">
    <w:p w:rsidR="000D14DF" w:rsidRPr="009010AE" w:rsidRDefault="000D14DF" w:rsidP="005D5097">
      <w:pPr>
        <w:pStyle w:val="FootnoteText"/>
        <w:jc w:val="both"/>
        <w:rPr>
          <w:rFonts w:ascii="Times New Roman" w:hAnsi="Times New Roman" w:cs="Times New Roman"/>
          <w:sz w:val="18"/>
          <w:szCs w:val="18"/>
        </w:rPr>
      </w:pPr>
      <w:r w:rsidRPr="009010AE">
        <w:rPr>
          <w:rStyle w:val="FootnoteReference"/>
          <w:rFonts w:ascii="Times New Roman" w:hAnsi="Times New Roman" w:cs="Times New Roman"/>
          <w:sz w:val="18"/>
          <w:szCs w:val="18"/>
        </w:rPr>
        <w:footnoteRef/>
      </w:r>
      <w:r w:rsidRPr="009010AE">
        <w:rPr>
          <w:rFonts w:ascii="Times New Roman" w:hAnsi="Times New Roman" w:cs="Times New Roman"/>
          <w:sz w:val="18"/>
          <w:szCs w:val="18"/>
        </w:rPr>
        <w:t xml:space="preserve"> </w:t>
      </w:r>
      <w:hyperlink r:id="rId1" w:history="1">
        <w:r w:rsidRPr="009010AE">
          <w:rPr>
            <w:rStyle w:val="Hyperlink"/>
            <w:rFonts w:ascii="Times New Roman" w:eastAsiaTheme="majorEastAsia" w:hAnsi="Times New Roman" w:cs="Times New Roman"/>
            <w:sz w:val="18"/>
            <w:szCs w:val="18"/>
          </w:rPr>
          <w:t>www.makroekonomika.lv</w:t>
        </w:r>
      </w:hyperlink>
      <w:r w:rsidRPr="009010AE">
        <w:rPr>
          <w:rFonts w:ascii="Times New Roman" w:hAnsi="Times New Roman" w:cs="Times New Roman"/>
          <w:sz w:val="18"/>
          <w:szCs w:val="18"/>
        </w:rPr>
        <w:t>, Tā kā ārvalstu ieguldījumi Latvijā ir lielāki nekā Latvijas ieguldījumi ārvalstīs, starptautisko investīciju bilances saldo ir negatīvs. Latvija ir neto debitors attiecībā pret pārējām valstīm.</w:t>
      </w:r>
    </w:p>
  </w:footnote>
  <w:footnote w:id="7">
    <w:p w:rsidR="000D14DF" w:rsidRPr="009010AE" w:rsidRDefault="000D14DF" w:rsidP="005D5097">
      <w:pPr>
        <w:pStyle w:val="FootnoteText"/>
        <w:jc w:val="both"/>
        <w:rPr>
          <w:rFonts w:ascii="Times New Roman" w:hAnsi="Times New Roman" w:cs="Times New Roman"/>
          <w:sz w:val="18"/>
          <w:szCs w:val="18"/>
        </w:rPr>
      </w:pPr>
      <w:r w:rsidRPr="009010AE">
        <w:rPr>
          <w:rStyle w:val="FootnoteReference"/>
          <w:rFonts w:ascii="Times New Roman" w:hAnsi="Times New Roman" w:cs="Times New Roman"/>
          <w:sz w:val="18"/>
          <w:szCs w:val="18"/>
        </w:rPr>
        <w:footnoteRef/>
      </w:r>
      <w:r w:rsidRPr="009010AE">
        <w:rPr>
          <w:rFonts w:ascii="Times New Roman" w:hAnsi="Times New Roman" w:cs="Times New Roman"/>
          <w:sz w:val="18"/>
          <w:szCs w:val="18"/>
        </w:rPr>
        <w:t xml:space="preserve"> Negatīva neto starptautisko investīciju bilance norāda uz to, ka citu valstu rezidentu investīcijas Latvijas ekonomikā pārsniedz Latvijas rezidentu investīcijas citu valstu ekonomikās. </w:t>
      </w:r>
    </w:p>
  </w:footnote>
  <w:footnote w:id="8">
    <w:p w:rsidR="000D14DF" w:rsidRPr="00BB2C88" w:rsidRDefault="000D14DF" w:rsidP="00707C80">
      <w:pPr>
        <w:pStyle w:val="FootnoteText"/>
      </w:pPr>
      <w:r w:rsidRPr="009010AE">
        <w:rPr>
          <w:rStyle w:val="FootnoteReference"/>
          <w:rFonts w:ascii="Times New Roman" w:hAnsi="Times New Roman" w:cs="Times New Roman"/>
          <w:sz w:val="18"/>
          <w:szCs w:val="18"/>
        </w:rPr>
        <w:footnoteRef/>
      </w:r>
      <w:r w:rsidRPr="009010AE">
        <w:rPr>
          <w:rFonts w:ascii="Times New Roman" w:hAnsi="Times New Roman" w:cs="Times New Roman"/>
          <w:sz w:val="18"/>
          <w:szCs w:val="18"/>
        </w:rPr>
        <w:t xml:space="preserve"> 2019. gada ziņojums par valsti – Latvija, 2019. gada AMR izmanto 2017. gada statistikas datus</w:t>
      </w:r>
    </w:p>
  </w:footnote>
  <w:footnote w:id="9">
    <w:p w:rsidR="000D14DF" w:rsidRPr="00674CB9" w:rsidRDefault="000D14DF" w:rsidP="00674CB9">
      <w:pPr>
        <w:pStyle w:val="FootnoteText"/>
        <w:rPr>
          <w:rFonts w:ascii="Times New Roman" w:hAnsi="Times New Roman" w:cs="Times New Roman"/>
          <w:sz w:val="18"/>
          <w:szCs w:val="18"/>
        </w:rPr>
      </w:pPr>
      <w:r w:rsidRPr="00674CB9">
        <w:rPr>
          <w:rStyle w:val="FootnoteReference"/>
          <w:rFonts w:ascii="Times New Roman" w:hAnsi="Times New Roman" w:cs="Times New Roman"/>
          <w:sz w:val="18"/>
          <w:szCs w:val="18"/>
        </w:rPr>
        <w:footnoteRef/>
      </w:r>
      <w:r w:rsidRPr="00674CB9">
        <w:rPr>
          <w:rFonts w:ascii="Times New Roman" w:hAnsi="Times New Roman" w:cs="Times New Roman"/>
          <w:sz w:val="18"/>
          <w:szCs w:val="18"/>
        </w:rPr>
        <w:t xml:space="preserve"> Procentu likmei saglabājoties kā bāzes scenārijā.</w:t>
      </w:r>
    </w:p>
  </w:footnote>
  <w:footnote w:id="10">
    <w:p w:rsidR="000D14DF" w:rsidRPr="00636ED4" w:rsidRDefault="000D14DF" w:rsidP="00674CB9">
      <w:pPr>
        <w:pStyle w:val="FootnoteText"/>
        <w:rPr>
          <w:rFonts w:ascii="Times New Roman" w:hAnsi="Times New Roman" w:cs="Times New Roman"/>
          <w:sz w:val="18"/>
          <w:szCs w:val="18"/>
        </w:rPr>
      </w:pPr>
      <w:r w:rsidRPr="00636ED4">
        <w:rPr>
          <w:rStyle w:val="FootnoteReference"/>
          <w:rFonts w:ascii="Times New Roman" w:hAnsi="Times New Roman" w:cs="Times New Roman"/>
          <w:sz w:val="18"/>
          <w:szCs w:val="18"/>
        </w:rPr>
        <w:footnoteRef/>
      </w:r>
      <w:r w:rsidRPr="00636ED4">
        <w:rPr>
          <w:rFonts w:ascii="Times New Roman" w:hAnsi="Times New Roman" w:cs="Times New Roman"/>
          <w:sz w:val="18"/>
          <w:szCs w:val="18"/>
        </w:rPr>
        <w:t xml:space="preserve"> Procentu likmei saglabājoties kā bāzes scenārijā.</w:t>
      </w:r>
    </w:p>
  </w:footnote>
  <w:footnote w:id="11">
    <w:p w:rsidR="000D14DF" w:rsidRPr="00DE4428" w:rsidRDefault="000D14DF" w:rsidP="00636ED4">
      <w:pPr>
        <w:pStyle w:val="FootnoteText"/>
        <w:jc w:val="both"/>
        <w:rPr>
          <w:rFonts w:ascii="Times New Roman" w:hAnsi="Times New Roman" w:cs="Times New Roman"/>
          <w:sz w:val="18"/>
          <w:szCs w:val="18"/>
        </w:rPr>
      </w:pPr>
      <w:r w:rsidRPr="00DE4428">
        <w:rPr>
          <w:rStyle w:val="FootnoteReference"/>
          <w:rFonts w:ascii="Times New Roman" w:hAnsi="Times New Roman" w:cs="Times New Roman"/>
          <w:sz w:val="18"/>
          <w:szCs w:val="18"/>
        </w:rPr>
        <w:footnoteRef/>
      </w:r>
      <w:r w:rsidRPr="00DE4428">
        <w:rPr>
          <w:rFonts w:ascii="Times New Roman" w:hAnsi="Times New Roman" w:cs="Times New Roman"/>
          <w:sz w:val="18"/>
          <w:szCs w:val="18"/>
        </w:rPr>
        <w:t xml:space="preserve"> Tabulā ir atspoguļotas attiecīgā gada prognozes, kas izstrādātas vienu gadu iepriekš (T-1). FM prognozes ir attiecīgā gada budžeta prognozes, kas izstrādātas iepriekšējā gada jūnijā, izņemot 2011. un 2012., kā arī 2015. gada budžetus, kad iepriekšējā gada rudenī notika Saeimas vēlēšanas un prognozes tika sagatavotas vēlāk rudenī. OECD, SVF un EK prognozes ir minēto institūciju iepriekšējā gadā publicētās jaunākās prognozes līdz 2018.gada oktobrim.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01D" w:rsidRDefault="005D30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8867897"/>
      <w:docPartObj>
        <w:docPartGallery w:val="Page Numbers (Top of Page)"/>
        <w:docPartUnique/>
      </w:docPartObj>
    </w:sdtPr>
    <w:sdtEndPr>
      <w:rPr>
        <w:rFonts w:ascii="Times New Roman" w:hAnsi="Times New Roman" w:cs="Times New Roman"/>
        <w:noProof/>
        <w:sz w:val="24"/>
        <w:szCs w:val="24"/>
      </w:rPr>
    </w:sdtEndPr>
    <w:sdtContent>
      <w:p w:rsidR="000D14DF" w:rsidRPr="00A45193" w:rsidRDefault="000D14DF" w:rsidP="00A2740B">
        <w:pPr>
          <w:pStyle w:val="Header"/>
          <w:tabs>
            <w:tab w:val="clear" w:pos="4153"/>
          </w:tabs>
          <w:jc w:val="center"/>
          <w:rPr>
            <w:rFonts w:ascii="Times New Roman" w:hAnsi="Times New Roman" w:cs="Times New Roman"/>
            <w:sz w:val="24"/>
            <w:szCs w:val="24"/>
          </w:rPr>
        </w:pPr>
        <w:r w:rsidRPr="007A2FB2">
          <w:rPr>
            <w:rFonts w:ascii="Times New Roman" w:hAnsi="Times New Roman" w:cs="Times New Roman"/>
            <w:sz w:val="24"/>
            <w:szCs w:val="24"/>
          </w:rPr>
          <w:fldChar w:fldCharType="begin"/>
        </w:r>
        <w:r w:rsidRPr="007A2FB2">
          <w:rPr>
            <w:rFonts w:ascii="Times New Roman" w:hAnsi="Times New Roman" w:cs="Times New Roman"/>
            <w:sz w:val="24"/>
            <w:szCs w:val="24"/>
          </w:rPr>
          <w:instrText xml:space="preserve"> PAGE   \* MERGEFORMAT </w:instrText>
        </w:r>
        <w:r w:rsidRPr="007A2FB2">
          <w:rPr>
            <w:rFonts w:ascii="Times New Roman" w:hAnsi="Times New Roman" w:cs="Times New Roman"/>
            <w:sz w:val="24"/>
            <w:szCs w:val="24"/>
          </w:rPr>
          <w:fldChar w:fldCharType="separate"/>
        </w:r>
        <w:r w:rsidR="005D301D">
          <w:rPr>
            <w:rFonts w:ascii="Times New Roman" w:hAnsi="Times New Roman" w:cs="Times New Roman"/>
            <w:noProof/>
            <w:sz w:val="24"/>
            <w:szCs w:val="24"/>
          </w:rPr>
          <w:t>36</w:t>
        </w:r>
        <w:r w:rsidRPr="007A2FB2">
          <w:rPr>
            <w:rFonts w:ascii="Times New Roman" w:hAnsi="Times New Roman" w:cs="Times New Roman"/>
            <w:noProof/>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301D" w:rsidRDefault="005D30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45A2"/>
    <w:multiLevelType w:val="multilevel"/>
    <w:tmpl w:val="154EA960"/>
    <w:lvl w:ilvl="0">
      <w:start w:val="2"/>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4781B87"/>
    <w:multiLevelType w:val="hybridMultilevel"/>
    <w:tmpl w:val="14462D7E"/>
    <w:lvl w:ilvl="0" w:tplc="FC48DC70">
      <w:start w:val="1"/>
      <w:numFmt w:val="decimal"/>
      <w:lvlText w:val="%1."/>
      <w:lvlJc w:val="left"/>
      <w:pPr>
        <w:ind w:left="1582" w:hanging="360"/>
      </w:pPr>
      <w:rPr>
        <w:rFonts w:ascii="Times New Roman" w:hAnsi="Times New Roman" w:hint="default"/>
        <w:sz w:val="24"/>
      </w:rPr>
    </w:lvl>
    <w:lvl w:ilvl="1" w:tplc="04260019" w:tentative="1">
      <w:start w:val="1"/>
      <w:numFmt w:val="lowerLetter"/>
      <w:lvlText w:val="%2."/>
      <w:lvlJc w:val="left"/>
      <w:pPr>
        <w:ind w:left="2302" w:hanging="360"/>
      </w:pPr>
    </w:lvl>
    <w:lvl w:ilvl="2" w:tplc="0426001B" w:tentative="1">
      <w:start w:val="1"/>
      <w:numFmt w:val="lowerRoman"/>
      <w:lvlText w:val="%3."/>
      <w:lvlJc w:val="right"/>
      <w:pPr>
        <w:ind w:left="3022" w:hanging="180"/>
      </w:pPr>
    </w:lvl>
    <w:lvl w:ilvl="3" w:tplc="0426000F" w:tentative="1">
      <w:start w:val="1"/>
      <w:numFmt w:val="decimal"/>
      <w:lvlText w:val="%4."/>
      <w:lvlJc w:val="left"/>
      <w:pPr>
        <w:ind w:left="3742" w:hanging="360"/>
      </w:pPr>
    </w:lvl>
    <w:lvl w:ilvl="4" w:tplc="04260019" w:tentative="1">
      <w:start w:val="1"/>
      <w:numFmt w:val="lowerLetter"/>
      <w:lvlText w:val="%5."/>
      <w:lvlJc w:val="left"/>
      <w:pPr>
        <w:ind w:left="4462" w:hanging="360"/>
      </w:pPr>
    </w:lvl>
    <w:lvl w:ilvl="5" w:tplc="0426001B" w:tentative="1">
      <w:start w:val="1"/>
      <w:numFmt w:val="lowerRoman"/>
      <w:lvlText w:val="%6."/>
      <w:lvlJc w:val="right"/>
      <w:pPr>
        <w:ind w:left="5182" w:hanging="180"/>
      </w:pPr>
    </w:lvl>
    <w:lvl w:ilvl="6" w:tplc="0426000F" w:tentative="1">
      <w:start w:val="1"/>
      <w:numFmt w:val="decimal"/>
      <w:lvlText w:val="%7."/>
      <w:lvlJc w:val="left"/>
      <w:pPr>
        <w:ind w:left="5902" w:hanging="360"/>
      </w:pPr>
    </w:lvl>
    <w:lvl w:ilvl="7" w:tplc="04260019" w:tentative="1">
      <w:start w:val="1"/>
      <w:numFmt w:val="lowerLetter"/>
      <w:lvlText w:val="%8."/>
      <w:lvlJc w:val="left"/>
      <w:pPr>
        <w:ind w:left="6622" w:hanging="360"/>
      </w:pPr>
    </w:lvl>
    <w:lvl w:ilvl="8" w:tplc="0426001B" w:tentative="1">
      <w:start w:val="1"/>
      <w:numFmt w:val="lowerRoman"/>
      <w:lvlText w:val="%9."/>
      <w:lvlJc w:val="right"/>
      <w:pPr>
        <w:ind w:left="7342" w:hanging="180"/>
      </w:pPr>
    </w:lvl>
  </w:abstractNum>
  <w:abstractNum w:abstractNumId="2" w15:restartNumberingAfterBreak="0">
    <w:nsid w:val="0F1B3975"/>
    <w:multiLevelType w:val="hybridMultilevel"/>
    <w:tmpl w:val="0AB892E8"/>
    <w:lvl w:ilvl="0" w:tplc="04260005">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 w15:restartNumberingAfterBreak="0">
    <w:nsid w:val="119A701D"/>
    <w:multiLevelType w:val="multilevel"/>
    <w:tmpl w:val="9F005C7E"/>
    <w:lvl w:ilvl="0">
      <w:start w:val="1"/>
      <w:numFmt w:val="decimal"/>
      <w:lvlText w:val="%1."/>
      <w:lvlJc w:val="left"/>
      <w:pPr>
        <w:ind w:left="720" w:hanging="360"/>
      </w:pPr>
      <w:rPr>
        <w:rFonts w:hint="default"/>
      </w:rPr>
    </w:lvl>
    <w:lvl w:ilvl="1">
      <w:start w:val="2"/>
      <w:numFmt w:val="decimal"/>
      <w:isLgl/>
      <w:lvlText w:val="%1.%2."/>
      <w:lvlJc w:val="left"/>
      <w:pPr>
        <w:ind w:left="1155" w:hanging="795"/>
      </w:pPr>
      <w:rPr>
        <w:rFonts w:hint="default"/>
      </w:rPr>
    </w:lvl>
    <w:lvl w:ilvl="2">
      <w:start w:val="7"/>
      <w:numFmt w:val="decimal"/>
      <w:isLgl/>
      <w:lvlText w:val="%1.%2.%3."/>
      <w:lvlJc w:val="left"/>
      <w:pPr>
        <w:ind w:left="1155" w:hanging="79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7CE70BE"/>
    <w:multiLevelType w:val="hybridMultilevel"/>
    <w:tmpl w:val="0CD0D52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Times New Roman"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Times New Roman"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Times New Roman"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2A8F62BB"/>
    <w:multiLevelType w:val="hybridMultilevel"/>
    <w:tmpl w:val="B456CCFE"/>
    <w:lvl w:ilvl="0" w:tplc="0426000F">
      <w:start w:val="1"/>
      <w:numFmt w:val="decimal"/>
      <w:lvlText w:val="%1."/>
      <w:lvlJc w:val="left"/>
      <w:pPr>
        <w:ind w:left="720" w:hanging="360"/>
      </w:pPr>
      <w:rPr>
        <w:rFonts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E082E51"/>
    <w:multiLevelType w:val="hybridMultilevel"/>
    <w:tmpl w:val="2606F76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5DD2992"/>
    <w:multiLevelType w:val="multilevel"/>
    <w:tmpl w:val="143A6EDC"/>
    <w:lvl w:ilvl="0">
      <w:start w:val="1"/>
      <w:numFmt w:val="decimal"/>
      <w:lvlText w:val="%1."/>
      <w:lvlJc w:val="left"/>
      <w:pPr>
        <w:ind w:left="720" w:hanging="360"/>
      </w:pPr>
      <w:rPr>
        <w:rFonts w:ascii="Times New Roman" w:hAnsi="Times New Roman" w:hint="default"/>
        <w:sz w:val="32"/>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15A4888"/>
    <w:multiLevelType w:val="hybridMultilevel"/>
    <w:tmpl w:val="2580F608"/>
    <w:lvl w:ilvl="0" w:tplc="D07012F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5908B0"/>
    <w:multiLevelType w:val="hybridMultilevel"/>
    <w:tmpl w:val="E0942F3C"/>
    <w:lvl w:ilvl="0" w:tplc="0A88643C">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88C55FF"/>
    <w:multiLevelType w:val="multilevel"/>
    <w:tmpl w:val="6754733C"/>
    <w:lvl w:ilvl="0">
      <w:start w:val="1"/>
      <w:numFmt w:val="decimal"/>
      <w:lvlText w:val="%1."/>
      <w:lvlJc w:val="left"/>
      <w:pPr>
        <w:ind w:left="540" w:hanging="540"/>
      </w:pPr>
      <w:rPr>
        <w:rFonts w:eastAsiaTheme="minorHAnsi" w:hint="default"/>
        <w:sz w:val="24"/>
      </w:rPr>
    </w:lvl>
    <w:lvl w:ilvl="1">
      <w:start w:val="3"/>
      <w:numFmt w:val="decimal"/>
      <w:lvlText w:val="%1.%2."/>
      <w:lvlJc w:val="left"/>
      <w:pPr>
        <w:ind w:left="1440" w:hanging="720"/>
      </w:pPr>
      <w:rPr>
        <w:rFonts w:eastAsiaTheme="minorHAnsi" w:hint="default"/>
        <w:sz w:val="24"/>
      </w:rPr>
    </w:lvl>
    <w:lvl w:ilvl="2">
      <w:start w:val="2"/>
      <w:numFmt w:val="decimal"/>
      <w:lvlText w:val="%1.%2.%3."/>
      <w:lvlJc w:val="left"/>
      <w:pPr>
        <w:ind w:left="2160" w:hanging="720"/>
      </w:pPr>
      <w:rPr>
        <w:rFonts w:eastAsiaTheme="minorHAnsi" w:hint="default"/>
        <w:sz w:val="32"/>
      </w:rPr>
    </w:lvl>
    <w:lvl w:ilvl="3">
      <w:start w:val="1"/>
      <w:numFmt w:val="decimal"/>
      <w:lvlText w:val="%1.%2.%3.%4."/>
      <w:lvlJc w:val="left"/>
      <w:pPr>
        <w:ind w:left="3240" w:hanging="1080"/>
      </w:pPr>
      <w:rPr>
        <w:rFonts w:eastAsiaTheme="minorHAnsi" w:hint="default"/>
        <w:sz w:val="24"/>
      </w:rPr>
    </w:lvl>
    <w:lvl w:ilvl="4">
      <w:start w:val="1"/>
      <w:numFmt w:val="decimal"/>
      <w:lvlText w:val="%1.%2.%3.%4.%5."/>
      <w:lvlJc w:val="left"/>
      <w:pPr>
        <w:ind w:left="4320" w:hanging="1440"/>
      </w:pPr>
      <w:rPr>
        <w:rFonts w:eastAsiaTheme="minorHAnsi" w:hint="default"/>
        <w:sz w:val="24"/>
      </w:rPr>
    </w:lvl>
    <w:lvl w:ilvl="5">
      <w:start w:val="1"/>
      <w:numFmt w:val="decimal"/>
      <w:lvlText w:val="%1.%2.%3.%4.%5.%6."/>
      <w:lvlJc w:val="left"/>
      <w:pPr>
        <w:ind w:left="5040" w:hanging="1440"/>
      </w:pPr>
      <w:rPr>
        <w:rFonts w:eastAsiaTheme="minorHAnsi" w:hint="default"/>
        <w:sz w:val="24"/>
      </w:rPr>
    </w:lvl>
    <w:lvl w:ilvl="6">
      <w:start w:val="1"/>
      <w:numFmt w:val="decimal"/>
      <w:lvlText w:val="%1.%2.%3.%4.%5.%6.%7."/>
      <w:lvlJc w:val="left"/>
      <w:pPr>
        <w:ind w:left="6120" w:hanging="1800"/>
      </w:pPr>
      <w:rPr>
        <w:rFonts w:eastAsiaTheme="minorHAnsi" w:hint="default"/>
        <w:sz w:val="24"/>
      </w:rPr>
    </w:lvl>
    <w:lvl w:ilvl="7">
      <w:start w:val="1"/>
      <w:numFmt w:val="decimal"/>
      <w:lvlText w:val="%1.%2.%3.%4.%5.%6.%7.%8."/>
      <w:lvlJc w:val="left"/>
      <w:pPr>
        <w:ind w:left="7200" w:hanging="2160"/>
      </w:pPr>
      <w:rPr>
        <w:rFonts w:eastAsiaTheme="minorHAnsi" w:hint="default"/>
        <w:sz w:val="24"/>
      </w:rPr>
    </w:lvl>
    <w:lvl w:ilvl="8">
      <w:start w:val="1"/>
      <w:numFmt w:val="decimal"/>
      <w:lvlText w:val="%1.%2.%3.%4.%5.%6.%7.%8.%9."/>
      <w:lvlJc w:val="left"/>
      <w:pPr>
        <w:ind w:left="7920" w:hanging="2160"/>
      </w:pPr>
      <w:rPr>
        <w:rFonts w:eastAsiaTheme="minorHAnsi" w:hint="default"/>
        <w:sz w:val="24"/>
      </w:rPr>
    </w:lvl>
  </w:abstractNum>
  <w:abstractNum w:abstractNumId="11" w15:restartNumberingAfterBreak="0">
    <w:nsid w:val="4B5011F3"/>
    <w:multiLevelType w:val="hybridMultilevel"/>
    <w:tmpl w:val="5EDCA33C"/>
    <w:lvl w:ilvl="0" w:tplc="CE02BA02">
      <w:start w:val="1"/>
      <w:numFmt w:val="bullet"/>
      <w:lvlText w:val=""/>
      <w:lvlJc w:val="left"/>
      <w:pPr>
        <w:ind w:left="720" w:hanging="360"/>
      </w:pPr>
      <w:rPr>
        <w:rFonts w:ascii="Symbol" w:hAnsi="Symbol"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4B762899"/>
    <w:multiLevelType w:val="hybridMultilevel"/>
    <w:tmpl w:val="6032EC5A"/>
    <w:lvl w:ilvl="0" w:tplc="67AEFF1C">
      <w:start w:val="1"/>
      <w:numFmt w:val="low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C924114"/>
    <w:multiLevelType w:val="hybridMultilevel"/>
    <w:tmpl w:val="B7247E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2C46BF6"/>
    <w:multiLevelType w:val="hybridMultilevel"/>
    <w:tmpl w:val="26144B54"/>
    <w:lvl w:ilvl="0" w:tplc="04260011">
      <w:start w:val="1"/>
      <w:numFmt w:val="decimal"/>
      <w:lvlText w:val="%1)"/>
      <w:lvlJc w:val="left"/>
      <w:pPr>
        <w:ind w:left="720" w:hanging="360"/>
      </w:pPr>
      <w:rPr>
        <w:rFonts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A4F3174"/>
    <w:multiLevelType w:val="hybridMultilevel"/>
    <w:tmpl w:val="C928BE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A5C29C7"/>
    <w:multiLevelType w:val="multilevel"/>
    <w:tmpl w:val="09B00680"/>
    <w:lvl w:ilvl="0">
      <w:start w:val="1"/>
      <w:numFmt w:val="decimal"/>
      <w:lvlText w:val="%1."/>
      <w:lvlJc w:val="left"/>
      <w:pPr>
        <w:ind w:left="540" w:hanging="54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7" w15:restartNumberingAfterBreak="0">
    <w:nsid w:val="6C5957D7"/>
    <w:multiLevelType w:val="hybridMultilevel"/>
    <w:tmpl w:val="545485F8"/>
    <w:lvl w:ilvl="0" w:tplc="04260005">
      <w:start w:val="1"/>
      <w:numFmt w:val="bullet"/>
      <w:lvlText w:val=""/>
      <w:lvlJc w:val="left"/>
      <w:pPr>
        <w:ind w:left="1429" w:hanging="360"/>
      </w:pPr>
      <w:rPr>
        <w:rFonts w:ascii="Wingdings" w:hAnsi="Wingdings"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8" w15:restartNumberingAfterBreak="0">
    <w:nsid w:val="6D5533B6"/>
    <w:multiLevelType w:val="hybridMultilevel"/>
    <w:tmpl w:val="3A7C32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02B0094"/>
    <w:multiLevelType w:val="hybridMultilevel"/>
    <w:tmpl w:val="B456CCFE"/>
    <w:lvl w:ilvl="0" w:tplc="0426000F">
      <w:start w:val="1"/>
      <w:numFmt w:val="decimal"/>
      <w:lvlText w:val="%1."/>
      <w:lvlJc w:val="left"/>
      <w:pPr>
        <w:ind w:left="720" w:hanging="360"/>
      </w:pPr>
      <w:rPr>
        <w:rFonts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EF00416"/>
    <w:multiLevelType w:val="hybridMultilevel"/>
    <w:tmpl w:val="201E6E7E"/>
    <w:lvl w:ilvl="0" w:tplc="5B40204A">
      <w:start w:val="1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6"/>
  </w:num>
  <w:num w:numId="3">
    <w:abstractNumId w:val="3"/>
  </w:num>
  <w:num w:numId="4">
    <w:abstractNumId w:val="20"/>
  </w:num>
  <w:num w:numId="5">
    <w:abstractNumId w:val="8"/>
  </w:num>
  <w:num w:numId="6">
    <w:abstractNumId w:val="4"/>
  </w:num>
  <w:num w:numId="7">
    <w:abstractNumId w:val="11"/>
  </w:num>
  <w:num w:numId="8">
    <w:abstractNumId w:val="16"/>
  </w:num>
  <w:num w:numId="9">
    <w:abstractNumId w:val="5"/>
  </w:num>
  <w:num w:numId="10">
    <w:abstractNumId w:val="18"/>
  </w:num>
  <w:num w:numId="11">
    <w:abstractNumId w:val="0"/>
  </w:num>
  <w:num w:numId="12">
    <w:abstractNumId w:val="2"/>
  </w:num>
  <w:num w:numId="13">
    <w:abstractNumId w:val="17"/>
  </w:num>
  <w:num w:numId="14">
    <w:abstractNumId w:val="12"/>
  </w:num>
  <w:num w:numId="15">
    <w:abstractNumId w:val="10"/>
  </w:num>
  <w:num w:numId="16">
    <w:abstractNumId w:val="9"/>
  </w:num>
  <w:num w:numId="17">
    <w:abstractNumId w:val="19"/>
  </w:num>
  <w:num w:numId="18">
    <w:abstractNumId w:val="14"/>
  </w:num>
  <w:num w:numId="19">
    <w:abstractNumId w:val="15"/>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206"/>
    <w:rsid w:val="000001C6"/>
    <w:rsid w:val="00001C00"/>
    <w:rsid w:val="000037E2"/>
    <w:rsid w:val="00003F92"/>
    <w:rsid w:val="00004D3A"/>
    <w:rsid w:val="00012B43"/>
    <w:rsid w:val="000132FA"/>
    <w:rsid w:val="00013958"/>
    <w:rsid w:val="00016207"/>
    <w:rsid w:val="000162AB"/>
    <w:rsid w:val="00017CEF"/>
    <w:rsid w:val="00023294"/>
    <w:rsid w:val="00024E13"/>
    <w:rsid w:val="0002642E"/>
    <w:rsid w:val="0002693A"/>
    <w:rsid w:val="00027485"/>
    <w:rsid w:val="000311CF"/>
    <w:rsid w:val="00031574"/>
    <w:rsid w:val="000317F1"/>
    <w:rsid w:val="0003350A"/>
    <w:rsid w:val="00035613"/>
    <w:rsid w:val="000410B5"/>
    <w:rsid w:val="00046F71"/>
    <w:rsid w:val="0005072F"/>
    <w:rsid w:val="000540EE"/>
    <w:rsid w:val="00056119"/>
    <w:rsid w:val="00057613"/>
    <w:rsid w:val="00064E10"/>
    <w:rsid w:val="00067206"/>
    <w:rsid w:val="00071AA2"/>
    <w:rsid w:val="00072514"/>
    <w:rsid w:val="00072998"/>
    <w:rsid w:val="00072C0C"/>
    <w:rsid w:val="0007396C"/>
    <w:rsid w:val="0007478A"/>
    <w:rsid w:val="0007548A"/>
    <w:rsid w:val="000754E5"/>
    <w:rsid w:val="000763B0"/>
    <w:rsid w:val="000851A7"/>
    <w:rsid w:val="00087DC4"/>
    <w:rsid w:val="000942D3"/>
    <w:rsid w:val="000A26A3"/>
    <w:rsid w:val="000A3D01"/>
    <w:rsid w:val="000A4FAF"/>
    <w:rsid w:val="000A5093"/>
    <w:rsid w:val="000B098B"/>
    <w:rsid w:val="000B1331"/>
    <w:rsid w:val="000B29E4"/>
    <w:rsid w:val="000B2AF7"/>
    <w:rsid w:val="000B3A45"/>
    <w:rsid w:val="000B3A8F"/>
    <w:rsid w:val="000B3B75"/>
    <w:rsid w:val="000B4C2D"/>
    <w:rsid w:val="000B5A91"/>
    <w:rsid w:val="000C11CD"/>
    <w:rsid w:val="000C1A13"/>
    <w:rsid w:val="000C3C2C"/>
    <w:rsid w:val="000C5EDB"/>
    <w:rsid w:val="000C644E"/>
    <w:rsid w:val="000D14DF"/>
    <w:rsid w:val="000D36FC"/>
    <w:rsid w:val="000D3DD9"/>
    <w:rsid w:val="000D75FD"/>
    <w:rsid w:val="000E01FD"/>
    <w:rsid w:val="000E0DF2"/>
    <w:rsid w:val="000E2E97"/>
    <w:rsid w:val="000E2EC2"/>
    <w:rsid w:val="000E3D6C"/>
    <w:rsid w:val="000E63A7"/>
    <w:rsid w:val="000F2D47"/>
    <w:rsid w:val="000F4E09"/>
    <w:rsid w:val="00100344"/>
    <w:rsid w:val="00105BD1"/>
    <w:rsid w:val="001127A3"/>
    <w:rsid w:val="001139C9"/>
    <w:rsid w:val="00115ADD"/>
    <w:rsid w:val="00116C3E"/>
    <w:rsid w:val="00123430"/>
    <w:rsid w:val="001273C7"/>
    <w:rsid w:val="00131874"/>
    <w:rsid w:val="00136814"/>
    <w:rsid w:val="001406C7"/>
    <w:rsid w:val="0014234E"/>
    <w:rsid w:val="0015078E"/>
    <w:rsid w:val="001507D2"/>
    <w:rsid w:val="00153D71"/>
    <w:rsid w:val="001566FC"/>
    <w:rsid w:val="00160D58"/>
    <w:rsid w:val="0016125D"/>
    <w:rsid w:val="001621E5"/>
    <w:rsid w:val="00162C3F"/>
    <w:rsid w:val="001641D9"/>
    <w:rsid w:val="00167543"/>
    <w:rsid w:val="00171F82"/>
    <w:rsid w:val="00174246"/>
    <w:rsid w:val="00181BF4"/>
    <w:rsid w:val="001839AD"/>
    <w:rsid w:val="00183BFD"/>
    <w:rsid w:val="0018558D"/>
    <w:rsid w:val="00185A68"/>
    <w:rsid w:val="00187382"/>
    <w:rsid w:val="00196611"/>
    <w:rsid w:val="00196F1F"/>
    <w:rsid w:val="001A0F8E"/>
    <w:rsid w:val="001A24A0"/>
    <w:rsid w:val="001A3FF7"/>
    <w:rsid w:val="001A45F7"/>
    <w:rsid w:val="001A4971"/>
    <w:rsid w:val="001A5C41"/>
    <w:rsid w:val="001A71CE"/>
    <w:rsid w:val="001B4FD6"/>
    <w:rsid w:val="001C1437"/>
    <w:rsid w:val="001C1592"/>
    <w:rsid w:val="001C1930"/>
    <w:rsid w:val="001D45A7"/>
    <w:rsid w:val="001E24C7"/>
    <w:rsid w:val="001E7657"/>
    <w:rsid w:val="001F050A"/>
    <w:rsid w:val="001F6E9E"/>
    <w:rsid w:val="002012A5"/>
    <w:rsid w:val="002013DE"/>
    <w:rsid w:val="002063D8"/>
    <w:rsid w:val="00211FCB"/>
    <w:rsid w:val="0023292C"/>
    <w:rsid w:val="00235DF0"/>
    <w:rsid w:val="00237AD5"/>
    <w:rsid w:val="00237DA3"/>
    <w:rsid w:val="00242C46"/>
    <w:rsid w:val="00244306"/>
    <w:rsid w:val="00244419"/>
    <w:rsid w:val="00244488"/>
    <w:rsid w:val="002471A9"/>
    <w:rsid w:val="00253C0C"/>
    <w:rsid w:val="0025626F"/>
    <w:rsid w:val="00261AFF"/>
    <w:rsid w:val="00267683"/>
    <w:rsid w:val="00267D79"/>
    <w:rsid w:val="00273908"/>
    <w:rsid w:val="00276B7C"/>
    <w:rsid w:val="00277862"/>
    <w:rsid w:val="002828B4"/>
    <w:rsid w:val="00283049"/>
    <w:rsid w:val="00283EA4"/>
    <w:rsid w:val="00283F06"/>
    <w:rsid w:val="00284D3A"/>
    <w:rsid w:val="00297DF0"/>
    <w:rsid w:val="002A1AB5"/>
    <w:rsid w:val="002A51A5"/>
    <w:rsid w:val="002A6504"/>
    <w:rsid w:val="002A7A70"/>
    <w:rsid w:val="002B060A"/>
    <w:rsid w:val="002B3276"/>
    <w:rsid w:val="002B44A7"/>
    <w:rsid w:val="002B4E5A"/>
    <w:rsid w:val="002C62E5"/>
    <w:rsid w:val="002C7059"/>
    <w:rsid w:val="002D0207"/>
    <w:rsid w:val="002D2B96"/>
    <w:rsid w:val="002D499D"/>
    <w:rsid w:val="002D5369"/>
    <w:rsid w:val="002D70F4"/>
    <w:rsid w:val="002D7B4F"/>
    <w:rsid w:val="002E0102"/>
    <w:rsid w:val="002E5961"/>
    <w:rsid w:val="002E6188"/>
    <w:rsid w:val="002E6C2B"/>
    <w:rsid w:val="002E7762"/>
    <w:rsid w:val="002F0080"/>
    <w:rsid w:val="002F098D"/>
    <w:rsid w:val="003028A5"/>
    <w:rsid w:val="00304ABB"/>
    <w:rsid w:val="00305002"/>
    <w:rsid w:val="003050A6"/>
    <w:rsid w:val="00307439"/>
    <w:rsid w:val="00313E34"/>
    <w:rsid w:val="003167F3"/>
    <w:rsid w:val="00316BFA"/>
    <w:rsid w:val="003315AA"/>
    <w:rsid w:val="00332081"/>
    <w:rsid w:val="003333FD"/>
    <w:rsid w:val="003364E2"/>
    <w:rsid w:val="003405A9"/>
    <w:rsid w:val="003414DD"/>
    <w:rsid w:val="00341F2B"/>
    <w:rsid w:val="00351A14"/>
    <w:rsid w:val="00354950"/>
    <w:rsid w:val="003552D6"/>
    <w:rsid w:val="00355E09"/>
    <w:rsid w:val="00356330"/>
    <w:rsid w:val="00360C4F"/>
    <w:rsid w:val="0036165D"/>
    <w:rsid w:val="003619CD"/>
    <w:rsid w:val="00361CA6"/>
    <w:rsid w:val="003702CD"/>
    <w:rsid w:val="00370861"/>
    <w:rsid w:val="0037403D"/>
    <w:rsid w:val="003740AC"/>
    <w:rsid w:val="003744A3"/>
    <w:rsid w:val="00380A03"/>
    <w:rsid w:val="00380FB0"/>
    <w:rsid w:val="003832FB"/>
    <w:rsid w:val="00393051"/>
    <w:rsid w:val="0039574F"/>
    <w:rsid w:val="003A2210"/>
    <w:rsid w:val="003A2DE9"/>
    <w:rsid w:val="003A5120"/>
    <w:rsid w:val="003A54BD"/>
    <w:rsid w:val="003B2042"/>
    <w:rsid w:val="003B5EE1"/>
    <w:rsid w:val="003B7037"/>
    <w:rsid w:val="003B78D0"/>
    <w:rsid w:val="003B7A46"/>
    <w:rsid w:val="003C2B28"/>
    <w:rsid w:val="003C6135"/>
    <w:rsid w:val="003D273D"/>
    <w:rsid w:val="003D603C"/>
    <w:rsid w:val="003E369D"/>
    <w:rsid w:val="003E684C"/>
    <w:rsid w:val="003F1BB1"/>
    <w:rsid w:val="003F3ECF"/>
    <w:rsid w:val="003F4883"/>
    <w:rsid w:val="0040732A"/>
    <w:rsid w:val="00410968"/>
    <w:rsid w:val="0041178C"/>
    <w:rsid w:val="00411F04"/>
    <w:rsid w:val="00414E0A"/>
    <w:rsid w:val="00417552"/>
    <w:rsid w:val="00422FD6"/>
    <w:rsid w:val="00432F21"/>
    <w:rsid w:val="00437029"/>
    <w:rsid w:val="004420A2"/>
    <w:rsid w:val="004468F8"/>
    <w:rsid w:val="00447873"/>
    <w:rsid w:val="00452207"/>
    <w:rsid w:val="00466D27"/>
    <w:rsid w:val="004674F0"/>
    <w:rsid w:val="0047195B"/>
    <w:rsid w:val="00474F3A"/>
    <w:rsid w:val="004816CA"/>
    <w:rsid w:val="00482889"/>
    <w:rsid w:val="00487C40"/>
    <w:rsid w:val="004902ED"/>
    <w:rsid w:val="0049060D"/>
    <w:rsid w:val="00491DAE"/>
    <w:rsid w:val="00492A9E"/>
    <w:rsid w:val="004A43F9"/>
    <w:rsid w:val="004B1B5B"/>
    <w:rsid w:val="004B46B8"/>
    <w:rsid w:val="004C0503"/>
    <w:rsid w:val="004C255A"/>
    <w:rsid w:val="004C40A1"/>
    <w:rsid w:val="004D0AA7"/>
    <w:rsid w:val="004D0BF0"/>
    <w:rsid w:val="004D2B29"/>
    <w:rsid w:val="004D3192"/>
    <w:rsid w:val="004D3847"/>
    <w:rsid w:val="004D508E"/>
    <w:rsid w:val="004D66CC"/>
    <w:rsid w:val="004E0B5F"/>
    <w:rsid w:val="004E33A6"/>
    <w:rsid w:val="004E47D1"/>
    <w:rsid w:val="004E4A4F"/>
    <w:rsid w:val="004E5109"/>
    <w:rsid w:val="004F2060"/>
    <w:rsid w:val="005036D4"/>
    <w:rsid w:val="0050772F"/>
    <w:rsid w:val="00511C20"/>
    <w:rsid w:val="005132E5"/>
    <w:rsid w:val="005152E4"/>
    <w:rsid w:val="00516953"/>
    <w:rsid w:val="00531305"/>
    <w:rsid w:val="00534B9D"/>
    <w:rsid w:val="005422B6"/>
    <w:rsid w:val="00542401"/>
    <w:rsid w:val="0055058B"/>
    <w:rsid w:val="005523B7"/>
    <w:rsid w:val="00553854"/>
    <w:rsid w:val="00560775"/>
    <w:rsid w:val="0056191D"/>
    <w:rsid w:val="00563F65"/>
    <w:rsid w:val="00564098"/>
    <w:rsid w:val="00565928"/>
    <w:rsid w:val="005764B5"/>
    <w:rsid w:val="00577996"/>
    <w:rsid w:val="0057799B"/>
    <w:rsid w:val="00577C6B"/>
    <w:rsid w:val="005807CC"/>
    <w:rsid w:val="00584E8A"/>
    <w:rsid w:val="00591806"/>
    <w:rsid w:val="00596BC4"/>
    <w:rsid w:val="0059723B"/>
    <w:rsid w:val="00597C94"/>
    <w:rsid w:val="005A52A6"/>
    <w:rsid w:val="005A79C3"/>
    <w:rsid w:val="005B13E1"/>
    <w:rsid w:val="005B7802"/>
    <w:rsid w:val="005C148C"/>
    <w:rsid w:val="005C289B"/>
    <w:rsid w:val="005C35B1"/>
    <w:rsid w:val="005D2282"/>
    <w:rsid w:val="005D2618"/>
    <w:rsid w:val="005D301D"/>
    <w:rsid w:val="005D5097"/>
    <w:rsid w:val="005D66EF"/>
    <w:rsid w:val="005D67A2"/>
    <w:rsid w:val="005E30FB"/>
    <w:rsid w:val="005E471B"/>
    <w:rsid w:val="005E788A"/>
    <w:rsid w:val="005F0EB4"/>
    <w:rsid w:val="005F4B21"/>
    <w:rsid w:val="005F545E"/>
    <w:rsid w:val="005F776B"/>
    <w:rsid w:val="00605CE8"/>
    <w:rsid w:val="0061153C"/>
    <w:rsid w:val="00613204"/>
    <w:rsid w:val="006145D1"/>
    <w:rsid w:val="00614DB4"/>
    <w:rsid w:val="00621DA5"/>
    <w:rsid w:val="00625DB3"/>
    <w:rsid w:val="006367CB"/>
    <w:rsid w:val="00636ED4"/>
    <w:rsid w:val="00640974"/>
    <w:rsid w:val="00643CEF"/>
    <w:rsid w:val="00651B62"/>
    <w:rsid w:val="00652272"/>
    <w:rsid w:val="00653094"/>
    <w:rsid w:val="006575F6"/>
    <w:rsid w:val="00661969"/>
    <w:rsid w:val="0066425B"/>
    <w:rsid w:val="00664806"/>
    <w:rsid w:val="00666872"/>
    <w:rsid w:val="00671E5A"/>
    <w:rsid w:val="00672458"/>
    <w:rsid w:val="0067310D"/>
    <w:rsid w:val="006732F3"/>
    <w:rsid w:val="00673A6E"/>
    <w:rsid w:val="00674CB9"/>
    <w:rsid w:val="00675758"/>
    <w:rsid w:val="00693146"/>
    <w:rsid w:val="00695FB0"/>
    <w:rsid w:val="0069690C"/>
    <w:rsid w:val="006A02F9"/>
    <w:rsid w:val="006C083A"/>
    <w:rsid w:val="006C0BCD"/>
    <w:rsid w:val="006C0D64"/>
    <w:rsid w:val="006C201B"/>
    <w:rsid w:val="006D0505"/>
    <w:rsid w:val="006D1FF4"/>
    <w:rsid w:val="006D2AD0"/>
    <w:rsid w:val="006D3FAF"/>
    <w:rsid w:val="006D40F4"/>
    <w:rsid w:val="006D7434"/>
    <w:rsid w:val="006E0C24"/>
    <w:rsid w:val="006E57F4"/>
    <w:rsid w:val="006F6190"/>
    <w:rsid w:val="006F67A5"/>
    <w:rsid w:val="00706420"/>
    <w:rsid w:val="00707C80"/>
    <w:rsid w:val="00712275"/>
    <w:rsid w:val="00713504"/>
    <w:rsid w:val="00713EB3"/>
    <w:rsid w:val="007151C7"/>
    <w:rsid w:val="00716DB3"/>
    <w:rsid w:val="007205D6"/>
    <w:rsid w:val="00720B14"/>
    <w:rsid w:val="007211C8"/>
    <w:rsid w:val="00722B0F"/>
    <w:rsid w:val="00723876"/>
    <w:rsid w:val="00723885"/>
    <w:rsid w:val="007251BE"/>
    <w:rsid w:val="00726C72"/>
    <w:rsid w:val="00727E0B"/>
    <w:rsid w:val="00730CF7"/>
    <w:rsid w:val="007310DD"/>
    <w:rsid w:val="00733D08"/>
    <w:rsid w:val="00734C94"/>
    <w:rsid w:val="00737E03"/>
    <w:rsid w:val="00741E73"/>
    <w:rsid w:val="0074475D"/>
    <w:rsid w:val="007459EA"/>
    <w:rsid w:val="00745CD0"/>
    <w:rsid w:val="007463AA"/>
    <w:rsid w:val="007528F5"/>
    <w:rsid w:val="007569FE"/>
    <w:rsid w:val="007614BA"/>
    <w:rsid w:val="00761DE2"/>
    <w:rsid w:val="007633C8"/>
    <w:rsid w:val="007704EF"/>
    <w:rsid w:val="00772AA0"/>
    <w:rsid w:val="00775518"/>
    <w:rsid w:val="0077634F"/>
    <w:rsid w:val="007775BD"/>
    <w:rsid w:val="007864C1"/>
    <w:rsid w:val="007945C2"/>
    <w:rsid w:val="007945E3"/>
    <w:rsid w:val="00794771"/>
    <w:rsid w:val="00796B80"/>
    <w:rsid w:val="00797073"/>
    <w:rsid w:val="007A0E68"/>
    <w:rsid w:val="007A2FB2"/>
    <w:rsid w:val="007A5034"/>
    <w:rsid w:val="007A610D"/>
    <w:rsid w:val="007A6778"/>
    <w:rsid w:val="007A6F68"/>
    <w:rsid w:val="007A7AA3"/>
    <w:rsid w:val="007B4AE2"/>
    <w:rsid w:val="007C0D75"/>
    <w:rsid w:val="007C5030"/>
    <w:rsid w:val="007D32BE"/>
    <w:rsid w:val="007D3837"/>
    <w:rsid w:val="007D4854"/>
    <w:rsid w:val="007E4E1F"/>
    <w:rsid w:val="007F21F5"/>
    <w:rsid w:val="00807544"/>
    <w:rsid w:val="0081063E"/>
    <w:rsid w:val="00810FEA"/>
    <w:rsid w:val="00811D91"/>
    <w:rsid w:val="00816C4C"/>
    <w:rsid w:val="00823CE7"/>
    <w:rsid w:val="00826C41"/>
    <w:rsid w:val="00831856"/>
    <w:rsid w:val="00835B90"/>
    <w:rsid w:val="00836E2B"/>
    <w:rsid w:val="00837F1C"/>
    <w:rsid w:val="00840BD5"/>
    <w:rsid w:val="00842E27"/>
    <w:rsid w:val="00843348"/>
    <w:rsid w:val="008465CD"/>
    <w:rsid w:val="00847A35"/>
    <w:rsid w:val="00850FA2"/>
    <w:rsid w:val="008558EC"/>
    <w:rsid w:val="00861F04"/>
    <w:rsid w:val="0086248F"/>
    <w:rsid w:val="00876EEE"/>
    <w:rsid w:val="00877959"/>
    <w:rsid w:val="008808FE"/>
    <w:rsid w:val="00882075"/>
    <w:rsid w:val="0088286D"/>
    <w:rsid w:val="00882F11"/>
    <w:rsid w:val="0088319F"/>
    <w:rsid w:val="00883A53"/>
    <w:rsid w:val="00885AC8"/>
    <w:rsid w:val="00886510"/>
    <w:rsid w:val="0088743C"/>
    <w:rsid w:val="00891D82"/>
    <w:rsid w:val="008936A1"/>
    <w:rsid w:val="00895182"/>
    <w:rsid w:val="008A06DA"/>
    <w:rsid w:val="008A247C"/>
    <w:rsid w:val="008A34E6"/>
    <w:rsid w:val="008A5C3B"/>
    <w:rsid w:val="008B072F"/>
    <w:rsid w:val="008B41B1"/>
    <w:rsid w:val="008B52E1"/>
    <w:rsid w:val="008B61F3"/>
    <w:rsid w:val="008C2F8C"/>
    <w:rsid w:val="008C365A"/>
    <w:rsid w:val="008C54E7"/>
    <w:rsid w:val="008D077D"/>
    <w:rsid w:val="008D4DE4"/>
    <w:rsid w:val="008E074F"/>
    <w:rsid w:val="008E49CF"/>
    <w:rsid w:val="008E6C34"/>
    <w:rsid w:val="008F365F"/>
    <w:rsid w:val="008F5822"/>
    <w:rsid w:val="009000F0"/>
    <w:rsid w:val="009010AE"/>
    <w:rsid w:val="00903179"/>
    <w:rsid w:val="0090587B"/>
    <w:rsid w:val="00906834"/>
    <w:rsid w:val="0091378A"/>
    <w:rsid w:val="00913FDE"/>
    <w:rsid w:val="0091701E"/>
    <w:rsid w:val="00923638"/>
    <w:rsid w:val="00925E91"/>
    <w:rsid w:val="009264A3"/>
    <w:rsid w:val="00926AA6"/>
    <w:rsid w:val="00927756"/>
    <w:rsid w:val="0093010E"/>
    <w:rsid w:val="00930812"/>
    <w:rsid w:val="00934AD5"/>
    <w:rsid w:val="00934D0A"/>
    <w:rsid w:val="00934E2E"/>
    <w:rsid w:val="00945B03"/>
    <w:rsid w:val="009517F9"/>
    <w:rsid w:val="00952B26"/>
    <w:rsid w:val="00953620"/>
    <w:rsid w:val="00961EB9"/>
    <w:rsid w:val="00962200"/>
    <w:rsid w:val="0096284B"/>
    <w:rsid w:val="0097087E"/>
    <w:rsid w:val="00971914"/>
    <w:rsid w:val="0097317C"/>
    <w:rsid w:val="00980ED1"/>
    <w:rsid w:val="009811E3"/>
    <w:rsid w:val="00985129"/>
    <w:rsid w:val="009901D1"/>
    <w:rsid w:val="0099359A"/>
    <w:rsid w:val="00993AE7"/>
    <w:rsid w:val="00994597"/>
    <w:rsid w:val="009946B6"/>
    <w:rsid w:val="00996C38"/>
    <w:rsid w:val="009A0C4D"/>
    <w:rsid w:val="009A0DD1"/>
    <w:rsid w:val="009A118B"/>
    <w:rsid w:val="009A1AF8"/>
    <w:rsid w:val="009A2BF9"/>
    <w:rsid w:val="009A4AA0"/>
    <w:rsid w:val="009A6172"/>
    <w:rsid w:val="009B383A"/>
    <w:rsid w:val="009B3EAC"/>
    <w:rsid w:val="009B4853"/>
    <w:rsid w:val="009B4D0B"/>
    <w:rsid w:val="009B7BB7"/>
    <w:rsid w:val="009C67C7"/>
    <w:rsid w:val="009C72C4"/>
    <w:rsid w:val="009D0921"/>
    <w:rsid w:val="009D488F"/>
    <w:rsid w:val="009D50EE"/>
    <w:rsid w:val="009D5233"/>
    <w:rsid w:val="009D583C"/>
    <w:rsid w:val="009D6F28"/>
    <w:rsid w:val="009E04B0"/>
    <w:rsid w:val="009E74F2"/>
    <w:rsid w:val="009F0CFE"/>
    <w:rsid w:val="009F3866"/>
    <w:rsid w:val="00A00405"/>
    <w:rsid w:val="00A03B1D"/>
    <w:rsid w:val="00A069B5"/>
    <w:rsid w:val="00A078D6"/>
    <w:rsid w:val="00A12431"/>
    <w:rsid w:val="00A20F15"/>
    <w:rsid w:val="00A23B84"/>
    <w:rsid w:val="00A245C8"/>
    <w:rsid w:val="00A26620"/>
    <w:rsid w:val="00A2740B"/>
    <w:rsid w:val="00A37BFA"/>
    <w:rsid w:val="00A4451B"/>
    <w:rsid w:val="00A44E10"/>
    <w:rsid w:val="00A45193"/>
    <w:rsid w:val="00A510ED"/>
    <w:rsid w:val="00A511FD"/>
    <w:rsid w:val="00A5365A"/>
    <w:rsid w:val="00A544F8"/>
    <w:rsid w:val="00A60515"/>
    <w:rsid w:val="00A77171"/>
    <w:rsid w:val="00A77CDD"/>
    <w:rsid w:val="00A82926"/>
    <w:rsid w:val="00A84124"/>
    <w:rsid w:val="00A848CE"/>
    <w:rsid w:val="00A85480"/>
    <w:rsid w:val="00A913A2"/>
    <w:rsid w:val="00A93BDA"/>
    <w:rsid w:val="00A94674"/>
    <w:rsid w:val="00A949BC"/>
    <w:rsid w:val="00AA04C9"/>
    <w:rsid w:val="00AA14AC"/>
    <w:rsid w:val="00AA3AEC"/>
    <w:rsid w:val="00AA4C45"/>
    <w:rsid w:val="00AA4E79"/>
    <w:rsid w:val="00AB3AC0"/>
    <w:rsid w:val="00AB4B41"/>
    <w:rsid w:val="00AB58BD"/>
    <w:rsid w:val="00AB7D17"/>
    <w:rsid w:val="00AC3591"/>
    <w:rsid w:val="00AC4363"/>
    <w:rsid w:val="00AC7531"/>
    <w:rsid w:val="00AD35A2"/>
    <w:rsid w:val="00AD3AE4"/>
    <w:rsid w:val="00AD51BC"/>
    <w:rsid w:val="00AD613C"/>
    <w:rsid w:val="00AE356F"/>
    <w:rsid w:val="00AE5654"/>
    <w:rsid w:val="00AF38DB"/>
    <w:rsid w:val="00AF7F95"/>
    <w:rsid w:val="00B006EF"/>
    <w:rsid w:val="00B0105C"/>
    <w:rsid w:val="00B0256F"/>
    <w:rsid w:val="00B04455"/>
    <w:rsid w:val="00B07DA0"/>
    <w:rsid w:val="00B118AB"/>
    <w:rsid w:val="00B17F0F"/>
    <w:rsid w:val="00B2257F"/>
    <w:rsid w:val="00B25774"/>
    <w:rsid w:val="00B405A0"/>
    <w:rsid w:val="00B4634A"/>
    <w:rsid w:val="00B477F5"/>
    <w:rsid w:val="00B5165D"/>
    <w:rsid w:val="00B5249B"/>
    <w:rsid w:val="00B52714"/>
    <w:rsid w:val="00B53C14"/>
    <w:rsid w:val="00B56C5A"/>
    <w:rsid w:val="00B57A07"/>
    <w:rsid w:val="00B736DC"/>
    <w:rsid w:val="00B738BF"/>
    <w:rsid w:val="00B75325"/>
    <w:rsid w:val="00B82BA6"/>
    <w:rsid w:val="00B85927"/>
    <w:rsid w:val="00B958DF"/>
    <w:rsid w:val="00BA1A7D"/>
    <w:rsid w:val="00BA6E09"/>
    <w:rsid w:val="00BB2361"/>
    <w:rsid w:val="00BB2519"/>
    <w:rsid w:val="00BB3718"/>
    <w:rsid w:val="00BC525D"/>
    <w:rsid w:val="00BD01A8"/>
    <w:rsid w:val="00BD161C"/>
    <w:rsid w:val="00BD4A92"/>
    <w:rsid w:val="00BD6FA1"/>
    <w:rsid w:val="00BD7B98"/>
    <w:rsid w:val="00BE340C"/>
    <w:rsid w:val="00BE4D95"/>
    <w:rsid w:val="00BE621E"/>
    <w:rsid w:val="00BE6611"/>
    <w:rsid w:val="00BE6993"/>
    <w:rsid w:val="00BE7C7C"/>
    <w:rsid w:val="00BF0FAE"/>
    <w:rsid w:val="00BF2C62"/>
    <w:rsid w:val="00BF5949"/>
    <w:rsid w:val="00BF67A4"/>
    <w:rsid w:val="00C04A5B"/>
    <w:rsid w:val="00C064A9"/>
    <w:rsid w:val="00C10A36"/>
    <w:rsid w:val="00C143EC"/>
    <w:rsid w:val="00C151F5"/>
    <w:rsid w:val="00C159CB"/>
    <w:rsid w:val="00C21439"/>
    <w:rsid w:val="00C26239"/>
    <w:rsid w:val="00C26FA4"/>
    <w:rsid w:val="00C31560"/>
    <w:rsid w:val="00C32B29"/>
    <w:rsid w:val="00C43E68"/>
    <w:rsid w:val="00C45FF5"/>
    <w:rsid w:val="00C51A70"/>
    <w:rsid w:val="00C5695C"/>
    <w:rsid w:val="00C6055F"/>
    <w:rsid w:val="00C621F7"/>
    <w:rsid w:val="00C647CA"/>
    <w:rsid w:val="00C65533"/>
    <w:rsid w:val="00C670C7"/>
    <w:rsid w:val="00C6797B"/>
    <w:rsid w:val="00C67FFA"/>
    <w:rsid w:val="00C70BC6"/>
    <w:rsid w:val="00C74F53"/>
    <w:rsid w:val="00C7706D"/>
    <w:rsid w:val="00C77344"/>
    <w:rsid w:val="00C8471B"/>
    <w:rsid w:val="00C866E6"/>
    <w:rsid w:val="00C90849"/>
    <w:rsid w:val="00C94F4C"/>
    <w:rsid w:val="00C9615D"/>
    <w:rsid w:val="00CA0265"/>
    <w:rsid w:val="00CA38A9"/>
    <w:rsid w:val="00CA71DE"/>
    <w:rsid w:val="00CB7D1C"/>
    <w:rsid w:val="00CC119B"/>
    <w:rsid w:val="00CC3566"/>
    <w:rsid w:val="00CD4D1C"/>
    <w:rsid w:val="00CD5769"/>
    <w:rsid w:val="00CE0658"/>
    <w:rsid w:val="00CE2C86"/>
    <w:rsid w:val="00CE5505"/>
    <w:rsid w:val="00CE5DFA"/>
    <w:rsid w:val="00CE73A8"/>
    <w:rsid w:val="00CF017B"/>
    <w:rsid w:val="00CF11DE"/>
    <w:rsid w:val="00CF3FB2"/>
    <w:rsid w:val="00CF53BE"/>
    <w:rsid w:val="00D00121"/>
    <w:rsid w:val="00D012B8"/>
    <w:rsid w:val="00D05283"/>
    <w:rsid w:val="00D147C8"/>
    <w:rsid w:val="00D150A6"/>
    <w:rsid w:val="00D15FA3"/>
    <w:rsid w:val="00D16565"/>
    <w:rsid w:val="00D17E24"/>
    <w:rsid w:val="00D20B0E"/>
    <w:rsid w:val="00D20FA7"/>
    <w:rsid w:val="00D317B9"/>
    <w:rsid w:val="00D33DE6"/>
    <w:rsid w:val="00D40141"/>
    <w:rsid w:val="00D4129C"/>
    <w:rsid w:val="00D44302"/>
    <w:rsid w:val="00D44969"/>
    <w:rsid w:val="00D50F3C"/>
    <w:rsid w:val="00D53DC4"/>
    <w:rsid w:val="00D542CA"/>
    <w:rsid w:val="00D54317"/>
    <w:rsid w:val="00D57F9E"/>
    <w:rsid w:val="00D6016F"/>
    <w:rsid w:val="00D61C01"/>
    <w:rsid w:val="00D67093"/>
    <w:rsid w:val="00D71139"/>
    <w:rsid w:val="00D716E5"/>
    <w:rsid w:val="00D73539"/>
    <w:rsid w:val="00D8367A"/>
    <w:rsid w:val="00D84B12"/>
    <w:rsid w:val="00D93D70"/>
    <w:rsid w:val="00D94842"/>
    <w:rsid w:val="00D955FF"/>
    <w:rsid w:val="00DA566C"/>
    <w:rsid w:val="00DA6793"/>
    <w:rsid w:val="00DB135A"/>
    <w:rsid w:val="00DB34E7"/>
    <w:rsid w:val="00DB62E4"/>
    <w:rsid w:val="00DB63F3"/>
    <w:rsid w:val="00DC1FEB"/>
    <w:rsid w:val="00DC436E"/>
    <w:rsid w:val="00DC44DD"/>
    <w:rsid w:val="00DC4544"/>
    <w:rsid w:val="00DC5DAD"/>
    <w:rsid w:val="00DD1218"/>
    <w:rsid w:val="00DD2349"/>
    <w:rsid w:val="00DE4428"/>
    <w:rsid w:val="00DF18C6"/>
    <w:rsid w:val="00DF7371"/>
    <w:rsid w:val="00E00D7B"/>
    <w:rsid w:val="00E02385"/>
    <w:rsid w:val="00E02495"/>
    <w:rsid w:val="00E053B5"/>
    <w:rsid w:val="00E1129C"/>
    <w:rsid w:val="00E1206A"/>
    <w:rsid w:val="00E24782"/>
    <w:rsid w:val="00E25AB6"/>
    <w:rsid w:val="00E26EF2"/>
    <w:rsid w:val="00E323D8"/>
    <w:rsid w:val="00E336A0"/>
    <w:rsid w:val="00E35120"/>
    <w:rsid w:val="00E372DC"/>
    <w:rsid w:val="00E40255"/>
    <w:rsid w:val="00E43383"/>
    <w:rsid w:val="00E43801"/>
    <w:rsid w:val="00E4492B"/>
    <w:rsid w:val="00E47AA2"/>
    <w:rsid w:val="00E51F7F"/>
    <w:rsid w:val="00E53A06"/>
    <w:rsid w:val="00E54E56"/>
    <w:rsid w:val="00E56C37"/>
    <w:rsid w:val="00E65178"/>
    <w:rsid w:val="00E668FF"/>
    <w:rsid w:val="00E74F56"/>
    <w:rsid w:val="00E774CA"/>
    <w:rsid w:val="00E85794"/>
    <w:rsid w:val="00E92611"/>
    <w:rsid w:val="00E93674"/>
    <w:rsid w:val="00E97060"/>
    <w:rsid w:val="00EA67E5"/>
    <w:rsid w:val="00EB71AB"/>
    <w:rsid w:val="00EC5268"/>
    <w:rsid w:val="00EC65BE"/>
    <w:rsid w:val="00EC6EA2"/>
    <w:rsid w:val="00EC6EF1"/>
    <w:rsid w:val="00ED0852"/>
    <w:rsid w:val="00ED1667"/>
    <w:rsid w:val="00ED589A"/>
    <w:rsid w:val="00ED6E07"/>
    <w:rsid w:val="00EE046A"/>
    <w:rsid w:val="00EE1251"/>
    <w:rsid w:val="00EE1FA8"/>
    <w:rsid w:val="00EE2333"/>
    <w:rsid w:val="00EE23E2"/>
    <w:rsid w:val="00EE5A6B"/>
    <w:rsid w:val="00EE6E42"/>
    <w:rsid w:val="00EF13A6"/>
    <w:rsid w:val="00EF3FDA"/>
    <w:rsid w:val="00EF4E3E"/>
    <w:rsid w:val="00F0212A"/>
    <w:rsid w:val="00F05B05"/>
    <w:rsid w:val="00F06256"/>
    <w:rsid w:val="00F12D44"/>
    <w:rsid w:val="00F15AF0"/>
    <w:rsid w:val="00F1766A"/>
    <w:rsid w:val="00F222AB"/>
    <w:rsid w:val="00F22533"/>
    <w:rsid w:val="00F23B08"/>
    <w:rsid w:val="00F31F52"/>
    <w:rsid w:val="00F426B3"/>
    <w:rsid w:val="00F45937"/>
    <w:rsid w:val="00F54B26"/>
    <w:rsid w:val="00F56710"/>
    <w:rsid w:val="00F57DD3"/>
    <w:rsid w:val="00F60A4E"/>
    <w:rsid w:val="00F636BF"/>
    <w:rsid w:val="00F65467"/>
    <w:rsid w:val="00F66F9D"/>
    <w:rsid w:val="00F70351"/>
    <w:rsid w:val="00F7592D"/>
    <w:rsid w:val="00F84BC0"/>
    <w:rsid w:val="00F9090C"/>
    <w:rsid w:val="00F93791"/>
    <w:rsid w:val="00FA0EFA"/>
    <w:rsid w:val="00FA5D00"/>
    <w:rsid w:val="00FA75C0"/>
    <w:rsid w:val="00FB09D4"/>
    <w:rsid w:val="00FB1C9F"/>
    <w:rsid w:val="00FB1E14"/>
    <w:rsid w:val="00FB4822"/>
    <w:rsid w:val="00FB6CBF"/>
    <w:rsid w:val="00FC0435"/>
    <w:rsid w:val="00FC39BD"/>
    <w:rsid w:val="00FC4CF5"/>
    <w:rsid w:val="00FC516B"/>
    <w:rsid w:val="00FC5582"/>
    <w:rsid w:val="00FD482C"/>
    <w:rsid w:val="00FD6B00"/>
    <w:rsid w:val="00FD72E4"/>
    <w:rsid w:val="00FE31F3"/>
    <w:rsid w:val="00FE7ED4"/>
    <w:rsid w:val="00FF3AF2"/>
    <w:rsid w:val="00FF53B1"/>
    <w:rsid w:val="00FF5F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AEAC6F"/>
  <w15:chartTrackingRefBased/>
  <w15:docId w15:val="{01BEB28F-C121-4B84-B30E-D016ADCE4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4BA"/>
  </w:style>
  <w:style w:type="paragraph" w:styleId="Heading1">
    <w:name w:val="heading 1"/>
    <w:basedOn w:val="Normal"/>
    <w:next w:val="Normal"/>
    <w:link w:val="Heading1Char"/>
    <w:uiPriority w:val="9"/>
    <w:qFormat/>
    <w:rsid w:val="009264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F050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B48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Numbered Para 1,Dot pt,No Spacing1,List Paragraph Char Char Char,Indicator Text,Bullet 1,Bullet Points,MAIN CONTENT,IFCL - List Paragraph,List Paragraph12,OBC Bullet,F5 List Paragraph,Colorful List - Accent 11,Strip"/>
    <w:basedOn w:val="Normal"/>
    <w:link w:val="ListParagraphChar"/>
    <w:uiPriority w:val="34"/>
    <w:qFormat/>
    <w:rsid w:val="007A0E68"/>
    <w:pPr>
      <w:spacing w:after="0" w:line="240" w:lineRule="auto"/>
      <w:ind w:left="720"/>
      <w:jc w:val="both"/>
    </w:pPr>
    <w:rPr>
      <w:rFonts w:ascii="Times New Roman" w:hAnsi="Times New Roman" w:cs="Times New Roman"/>
      <w:sz w:val="24"/>
      <w:szCs w:val="24"/>
      <w:lang w:eastAsia="lv-LV"/>
    </w:rPr>
  </w:style>
  <w:style w:type="paragraph" w:styleId="FootnoteText">
    <w:name w:val="footnote text"/>
    <w:aliases w:val="Footnote,Fußnote,Fußnote Char Char Char"/>
    <w:basedOn w:val="Normal"/>
    <w:link w:val="FootnoteTextChar"/>
    <w:uiPriority w:val="99"/>
    <w:unhideWhenUsed/>
    <w:rsid w:val="00FC5582"/>
    <w:pPr>
      <w:spacing w:after="0" w:line="240" w:lineRule="auto"/>
    </w:pPr>
    <w:rPr>
      <w:sz w:val="20"/>
      <w:szCs w:val="20"/>
    </w:rPr>
  </w:style>
  <w:style w:type="character" w:customStyle="1" w:styleId="FootnoteTextChar">
    <w:name w:val="Footnote Text Char"/>
    <w:aliases w:val="Footnote Char,Fußnote Char,Fußnote Char Char Char Char"/>
    <w:basedOn w:val="DefaultParagraphFont"/>
    <w:link w:val="FootnoteText"/>
    <w:uiPriority w:val="99"/>
    <w:rsid w:val="00FC5582"/>
    <w:rPr>
      <w:sz w:val="20"/>
      <w:szCs w:val="20"/>
    </w:rPr>
  </w:style>
  <w:style w:type="character" w:styleId="FootnoteReference">
    <w:name w:val="footnote reference"/>
    <w:aliases w:val="Footnote Reference Number,Footnote symbol,Footnote Reference Superscript,ftref,Footnote Refernece,Odwołanie przypisu,BVI fnr,Footnotes refss,SUPERS,Ref,de nota al pie,-E Fußnotenzeichen,Footnote reference number,Times 10 Point,E,E FNZ"/>
    <w:basedOn w:val="DefaultParagraphFont"/>
    <w:link w:val="Char2"/>
    <w:uiPriority w:val="99"/>
    <w:unhideWhenUsed/>
    <w:qFormat/>
    <w:rsid w:val="00FC5582"/>
    <w:rPr>
      <w:vertAlign w:val="superscript"/>
    </w:rPr>
  </w:style>
  <w:style w:type="paragraph" w:styleId="Header">
    <w:name w:val="header"/>
    <w:basedOn w:val="Normal"/>
    <w:link w:val="HeaderChar"/>
    <w:uiPriority w:val="99"/>
    <w:unhideWhenUsed/>
    <w:rsid w:val="00962200"/>
    <w:pPr>
      <w:tabs>
        <w:tab w:val="center" w:pos="4153"/>
        <w:tab w:val="right" w:pos="8306"/>
      </w:tabs>
      <w:spacing w:after="0" w:line="240" w:lineRule="auto"/>
    </w:pPr>
  </w:style>
  <w:style w:type="character" w:customStyle="1" w:styleId="HeaderChar">
    <w:name w:val="Header Char"/>
    <w:basedOn w:val="DefaultParagraphFont"/>
    <w:link w:val="Header"/>
    <w:uiPriority w:val="99"/>
    <w:rsid w:val="00962200"/>
  </w:style>
  <w:style w:type="paragraph" w:styleId="Footer">
    <w:name w:val="footer"/>
    <w:basedOn w:val="Normal"/>
    <w:link w:val="FooterChar"/>
    <w:unhideWhenUsed/>
    <w:rsid w:val="00962200"/>
    <w:pPr>
      <w:tabs>
        <w:tab w:val="center" w:pos="4153"/>
        <w:tab w:val="right" w:pos="8306"/>
      </w:tabs>
      <w:spacing w:after="0" w:line="240" w:lineRule="auto"/>
    </w:pPr>
  </w:style>
  <w:style w:type="character" w:customStyle="1" w:styleId="FooterChar">
    <w:name w:val="Footer Char"/>
    <w:basedOn w:val="DefaultParagraphFont"/>
    <w:link w:val="Footer"/>
    <w:rsid w:val="00962200"/>
  </w:style>
  <w:style w:type="paragraph" w:styleId="BalloonText">
    <w:name w:val="Balloon Text"/>
    <w:basedOn w:val="Normal"/>
    <w:link w:val="BalloonTextChar"/>
    <w:uiPriority w:val="99"/>
    <w:semiHidden/>
    <w:unhideWhenUsed/>
    <w:rsid w:val="000C1A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A13"/>
    <w:rPr>
      <w:rFonts w:ascii="Segoe UI" w:hAnsi="Segoe UI" w:cs="Segoe UI"/>
      <w:sz w:val="18"/>
      <w:szCs w:val="18"/>
    </w:rPr>
  </w:style>
  <w:style w:type="table" w:styleId="TableGrid">
    <w:name w:val="Table Grid"/>
    <w:basedOn w:val="TableNormal"/>
    <w:uiPriority w:val="39"/>
    <w:rsid w:val="00B52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C365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035613"/>
    <w:rPr>
      <w:sz w:val="16"/>
      <w:szCs w:val="16"/>
    </w:rPr>
  </w:style>
  <w:style w:type="paragraph" w:styleId="CommentText">
    <w:name w:val="annotation text"/>
    <w:basedOn w:val="Normal"/>
    <w:link w:val="CommentTextChar"/>
    <w:uiPriority w:val="99"/>
    <w:semiHidden/>
    <w:unhideWhenUsed/>
    <w:rsid w:val="00035613"/>
    <w:pPr>
      <w:spacing w:line="240" w:lineRule="auto"/>
    </w:pPr>
    <w:rPr>
      <w:sz w:val="20"/>
      <w:szCs w:val="20"/>
    </w:rPr>
  </w:style>
  <w:style w:type="character" w:customStyle="1" w:styleId="CommentTextChar">
    <w:name w:val="Comment Text Char"/>
    <w:basedOn w:val="DefaultParagraphFont"/>
    <w:link w:val="CommentText"/>
    <w:uiPriority w:val="99"/>
    <w:semiHidden/>
    <w:rsid w:val="00035613"/>
    <w:rPr>
      <w:sz w:val="20"/>
      <w:szCs w:val="20"/>
    </w:rPr>
  </w:style>
  <w:style w:type="paragraph" w:styleId="CommentSubject">
    <w:name w:val="annotation subject"/>
    <w:basedOn w:val="CommentText"/>
    <w:next w:val="CommentText"/>
    <w:link w:val="CommentSubjectChar"/>
    <w:uiPriority w:val="99"/>
    <w:semiHidden/>
    <w:unhideWhenUsed/>
    <w:rsid w:val="00035613"/>
    <w:rPr>
      <w:b/>
      <w:bCs/>
    </w:rPr>
  </w:style>
  <w:style w:type="character" w:customStyle="1" w:styleId="CommentSubjectChar">
    <w:name w:val="Comment Subject Char"/>
    <w:basedOn w:val="CommentTextChar"/>
    <w:link w:val="CommentSubject"/>
    <w:uiPriority w:val="99"/>
    <w:semiHidden/>
    <w:rsid w:val="00035613"/>
    <w:rPr>
      <w:b/>
      <w:bCs/>
      <w:sz w:val="20"/>
      <w:szCs w:val="20"/>
    </w:rPr>
  </w:style>
  <w:style w:type="paragraph" w:customStyle="1" w:styleId="Virsraksts1">
    <w:name w:val="Virsraksts1"/>
    <w:basedOn w:val="Heading1"/>
    <w:qFormat/>
    <w:rsid w:val="009264A3"/>
    <w:pPr>
      <w:keepLines w:val="0"/>
      <w:spacing w:after="60" w:line="240" w:lineRule="auto"/>
      <w:ind w:firstLine="709"/>
      <w:jc w:val="both"/>
    </w:pPr>
    <w:rPr>
      <w:rFonts w:ascii="Times New Roman" w:eastAsia="Times New Roman" w:hAnsi="Times New Roman" w:cs="Times New Roman"/>
      <w:b/>
      <w:bCs/>
      <w:color w:val="auto"/>
      <w:kern w:val="32"/>
      <w:sz w:val="40"/>
      <w:szCs w:val="40"/>
    </w:rPr>
  </w:style>
  <w:style w:type="paragraph" w:customStyle="1" w:styleId="Virsraksts2">
    <w:name w:val="Virsraksts2"/>
    <w:basedOn w:val="Virsraksts1"/>
    <w:qFormat/>
    <w:rsid w:val="009264A3"/>
    <w:pPr>
      <w:jc w:val="center"/>
    </w:pPr>
    <w:rPr>
      <w:sz w:val="36"/>
    </w:rPr>
  </w:style>
  <w:style w:type="character" w:customStyle="1" w:styleId="Heading1Char">
    <w:name w:val="Heading 1 Char"/>
    <w:basedOn w:val="DefaultParagraphFont"/>
    <w:link w:val="Heading1"/>
    <w:uiPriority w:val="9"/>
    <w:rsid w:val="009264A3"/>
    <w:rPr>
      <w:rFonts w:asciiTheme="majorHAnsi" w:eastAsiaTheme="majorEastAsia" w:hAnsiTheme="majorHAnsi" w:cstheme="majorBidi"/>
      <w:color w:val="2E74B5" w:themeColor="accent1" w:themeShade="BF"/>
      <w:sz w:val="32"/>
      <w:szCs w:val="32"/>
    </w:rPr>
  </w:style>
  <w:style w:type="paragraph" w:customStyle="1" w:styleId="Virsraksts3">
    <w:name w:val="Virsraksts3"/>
    <w:basedOn w:val="Virsraksts2"/>
    <w:qFormat/>
    <w:rsid w:val="00883A53"/>
    <w:rPr>
      <w:sz w:val="32"/>
      <w:lang w:eastAsia="lv-LV"/>
    </w:rPr>
  </w:style>
  <w:style w:type="table" w:styleId="LightList-Accent1">
    <w:name w:val="Light List Accent 1"/>
    <w:basedOn w:val="TableNormal"/>
    <w:uiPriority w:val="61"/>
    <w:rsid w:val="00001C00"/>
    <w:pPr>
      <w:spacing w:after="0" w:line="240" w:lineRule="auto"/>
    </w:pPr>
    <w:rPr>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ListParagraphChar">
    <w:name w:val="List Paragraph Char"/>
    <w:aliases w:val="2 Char,Numbered Para 1 Char,Dot pt Char,No Spacing1 Char,List Paragraph Char Char Char Char,Indicator Text Char,Bullet 1 Char,Bullet Points Char,MAIN CONTENT Char,IFCL - List Paragraph Char,List Paragraph12 Char,OBC Bullet Char"/>
    <w:link w:val="ListParagraph"/>
    <w:uiPriority w:val="34"/>
    <w:qFormat/>
    <w:locked/>
    <w:rsid w:val="00001C00"/>
    <w:rPr>
      <w:rFonts w:ascii="Times New Roman" w:hAnsi="Times New Roman" w:cs="Times New Roman"/>
      <w:sz w:val="24"/>
      <w:szCs w:val="24"/>
      <w:lang w:eastAsia="lv-LV"/>
    </w:rPr>
  </w:style>
  <w:style w:type="character" w:customStyle="1" w:styleId="CharAttribute0">
    <w:name w:val="CharAttribute0"/>
    <w:rsid w:val="00001C00"/>
    <w:rPr>
      <w:rFonts w:ascii="Times New Roman" w:eastAsia="Times New Roman"/>
    </w:rPr>
  </w:style>
  <w:style w:type="paragraph" w:customStyle="1" w:styleId="Z">
    <w:name w:val="Z"/>
    <w:basedOn w:val="Normal"/>
    <w:uiPriority w:val="99"/>
    <w:qFormat/>
    <w:rsid w:val="00380FB0"/>
    <w:pPr>
      <w:spacing w:after="120" w:line="240" w:lineRule="auto"/>
      <w:jc w:val="center"/>
    </w:pPr>
    <w:rPr>
      <w:rFonts w:ascii="Times New Roman" w:eastAsia="Times New Roman" w:hAnsi="Times New Roman" w:cs="Times New Roman"/>
      <w:b/>
      <w:i/>
      <w:sz w:val="28"/>
      <w:szCs w:val="20"/>
    </w:rPr>
  </w:style>
  <w:style w:type="paragraph" w:customStyle="1" w:styleId="T">
    <w:name w:val="T"/>
    <w:basedOn w:val="Normal"/>
    <w:uiPriority w:val="99"/>
    <w:qFormat/>
    <w:rsid w:val="003050A6"/>
    <w:pPr>
      <w:keepNext/>
      <w:spacing w:after="120" w:line="240" w:lineRule="auto"/>
      <w:jc w:val="center"/>
    </w:pPr>
    <w:rPr>
      <w:rFonts w:ascii="Times New Roman" w:eastAsia="Times New Roman" w:hAnsi="Times New Roman" w:cs="Times New Roman"/>
      <w:b/>
      <w:i/>
      <w:sz w:val="24"/>
      <w:szCs w:val="20"/>
    </w:rPr>
  </w:style>
  <w:style w:type="paragraph" w:customStyle="1" w:styleId="tabteksts">
    <w:name w:val="tab_teksts"/>
    <w:basedOn w:val="Normal"/>
    <w:qFormat/>
    <w:rsid w:val="003050A6"/>
    <w:pPr>
      <w:spacing w:after="0" w:line="240" w:lineRule="auto"/>
    </w:pPr>
    <w:rPr>
      <w:rFonts w:ascii="Times New Roman" w:eastAsia="Times New Roman" w:hAnsi="Times New Roman" w:cs="Times New Roman"/>
      <w:sz w:val="18"/>
      <w:szCs w:val="20"/>
    </w:rPr>
  </w:style>
  <w:style w:type="character" w:customStyle="1" w:styleId="Heading2Char">
    <w:name w:val="Heading 2 Char"/>
    <w:basedOn w:val="DefaultParagraphFont"/>
    <w:link w:val="Heading2"/>
    <w:uiPriority w:val="9"/>
    <w:rsid w:val="001F050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B4822"/>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F05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3D08"/>
    <w:rPr>
      <w:color w:val="0563C1" w:themeColor="hyperlink"/>
      <w:u w:val="single"/>
    </w:rPr>
  </w:style>
  <w:style w:type="table" w:customStyle="1" w:styleId="TableGrid3">
    <w:name w:val="Table Grid3"/>
    <w:basedOn w:val="TableNormal"/>
    <w:next w:val="TableGrid"/>
    <w:uiPriority w:val="39"/>
    <w:rsid w:val="00C94F4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94F4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C94F4C"/>
    <w:pPr>
      <w:spacing w:after="0" w:line="240" w:lineRule="auto"/>
    </w:pPr>
    <w:rPr>
      <w:rFonts w:eastAsiaTheme="minorEastAsia"/>
      <w:lang w:eastAsia="lv-LV"/>
    </w:rPr>
    <w:tblPr>
      <w:tblCellMar>
        <w:top w:w="0" w:type="dxa"/>
        <w:left w:w="0" w:type="dxa"/>
        <w:bottom w:w="0" w:type="dxa"/>
        <w:right w:w="0" w:type="dxa"/>
      </w:tblCellMar>
    </w:tblPr>
  </w:style>
  <w:style w:type="table" w:customStyle="1" w:styleId="TableGrid6">
    <w:name w:val="Table Grid6"/>
    <w:basedOn w:val="TableNormal"/>
    <w:next w:val="TableGrid"/>
    <w:uiPriority w:val="39"/>
    <w:rsid w:val="00E47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aliases w:val="Char Char Char Char"/>
    <w:basedOn w:val="Normal"/>
    <w:next w:val="Normal"/>
    <w:link w:val="FootnoteReference"/>
    <w:uiPriority w:val="99"/>
    <w:rsid w:val="0002693A"/>
    <w:pPr>
      <w:spacing w:line="240" w:lineRule="exact"/>
      <w:jc w:val="both"/>
      <w:textAlignment w:val="baseline"/>
    </w:pPr>
    <w:rPr>
      <w:vertAlign w:val="superscript"/>
    </w:rPr>
  </w:style>
  <w:style w:type="table" w:styleId="ListTable2-Accent1">
    <w:name w:val="List Table 2 Accent 1"/>
    <w:basedOn w:val="TableNormal"/>
    <w:uiPriority w:val="47"/>
    <w:rsid w:val="00707C80"/>
    <w:pPr>
      <w:spacing w:after="0" w:line="240" w:lineRule="auto"/>
    </w:pPr>
    <w:rPr>
      <w:rFonts w:eastAsiaTheme="minorEastAsia"/>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rsid w:val="00674CB9"/>
    <w:pPr>
      <w:autoSpaceDE w:val="0"/>
      <w:autoSpaceDN w:val="0"/>
      <w:adjustRightInd w:val="0"/>
      <w:spacing w:before="120" w:after="120" w:line="240" w:lineRule="auto"/>
      <w:ind w:left="284" w:firstLine="720"/>
      <w:jc w:val="both"/>
    </w:pPr>
    <w:rPr>
      <w:rFonts w:ascii="Times New Roman" w:eastAsia="Times New Roman"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292909">
      <w:bodyDiv w:val="1"/>
      <w:marLeft w:val="0"/>
      <w:marRight w:val="0"/>
      <w:marTop w:val="0"/>
      <w:marBottom w:val="0"/>
      <w:divBdr>
        <w:top w:val="none" w:sz="0" w:space="0" w:color="auto"/>
        <w:left w:val="none" w:sz="0" w:space="0" w:color="auto"/>
        <w:bottom w:val="none" w:sz="0" w:space="0" w:color="auto"/>
        <w:right w:val="none" w:sz="0" w:space="0" w:color="auto"/>
      </w:divBdr>
    </w:div>
    <w:div w:id="841121670">
      <w:bodyDiv w:val="1"/>
      <w:marLeft w:val="0"/>
      <w:marRight w:val="0"/>
      <w:marTop w:val="0"/>
      <w:marBottom w:val="0"/>
      <w:divBdr>
        <w:top w:val="none" w:sz="0" w:space="0" w:color="auto"/>
        <w:left w:val="none" w:sz="0" w:space="0" w:color="auto"/>
        <w:bottom w:val="none" w:sz="0" w:space="0" w:color="auto"/>
        <w:right w:val="none" w:sz="0" w:space="0" w:color="auto"/>
      </w:divBdr>
    </w:div>
    <w:div w:id="1327317173">
      <w:bodyDiv w:val="1"/>
      <w:marLeft w:val="0"/>
      <w:marRight w:val="0"/>
      <w:marTop w:val="0"/>
      <w:marBottom w:val="0"/>
      <w:divBdr>
        <w:top w:val="none" w:sz="0" w:space="0" w:color="auto"/>
        <w:left w:val="none" w:sz="0" w:space="0" w:color="auto"/>
        <w:bottom w:val="none" w:sz="0" w:space="0" w:color="auto"/>
        <w:right w:val="none" w:sz="0" w:space="0" w:color="auto"/>
      </w:divBdr>
    </w:div>
    <w:div w:id="1524437333">
      <w:bodyDiv w:val="1"/>
      <w:marLeft w:val="0"/>
      <w:marRight w:val="0"/>
      <w:marTop w:val="0"/>
      <w:marBottom w:val="0"/>
      <w:divBdr>
        <w:top w:val="none" w:sz="0" w:space="0" w:color="auto"/>
        <w:left w:val="none" w:sz="0" w:space="0" w:color="auto"/>
        <w:bottom w:val="none" w:sz="0" w:space="0" w:color="auto"/>
        <w:right w:val="none" w:sz="0" w:space="0" w:color="auto"/>
      </w:divBdr>
    </w:div>
    <w:div w:id="1567304847">
      <w:bodyDiv w:val="1"/>
      <w:marLeft w:val="0"/>
      <w:marRight w:val="0"/>
      <w:marTop w:val="0"/>
      <w:marBottom w:val="0"/>
      <w:divBdr>
        <w:top w:val="none" w:sz="0" w:space="0" w:color="auto"/>
        <w:left w:val="none" w:sz="0" w:space="0" w:color="auto"/>
        <w:bottom w:val="none" w:sz="0" w:space="0" w:color="auto"/>
        <w:right w:val="none" w:sz="0" w:space="0" w:color="auto"/>
      </w:divBdr>
    </w:div>
    <w:div w:id="1846285190">
      <w:bodyDiv w:val="1"/>
      <w:marLeft w:val="0"/>
      <w:marRight w:val="0"/>
      <w:marTop w:val="0"/>
      <w:marBottom w:val="0"/>
      <w:divBdr>
        <w:top w:val="none" w:sz="0" w:space="0" w:color="auto"/>
        <w:left w:val="none" w:sz="0" w:space="0" w:color="auto"/>
        <w:bottom w:val="none" w:sz="0" w:space="0" w:color="auto"/>
        <w:right w:val="none" w:sz="0" w:space="0" w:color="auto"/>
      </w:divBdr>
    </w:div>
    <w:div w:id="2010668259">
      <w:bodyDiv w:val="1"/>
      <w:marLeft w:val="0"/>
      <w:marRight w:val="0"/>
      <w:marTop w:val="0"/>
      <w:marBottom w:val="0"/>
      <w:divBdr>
        <w:top w:val="none" w:sz="0" w:space="0" w:color="auto"/>
        <w:left w:val="none" w:sz="0" w:space="0" w:color="auto"/>
        <w:bottom w:val="none" w:sz="0" w:space="0" w:color="auto"/>
        <w:right w:val="none" w:sz="0" w:space="0" w:color="auto"/>
      </w:divBdr>
    </w:div>
    <w:div w:id="2086027750">
      <w:bodyDiv w:val="1"/>
      <w:marLeft w:val="0"/>
      <w:marRight w:val="0"/>
      <w:marTop w:val="0"/>
      <w:marBottom w:val="0"/>
      <w:divBdr>
        <w:top w:val="none" w:sz="0" w:space="0" w:color="auto"/>
        <w:left w:val="none" w:sz="0" w:space="0" w:color="auto"/>
        <w:bottom w:val="none" w:sz="0" w:space="0" w:color="auto"/>
        <w:right w:val="none" w:sz="0" w:space="0" w:color="auto"/>
      </w:divBdr>
      <w:divsChild>
        <w:div w:id="73400663">
          <w:marLeft w:val="0"/>
          <w:marRight w:val="0"/>
          <w:marTop w:val="100"/>
          <w:marBottom w:val="100"/>
          <w:divBdr>
            <w:top w:val="none" w:sz="0" w:space="0" w:color="auto"/>
            <w:left w:val="none" w:sz="0" w:space="0" w:color="auto"/>
            <w:bottom w:val="none" w:sz="0" w:space="0" w:color="auto"/>
            <w:right w:val="none" w:sz="0" w:space="0" w:color="auto"/>
          </w:divBdr>
          <w:divsChild>
            <w:div w:id="540217065">
              <w:marLeft w:val="0"/>
              <w:marRight w:val="0"/>
              <w:marTop w:val="0"/>
              <w:marBottom w:val="0"/>
              <w:divBdr>
                <w:top w:val="none" w:sz="0" w:space="0" w:color="auto"/>
                <w:left w:val="none" w:sz="0" w:space="0" w:color="auto"/>
                <w:bottom w:val="none" w:sz="0" w:space="0" w:color="auto"/>
                <w:right w:val="none" w:sz="0" w:space="0" w:color="auto"/>
              </w:divBdr>
              <w:divsChild>
                <w:div w:id="2005742523">
                  <w:marLeft w:val="0"/>
                  <w:marRight w:val="0"/>
                  <w:marTop w:val="0"/>
                  <w:marBottom w:val="0"/>
                  <w:divBdr>
                    <w:top w:val="none" w:sz="0" w:space="0" w:color="auto"/>
                    <w:left w:val="none" w:sz="0" w:space="0" w:color="auto"/>
                    <w:bottom w:val="none" w:sz="0" w:space="0" w:color="auto"/>
                    <w:right w:val="none" w:sz="0" w:space="0" w:color="auto"/>
                  </w:divBdr>
                  <w:divsChild>
                    <w:div w:id="1936749362">
                      <w:marLeft w:val="0"/>
                      <w:marRight w:val="0"/>
                      <w:marTop w:val="0"/>
                      <w:marBottom w:val="0"/>
                      <w:divBdr>
                        <w:top w:val="none" w:sz="0" w:space="0" w:color="auto"/>
                        <w:left w:val="none" w:sz="0" w:space="0" w:color="auto"/>
                        <w:bottom w:val="none" w:sz="0" w:space="0" w:color="auto"/>
                        <w:right w:val="none" w:sz="0" w:space="0" w:color="auto"/>
                      </w:divBdr>
                      <w:divsChild>
                        <w:div w:id="535657814">
                          <w:marLeft w:val="0"/>
                          <w:marRight w:val="0"/>
                          <w:marTop w:val="0"/>
                          <w:marBottom w:val="0"/>
                          <w:divBdr>
                            <w:top w:val="none" w:sz="0" w:space="0" w:color="auto"/>
                            <w:left w:val="none" w:sz="0" w:space="0" w:color="auto"/>
                            <w:bottom w:val="none" w:sz="0" w:space="0" w:color="auto"/>
                            <w:right w:val="none" w:sz="0" w:space="0" w:color="auto"/>
                          </w:divBdr>
                          <w:divsChild>
                            <w:div w:id="444928973">
                              <w:marLeft w:val="0"/>
                              <w:marRight w:val="0"/>
                              <w:marTop w:val="0"/>
                              <w:marBottom w:val="0"/>
                              <w:divBdr>
                                <w:top w:val="none" w:sz="0" w:space="0" w:color="auto"/>
                                <w:left w:val="none" w:sz="0" w:space="0" w:color="auto"/>
                                <w:bottom w:val="none" w:sz="0" w:space="0" w:color="auto"/>
                                <w:right w:val="none" w:sz="0" w:space="0" w:color="auto"/>
                              </w:divBdr>
                              <w:divsChild>
                                <w:div w:id="1538159992">
                                  <w:marLeft w:val="0"/>
                                  <w:marRight w:val="0"/>
                                  <w:marTop w:val="0"/>
                                  <w:marBottom w:val="0"/>
                                  <w:divBdr>
                                    <w:top w:val="none" w:sz="0" w:space="0" w:color="auto"/>
                                    <w:left w:val="none" w:sz="0" w:space="0" w:color="auto"/>
                                    <w:bottom w:val="none" w:sz="0" w:space="0" w:color="auto"/>
                                    <w:right w:val="none" w:sz="0" w:space="0" w:color="auto"/>
                                  </w:divBdr>
                                  <w:divsChild>
                                    <w:div w:id="1766001120">
                                      <w:marLeft w:val="0"/>
                                      <w:marRight w:val="0"/>
                                      <w:marTop w:val="0"/>
                                      <w:marBottom w:val="150"/>
                                      <w:divBdr>
                                        <w:top w:val="none" w:sz="0" w:space="0" w:color="auto"/>
                                        <w:left w:val="none" w:sz="0" w:space="0" w:color="auto"/>
                                        <w:bottom w:val="none" w:sz="0" w:space="0" w:color="auto"/>
                                        <w:right w:val="none" w:sz="0" w:space="0" w:color="auto"/>
                                      </w:divBdr>
                                      <w:divsChild>
                                        <w:div w:id="163074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image" Target="media/image1.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akroekonomika.lv"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fs\tand\TAND\_Prezentacija\Prezentacijas-DATA.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9.xml"/><Relationship Id="rId1" Type="http://schemas.microsoft.com/office/2011/relationships/chartStyle" Target="style9.xml"/></Relationships>
</file>

<file path=word/charts/_rels/chart2.xml.rels><?xml version="1.0" encoding="UTF-8" standalone="yes"?>
<Relationships xmlns="http://schemas.openxmlformats.org/package/2006/relationships"><Relationship Id="rId3" Type="http://schemas.openxmlformats.org/officeDocument/2006/relationships/oleObject" Target="file:///\\fs\tand\TAND\Diana%20Ondza\B&#362;VNIEC&#298;BA\B&#363;vn.%20apjom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s\tand\TAND\_Prezentacija\Prezentacijas-DAT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td-jursa\Downloads\ATD200%20(18).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s\tand\TAND\Aleksejs%20Jur&#353;a\MAKRO\AT\Eksport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1" Type="http://schemas.openxmlformats.org/officeDocument/2006/relationships/oleObject" Target="file:///\\fs\tand\TAND\_Prezentacija\Prezentacijas-DATA.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fs\tand\TAND\_Prezentacija\Prezentacijas-DATA.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2.xml"/></Relationships>
</file>

<file path=word/charts/_rels/chart8.xml.rels><?xml version="1.0" encoding="UTF-8" standalone="yes"?>
<Relationships xmlns="http://schemas.openxmlformats.org/package/2006/relationships"><Relationship Id="rId3" Type="http://schemas.openxmlformats.org/officeDocument/2006/relationships/oleObject" Target="file:///\\fs\tand\TAND\_Prezentacija\Prezentacijas-DATA.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fs\tand\TAND\_Prezentacija\Prezentacijas-DATA.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2641934954684342E-2"/>
          <c:y val="3.5229954189521684E-2"/>
          <c:w val="0.88152115819150556"/>
          <c:h val="0.67299086650591888"/>
        </c:manualLayout>
      </c:layout>
      <c:barChart>
        <c:barDir val="col"/>
        <c:grouping val="clustered"/>
        <c:varyColors val="0"/>
        <c:ser>
          <c:idx val="0"/>
          <c:order val="0"/>
          <c:tx>
            <c:strRef>
              <c:f>Rūpniecība!$C$1</c:f>
              <c:strCache>
                <c:ptCount val="1"/>
                <c:pt idx="0">
                  <c:v>Apstrādes rūpniecības produkcijas apjoma indekss, sez. izl. (2015=100)</c:v>
                </c:pt>
              </c:strCache>
            </c:strRef>
          </c:tx>
          <c:spPr>
            <a:pattFill prst="dkUpDiag">
              <a:fgClr>
                <a:srgbClr val="00B050"/>
              </a:fgClr>
              <a:bgClr>
                <a:sysClr val="window" lastClr="FFFFFF"/>
              </a:bgClr>
            </a:pattFill>
            <a:ln>
              <a:solidFill>
                <a:srgbClr val="00B050"/>
              </a:solidFill>
            </a:ln>
            <a:effectLst/>
          </c:spPr>
          <c:invertIfNegative val="0"/>
          <c:cat>
            <c:multiLvlStrRef>
              <c:f>Rūpniecība!$A$38:$B$145</c:f>
              <c:multiLvlStrCache>
                <c:ptCount val="108"/>
                <c:lvl>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pt idx="19">
                    <c:v>VIII</c:v>
                  </c:pt>
                  <c:pt idx="20">
                    <c:v>IX</c:v>
                  </c:pt>
                  <c:pt idx="21">
                    <c:v>X</c:v>
                  </c:pt>
                  <c:pt idx="22">
                    <c:v>XI</c:v>
                  </c:pt>
                  <c:pt idx="23">
                    <c:v>XII</c:v>
                  </c:pt>
                  <c:pt idx="24">
                    <c:v>I</c:v>
                  </c:pt>
                  <c:pt idx="25">
                    <c:v>II</c:v>
                  </c:pt>
                  <c:pt idx="26">
                    <c:v>III</c:v>
                  </c:pt>
                  <c:pt idx="27">
                    <c:v>IV</c:v>
                  </c:pt>
                  <c:pt idx="28">
                    <c:v>V</c:v>
                  </c:pt>
                  <c:pt idx="29">
                    <c:v>VI</c:v>
                  </c:pt>
                  <c:pt idx="30">
                    <c:v>VII</c:v>
                  </c:pt>
                  <c:pt idx="31">
                    <c:v>VIII</c:v>
                  </c:pt>
                  <c:pt idx="32">
                    <c:v>IX</c:v>
                  </c:pt>
                  <c:pt idx="33">
                    <c:v>X</c:v>
                  </c:pt>
                  <c:pt idx="34">
                    <c:v>XI</c:v>
                  </c:pt>
                  <c:pt idx="35">
                    <c:v>XII</c:v>
                  </c:pt>
                  <c:pt idx="36">
                    <c:v>I</c:v>
                  </c:pt>
                  <c:pt idx="37">
                    <c:v>II</c:v>
                  </c:pt>
                  <c:pt idx="38">
                    <c:v>III</c:v>
                  </c:pt>
                  <c:pt idx="39">
                    <c:v>IV</c:v>
                  </c:pt>
                  <c:pt idx="40">
                    <c:v>V</c:v>
                  </c:pt>
                  <c:pt idx="41">
                    <c:v>VI</c:v>
                  </c:pt>
                  <c:pt idx="42">
                    <c:v>VII</c:v>
                  </c:pt>
                  <c:pt idx="43">
                    <c:v>VIII</c:v>
                  </c:pt>
                  <c:pt idx="44">
                    <c:v>IX</c:v>
                  </c:pt>
                  <c:pt idx="45">
                    <c:v>X</c:v>
                  </c:pt>
                  <c:pt idx="46">
                    <c:v>XI</c:v>
                  </c:pt>
                  <c:pt idx="47">
                    <c:v>XII</c:v>
                  </c:pt>
                  <c:pt idx="48">
                    <c:v>I</c:v>
                  </c:pt>
                  <c:pt idx="49">
                    <c:v>II</c:v>
                  </c:pt>
                  <c:pt idx="50">
                    <c:v>III</c:v>
                  </c:pt>
                  <c:pt idx="51">
                    <c:v>IV</c:v>
                  </c:pt>
                  <c:pt idx="52">
                    <c:v>V</c:v>
                  </c:pt>
                  <c:pt idx="53">
                    <c:v>VI</c:v>
                  </c:pt>
                  <c:pt idx="54">
                    <c:v>VII</c:v>
                  </c:pt>
                  <c:pt idx="55">
                    <c:v>VIII</c:v>
                  </c:pt>
                  <c:pt idx="56">
                    <c:v>IX</c:v>
                  </c:pt>
                  <c:pt idx="57">
                    <c:v>X</c:v>
                  </c:pt>
                  <c:pt idx="58">
                    <c:v>XI</c:v>
                  </c:pt>
                  <c:pt idx="59">
                    <c:v>XII</c:v>
                  </c:pt>
                  <c:pt idx="60">
                    <c:v>I</c:v>
                  </c:pt>
                  <c:pt idx="61">
                    <c:v>II</c:v>
                  </c:pt>
                  <c:pt idx="62">
                    <c:v>III</c:v>
                  </c:pt>
                  <c:pt idx="63">
                    <c:v>IV</c:v>
                  </c:pt>
                  <c:pt idx="64">
                    <c:v>V</c:v>
                  </c:pt>
                  <c:pt idx="65">
                    <c:v>VI</c:v>
                  </c:pt>
                  <c:pt idx="66">
                    <c:v>VII</c:v>
                  </c:pt>
                  <c:pt idx="67">
                    <c:v>VIII</c:v>
                  </c:pt>
                  <c:pt idx="68">
                    <c:v>IX</c:v>
                  </c:pt>
                  <c:pt idx="69">
                    <c:v>X</c:v>
                  </c:pt>
                  <c:pt idx="70">
                    <c:v>XI</c:v>
                  </c:pt>
                  <c:pt idx="71">
                    <c:v>XII</c:v>
                  </c:pt>
                  <c:pt idx="72">
                    <c:v>I</c:v>
                  </c:pt>
                  <c:pt idx="73">
                    <c:v>II</c:v>
                  </c:pt>
                  <c:pt idx="74">
                    <c:v>III</c:v>
                  </c:pt>
                  <c:pt idx="75">
                    <c:v>IV</c:v>
                  </c:pt>
                  <c:pt idx="76">
                    <c:v>V</c:v>
                  </c:pt>
                  <c:pt idx="77">
                    <c:v>VI</c:v>
                  </c:pt>
                  <c:pt idx="78">
                    <c:v>VII</c:v>
                  </c:pt>
                  <c:pt idx="79">
                    <c:v>VIII</c:v>
                  </c:pt>
                  <c:pt idx="80">
                    <c:v>IX</c:v>
                  </c:pt>
                  <c:pt idx="81">
                    <c:v>X</c:v>
                  </c:pt>
                  <c:pt idx="82">
                    <c:v>XI</c:v>
                  </c:pt>
                  <c:pt idx="83">
                    <c:v>XII</c:v>
                  </c:pt>
                  <c:pt idx="84">
                    <c:v>I</c:v>
                  </c:pt>
                  <c:pt idx="85">
                    <c:v>II</c:v>
                  </c:pt>
                  <c:pt idx="86">
                    <c:v>III</c:v>
                  </c:pt>
                  <c:pt idx="87">
                    <c:v>IV</c:v>
                  </c:pt>
                  <c:pt idx="88">
                    <c:v>V</c:v>
                  </c:pt>
                  <c:pt idx="89">
                    <c:v>VI</c:v>
                  </c:pt>
                  <c:pt idx="90">
                    <c:v>VII</c:v>
                  </c:pt>
                  <c:pt idx="91">
                    <c:v>VIII</c:v>
                  </c:pt>
                  <c:pt idx="92">
                    <c:v>IX</c:v>
                  </c:pt>
                  <c:pt idx="93">
                    <c:v>X</c:v>
                  </c:pt>
                  <c:pt idx="94">
                    <c:v>XI</c:v>
                  </c:pt>
                  <c:pt idx="95">
                    <c:v>XII</c:v>
                  </c:pt>
                  <c:pt idx="96">
                    <c:v>I</c:v>
                  </c:pt>
                  <c:pt idx="97">
                    <c:v>II</c:v>
                  </c:pt>
                  <c:pt idx="98">
                    <c:v>III</c:v>
                  </c:pt>
                  <c:pt idx="99">
                    <c:v>IV</c:v>
                  </c:pt>
                  <c:pt idx="100">
                    <c:v>V</c:v>
                  </c:pt>
                  <c:pt idx="101">
                    <c:v>VI</c:v>
                  </c:pt>
                  <c:pt idx="102">
                    <c:v>VII</c:v>
                  </c:pt>
                  <c:pt idx="103">
                    <c:v>VIII</c:v>
                  </c:pt>
                  <c:pt idx="104">
                    <c:v>IX</c:v>
                  </c:pt>
                  <c:pt idx="105">
                    <c:v>X</c:v>
                  </c:pt>
                  <c:pt idx="106">
                    <c:v>XI</c:v>
                  </c:pt>
                  <c:pt idx="107">
                    <c:v>XII</c:v>
                  </c:pt>
                </c:lvl>
                <c:lvl>
                  <c:pt idx="0">
                    <c:v>2010</c:v>
                  </c:pt>
                  <c:pt idx="12">
                    <c:v>2011</c:v>
                  </c:pt>
                  <c:pt idx="24">
                    <c:v>2012</c:v>
                  </c:pt>
                  <c:pt idx="36">
                    <c:v>2013</c:v>
                  </c:pt>
                  <c:pt idx="48">
                    <c:v>2014</c:v>
                  </c:pt>
                  <c:pt idx="60">
                    <c:v>2015</c:v>
                  </c:pt>
                  <c:pt idx="72">
                    <c:v>2016</c:v>
                  </c:pt>
                  <c:pt idx="84">
                    <c:v>2017</c:v>
                  </c:pt>
                  <c:pt idx="96">
                    <c:v>2018</c:v>
                  </c:pt>
                </c:lvl>
              </c:multiLvlStrCache>
            </c:multiLvlStrRef>
          </c:cat>
          <c:val>
            <c:numRef>
              <c:f>Rūpniecība!$C$38:$C$145</c:f>
              <c:numCache>
                <c:formatCode>General</c:formatCode>
                <c:ptCount val="108"/>
                <c:pt idx="0">
                  <c:v>71.010000000000005</c:v>
                </c:pt>
                <c:pt idx="1">
                  <c:v>71.3</c:v>
                </c:pt>
                <c:pt idx="2">
                  <c:v>72.91</c:v>
                </c:pt>
                <c:pt idx="3">
                  <c:v>75.95</c:v>
                </c:pt>
                <c:pt idx="4">
                  <c:v>76.430000000000007</c:v>
                </c:pt>
                <c:pt idx="5">
                  <c:v>77.08</c:v>
                </c:pt>
                <c:pt idx="6">
                  <c:v>80.709999999999994</c:v>
                </c:pt>
                <c:pt idx="7">
                  <c:v>81.73</c:v>
                </c:pt>
                <c:pt idx="8">
                  <c:v>81.61</c:v>
                </c:pt>
                <c:pt idx="9">
                  <c:v>84.72</c:v>
                </c:pt>
                <c:pt idx="10">
                  <c:v>81.62</c:v>
                </c:pt>
                <c:pt idx="11">
                  <c:v>82.52</c:v>
                </c:pt>
                <c:pt idx="12">
                  <c:v>80.94</c:v>
                </c:pt>
                <c:pt idx="13">
                  <c:v>82.47</c:v>
                </c:pt>
                <c:pt idx="14">
                  <c:v>84.31</c:v>
                </c:pt>
                <c:pt idx="15">
                  <c:v>87.06</c:v>
                </c:pt>
                <c:pt idx="16">
                  <c:v>87.49</c:v>
                </c:pt>
                <c:pt idx="17">
                  <c:v>88.35</c:v>
                </c:pt>
                <c:pt idx="18">
                  <c:v>88.41</c:v>
                </c:pt>
                <c:pt idx="19">
                  <c:v>87.26</c:v>
                </c:pt>
                <c:pt idx="20">
                  <c:v>90.67</c:v>
                </c:pt>
                <c:pt idx="21">
                  <c:v>90.04</c:v>
                </c:pt>
                <c:pt idx="22">
                  <c:v>91.02</c:v>
                </c:pt>
                <c:pt idx="23">
                  <c:v>89.61</c:v>
                </c:pt>
                <c:pt idx="24">
                  <c:v>95.57</c:v>
                </c:pt>
                <c:pt idx="25">
                  <c:v>96.19</c:v>
                </c:pt>
                <c:pt idx="26">
                  <c:v>97.16</c:v>
                </c:pt>
                <c:pt idx="27">
                  <c:v>94.83</c:v>
                </c:pt>
                <c:pt idx="28">
                  <c:v>94.39</c:v>
                </c:pt>
                <c:pt idx="29">
                  <c:v>95.47</c:v>
                </c:pt>
                <c:pt idx="30">
                  <c:v>94.27</c:v>
                </c:pt>
                <c:pt idx="31">
                  <c:v>97.87</c:v>
                </c:pt>
                <c:pt idx="32">
                  <c:v>94.92</c:v>
                </c:pt>
                <c:pt idx="33">
                  <c:v>94.91</c:v>
                </c:pt>
                <c:pt idx="34">
                  <c:v>96.73</c:v>
                </c:pt>
                <c:pt idx="35">
                  <c:v>97.48</c:v>
                </c:pt>
                <c:pt idx="36">
                  <c:v>96.62</c:v>
                </c:pt>
                <c:pt idx="37">
                  <c:v>95.16</c:v>
                </c:pt>
                <c:pt idx="38">
                  <c:v>92.5</c:v>
                </c:pt>
                <c:pt idx="39">
                  <c:v>92.41</c:v>
                </c:pt>
                <c:pt idx="40">
                  <c:v>94.57</c:v>
                </c:pt>
                <c:pt idx="41">
                  <c:v>96.78</c:v>
                </c:pt>
                <c:pt idx="42">
                  <c:v>97.93</c:v>
                </c:pt>
                <c:pt idx="43">
                  <c:v>96.82</c:v>
                </c:pt>
                <c:pt idx="44">
                  <c:v>96.52</c:v>
                </c:pt>
                <c:pt idx="45">
                  <c:v>96.8</c:v>
                </c:pt>
                <c:pt idx="46">
                  <c:v>99.04</c:v>
                </c:pt>
                <c:pt idx="47">
                  <c:v>99.38</c:v>
                </c:pt>
                <c:pt idx="48">
                  <c:v>95.23</c:v>
                </c:pt>
                <c:pt idx="49">
                  <c:v>95.97</c:v>
                </c:pt>
                <c:pt idx="50">
                  <c:v>95.25</c:v>
                </c:pt>
                <c:pt idx="51">
                  <c:v>96.73</c:v>
                </c:pt>
                <c:pt idx="52">
                  <c:v>95.7</c:v>
                </c:pt>
                <c:pt idx="53">
                  <c:v>95.04</c:v>
                </c:pt>
                <c:pt idx="54">
                  <c:v>95.12</c:v>
                </c:pt>
                <c:pt idx="55">
                  <c:v>96.91</c:v>
                </c:pt>
                <c:pt idx="56">
                  <c:v>98.27</c:v>
                </c:pt>
                <c:pt idx="57">
                  <c:v>98.66</c:v>
                </c:pt>
                <c:pt idx="58">
                  <c:v>95.69</c:v>
                </c:pt>
                <c:pt idx="59">
                  <c:v>96.66</c:v>
                </c:pt>
                <c:pt idx="60">
                  <c:v>100.05</c:v>
                </c:pt>
                <c:pt idx="61">
                  <c:v>97.9</c:v>
                </c:pt>
                <c:pt idx="62">
                  <c:v>100.73</c:v>
                </c:pt>
                <c:pt idx="63">
                  <c:v>102.92</c:v>
                </c:pt>
                <c:pt idx="64">
                  <c:v>99.9</c:v>
                </c:pt>
                <c:pt idx="65">
                  <c:v>98.17</c:v>
                </c:pt>
                <c:pt idx="66">
                  <c:v>101.67</c:v>
                </c:pt>
                <c:pt idx="67">
                  <c:v>100.03</c:v>
                </c:pt>
                <c:pt idx="68">
                  <c:v>100.12</c:v>
                </c:pt>
                <c:pt idx="69">
                  <c:v>99.69</c:v>
                </c:pt>
                <c:pt idx="70">
                  <c:v>99.59</c:v>
                </c:pt>
                <c:pt idx="71">
                  <c:v>99.23</c:v>
                </c:pt>
                <c:pt idx="72">
                  <c:v>99.57</c:v>
                </c:pt>
                <c:pt idx="73">
                  <c:v>102.68</c:v>
                </c:pt>
                <c:pt idx="74">
                  <c:v>104.01</c:v>
                </c:pt>
                <c:pt idx="75">
                  <c:v>103.43</c:v>
                </c:pt>
                <c:pt idx="76">
                  <c:v>103.92</c:v>
                </c:pt>
                <c:pt idx="77">
                  <c:v>105.02</c:v>
                </c:pt>
                <c:pt idx="78">
                  <c:v>105.17</c:v>
                </c:pt>
                <c:pt idx="79">
                  <c:v>102.64</c:v>
                </c:pt>
                <c:pt idx="80">
                  <c:v>106.35</c:v>
                </c:pt>
                <c:pt idx="81">
                  <c:v>107.39</c:v>
                </c:pt>
                <c:pt idx="82">
                  <c:v>107.56</c:v>
                </c:pt>
                <c:pt idx="83">
                  <c:v>109.29</c:v>
                </c:pt>
                <c:pt idx="84">
                  <c:v>108.41</c:v>
                </c:pt>
                <c:pt idx="85">
                  <c:v>108.17</c:v>
                </c:pt>
                <c:pt idx="86">
                  <c:v>111.88</c:v>
                </c:pt>
                <c:pt idx="87">
                  <c:v>111.27</c:v>
                </c:pt>
                <c:pt idx="88">
                  <c:v>113.55</c:v>
                </c:pt>
                <c:pt idx="89">
                  <c:v>114.59</c:v>
                </c:pt>
                <c:pt idx="90">
                  <c:v>114.24</c:v>
                </c:pt>
                <c:pt idx="91">
                  <c:v>114.85</c:v>
                </c:pt>
                <c:pt idx="92">
                  <c:v>114.59</c:v>
                </c:pt>
                <c:pt idx="93">
                  <c:v>114.25</c:v>
                </c:pt>
                <c:pt idx="94">
                  <c:v>116.59</c:v>
                </c:pt>
                <c:pt idx="95">
                  <c:v>116.43</c:v>
                </c:pt>
                <c:pt idx="96">
                  <c:v>114.33</c:v>
                </c:pt>
                <c:pt idx="97">
                  <c:v>116.37</c:v>
                </c:pt>
                <c:pt idx="98">
                  <c:v>114.31</c:v>
                </c:pt>
                <c:pt idx="99">
                  <c:v>114.71</c:v>
                </c:pt>
                <c:pt idx="100">
                  <c:v>116.97</c:v>
                </c:pt>
                <c:pt idx="101">
                  <c:v>117.02</c:v>
                </c:pt>
                <c:pt idx="102">
                  <c:v>116.27</c:v>
                </c:pt>
                <c:pt idx="103">
                  <c:v>119.17</c:v>
                </c:pt>
                <c:pt idx="104">
                  <c:v>117.52</c:v>
                </c:pt>
                <c:pt idx="105">
                  <c:v>119.2</c:v>
                </c:pt>
                <c:pt idx="106">
                  <c:v>120.5</c:v>
                </c:pt>
                <c:pt idx="107">
                  <c:v>121.68</c:v>
                </c:pt>
              </c:numCache>
            </c:numRef>
          </c:val>
          <c:extLst>
            <c:ext xmlns:c16="http://schemas.microsoft.com/office/drawing/2014/chart" uri="{C3380CC4-5D6E-409C-BE32-E72D297353CC}">
              <c16:uniqueId val="{00000000-BABD-4F36-90B3-868E74EF944A}"/>
            </c:ext>
          </c:extLst>
        </c:ser>
        <c:dLbls>
          <c:showLegendKey val="0"/>
          <c:showVal val="0"/>
          <c:showCatName val="0"/>
          <c:showSerName val="0"/>
          <c:showPercent val="0"/>
          <c:showBubbleSize val="0"/>
        </c:dLbls>
        <c:gapWidth val="50"/>
        <c:axId val="343596456"/>
        <c:axId val="343283696"/>
      </c:barChart>
      <c:lineChart>
        <c:grouping val="standard"/>
        <c:varyColors val="0"/>
        <c:ser>
          <c:idx val="1"/>
          <c:order val="1"/>
          <c:tx>
            <c:strRef>
              <c:f>Rūpniecība!$D$1</c:f>
              <c:strCache>
                <c:ptCount val="1"/>
                <c:pt idx="0">
                  <c:v>Apstrādes rūpniecības produkcijas apjoma izmaiņas pret iepriekšējā gada atbilstošo mēnesi, kal. izl., % (labā ass)</c:v>
                </c:pt>
              </c:strCache>
            </c:strRef>
          </c:tx>
          <c:spPr>
            <a:ln w="28575" cap="rnd">
              <a:solidFill>
                <a:srgbClr val="0070C0"/>
              </a:solidFill>
              <a:round/>
            </a:ln>
            <a:effectLst/>
          </c:spPr>
          <c:marker>
            <c:symbol val="none"/>
          </c:marker>
          <c:cat>
            <c:multiLvlStrRef>
              <c:f>Rūpniecība!$A$38:$B$142</c:f>
              <c:multiLvlStrCache>
                <c:ptCount val="105"/>
                <c:lvl>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pt idx="19">
                    <c:v>VIII</c:v>
                  </c:pt>
                  <c:pt idx="20">
                    <c:v>IX</c:v>
                  </c:pt>
                  <c:pt idx="21">
                    <c:v>X</c:v>
                  </c:pt>
                  <c:pt idx="22">
                    <c:v>XI</c:v>
                  </c:pt>
                  <c:pt idx="23">
                    <c:v>XII</c:v>
                  </c:pt>
                  <c:pt idx="24">
                    <c:v>I</c:v>
                  </c:pt>
                  <c:pt idx="25">
                    <c:v>II</c:v>
                  </c:pt>
                  <c:pt idx="26">
                    <c:v>III</c:v>
                  </c:pt>
                  <c:pt idx="27">
                    <c:v>IV</c:v>
                  </c:pt>
                  <c:pt idx="28">
                    <c:v>V</c:v>
                  </c:pt>
                  <c:pt idx="29">
                    <c:v>VI</c:v>
                  </c:pt>
                  <c:pt idx="30">
                    <c:v>VII</c:v>
                  </c:pt>
                  <c:pt idx="31">
                    <c:v>VIII</c:v>
                  </c:pt>
                  <c:pt idx="32">
                    <c:v>IX</c:v>
                  </c:pt>
                  <c:pt idx="33">
                    <c:v>X</c:v>
                  </c:pt>
                  <c:pt idx="34">
                    <c:v>XI</c:v>
                  </c:pt>
                  <c:pt idx="35">
                    <c:v>XII</c:v>
                  </c:pt>
                  <c:pt idx="36">
                    <c:v>I</c:v>
                  </c:pt>
                  <c:pt idx="37">
                    <c:v>II</c:v>
                  </c:pt>
                  <c:pt idx="38">
                    <c:v>III</c:v>
                  </c:pt>
                  <c:pt idx="39">
                    <c:v>IV</c:v>
                  </c:pt>
                  <c:pt idx="40">
                    <c:v>V</c:v>
                  </c:pt>
                  <c:pt idx="41">
                    <c:v>VI</c:v>
                  </c:pt>
                  <c:pt idx="42">
                    <c:v>VII</c:v>
                  </c:pt>
                  <c:pt idx="43">
                    <c:v>VIII</c:v>
                  </c:pt>
                  <c:pt idx="44">
                    <c:v>IX</c:v>
                  </c:pt>
                  <c:pt idx="45">
                    <c:v>X</c:v>
                  </c:pt>
                  <c:pt idx="46">
                    <c:v>XI</c:v>
                  </c:pt>
                  <c:pt idx="47">
                    <c:v>XII</c:v>
                  </c:pt>
                  <c:pt idx="48">
                    <c:v>I</c:v>
                  </c:pt>
                  <c:pt idx="49">
                    <c:v>II</c:v>
                  </c:pt>
                  <c:pt idx="50">
                    <c:v>III</c:v>
                  </c:pt>
                  <c:pt idx="51">
                    <c:v>IV</c:v>
                  </c:pt>
                  <c:pt idx="52">
                    <c:v>V</c:v>
                  </c:pt>
                  <c:pt idx="53">
                    <c:v>VI</c:v>
                  </c:pt>
                  <c:pt idx="54">
                    <c:v>VII</c:v>
                  </c:pt>
                  <c:pt idx="55">
                    <c:v>VIII</c:v>
                  </c:pt>
                  <c:pt idx="56">
                    <c:v>IX</c:v>
                  </c:pt>
                  <c:pt idx="57">
                    <c:v>X</c:v>
                  </c:pt>
                  <c:pt idx="58">
                    <c:v>XI</c:v>
                  </c:pt>
                  <c:pt idx="59">
                    <c:v>XII</c:v>
                  </c:pt>
                  <c:pt idx="60">
                    <c:v>I</c:v>
                  </c:pt>
                  <c:pt idx="61">
                    <c:v>II</c:v>
                  </c:pt>
                  <c:pt idx="62">
                    <c:v>III</c:v>
                  </c:pt>
                  <c:pt idx="63">
                    <c:v>IV</c:v>
                  </c:pt>
                  <c:pt idx="64">
                    <c:v>V</c:v>
                  </c:pt>
                  <c:pt idx="65">
                    <c:v>VI</c:v>
                  </c:pt>
                  <c:pt idx="66">
                    <c:v>VII</c:v>
                  </c:pt>
                  <c:pt idx="67">
                    <c:v>VIII</c:v>
                  </c:pt>
                  <c:pt idx="68">
                    <c:v>IX</c:v>
                  </c:pt>
                  <c:pt idx="69">
                    <c:v>X</c:v>
                  </c:pt>
                  <c:pt idx="70">
                    <c:v>XI</c:v>
                  </c:pt>
                  <c:pt idx="71">
                    <c:v>XII</c:v>
                  </c:pt>
                  <c:pt idx="72">
                    <c:v>I</c:v>
                  </c:pt>
                  <c:pt idx="73">
                    <c:v>II</c:v>
                  </c:pt>
                  <c:pt idx="74">
                    <c:v>III</c:v>
                  </c:pt>
                  <c:pt idx="75">
                    <c:v>IV</c:v>
                  </c:pt>
                  <c:pt idx="76">
                    <c:v>V</c:v>
                  </c:pt>
                  <c:pt idx="77">
                    <c:v>VI</c:v>
                  </c:pt>
                  <c:pt idx="78">
                    <c:v>VII</c:v>
                  </c:pt>
                  <c:pt idx="79">
                    <c:v>VIII</c:v>
                  </c:pt>
                  <c:pt idx="80">
                    <c:v>IX</c:v>
                  </c:pt>
                  <c:pt idx="81">
                    <c:v>X</c:v>
                  </c:pt>
                  <c:pt idx="82">
                    <c:v>XI</c:v>
                  </c:pt>
                  <c:pt idx="83">
                    <c:v>XII</c:v>
                  </c:pt>
                  <c:pt idx="84">
                    <c:v>I</c:v>
                  </c:pt>
                  <c:pt idx="85">
                    <c:v>II</c:v>
                  </c:pt>
                  <c:pt idx="86">
                    <c:v>III</c:v>
                  </c:pt>
                  <c:pt idx="87">
                    <c:v>IV</c:v>
                  </c:pt>
                  <c:pt idx="88">
                    <c:v>V</c:v>
                  </c:pt>
                  <c:pt idx="89">
                    <c:v>VI</c:v>
                  </c:pt>
                  <c:pt idx="90">
                    <c:v>VII</c:v>
                  </c:pt>
                  <c:pt idx="91">
                    <c:v>VIII</c:v>
                  </c:pt>
                  <c:pt idx="92">
                    <c:v>IX</c:v>
                  </c:pt>
                  <c:pt idx="93">
                    <c:v>X</c:v>
                  </c:pt>
                  <c:pt idx="94">
                    <c:v>XI</c:v>
                  </c:pt>
                  <c:pt idx="95">
                    <c:v>XII</c:v>
                  </c:pt>
                  <c:pt idx="96">
                    <c:v>I</c:v>
                  </c:pt>
                  <c:pt idx="97">
                    <c:v>II</c:v>
                  </c:pt>
                  <c:pt idx="98">
                    <c:v>III</c:v>
                  </c:pt>
                  <c:pt idx="99">
                    <c:v>IV</c:v>
                  </c:pt>
                  <c:pt idx="100">
                    <c:v>V</c:v>
                  </c:pt>
                  <c:pt idx="101">
                    <c:v>VI</c:v>
                  </c:pt>
                  <c:pt idx="102">
                    <c:v>VII</c:v>
                  </c:pt>
                  <c:pt idx="103">
                    <c:v>VIII</c:v>
                  </c:pt>
                  <c:pt idx="104">
                    <c:v>IX</c:v>
                  </c:pt>
                </c:lvl>
                <c:lvl>
                  <c:pt idx="0">
                    <c:v>2010</c:v>
                  </c:pt>
                  <c:pt idx="12">
                    <c:v>2011</c:v>
                  </c:pt>
                  <c:pt idx="24">
                    <c:v>2012</c:v>
                  </c:pt>
                  <c:pt idx="36">
                    <c:v>2013</c:v>
                  </c:pt>
                  <c:pt idx="48">
                    <c:v>2014</c:v>
                  </c:pt>
                  <c:pt idx="60">
                    <c:v>2015</c:v>
                  </c:pt>
                  <c:pt idx="72">
                    <c:v>2016</c:v>
                  </c:pt>
                  <c:pt idx="84">
                    <c:v>2017</c:v>
                  </c:pt>
                  <c:pt idx="96">
                    <c:v>2018</c:v>
                  </c:pt>
                </c:lvl>
              </c:multiLvlStrCache>
            </c:multiLvlStrRef>
          </c:cat>
          <c:val>
            <c:numRef>
              <c:f>Rūpniecība!$D$38:$D$145</c:f>
              <c:numCache>
                <c:formatCode>0.0</c:formatCode>
                <c:ptCount val="108"/>
                <c:pt idx="0">
                  <c:v>0.62893081761006275</c:v>
                </c:pt>
                <c:pt idx="1">
                  <c:v>1.3765318113144298</c:v>
                </c:pt>
                <c:pt idx="2">
                  <c:v>9.1420534458509053</c:v>
                </c:pt>
                <c:pt idx="3">
                  <c:v>13.271649559057375</c:v>
                </c:pt>
                <c:pt idx="4">
                  <c:v>14.514038876889845</c:v>
                </c:pt>
                <c:pt idx="5">
                  <c:v>15.398860398860403</c:v>
                </c:pt>
                <c:pt idx="6">
                  <c:v>24.726181545386329</c:v>
                </c:pt>
                <c:pt idx="7">
                  <c:v>22.225305216426182</c:v>
                </c:pt>
                <c:pt idx="8">
                  <c:v>23.255478662053044</c:v>
                </c:pt>
                <c:pt idx="9">
                  <c:v>27.691461570191112</c:v>
                </c:pt>
                <c:pt idx="10">
                  <c:v>16.012126222957157</c:v>
                </c:pt>
                <c:pt idx="11">
                  <c:v>18.430769230769229</c:v>
                </c:pt>
                <c:pt idx="12">
                  <c:v>11.924342105263165</c:v>
                </c:pt>
                <c:pt idx="13">
                  <c:v>13.876469614174525</c:v>
                </c:pt>
                <c:pt idx="14">
                  <c:v>15.335051546391743</c:v>
                </c:pt>
                <c:pt idx="15">
                  <c:v>14.728781110402057</c:v>
                </c:pt>
                <c:pt idx="16">
                  <c:v>14.183327046397597</c:v>
                </c:pt>
                <c:pt idx="17">
                  <c:v>14.775953585977032</c:v>
                </c:pt>
                <c:pt idx="18">
                  <c:v>10.00842054613258</c:v>
                </c:pt>
                <c:pt idx="19">
                  <c:v>6.8331441543700411</c:v>
                </c:pt>
                <c:pt idx="20">
                  <c:v>10.972043513861273</c:v>
                </c:pt>
                <c:pt idx="21">
                  <c:v>5.9760956175298752</c:v>
                </c:pt>
                <c:pt idx="22">
                  <c:v>12.139208932177215</c:v>
                </c:pt>
                <c:pt idx="23">
                  <c:v>9.5609249155624845</c:v>
                </c:pt>
                <c:pt idx="24">
                  <c:v>17.487141807494488</c:v>
                </c:pt>
                <c:pt idx="25">
                  <c:v>16.300712519994185</c:v>
                </c:pt>
                <c:pt idx="26">
                  <c:v>15.493482309124772</c:v>
                </c:pt>
                <c:pt idx="27">
                  <c:v>8.5104016019579518</c:v>
                </c:pt>
                <c:pt idx="28">
                  <c:v>7.4110780751018623</c:v>
                </c:pt>
                <c:pt idx="29">
                  <c:v>8.0017208001720732</c:v>
                </c:pt>
                <c:pt idx="30">
                  <c:v>7.118644067796609</c:v>
                </c:pt>
                <c:pt idx="31">
                  <c:v>12.579685507862282</c:v>
                </c:pt>
                <c:pt idx="32">
                  <c:v>4.5957626225360926</c:v>
                </c:pt>
                <c:pt idx="33">
                  <c:v>5.2021946758789017</c:v>
                </c:pt>
                <c:pt idx="34">
                  <c:v>7.3932846096811833</c:v>
                </c:pt>
                <c:pt idx="35">
                  <c:v>10.75409058572443</c:v>
                </c:pt>
                <c:pt idx="36">
                  <c:v>-0.17510944340212165</c:v>
                </c:pt>
                <c:pt idx="37">
                  <c:v>-2.3630907726931771</c:v>
                </c:pt>
                <c:pt idx="38">
                  <c:v>-5.4068580027948006</c:v>
                </c:pt>
                <c:pt idx="39">
                  <c:v>-2.9116259995899174</c:v>
                </c:pt>
                <c:pt idx="40">
                  <c:v>5.1261021119541894E-2</c:v>
                </c:pt>
                <c:pt idx="41">
                  <c:v>1.1252738498306991</c:v>
                </c:pt>
                <c:pt idx="42">
                  <c:v>4.5835034708044287</c:v>
                </c:pt>
                <c:pt idx="43">
                  <c:v>-1.1891279728199255</c:v>
                </c:pt>
                <c:pt idx="44">
                  <c:v>1.7837347576337814</c:v>
                </c:pt>
                <c:pt idx="45">
                  <c:v>2.2503380336101886</c:v>
                </c:pt>
                <c:pt idx="46">
                  <c:v>2.7714764769701139</c:v>
                </c:pt>
                <c:pt idx="47">
                  <c:v>3.1367091317846096</c:v>
                </c:pt>
                <c:pt idx="48">
                  <c:v>-3.0948502693898039</c:v>
                </c:pt>
                <c:pt idx="49">
                  <c:v>-0.21769752849276625</c:v>
                </c:pt>
                <c:pt idx="50">
                  <c:v>3.8295454545454577</c:v>
                </c:pt>
                <c:pt idx="51">
                  <c:v>6.0929250263991541</c:v>
                </c:pt>
                <c:pt idx="52">
                  <c:v>2.0186494517880904</c:v>
                </c:pt>
                <c:pt idx="53">
                  <c:v>-2.1762678483505549</c:v>
                </c:pt>
                <c:pt idx="54">
                  <c:v>-2.6061493411420167</c:v>
                </c:pt>
                <c:pt idx="55">
                  <c:v>-0.81184336198664164</c:v>
                </c:pt>
                <c:pt idx="56">
                  <c:v>1.6237623762376252</c:v>
                </c:pt>
                <c:pt idx="57">
                  <c:v>1.6907528100500446</c:v>
                </c:pt>
                <c:pt idx="58">
                  <c:v>-4.0978886756237953</c:v>
                </c:pt>
                <c:pt idx="59">
                  <c:v>-2.9375129748806295</c:v>
                </c:pt>
                <c:pt idx="60">
                  <c:v>3.2195500387897535</c:v>
                </c:pt>
                <c:pt idx="61">
                  <c:v>1.4117043121149919</c:v>
                </c:pt>
                <c:pt idx="62">
                  <c:v>7.4532122140746448</c:v>
                </c:pt>
                <c:pt idx="63">
                  <c:v>7.853090474768587</c:v>
                </c:pt>
                <c:pt idx="64">
                  <c:v>5.9059863398955414</c:v>
                </c:pt>
                <c:pt idx="65">
                  <c:v>3.9057781356955923</c:v>
                </c:pt>
                <c:pt idx="66">
                  <c:v>7.5265584285427956</c:v>
                </c:pt>
                <c:pt idx="67">
                  <c:v>2.407318247472312</c:v>
                </c:pt>
                <c:pt idx="68">
                  <c:v>1.3152766952455153</c:v>
                </c:pt>
                <c:pt idx="69">
                  <c:v>0.52015604681403538</c:v>
                </c:pt>
                <c:pt idx="70">
                  <c:v>3.9727809466626685</c:v>
                </c:pt>
                <c:pt idx="71">
                  <c:v>2.8766976793925814</c:v>
                </c:pt>
                <c:pt idx="72">
                  <c:v>-2.3424777652511608</c:v>
                </c:pt>
                <c:pt idx="73">
                  <c:v>4.2773981270564532</c:v>
                </c:pt>
                <c:pt idx="74">
                  <c:v>3.9315542880423715</c:v>
                </c:pt>
                <c:pt idx="75">
                  <c:v>0.14765596160943861</c:v>
                </c:pt>
                <c:pt idx="76">
                  <c:v>5.2162367223065331</c:v>
                </c:pt>
                <c:pt idx="77">
                  <c:v>8.1670218949815965</c:v>
                </c:pt>
                <c:pt idx="78">
                  <c:v>3.5324820579737182</c:v>
                </c:pt>
                <c:pt idx="79">
                  <c:v>2.1720733427362582</c:v>
                </c:pt>
                <c:pt idx="80">
                  <c:v>5.5678430618328667</c:v>
                </c:pt>
                <c:pt idx="81">
                  <c:v>7.3923489188689739</c:v>
                </c:pt>
                <c:pt idx="82">
                  <c:v>8.9990375360923913</c:v>
                </c:pt>
                <c:pt idx="83">
                  <c:v>11.507276507276497</c:v>
                </c:pt>
                <c:pt idx="84">
                  <c:v>7.5551564905079527</c:v>
                </c:pt>
                <c:pt idx="85">
                  <c:v>4.9150485436893154</c:v>
                </c:pt>
                <c:pt idx="86">
                  <c:v>7.1736573892591027</c:v>
                </c:pt>
                <c:pt idx="87">
                  <c:v>6.4504238849981466</c:v>
                </c:pt>
                <c:pt idx="88">
                  <c:v>10.077519379844958</c:v>
                </c:pt>
                <c:pt idx="89">
                  <c:v>10.004478280340345</c:v>
                </c:pt>
                <c:pt idx="90">
                  <c:v>8.2913215700396226</c:v>
                </c:pt>
                <c:pt idx="91">
                  <c:v>12.525308301122774</c:v>
                </c:pt>
                <c:pt idx="92">
                  <c:v>7.1597740936418353</c:v>
                </c:pt>
                <c:pt idx="93">
                  <c:v>6.1263121665806164</c:v>
                </c:pt>
                <c:pt idx="94">
                  <c:v>9.3863134657836689</c:v>
                </c:pt>
                <c:pt idx="95">
                  <c:v>7.7374848513097838</c:v>
                </c:pt>
                <c:pt idx="96">
                  <c:v>5.0685748360167038</c:v>
                </c:pt>
                <c:pt idx="97">
                  <c:v>7.6807403123192675</c:v>
                </c:pt>
                <c:pt idx="98">
                  <c:v>1.5544989027066691</c:v>
                </c:pt>
                <c:pt idx="99">
                  <c:v>2.2074099722991569</c:v>
                </c:pt>
                <c:pt idx="100">
                  <c:v>3.1690140845070269</c:v>
                </c:pt>
                <c:pt idx="101">
                  <c:v>2.1494870542257072</c:v>
                </c:pt>
                <c:pt idx="102">
                  <c:v>1.1472275334607929</c:v>
                </c:pt>
                <c:pt idx="103">
                  <c:v>4.1792753741719091</c:v>
                </c:pt>
                <c:pt idx="104">
                  <c:v>1.955117307038412</c:v>
                </c:pt>
                <c:pt idx="105">
                  <c:v>4.086265607264461</c:v>
                </c:pt>
                <c:pt idx="106">
                  <c:v>3.7213432353891074</c:v>
                </c:pt>
                <c:pt idx="107">
                  <c:v>5.0791727957082422</c:v>
                </c:pt>
              </c:numCache>
            </c:numRef>
          </c:val>
          <c:smooth val="1"/>
          <c:extLst>
            <c:ext xmlns:c16="http://schemas.microsoft.com/office/drawing/2014/chart" uri="{C3380CC4-5D6E-409C-BE32-E72D297353CC}">
              <c16:uniqueId val="{00000001-BABD-4F36-90B3-868E74EF944A}"/>
            </c:ext>
          </c:extLst>
        </c:ser>
        <c:dLbls>
          <c:showLegendKey val="0"/>
          <c:showVal val="0"/>
          <c:showCatName val="0"/>
          <c:showSerName val="0"/>
          <c:showPercent val="0"/>
          <c:showBubbleSize val="0"/>
        </c:dLbls>
        <c:marker val="1"/>
        <c:smooth val="0"/>
        <c:axId val="343284480"/>
        <c:axId val="343284088"/>
      </c:lineChart>
      <c:catAx>
        <c:axId val="34359645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343283696"/>
        <c:crosses val="autoZero"/>
        <c:auto val="1"/>
        <c:lblAlgn val="ctr"/>
        <c:lblOffset val="100"/>
        <c:noMultiLvlLbl val="0"/>
      </c:catAx>
      <c:valAx>
        <c:axId val="343283696"/>
        <c:scaling>
          <c:orientation val="minMax"/>
          <c:max val="130"/>
          <c:min val="7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343596456"/>
        <c:crosses val="autoZero"/>
        <c:crossBetween val="between"/>
      </c:valAx>
      <c:valAx>
        <c:axId val="343284088"/>
        <c:scaling>
          <c:orientation val="minMax"/>
          <c:max val="30"/>
          <c:min val="-30"/>
        </c:scaling>
        <c:delete val="0"/>
        <c:axPos val="r"/>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343284480"/>
        <c:crosses val="max"/>
        <c:crossBetween val="between"/>
      </c:valAx>
      <c:catAx>
        <c:axId val="343284480"/>
        <c:scaling>
          <c:orientation val="minMax"/>
        </c:scaling>
        <c:delete val="1"/>
        <c:axPos val="b"/>
        <c:numFmt formatCode="General" sourceLinked="1"/>
        <c:majorTickMark val="none"/>
        <c:minorTickMark val="none"/>
        <c:tickLblPos val="nextTo"/>
        <c:crossAx val="343284088"/>
        <c:crosses val="autoZero"/>
        <c:auto val="1"/>
        <c:lblAlgn val="ctr"/>
        <c:lblOffset val="100"/>
        <c:noMultiLvlLbl val="0"/>
      </c:catAx>
      <c:spPr>
        <a:noFill/>
        <a:ln>
          <a:noFill/>
        </a:ln>
        <a:effectLst/>
      </c:spPr>
    </c:plotArea>
    <c:legend>
      <c:legendPos val="b"/>
      <c:layout>
        <c:manualLayout>
          <c:xMode val="edge"/>
          <c:yMode val="edge"/>
          <c:x val="0"/>
          <c:y val="0.86278241525455879"/>
          <c:w val="0.99863074937262208"/>
          <c:h val="0.1218137094975288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4">
    <c:autoUpdate val="0"/>
  </c:externalData>
  <c:userShapes r:id="rId5"/>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4415074257386188E-2"/>
          <c:y val="4.3253827680475719E-2"/>
          <c:w val="0.92919970146820752"/>
          <c:h val="0.38848678665399528"/>
        </c:manualLayout>
      </c:layout>
      <c:barChart>
        <c:barDir val="col"/>
        <c:grouping val="clustered"/>
        <c:varyColors val="0"/>
        <c:ser>
          <c:idx val="0"/>
          <c:order val="0"/>
          <c:tx>
            <c:strRef>
              <c:f>'[Chart in Microsoft Word]1.5 tabula'!$C$2</c:f>
              <c:strCache>
                <c:ptCount val="1"/>
                <c:pt idx="0">
                  <c:v>2013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Word]1.5 tabula'!$B$3:$B$17</c:f>
              <c:strCache>
                <c:ptCount val="14"/>
                <c:pt idx="0">
                  <c:v>Tekošā konta bilance </c:v>
                </c:pt>
                <c:pt idx="1">
                  <c:v>Neto starptautisko investīciju pozīcija </c:v>
                </c:pt>
                <c:pt idx="2">
                  <c:v>Reālais efektīvais valūtas kurss </c:v>
                </c:pt>
                <c:pt idx="3">
                  <c:v>Eksporta tirgus daļa</c:v>
                </c:pt>
                <c:pt idx="4">
                  <c:v>Nominālās darbaspēka vienības izmaksu indekss </c:v>
                </c:pt>
                <c:pt idx="5">
                  <c:v>Mājokļu cenu indekss</c:v>
                </c:pt>
                <c:pt idx="6">
                  <c:v>Privātā sektora kredītplūsma</c:v>
                </c:pt>
                <c:pt idx="7">
                  <c:v>Privātā sektora konsolidētais parāds</c:v>
                </c:pt>
                <c:pt idx="8">
                  <c:v>Vispārējās valdības parāds</c:v>
                </c:pt>
                <c:pt idx="9">
                  <c:v>Bezdarba līmenis</c:v>
                </c:pt>
                <c:pt idx="10">
                  <c:v>Finanšu sektora saistības</c:v>
                </c:pt>
                <c:pt idx="11">
                  <c:v>Aktivitātes līmenis</c:v>
                </c:pt>
                <c:pt idx="12">
                  <c:v>Ilgtermiņa bezdarba līmenis</c:v>
                </c:pt>
                <c:pt idx="13">
                  <c:v>Jauniešu bezdarba līmenis</c:v>
                </c:pt>
              </c:strCache>
            </c:strRef>
          </c:cat>
          <c:val>
            <c:numRef>
              <c:f>'[Chart in Microsoft Word]1.5 tabula'!$C$3:$C$17</c:f>
            </c:numRef>
          </c:val>
          <c:extLst>
            <c:ext xmlns:c16="http://schemas.microsoft.com/office/drawing/2014/chart" uri="{C3380CC4-5D6E-409C-BE32-E72D297353CC}">
              <c16:uniqueId val="{00000000-1CF2-4302-9CAD-87906B79210C}"/>
            </c:ext>
          </c:extLst>
        </c:ser>
        <c:ser>
          <c:idx val="1"/>
          <c:order val="1"/>
          <c:tx>
            <c:strRef>
              <c:f>'[Chart in Microsoft Word]1.5 tabula'!$D$2</c:f>
              <c:strCache>
                <c:ptCount val="1"/>
                <c:pt idx="0">
                  <c:v>2014</c:v>
                </c:pt>
              </c:strCache>
            </c:strRef>
          </c:tx>
          <c:spPr>
            <a:solidFill>
              <a:schemeClr val="accent2"/>
            </a:solidFill>
            <a:ln>
              <a:noFill/>
            </a:ln>
            <a:effectLst/>
          </c:spPr>
          <c:invertIfNegative val="0"/>
          <c:cat>
            <c:strRef>
              <c:f>'[Chart in Microsoft Word]1.5 tabula'!$B$3:$B$17</c:f>
              <c:strCache>
                <c:ptCount val="14"/>
                <c:pt idx="0">
                  <c:v>Tekošā konta bilance </c:v>
                </c:pt>
                <c:pt idx="1">
                  <c:v>Neto starptautisko investīciju pozīcija </c:v>
                </c:pt>
                <c:pt idx="2">
                  <c:v>Reālais efektīvais valūtas kurss </c:v>
                </c:pt>
                <c:pt idx="3">
                  <c:v>Eksporta tirgus daļa</c:v>
                </c:pt>
                <c:pt idx="4">
                  <c:v>Nominālās darbaspēka vienības izmaksu indekss </c:v>
                </c:pt>
                <c:pt idx="5">
                  <c:v>Mājokļu cenu indekss</c:v>
                </c:pt>
                <c:pt idx="6">
                  <c:v>Privātā sektora kredītplūsma</c:v>
                </c:pt>
                <c:pt idx="7">
                  <c:v>Privātā sektora konsolidētais parāds</c:v>
                </c:pt>
                <c:pt idx="8">
                  <c:v>Vispārējās valdības parāds</c:v>
                </c:pt>
                <c:pt idx="9">
                  <c:v>Bezdarba līmenis</c:v>
                </c:pt>
                <c:pt idx="10">
                  <c:v>Finanšu sektora saistības</c:v>
                </c:pt>
                <c:pt idx="11">
                  <c:v>Aktivitātes līmenis</c:v>
                </c:pt>
                <c:pt idx="12">
                  <c:v>Ilgtermiņa bezdarba līmenis</c:v>
                </c:pt>
                <c:pt idx="13">
                  <c:v>Jauniešu bezdarba līmenis</c:v>
                </c:pt>
              </c:strCache>
            </c:strRef>
          </c:cat>
          <c:val>
            <c:numRef>
              <c:f>'[Chart in Microsoft Word]1.5 tabula'!$D$3:$D$17</c:f>
              <c:numCache>
                <c:formatCode>General</c:formatCode>
                <c:ptCount val="15"/>
                <c:pt idx="0">
                  <c:v>5</c:v>
                </c:pt>
                <c:pt idx="1">
                  <c:v>16</c:v>
                </c:pt>
                <c:pt idx="2">
                  <c:v>1</c:v>
                </c:pt>
                <c:pt idx="3">
                  <c:v>18</c:v>
                </c:pt>
                <c:pt idx="4">
                  <c:v>3</c:v>
                </c:pt>
                <c:pt idx="5">
                  <c:v>5</c:v>
                </c:pt>
                <c:pt idx="6">
                  <c:v>1</c:v>
                </c:pt>
                <c:pt idx="7">
                  <c:v>13</c:v>
                </c:pt>
                <c:pt idx="8">
                  <c:v>16</c:v>
                </c:pt>
                <c:pt idx="9">
                  <c:v>12</c:v>
                </c:pt>
                <c:pt idx="10">
                  <c:v>2</c:v>
                </c:pt>
                <c:pt idx="11">
                  <c:v>2</c:v>
                </c:pt>
                <c:pt idx="12">
                  <c:v>11</c:v>
                </c:pt>
                <c:pt idx="13">
                  <c:v>10</c:v>
                </c:pt>
              </c:numCache>
            </c:numRef>
          </c:val>
          <c:extLst>
            <c:ext xmlns:c16="http://schemas.microsoft.com/office/drawing/2014/chart" uri="{C3380CC4-5D6E-409C-BE32-E72D297353CC}">
              <c16:uniqueId val="{00000001-1CF2-4302-9CAD-87906B79210C}"/>
            </c:ext>
          </c:extLst>
        </c:ser>
        <c:ser>
          <c:idx val="2"/>
          <c:order val="2"/>
          <c:tx>
            <c:strRef>
              <c:f>'[Chart in Microsoft Word]1.5 tabula'!$E$2</c:f>
              <c:strCache>
                <c:ptCount val="1"/>
                <c:pt idx="0">
                  <c:v>2015</c:v>
                </c:pt>
              </c:strCache>
            </c:strRef>
          </c:tx>
          <c:spPr>
            <a:solidFill>
              <a:schemeClr val="accent3"/>
            </a:solidFill>
            <a:ln>
              <a:noFill/>
            </a:ln>
            <a:effectLst/>
          </c:spPr>
          <c:invertIfNegative val="0"/>
          <c:cat>
            <c:strRef>
              <c:f>'[Chart in Microsoft Word]1.5 tabula'!$B$3:$B$17</c:f>
              <c:strCache>
                <c:ptCount val="14"/>
                <c:pt idx="0">
                  <c:v>Tekošā konta bilance </c:v>
                </c:pt>
                <c:pt idx="1">
                  <c:v>Neto starptautisko investīciju pozīcija </c:v>
                </c:pt>
                <c:pt idx="2">
                  <c:v>Reālais efektīvais valūtas kurss </c:v>
                </c:pt>
                <c:pt idx="3">
                  <c:v>Eksporta tirgus daļa</c:v>
                </c:pt>
                <c:pt idx="4">
                  <c:v>Nominālās darbaspēka vienības izmaksu indekss </c:v>
                </c:pt>
                <c:pt idx="5">
                  <c:v>Mājokļu cenu indekss</c:v>
                </c:pt>
                <c:pt idx="6">
                  <c:v>Privātā sektora kredītplūsma</c:v>
                </c:pt>
                <c:pt idx="7">
                  <c:v>Privātā sektora konsolidētais parāds</c:v>
                </c:pt>
                <c:pt idx="8">
                  <c:v>Vispārējās valdības parāds</c:v>
                </c:pt>
                <c:pt idx="9">
                  <c:v>Bezdarba līmenis</c:v>
                </c:pt>
                <c:pt idx="10">
                  <c:v>Finanšu sektora saistības</c:v>
                </c:pt>
                <c:pt idx="11">
                  <c:v>Aktivitātes līmenis</c:v>
                </c:pt>
                <c:pt idx="12">
                  <c:v>Ilgtermiņa bezdarba līmenis</c:v>
                </c:pt>
                <c:pt idx="13">
                  <c:v>Jauniešu bezdarba līmenis</c:v>
                </c:pt>
              </c:strCache>
            </c:strRef>
          </c:cat>
          <c:val>
            <c:numRef>
              <c:f>'[Chart in Microsoft Word]1.5 tabula'!$E$3:$E$17</c:f>
              <c:numCache>
                <c:formatCode>General</c:formatCode>
                <c:ptCount val="15"/>
                <c:pt idx="0">
                  <c:v>5</c:v>
                </c:pt>
                <c:pt idx="1">
                  <c:v>15</c:v>
                </c:pt>
                <c:pt idx="2">
                  <c:v>5</c:v>
                </c:pt>
                <c:pt idx="3">
                  <c:v>11</c:v>
                </c:pt>
                <c:pt idx="4">
                  <c:v>4</c:v>
                </c:pt>
                <c:pt idx="5">
                  <c:v>6</c:v>
                </c:pt>
                <c:pt idx="6">
                  <c:v>1</c:v>
                </c:pt>
                <c:pt idx="7">
                  <c:v>13</c:v>
                </c:pt>
                <c:pt idx="8">
                  <c:v>17</c:v>
                </c:pt>
                <c:pt idx="9">
                  <c:v>12</c:v>
                </c:pt>
                <c:pt idx="10">
                  <c:v>0</c:v>
                </c:pt>
                <c:pt idx="11">
                  <c:v>0</c:v>
                </c:pt>
                <c:pt idx="12">
                  <c:v>8</c:v>
                </c:pt>
                <c:pt idx="13">
                  <c:v>4</c:v>
                </c:pt>
              </c:numCache>
            </c:numRef>
          </c:val>
          <c:extLst>
            <c:ext xmlns:c16="http://schemas.microsoft.com/office/drawing/2014/chart" uri="{C3380CC4-5D6E-409C-BE32-E72D297353CC}">
              <c16:uniqueId val="{00000002-1CF2-4302-9CAD-87906B79210C}"/>
            </c:ext>
          </c:extLst>
        </c:ser>
        <c:ser>
          <c:idx val="3"/>
          <c:order val="3"/>
          <c:tx>
            <c:strRef>
              <c:f>'[Chart in Microsoft Word]1.5 tabula'!$F$2</c:f>
              <c:strCache>
                <c:ptCount val="1"/>
                <c:pt idx="0">
                  <c:v>2016</c:v>
                </c:pt>
              </c:strCache>
            </c:strRef>
          </c:tx>
          <c:spPr>
            <a:solidFill>
              <a:schemeClr val="accent4"/>
            </a:solidFill>
            <a:ln>
              <a:noFill/>
            </a:ln>
            <a:effectLst/>
          </c:spPr>
          <c:invertIfNegative val="0"/>
          <c:cat>
            <c:strRef>
              <c:f>'[Chart in Microsoft Word]1.5 tabula'!$B$3:$B$17</c:f>
              <c:strCache>
                <c:ptCount val="14"/>
                <c:pt idx="0">
                  <c:v>Tekošā konta bilance </c:v>
                </c:pt>
                <c:pt idx="1">
                  <c:v>Neto starptautisko investīciju pozīcija </c:v>
                </c:pt>
                <c:pt idx="2">
                  <c:v>Reālais efektīvais valūtas kurss </c:v>
                </c:pt>
                <c:pt idx="3">
                  <c:v>Eksporta tirgus daļa</c:v>
                </c:pt>
                <c:pt idx="4">
                  <c:v>Nominālās darbaspēka vienības izmaksu indekss </c:v>
                </c:pt>
                <c:pt idx="5">
                  <c:v>Mājokļu cenu indekss</c:v>
                </c:pt>
                <c:pt idx="6">
                  <c:v>Privātā sektora kredītplūsma</c:v>
                </c:pt>
                <c:pt idx="7">
                  <c:v>Privātā sektora konsolidētais parāds</c:v>
                </c:pt>
                <c:pt idx="8">
                  <c:v>Vispārējās valdības parāds</c:v>
                </c:pt>
                <c:pt idx="9">
                  <c:v>Bezdarba līmenis</c:v>
                </c:pt>
                <c:pt idx="10">
                  <c:v>Finanšu sektora saistības</c:v>
                </c:pt>
                <c:pt idx="11">
                  <c:v>Aktivitātes līmenis</c:v>
                </c:pt>
                <c:pt idx="12">
                  <c:v>Ilgtermiņa bezdarba līmenis</c:v>
                </c:pt>
                <c:pt idx="13">
                  <c:v>Jauniešu bezdarba līmenis</c:v>
                </c:pt>
              </c:strCache>
            </c:strRef>
          </c:cat>
          <c:val>
            <c:numRef>
              <c:f>'[Chart in Microsoft Word]1.5 tabula'!$F$3:$F$17</c:f>
              <c:numCache>
                <c:formatCode>General</c:formatCode>
                <c:ptCount val="15"/>
                <c:pt idx="0">
                  <c:v>5</c:v>
                </c:pt>
                <c:pt idx="1">
                  <c:v>15</c:v>
                </c:pt>
                <c:pt idx="2">
                  <c:v>3</c:v>
                </c:pt>
                <c:pt idx="3">
                  <c:v>3</c:v>
                </c:pt>
                <c:pt idx="4">
                  <c:v>3</c:v>
                </c:pt>
                <c:pt idx="5">
                  <c:v>9</c:v>
                </c:pt>
                <c:pt idx="6">
                  <c:v>1</c:v>
                </c:pt>
                <c:pt idx="7">
                  <c:v>12</c:v>
                </c:pt>
                <c:pt idx="8">
                  <c:v>16</c:v>
                </c:pt>
                <c:pt idx="9">
                  <c:v>10</c:v>
                </c:pt>
                <c:pt idx="10">
                  <c:v>2</c:v>
                </c:pt>
                <c:pt idx="11">
                  <c:v>1</c:v>
                </c:pt>
                <c:pt idx="12">
                  <c:v>2</c:v>
                </c:pt>
                <c:pt idx="13">
                  <c:v>1</c:v>
                </c:pt>
              </c:numCache>
            </c:numRef>
          </c:val>
          <c:extLst>
            <c:ext xmlns:c16="http://schemas.microsoft.com/office/drawing/2014/chart" uri="{C3380CC4-5D6E-409C-BE32-E72D297353CC}">
              <c16:uniqueId val="{00000003-1CF2-4302-9CAD-87906B79210C}"/>
            </c:ext>
          </c:extLst>
        </c:ser>
        <c:ser>
          <c:idx val="4"/>
          <c:order val="4"/>
          <c:tx>
            <c:strRef>
              <c:f>'[Chart in Microsoft Word]1.5 tabula'!$G$2</c:f>
              <c:strCache>
                <c:ptCount val="1"/>
                <c:pt idx="0">
                  <c:v>2017</c:v>
                </c:pt>
              </c:strCache>
            </c:strRef>
          </c:tx>
          <c:spPr>
            <a:solidFill>
              <a:schemeClr val="accent5"/>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4-1CF2-4302-9CAD-87906B79210C}"/>
                </c:ext>
              </c:extLst>
            </c:dLbl>
            <c:dLbl>
              <c:idx val="1"/>
              <c:delete val="1"/>
              <c:extLst>
                <c:ext xmlns:c15="http://schemas.microsoft.com/office/drawing/2012/chart" uri="{CE6537A1-D6FC-4f65-9D91-7224C49458BB}"/>
                <c:ext xmlns:c16="http://schemas.microsoft.com/office/drawing/2014/chart" uri="{C3380CC4-5D6E-409C-BE32-E72D297353CC}">
                  <c16:uniqueId val="{00000005-1CF2-4302-9CAD-87906B79210C}"/>
                </c:ext>
              </c:extLst>
            </c:dLbl>
            <c:dLbl>
              <c:idx val="2"/>
              <c:delete val="1"/>
              <c:extLst>
                <c:ext xmlns:c15="http://schemas.microsoft.com/office/drawing/2012/chart" uri="{CE6537A1-D6FC-4f65-9D91-7224C49458BB}"/>
                <c:ext xmlns:c16="http://schemas.microsoft.com/office/drawing/2014/chart" uri="{C3380CC4-5D6E-409C-BE32-E72D297353CC}">
                  <c16:uniqueId val="{00000006-1CF2-4302-9CAD-87906B79210C}"/>
                </c:ext>
              </c:extLst>
            </c:dLbl>
            <c:dLbl>
              <c:idx val="3"/>
              <c:delete val="1"/>
              <c:extLst>
                <c:ext xmlns:c15="http://schemas.microsoft.com/office/drawing/2012/chart" uri="{CE6537A1-D6FC-4f65-9D91-7224C49458BB}"/>
                <c:ext xmlns:c16="http://schemas.microsoft.com/office/drawing/2014/chart" uri="{C3380CC4-5D6E-409C-BE32-E72D297353CC}">
                  <c16:uniqueId val="{00000007-1CF2-4302-9CAD-87906B79210C}"/>
                </c:ext>
              </c:extLst>
            </c:dLbl>
            <c:dLbl>
              <c:idx val="4"/>
              <c:delete val="1"/>
              <c:extLst>
                <c:ext xmlns:c15="http://schemas.microsoft.com/office/drawing/2012/chart" uri="{CE6537A1-D6FC-4f65-9D91-7224C49458BB}"/>
                <c:ext xmlns:c16="http://schemas.microsoft.com/office/drawing/2014/chart" uri="{C3380CC4-5D6E-409C-BE32-E72D297353CC}">
                  <c16:uniqueId val="{00000008-1CF2-4302-9CAD-87906B79210C}"/>
                </c:ext>
              </c:extLst>
            </c:dLbl>
            <c:dLbl>
              <c:idx val="5"/>
              <c:delete val="1"/>
              <c:extLst>
                <c:ext xmlns:c15="http://schemas.microsoft.com/office/drawing/2012/chart" uri="{CE6537A1-D6FC-4f65-9D91-7224C49458BB}"/>
                <c:ext xmlns:c16="http://schemas.microsoft.com/office/drawing/2014/chart" uri="{C3380CC4-5D6E-409C-BE32-E72D297353CC}">
                  <c16:uniqueId val="{00000009-1CF2-4302-9CAD-87906B79210C}"/>
                </c:ext>
              </c:extLst>
            </c:dLbl>
            <c:dLbl>
              <c:idx val="7"/>
              <c:delete val="1"/>
              <c:extLst>
                <c:ext xmlns:c15="http://schemas.microsoft.com/office/drawing/2012/chart" uri="{CE6537A1-D6FC-4f65-9D91-7224C49458BB}"/>
                <c:ext xmlns:c16="http://schemas.microsoft.com/office/drawing/2014/chart" uri="{C3380CC4-5D6E-409C-BE32-E72D297353CC}">
                  <c16:uniqueId val="{0000000A-1CF2-4302-9CAD-87906B79210C}"/>
                </c:ext>
              </c:extLst>
            </c:dLbl>
            <c:dLbl>
              <c:idx val="8"/>
              <c:delete val="1"/>
              <c:extLst>
                <c:ext xmlns:c15="http://schemas.microsoft.com/office/drawing/2012/chart" uri="{CE6537A1-D6FC-4f65-9D91-7224C49458BB}"/>
                <c:ext xmlns:c16="http://schemas.microsoft.com/office/drawing/2014/chart" uri="{C3380CC4-5D6E-409C-BE32-E72D297353CC}">
                  <c16:uniqueId val="{0000000B-1CF2-4302-9CAD-87906B79210C}"/>
                </c:ext>
              </c:extLst>
            </c:dLbl>
            <c:dLbl>
              <c:idx val="9"/>
              <c:delete val="1"/>
              <c:extLst>
                <c:ext xmlns:c15="http://schemas.microsoft.com/office/drawing/2012/chart" uri="{CE6537A1-D6FC-4f65-9D91-7224C49458BB}"/>
                <c:ext xmlns:c16="http://schemas.microsoft.com/office/drawing/2014/chart" uri="{C3380CC4-5D6E-409C-BE32-E72D297353CC}">
                  <c16:uniqueId val="{0000000C-1CF2-4302-9CAD-87906B79210C}"/>
                </c:ext>
              </c:extLst>
            </c:dLbl>
            <c:dLbl>
              <c:idx val="10"/>
              <c:delete val="1"/>
              <c:extLst>
                <c:ext xmlns:c15="http://schemas.microsoft.com/office/drawing/2012/chart" uri="{CE6537A1-D6FC-4f65-9D91-7224C49458BB}"/>
                <c:ext xmlns:c16="http://schemas.microsoft.com/office/drawing/2014/chart" uri="{C3380CC4-5D6E-409C-BE32-E72D297353CC}">
                  <c16:uniqueId val="{0000000D-1CF2-4302-9CAD-87906B79210C}"/>
                </c:ext>
              </c:extLst>
            </c:dLbl>
            <c:dLbl>
              <c:idx val="11"/>
              <c:delete val="1"/>
              <c:extLst>
                <c:ext xmlns:c15="http://schemas.microsoft.com/office/drawing/2012/chart" uri="{CE6537A1-D6FC-4f65-9D91-7224C49458BB}"/>
                <c:ext xmlns:c16="http://schemas.microsoft.com/office/drawing/2014/chart" uri="{C3380CC4-5D6E-409C-BE32-E72D297353CC}">
                  <c16:uniqueId val="{0000000E-1CF2-4302-9CAD-87906B79210C}"/>
                </c:ext>
              </c:extLst>
            </c:dLbl>
            <c:dLbl>
              <c:idx val="12"/>
              <c:delete val="1"/>
              <c:extLst>
                <c:ext xmlns:c15="http://schemas.microsoft.com/office/drawing/2012/chart" uri="{CE6537A1-D6FC-4f65-9D91-7224C49458BB}"/>
                <c:ext xmlns:c16="http://schemas.microsoft.com/office/drawing/2014/chart" uri="{C3380CC4-5D6E-409C-BE32-E72D297353CC}">
                  <c16:uniqueId val="{0000000F-1CF2-4302-9CAD-87906B79210C}"/>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'[Chart in Microsoft Word]1.5 tabula'!$B$3:$B$17</c:f>
              <c:strCache>
                <c:ptCount val="14"/>
                <c:pt idx="0">
                  <c:v>Tekošā konta bilance </c:v>
                </c:pt>
                <c:pt idx="1">
                  <c:v>Neto starptautisko investīciju pozīcija </c:v>
                </c:pt>
                <c:pt idx="2">
                  <c:v>Reālais efektīvais valūtas kurss </c:v>
                </c:pt>
                <c:pt idx="3">
                  <c:v>Eksporta tirgus daļa</c:v>
                </c:pt>
                <c:pt idx="4">
                  <c:v>Nominālās darbaspēka vienības izmaksu indekss </c:v>
                </c:pt>
                <c:pt idx="5">
                  <c:v>Mājokļu cenu indekss</c:v>
                </c:pt>
                <c:pt idx="6">
                  <c:v>Privātā sektora kredītplūsma</c:v>
                </c:pt>
                <c:pt idx="7">
                  <c:v>Privātā sektora konsolidētais parāds</c:v>
                </c:pt>
                <c:pt idx="8">
                  <c:v>Vispārējās valdības parāds</c:v>
                </c:pt>
                <c:pt idx="9">
                  <c:v>Bezdarba līmenis</c:v>
                </c:pt>
                <c:pt idx="10">
                  <c:v>Finanšu sektora saistības</c:v>
                </c:pt>
                <c:pt idx="11">
                  <c:v>Aktivitātes līmenis</c:v>
                </c:pt>
                <c:pt idx="12">
                  <c:v>Ilgtermiņa bezdarba līmenis</c:v>
                </c:pt>
                <c:pt idx="13">
                  <c:v>Jauniešu bezdarba līmenis</c:v>
                </c:pt>
              </c:strCache>
            </c:strRef>
          </c:cat>
          <c:val>
            <c:numRef>
              <c:f>'[Chart in Microsoft Word]1.5 tabula'!$G$3:$G$17</c:f>
              <c:numCache>
                <c:formatCode>General</c:formatCode>
                <c:ptCount val="15"/>
                <c:pt idx="0">
                  <c:v>6</c:v>
                </c:pt>
                <c:pt idx="1">
                  <c:v>13</c:v>
                </c:pt>
                <c:pt idx="2">
                  <c:v>2</c:v>
                </c:pt>
                <c:pt idx="3">
                  <c:v>1</c:v>
                </c:pt>
                <c:pt idx="4">
                  <c:v>4</c:v>
                </c:pt>
                <c:pt idx="5">
                  <c:v>6</c:v>
                </c:pt>
                <c:pt idx="6">
                  <c:v>0</c:v>
                </c:pt>
                <c:pt idx="7">
                  <c:v>12</c:v>
                </c:pt>
                <c:pt idx="8">
                  <c:v>15</c:v>
                </c:pt>
                <c:pt idx="9">
                  <c:v>7</c:v>
                </c:pt>
                <c:pt idx="10">
                  <c:v>2</c:v>
                </c:pt>
                <c:pt idx="11">
                  <c:v>3</c:v>
                </c:pt>
                <c:pt idx="12">
                  <c:v>1</c:v>
                </c:pt>
                <c:pt idx="13">
                  <c:v>0</c:v>
                </c:pt>
              </c:numCache>
            </c:numRef>
          </c:val>
          <c:extLst>
            <c:ext xmlns:c16="http://schemas.microsoft.com/office/drawing/2014/chart" uri="{C3380CC4-5D6E-409C-BE32-E72D297353CC}">
              <c16:uniqueId val="{00000010-1CF2-4302-9CAD-87906B79210C}"/>
            </c:ext>
          </c:extLst>
        </c:ser>
        <c:dLbls>
          <c:showLegendKey val="0"/>
          <c:showVal val="0"/>
          <c:showCatName val="0"/>
          <c:showSerName val="0"/>
          <c:showPercent val="0"/>
          <c:showBubbleSize val="0"/>
        </c:dLbls>
        <c:gapWidth val="219"/>
        <c:axId val="1437999728"/>
        <c:axId val="1437996400"/>
      </c:barChart>
      <c:catAx>
        <c:axId val="1437999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000" b="0" i="0" u="none" strike="noStrike" kern="1200" baseline="0">
                <a:solidFill>
                  <a:schemeClr val="tx1">
                    <a:lumMod val="85000"/>
                    <a:lumOff val="15000"/>
                  </a:schemeClr>
                </a:solidFill>
                <a:latin typeface="Times New Roman" panose="02020603050405020304" pitchFamily="18" charset="0"/>
                <a:ea typeface="+mn-ea"/>
                <a:cs typeface="Times New Roman" panose="02020603050405020304" pitchFamily="18" charset="0"/>
              </a:defRPr>
            </a:pPr>
            <a:endParaRPr lang="lv-LV"/>
          </a:p>
        </c:txPr>
        <c:crossAx val="1437996400"/>
        <c:crosses val="autoZero"/>
        <c:auto val="1"/>
        <c:lblAlgn val="ctr"/>
        <c:lblOffset val="100"/>
        <c:noMultiLvlLbl val="0"/>
      </c:catAx>
      <c:valAx>
        <c:axId val="1437996400"/>
        <c:scaling>
          <c:orientation val="minMax"/>
        </c:scaling>
        <c:delete val="0"/>
        <c:axPos val="l"/>
        <c:majorGridlines>
          <c:spPr>
            <a:ln w="9525" cap="flat" cmpd="sng" algn="ctr">
              <a:noFill/>
              <a:round/>
            </a:ln>
            <a:effectLst/>
          </c:spPr>
        </c:majorGridlines>
        <c:minorGridlines>
          <c:spPr>
            <a:ln w="9525" cap="flat" cmpd="sng" algn="ctr">
              <a:noFill/>
              <a:round/>
            </a:ln>
            <a:effectLst/>
          </c:spPr>
        </c:minorGridlines>
        <c:numFmt formatCode="General" sourceLinked="1"/>
        <c:majorTickMark val="none"/>
        <c:minorTickMark val="none"/>
        <c:tickLblPos val="nextTo"/>
        <c:spPr>
          <a:solidFill>
            <a:sysClr val="window" lastClr="FFFFFF"/>
          </a:solidFill>
          <a:ln>
            <a:noFill/>
          </a:ln>
          <a:effectLst/>
        </c:spPr>
        <c:txPr>
          <a:bodyPr rot="-60000000" spcFirstLastPara="1" vertOverflow="ellipsis" vert="horz" wrap="square" anchor="ctr" anchorCtr="1"/>
          <a:lstStyle/>
          <a:p>
            <a:pPr>
              <a:defRPr sz="1050" b="0" i="0" u="none" strike="noStrike" kern="1200" baseline="0">
                <a:solidFill>
                  <a:schemeClr val="tx1">
                    <a:lumMod val="85000"/>
                    <a:lumOff val="15000"/>
                  </a:schemeClr>
                </a:solidFill>
                <a:latin typeface="Times New Roman" panose="02020603050405020304" pitchFamily="18" charset="0"/>
                <a:ea typeface="+mn-ea"/>
                <a:cs typeface="Times New Roman" panose="02020603050405020304" pitchFamily="18" charset="0"/>
              </a:defRPr>
            </a:pPr>
            <a:endParaRPr lang="lv-LV"/>
          </a:p>
        </c:txPr>
        <c:crossAx val="1437999728"/>
        <c:crosses val="autoZero"/>
        <c:crossBetween val="between"/>
        <c:majorUnit val="4"/>
      </c:valAx>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chemeClr val="tx1">
                    <a:lumMod val="85000"/>
                    <a:lumOff val="15000"/>
                  </a:schemeClr>
                </a:solidFill>
                <a:latin typeface="Times New Roman" panose="02020603050405020304" pitchFamily="18" charset="0"/>
                <a:ea typeface="+mn-ea"/>
                <a:cs typeface="Times New Roman" panose="02020603050405020304" pitchFamily="18" charset="0"/>
              </a:defRPr>
            </a:pPr>
            <a:endParaRPr lang="lv-LV"/>
          </a:p>
        </c:txPr>
      </c:legendEntry>
      <c:legendEntry>
        <c:idx val="1"/>
        <c:txPr>
          <a:bodyPr rot="0" spcFirstLastPara="1" vertOverflow="ellipsis" vert="horz" wrap="square" anchor="ctr" anchorCtr="1"/>
          <a:lstStyle/>
          <a:p>
            <a:pPr>
              <a:defRPr sz="1000" b="0" i="0" u="none" strike="noStrike" kern="1200" baseline="0">
                <a:solidFill>
                  <a:schemeClr val="tx1">
                    <a:lumMod val="85000"/>
                    <a:lumOff val="15000"/>
                  </a:schemeClr>
                </a:solidFill>
                <a:latin typeface="Times New Roman" panose="02020603050405020304" pitchFamily="18" charset="0"/>
                <a:ea typeface="+mn-ea"/>
                <a:cs typeface="Times New Roman" panose="02020603050405020304" pitchFamily="18" charset="0"/>
              </a:defRPr>
            </a:pPr>
            <a:endParaRPr lang="lv-LV"/>
          </a:p>
        </c:txPr>
      </c:legendEntry>
      <c:layout>
        <c:manualLayout>
          <c:xMode val="edge"/>
          <c:yMode val="edge"/>
          <c:x val="0.59665270428572115"/>
          <c:y val="0.91434497619227939"/>
          <c:w val="0.38107119855400662"/>
          <c:h val="6.2773948214837602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85000"/>
                  <a:lumOff val="1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noFill/>
      <a:round/>
    </a:ln>
    <a:effectLst/>
  </c:spPr>
  <c:txPr>
    <a:bodyPr/>
    <a:lstStyle/>
    <a:p>
      <a:pPr>
        <a:defRPr sz="1000"/>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1685683877560524E-2"/>
          <c:y val="3.7037037037037035E-2"/>
          <c:w val="0.91251082306149522"/>
          <c:h val="0.73043936080711525"/>
        </c:manualLayout>
      </c:layout>
      <c:barChart>
        <c:barDir val="col"/>
        <c:grouping val="stacked"/>
        <c:varyColors val="0"/>
        <c:ser>
          <c:idx val="0"/>
          <c:order val="0"/>
          <c:tx>
            <c:strRef>
              <c:f>Grafiki!$A$27</c:f>
              <c:strCache>
                <c:ptCount val="1"/>
                <c:pt idx="0">
                  <c:v>Dzīvojamās ēkas</c:v>
                </c:pt>
              </c:strCache>
            </c:strRef>
          </c:tx>
          <c:spPr>
            <a:solidFill>
              <a:srgbClr val="0070C0"/>
            </a:solidFill>
            <a:ln>
              <a:solidFill>
                <a:srgbClr val="0070C0"/>
              </a:solidFill>
            </a:ln>
            <a:effectLst/>
          </c:spPr>
          <c:invertIfNegative val="0"/>
          <c:cat>
            <c:multiLvlStrRef>
              <c:f>Grafiki!$N$3:$AS$4</c:f>
              <c:multiLvlStrCache>
                <c:ptCount val="32"/>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pt idx="20">
                    <c:v>I</c:v>
                  </c:pt>
                  <c:pt idx="21">
                    <c:v>II</c:v>
                  </c:pt>
                  <c:pt idx="22">
                    <c:v>III</c:v>
                  </c:pt>
                  <c:pt idx="23">
                    <c:v>IV</c:v>
                  </c:pt>
                  <c:pt idx="24">
                    <c:v>I</c:v>
                  </c:pt>
                  <c:pt idx="25">
                    <c:v>II</c:v>
                  </c:pt>
                  <c:pt idx="26">
                    <c:v>III</c:v>
                  </c:pt>
                  <c:pt idx="27">
                    <c:v>IV</c:v>
                  </c:pt>
                  <c:pt idx="28">
                    <c:v>I</c:v>
                  </c:pt>
                  <c:pt idx="29">
                    <c:v>II</c:v>
                  </c:pt>
                  <c:pt idx="30">
                    <c:v>III</c:v>
                  </c:pt>
                  <c:pt idx="31">
                    <c:v>IV</c:v>
                  </c:pt>
                </c:lvl>
                <c:lvl>
                  <c:pt idx="0">
                    <c:v>2011</c:v>
                  </c:pt>
                  <c:pt idx="4">
                    <c:v>2012</c:v>
                  </c:pt>
                  <c:pt idx="8">
                    <c:v>2013</c:v>
                  </c:pt>
                  <c:pt idx="12">
                    <c:v>2014</c:v>
                  </c:pt>
                  <c:pt idx="16">
                    <c:v>2015</c:v>
                  </c:pt>
                  <c:pt idx="20">
                    <c:v>2016</c:v>
                  </c:pt>
                  <c:pt idx="24">
                    <c:v>2017</c:v>
                  </c:pt>
                  <c:pt idx="28">
                    <c:v>2018</c:v>
                  </c:pt>
                </c:lvl>
              </c:multiLvlStrCache>
            </c:multiLvlStrRef>
          </c:cat>
          <c:val>
            <c:numRef>
              <c:f>Grafiki!$N$22:$AS$22</c:f>
              <c:numCache>
                <c:formatCode>0.0</c:formatCode>
                <c:ptCount val="32"/>
                <c:pt idx="0">
                  <c:v>13.7653</c:v>
                </c:pt>
                <c:pt idx="1">
                  <c:v>16.0627</c:v>
                </c:pt>
                <c:pt idx="2">
                  <c:v>29.202599999999997</c:v>
                </c:pt>
                <c:pt idx="3">
                  <c:v>30.805199999999999</c:v>
                </c:pt>
                <c:pt idx="4">
                  <c:v>11.7592</c:v>
                </c:pt>
                <c:pt idx="5">
                  <c:v>24.562999999999999</c:v>
                </c:pt>
                <c:pt idx="6">
                  <c:v>32.1858</c:v>
                </c:pt>
                <c:pt idx="7">
                  <c:v>43.126800000000003</c:v>
                </c:pt>
                <c:pt idx="8">
                  <c:v>28.809699999999999</c:v>
                </c:pt>
                <c:pt idx="9">
                  <c:v>35.7667</c:v>
                </c:pt>
                <c:pt idx="10">
                  <c:v>59.4557</c:v>
                </c:pt>
                <c:pt idx="11">
                  <c:v>59.265300000000003</c:v>
                </c:pt>
                <c:pt idx="12">
                  <c:v>42.018999999999998</c:v>
                </c:pt>
                <c:pt idx="13">
                  <c:v>60.083300000000001</c:v>
                </c:pt>
                <c:pt idx="14">
                  <c:v>74.11</c:v>
                </c:pt>
                <c:pt idx="15">
                  <c:v>65.011300000000006</c:v>
                </c:pt>
                <c:pt idx="16">
                  <c:v>45.886099999999999</c:v>
                </c:pt>
                <c:pt idx="17">
                  <c:v>50.480199999999996</c:v>
                </c:pt>
                <c:pt idx="18">
                  <c:v>76.656800000000004</c:v>
                </c:pt>
                <c:pt idx="19">
                  <c:v>50.270600000000002</c:v>
                </c:pt>
                <c:pt idx="20">
                  <c:v>35.315300000000001</c:v>
                </c:pt>
                <c:pt idx="21">
                  <c:v>57.115099999999998</c:v>
                </c:pt>
                <c:pt idx="22">
                  <c:v>71.757300000000001</c:v>
                </c:pt>
                <c:pt idx="23">
                  <c:v>70.388100000000009</c:v>
                </c:pt>
                <c:pt idx="24">
                  <c:v>42.475000000000001</c:v>
                </c:pt>
                <c:pt idx="25">
                  <c:v>49.816400000000002</c:v>
                </c:pt>
                <c:pt idx="26">
                  <c:v>60.267000000000003</c:v>
                </c:pt>
                <c:pt idx="27">
                  <c:v>63.485300000000002</c:v>
                </c:pt>
                <c:pt idx="28">
                  <c:v>54.706600000000002</c:v>
                </c:pt>
                <c:pt idx="29">
                  <c:v>78.378100000000003</c:v>
                </c:pt>
                <c:pt idx="30">
                  <c:v>82.161299999999997</c:v>
                </c:pt>
                <c:pt idx="31">
                  <c:v>84.417199999999994</c:v>
                </c:pt>
              </c:numCache>
            </c:numRef>
          </c:val>
          <c:extLst>
            <c:ext xmlns:c16="http://schemas.microsoft.com/office/drawing/2014/chart" uri="{C3380CC4-5D6E-409C-BE32-E72D297353CC}">
              <c16:uniqueId val="{00000000-03BE-43E9-9FCD-9FF974DBAAD0}"/>
            </c:ext>
          </c:extLst>
        </c:ser>
        <c:ser>
          <c:idx val="1"/>
          <c:order val="1"/>
          <c:tx>
            <c:strRef>
              <c:f>Grafiki!$A$28</c:f>
              <c:strCache>
                <c:ptCount val="1"/>
                <c:pt idx="0">
                  <c:v>Nedzīvojamās ēkas</c:v>
                </c:pt>
              </c:strCache>
            </c:strRef>
          </c:tx>
          <c:spPr>
            <a:pattFill prst="dkUpDiag">
              <a:fgClr>
                <a:srgbClr val="00B050"/>
              </a:fgClr>
              <a:bgClr>
                <a:schemeClr val="bg1"/>
              </a:bgClr>
            </a:pattFill>
            <a:ln>
              <a:solidFill>
                <a:srgbClr val="00B050"/>
              </a:solidFill>
            </a:ln>
            <a:effectLst/>
          </c:spPr>
          <c:invertIfNegative val="0"/>
          <c:cat>
            <c:multiLvlStrRef>
              <c:f>Grafiki!$N$3:$AS$4</c:f>
              <c:multiLvlStrCache>
                <c:ptCount val="32"/>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pt idx="20">
                    <c:v>I</c:v>
                  </c:pt>
                  <c:pt idx="21">
                    <c:v>II</c:v>
                  </c:pt>
                  <c:pt idx="22">
                    <c:v>III</c:v>
                  </c:pt>
                  <c:pt idx="23">
                    <c:v>IV</c:v>
                  </c:pt>
                  <c:pt idx="24">
                    <c:v>I</c:v>
                  </c:pt>
                  <c:pt idx="25">
                    <c:v>II</c:v>
                  </c:pt>
                  <c:pt idx="26">
                    <c:v>III</c:v>
                  </c:pt>
                  <c:pt idx="27">
                    <c:v>IV</c:v>
                  </c:pt>
                  <c:pt idx="28">
                    <c:v>I</c:v>
                  </c:pt>
                  <c:pt idx="29">
                    <c:v>II</c:v>
                  </c:pt>
                  <c:pt idx="30">
                    <c:v>III</c:v>
                  </c:pt>
                  <c:pt idx="31">
                    <c:v>IV</c:v>
                  </c:pt>
                </c:lvl>
                <c:lvl>
                  <c:pt idx="0">
                    <c:v>2011</c:v>
                  </c:pt>
                  <c:pt idx="4">
                    <c:v>2012</c:v>
                  </c:pt>
                  <c:pt idx="8">
                    <c:v>2013</c:v>
                  </c:pt>
                  <c:pt idx="12">
                    <c:v>2014</c:v>
                  </c:pt>
                  <c:pt idx="16">
                    <c:v>2015</c:v>
                  </c:pt>
                  <c:pt idx="20">
                    <c:v>2016</c:v>
                  </c:pt>
                  <c:pt idx="24">
                    <c:v>2017</c:v>
                  </c:pt>
                  <c:pt idx="28">
                    <c:v>2018</c:v>
                  </c:pt>
                </c:lvl>
              </c:multiLvlStrCache>
            </c:multiLvlStrRef>
          </c:cat>
          <c:val>
            <c:numRef>
              <c:f>Grafiki!$N$23:$AS$23</c:f>
              <c:numCache>
                <c:formatCode>0.0</c:formatCode>
                <c:ptCount val="32"/>
                <c:pt idx="0">
                  <c:v>53.310300000000005</c:v>
                </c:pt>
                <c:pt idx="1">
                  <c:v>92.375799999999998</c:v>
                </c:pt>
                <c:pt idx="2">
                  <c:v>137.41629999999998</c:v>
                </c:pt>
                <c:pt idx="3">
                  <c:v>142.7159</c:v>
                </c:pt>
                <c:pt idx="4">
                  <c:v>81.775700000000001</c:v>
                </c:pt>
                <c:pt idx="5">
                  <c:v>116.6756</c:v>
                </c:pt>
                <c:pt idx="6">
                  <c:v>160.58229999999998</c:v>
                </c:pt>
                <c:pt idx="7">
                  <c:v>159.29910000000001</c:v>
                </c:pt>
                <c:pt idx="8">
                  <c:v>85.805000000000007</c:v>
                </c:pt>
                <c:pt idx="9">
                  <c:v>113.83839999999999</c:v>
                </c:pt>
                <c:pt idx="10">
                  <c:v>141.29429999999999</c:v>
                </c:pt>
                <c:pt idx="11">
                  <c:v>151.55199999999999</c:v>
                </c:pt>
                <c:pt idx="12">
                  <c:v>111.98110000000001</c:v>
                </c:pt>
                <c:pt idx="13">
                  <c:v>165.80079999999998</c:v>
                </c:pt>
                <c:pt idx="14">
                  <c:v>195.26689999999999</c:v>
                </c:pt>
                <c:pt idx="15">
                  <c:v>192.30110000000002</c:v>
                </c:pt>
                <c:pt idx="16">
                  <c:v>112.99539999999999</c:v>
                </c:pt>
                <c:pt idx="17">
                  <c:v>152.18950000000001</c:v>
                </c:pt>
                <c:pt idx="18">
                  <c:v>181.10389999999998</c:v>
                </c:pt>
                <c:pt idx="19">
                  <c:v>187.86510000000001</c:v>
                </c:pt>
                <c:pt idx="20">
                  <c:v>112.8309</c:v>
                </c:pt>
                <c:pt idx="21">
                  <c:v>137.3587</c:v>
                </c:pt>
                <c:pt idx="22">
                  <c:v>175.75379999999998</c:v>
                </c:pt>
                <c:pt idx="23">
                  <c:v>184.99779999999998</c:v>
                </c:pt>
                <c:pt idx="24">
                  <c:v>122.1015</c:v>
                </c:pt>
                <c:pt idx="25">
                  <c:v>164.4855</c:v>
                </c:pt>
                <c:pt idx="26">
                  <c:v>225.95579999999998</c:v>
                </c:pt>
                <c:pt idx="27">
                  <c:v>241.87320000000003</c:v>
                </c:pt>
                <c:pt idx="28">
                  <c:v>157.17349999999999</c:v>
                </c:pt>
                <c:pt idx="29">
                  <c:v>224.8399</c:v>
                </c:pt>
                <c:pt idx="30">
                  <c:v>253.32070000000002</c:v>
                </c:pt>
                <c:pt idx="31">
                  <c:v>283.22859999999997</c:v>
                </c:pt>
              </c:numCache>
            </c:numRef>
          </c:val>
          <c:extLst>
            <c:ext xmlns:c16="http://schemas.microsoft.com/office/drawing/2014/chart" uri="{C3380CC4-5D6E-409C-BE32-E72D297353CC}">
              <c16:uniqueId val="{00000001-03BE-43E9-9FCD-9FF974DBAAD0}"/>
            </c:ext>
          </c:extLst>
        </c:ser>
        <c:ser>
          <c:idx val="2"/>
          <c:order val="2"/>
          <c:tx>
            <c:strRef>
              <c:f>Grafiki!$A$29</c:f>
              <c:strCache>
                <c:ptCount val="1"/>
                <c:pt idx="0">
                  <c:v>Inženierbūves</c:v>
                </c:pt>
              </c:strCache>
            </c:strRef>
          </c:tx>
          <c:spPr>
            <a:solidFill>
              <a:schemeClr val="tx1">
                <a:lumMod val="65000"/>
                <a:lumOff val="35000"/>
              </a:schemeClr>
            </a:solidFill>
            <a:ln>
              <a:solidFill>
                <a:schemeClr val="tx1">
                  <a:lumMod val="65000"/>
                  <a:lumOff val="35000"/>
                </a:schemeClr>
              </a:solidFill>
            </a:ln>
            <a:effectLst/>
          </c:spPr>
          <c:invertIfNegative val="0"/>
          <c:cat>
            <c:multiLvlStrRef>
              <c:f>Grafiki!$N$3:$AS$4</c:f>
              <c:multiLvlStrCache>
                <c:ptCount val="32"/>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pt idx="19">
                    <c:v>IV</c:v>
                  </c:pt>
                  <c:pt idx="20">
                    <c:v>I</c:v>
                  </c:pt>
                  <c:pt idx="21">
                    <c:v>II</c:v>
                  </c:pt>
                  <c:pt idx="22">
                    <c:v>III</c:v>
                  </c:pt>
                  <c:pt idx="23">
                    <c:v>IV</c:v>
                  </c:pt>
                  <c:pt idx="24">
                    <c:v>I</c:v>
                  </c:pt>
                  <c:pt idx="25">
                    <c:v>II</c:v>
                  </c:pt>
                  <c:pt idx="26">
                    <c:v>III</c:v>
                  </c:pt>
                  <c:pt idx="27">
                    <c:v>IV</c:v>
                  </c:pt>
                  <c:pt idx="28">
                    <c:v>I</c:v>
                  </c:pt>
                  <c:pt idx="29">
                    <c:v>II</c:v>
                  </c:pt>
                  <c:pt idx="30">
                    <c:v>III</c:v>
                  </c:pt>
                  <c:pt idx="31">
                    <c:v>IV</c:v>
                  </c:pt>
                </c:lvl>
                <c:lvl>
                  <c:pt idx="0">
                    <c:v>2011</c:v>
                  </c:pt>
                  <c:pt idx="4">
                    <c:v>2012</c:v>
                  </c:pt>
                  <c:pt idx="8">
                    <c:v>2013</c:v>
                  </c:pt>
                  <c:pt idx="12">
                    <c:v>2014</c:v>
                  </c:pt>
                  <c:pt idx="16">
                    <c:v>2015</c:v>
                  </c:pt>
                  <c:pt idx="20">
                    <c:v>2016</c:v>
                  </c:pt>
                  <c:pt idx="24">
                    <c:v>2017</c:v>
                  </c:pt>
                  <c:pt idx="28">
                    <c:v>2018</c:v>
                  </c:pt>
                </c:lvl>
              </c:multiLvlStrCache>
            </c:multiLvlStrRef>
          </c:cat>
          <c:val>
            <c:numRef>
              <c:f>Grafiki!$N$24:$AS$24</c:f>
              <c:numCache>
                <c:formatCode>0.0</c:formatCode>
                <c:ptCount val="32"/>
                <c:pt idx="0">
                  <c:v>59.234400000000001</c:v>
                </c:pt>
                <c:pt idx="1">
                  <c:v>136.61860000000001</c:v>
                </c:pt>
                <c:pt idx="2">
                  <c:v>253.94379999999998</c:v>
                </c:pt>
                <c:pt idx="3">
                  <c:v>245.73760000000001</c:v>
                </c:pt>
                <c:pt idx="4">
                  <c:v>78.902600000000007</c:v>
                </c:pt>
                <c:pt idx="5">
                  <c:v>189.2594</c:v>
                </c:pt>
                <c:pt idx="6">
                  <c:v>303.1814</c:v>
                </c:pt>
                <c:pt idx="7">
                  <c:v>284.88479999999998</c:v>
                </c:pt>
                <c:pt idx="8">
                  <c:v>85.14739999999999</c:v>
                </c:pt>
                <c:pt idx="9">
                  <c:v>210.74700000000001</c:v>
                </c:pt>
                <c:pt idx="10">
                  <c:v>357.70350000000002</c:v>
                </c:pt>
                <c:pt idx="11">
                  <c:v>301.69920000000002</c:v>
                </c:pt>
                <c:pt idx="12">
                  <c:v>95.797399999999996</c:v>
                </c:pt>
                <c:pt idx="13">
                  <c:v>192.90539999999999</c:v>
                </c:pt>
                <c:pt idx="14">
                  <c:v>290.04399999999998</c:v>
                </c:pt>
                <c:pt idx="15">
                  <c:v>280.52759999999995</c:v>
                </c:pt>
                <c:pt idx="16">
                  <c:v>93.657600000000002</c:v>
                </c:pt>
                <c:pt idx="17">
                  <c:v>202.42349999999999</c:v>
                </c:pt>
                <c:pt idx="18">
                  <c:v>327.89249999999998</c:v>
                </c:pt>
                <c:pt idx="19">
                  <c:v>262.30500000000001</c:v>
                </c:pt>
                <c:pt idx="20">
                  <c:v>55.341099999999997</c:v>
                </c:pt>
                <c:pt idx="21">
                  <c:v>130.93299999999999</c:v>
                </c:pt>
                <c:pt idx="22">
                  <c:v>208.51229999999998</c:v>
                </c:pt>
                <c:pt idx="23">
                  <c:v>185.649</c:v>
                </c:pt>
                <c:pt idx="24">
                  <c:v>57.393500000000003</c:v>
                </c:pt>
                <c:pt idx="25">
                  <c:v>170.13050000000001</c:v>
                </c:pt>
                <c:pt idx="26">
                  <c:v>294.60840000000002</c:v>
                </c:pt>
                <c:pt idx="27">
                  <c:v>243.3597</c:v>
                </c:pt>
                <c:pt idx="28">
                  <c:v>100.8395</c:v>
                </c:pt>
                <c:pt idx="29">
                  <c:v>226.55870000000002</c:v>
                </c:pt>
                <c:pt idx="30">
                  <c:v>333.47290000000004</c:v>
                </c:pt>
                <c:pt idx="31">
                  <c:v>299.78449999999998</c:v>
                </c:pt>
              </c:numCache>
            </c:numRef>
          </c:val>
          <c:extLst>
            <c:ext xmlns:c16="http://schemas.microsoft.com/office/drawing/2014/chart" uri="{C3380CC4-5D6E-409C-BE32-E72D297353CC}">
              <c16:uniqueId val="{00000002-03BE-43E9-9FCD-9FF974DBAAD0}"/>
            </c:ext>
          </c:extLst>
        </c:ser>
        <c:dLbls>
          <c:showLegendKey val="0"/>
          <c:showVal val="0"/>
          <c:showCatName val="0"/>
          <c:showSerName val="0"/>
          <c:showPercent val="0"/>
          <c:showBubbleSize val="0"/>
        </c:dLbls>
        <c:gapWidth val="150"/>
        <c:overlap val="100"/>
        <c:axId val="343268856"/>
        <c:axId val="345278672"/>
      </c:barChart>
      <c:catAx>
        <c:axId val="343268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lv-LV" sz="900" b="0" i="0" u="none" strike="noStrike" kern="1200" baseline="0">
                <a:solidFill>
                  <a:schemeClr val="tx1"/>
                </a:solidFill>
                <a:latin typeface="Times New Roman" panose="02020603050405020304" pitchFamily="18" charset="0"/>
                <a:ea typeface="Verdana" panose="020B0604030504040204" pitchFamily="34" charset="0"/>
                <a:cs typeface="Times New Roman" panose="02020603050405020304" pitchFamily="18" charset="0"/>
              </a:defRPr>
            </a:pPr>
            <a:endParaRPr lang="lv-LV"/>
          </a:p>
        </c:txPr>
        <c:crossAx val="345278672"/>
        <c:crosses val="autoZero"/>
        <c:auto val="1"/>
        <c:lblAlgn val="ctr"/>
        <c:lblOffset val="100"/>
        <c:noMultiLvlLbl val="0"/>
      </c:catAx>
      <c:valAx>
        <c:axId val="34527867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lang="lv-LV" sz="900" b="0" i="0" u="none" strike="noStrike" kern="1200" baseline="0">
                <a:solidFill>
                  <a:schemeClr val="tx1"/>
                </a:solidFill>
                <a:latin typeface="Times New Roman" panose="02020603050405020304" pitchFamily="18" charset="0"/>
                <a:ea typeface="Verdana" panose="020B0604030504040204" pitchFamily="34" charset="0"/>
                <a:cs typeface="Times New Roman" panose="02020603050405020304" pitchFamily="18" charset="0"/>
              </a:defRPr>
            </a:pPr>
            <a:endParaRPr lang="lv-LV"/>
          </a:p>
        </c:txPr>
        <c:crossAx val="3432688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lv-LV" sz="1000" b="0" i="0" u="none" strike="noStrike" kern="1200" baseline="0">
              <a:solidFill>
                <a:schemeClr val="tx1"/>
              </a:solidFill>
              <a:latin typeface="Times New Roman" panose="02020603050405020304" pitchFamily="18" charset="0"/>
              <a:ea typeface="Verdana" panose="020B0604030504040204" pitchFamily="34" charset="0"/>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noFill/>
      <a:round/>
    </a:ln>
    <a:effectLst/>
  </c:spPr>
  <c:txPr>
    <a:bodyPr/>
    <a:lstStyle/>
    <a:p>
      <a:pPr algn="ctr">
        <a:defRPr lang="lv-LV"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1"/>
          <c:order val="1"/>
          <c:tx>
            <c:strRef>
              <c:f>Mazumtirdzniecība!$L$2</c:f>
              <c:strCache>
                <c:ptCount val="1"/>
                <c:pt idx="0">
                  <c:v>Degviela</c:v>
                </c:pt>
              </c:strCache>
            </c:strRef>
          </c:tx>
          <c:spPr>
            <a:solidFill>
              <a:schemeClr val="tx1">
                <a:lumMod val="50000"/>
                <a:lumOff val="50000"/>
              </a:schemeClr>
            </a:solidFill>
            <a:ln>
              <a:solidFill>
                <a:schemeClr val="tx1">
                  <a:lumMod val="50000"/>
                  <a:lumOff val="50000"/>
                </a:schemeClr>
              </a:solidFill>
            </a:ln>
            <a:effectLst/>
          </c:spPr>
          <c:invertIfNegative val="0"/>
          <c:cat>
            <c:multiLvlStrRef>
              <c:f>Mazumtirdzniecība!$A$123:$B$230</c:f>
              <c:multiLvlStrCache>
                <c:ptCount val="108"/>
                <c:lvl>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pt idx="19">
                    <c:v>VIII</c:v>
                  </c:pt>
                  <c:pt idx="20">
                    <c:v>IX</c:v>
                  </c:pt>
                  <c:pt idx="21">
                    <c:v>X</c:v>
                  </c:pt>
                  <c:pt idx="22">
                    <c:v>XI</c:v>
                  </c:pt>
                  <c:pt idx="23">
                    <c:v>XII</c:v>
                  </c:pt>
                  <c:pt idx="24">
                    <c:v>I</c:v>
                  </c:pt>
                  <c:pt idx="25">
                    <c:v>II</c:v>
                  </c:pt>
                  <c:pt idx="26">
                    <c:v>III</c:v>
                  </c:pt>
                  <c:pt idx="27">
                    <c:v>IV</c:v>
                  </c:pt>
                  <c:pt idx="28">
                    <c:v>V</c:v>
                  </c:pt>
                  <c:pt idx="29">
                    <c:v>VI</c:v>
                  </c:pt>
                  <c:pt idx="30">
                    <c:v>VII</c:v>
                  </c:pt>
                  <c:pt idx="31">
                    <c:v>VIII</c:v>
                  </c:pt>
                  <c:pt idx="32">
                    <c:v>IX</c:v>
                  </c:pt>
                  <c:pt idx="33">
                    <c:v>X</c:v>
                  </c:pt>
                  <c:pt idx="34">
                    <c:v>XI</c:v>
                  </c:pt>
                  <c:pt idx="35">
                    <c:v>XII</c:v>
                  </c:pt>
                  <c:pt idx="36">
                    <c:v>I</c:v>
                  </c:pt>
                  <c:pt idx="37">
                    <c:v>II</c:v>
                  </c:pt>
                  <c:pt idx="38">
                    <c:v>III</c:v>
                  </c:pt>
                  <c:pt idx="39">
                    <c:v>IV</c:v>
                  </c:pt>
                  <c:pt idx="40">
                    <c:v>V</c:v>
                  </c:pt>
                  <c:pt idx="41">
                    <c:v>VI</c:v>
                  </c:pt>
                  <c:pt idx="42">
                    <c:v>VII</c:v>
                  </c:pt>
                  <c:pt idx="43">
                    <c:v>VIII</c:v>
                  </c:pt>
                  <c:pt idx="44">
                    <c:v>IX</c:v>
                  </c:pt>
                  <c:pt idx="45">
                    <c:v>X</c:v>
                  </c:pt>
                  <c:pt idx="46">
                    <c:v>XI</c:v>
                  </c:pt>
                  <c:pt idx="47">
                    <c:v>XII</c:v>
                  </c:pt>
                  <c:pt idx="48">
                    <c:v>I</c:v>
                  </c:pt>
                  <c:pt idx="49">
                    <c:v>II</c:v>
                  </c:pt>
                  <c:pt idx="50">
                    <c:v>III</c:v>
                  </c:pt>
                  <c:pt idx="51">
                    <c:v>IV</c:v>
                  </c:pt>
                  <c:pt idx="52">
                    <c:v>V</c:v>
                  </c:pt>
                  <c:pt idx="53">
                    <c:v>VI</c:v>
                  </c:pt>
                  <c:pt idx="54">
                    <c:v>VII</c:v>
                  </c:pt>
                  <c:pt idx="55">
                    <c:v>VIII</c:v>
                  </c:pt>
                  <c:pt idx="56">
                    <c:v>IX</c:v>
                  </c:pt>
                  <c:pt idx="57">
                    <c:v>X</c:v>
                  </c:pt>
                  <c:pt idx="58">
                    <c:v>XI</c:v>
                  </c:pt>
                  <c:pt idx="59">
                    <c:v>XII</c:v>
                  </c:pt>
                  <c:pt idx="60">
                    <c:v>I</c:v>
                  </c:pt>
                  <c:pt idx="61">
                    <c:v>II</c:v>
                  </c:pt>
                  <c:pt idx="62">
                    <c:v>III</c:v>
                  </c:pt>
                  <c:pt idx="63">
                    <c:v>IV</c:v>
                  </c:pt>
                  <c:pt idx="64">
                    <c:v>V</c:v>
                  </c:pt>
                  <c:pt idx="65">
                    <c:v>VI</c:v>
                  </c:pt>
                  <c:pt idx="66">
                    <c:v>VII</c:v>
                  </c:pt>
                  <c:pt idx="67">
                    <c:v>VIII</c:v>
                  </c:pt>
                  <c:pt idx="68">
                    <c:v>IX</c:v>
                  </c:pt>
                  <c:pt idx="69">
                    <c:v>X</c:v>
                  </c:pt>
                  <c:pt idx="70">
                    <c:v>XI</c:v>
                  </c:pt>
                  <c:pt idx="71">
                    <c:v>XII</c:v>
                  </c:pt>
                  <c:pt idx="72">
                    <c:v>I</c:v>
                  </c:pt>
                  <c:pt idx="73">
                    <c:v>II</c:v>
                  </c:pt>
                  <c:pt idx="74">
                    <c:v>III</c:v>
                  </c:pt>
                  <c:pt idx="75">
                    <c:v>IV</c:v>
                  </c:pt>
                  <c:pt idx="76">
                    <c:v>V</c:v>
                  </c:pt>
                  <c:pt idx="77">
                    <c:v>VI</c:v>
                  </c:pt>
                  <c:pt idx="78">
                    <c:v>VII</c:v>
                  </c:pt>
                  <c:pt idx="79">
                    <c:v>VIII</c:v>
                  </c:pt>
                  <c:pt idx="80">
                    <c:v>IX</c:v>
                  </c:pt>
                  <c:pt idx="81">
                    <c:v>X</c:v>
                  </c:pt>
                  <c:pt idx="82">
                    <c:v>XI</c:v>
                  </c:pt>
                  <c:pt idx="83">
                    <c:v>XII</c:v>
                  </c:pt>
                  <c:pt idx="84">
                    <c:v>I</c:v>
                  </c:pt>
                  <c:pt idx="85">
                    <c:v>II</c:v>
                  </c:pt>
                  <c:pt idx="86">
                    <c:v>III</c:v>
                  </c:pt>
                  <c:pt idx="87">
                    <c:v>IV</c:v>
                  </c:pt>
                  <c:pt idx="88">
                    <c:v>V</c:v>
                  </c:pt>
                  <c:pt idx="89">
                    <c:v>VI</c:v>
                  </c:pt>
                  <c:pt idx="90">
                    <c:v>VII</c:v>
                  </c:pt>
                  <c:pt idx="91">
                    <c:v>VIII</c:v>
                  </c:pt>
                  <c:pt idx="92">
                    <c:v>IX</c:v>
                  </c:pt>
                  <c:pt idx="93">
                    <c:v>X</c:v>
                  </c:pt>
                  <c:pt idx="94">
                    <c:v>XI</c:v>
                  </c:pt>
                  <c:pt idx="95">
                    <c:v>XII</c:v>
                  </c:pt>
                  <c:pt idx="96">
                    <c:v>I</c:v>
                  </c:pt>
                  <c:pt idx="97">
                    <c:v>II</c:v>
                  </c:pt>
                  <c:pt idx="98">
                    <c:v>III</c:v>
                  </c:pt>
                  <c:pt idx="99">
                    <c:v>IV</c:v>
                  </c:pt>
                  <c:pt idx="100">
                    <c:v>V</c:v>
                  </c:pt>
                  <c:pt idx="101">
                    <c:v>VI</c:v>
                  </c:pt>
                  <c:pt idx="102">
                    <c:v>VII</c:v>
                  </c:pt>
                  <c:pt idx="103">
                    <c:v>VIII</c:v>
                  </c:pt>
                  <c:pt idx="104">
                    <c:v>IX</c:v>
                  </c:pt>
                  <c:pt idx="105">
                    <c:v>X</c:v>
                  </c:pt>
                  <c:pt idx="106">
                    <c:v>XI</c:v>
                  </c:pt>
                  <c:pt idx="107">
                    <c:v>XII</c:v>
                  </c:pt>
                </c:lvl>
                <c:lvl>
                  <c:pt idx="0">
                    <c:v>2010</c:v>
                  </c:pt>
                  <c:pt idx="12">
                    <c:v>2011</c:v>
                  </c:pt>
                  <c:pt idx="24">
                    <c:v>2012</c:v>
                  </c:pt>
                  <c:pt idx="36">
                    <c:v>2013</c:v>
                  </c:pt>
                  <c:pt idx="48">
                    <c:v>2014</c:v>
                  </c:pt>
                  <c:pt idx="60">
                    <c:v>2015</c:v>
                  </c:pt>
                  <c:pt idx="72">
                    <c:v>2016</c:v>
                  </c:pt>
                  <c:pt idx="84">
                    <c:v>2017</c:v>
                  </c:pt>
                  <c:pt idx="96">
                    <c:v>2018</c:v>
                  </c:pt>
                </c:lvl>
              </c:multiLvlStrCache>
            </c:multiLvlStrRef>
          </c:cat>
          <c:val>
            <c:numRef>
              <c:f>Mazumtirdzniecība!$L$123:$L$230</c:f>
              <c:numCache>
                <c:formatCode>0.0</c:formatCode>
                <c:ptCount val="108"/>
                <c:pt idx="0">
                  <c:v>-3.2524015546334555</c:v>
                </c:pt>
                <c:pt idx="1">
                  <c:v>-2.2553444980815391</c:v>
                </c:pt>
                <c:pt idx="2">
                  <c:v>-1.8354765601350957</c:v>
                </c:pt>
                <c:pt idx="3">
                  <c:v>-1.6565785101059536</c:v>
                </c:pt>
                <c:pt idx="4">
                  <c:v>-0.94534455920190297</c:v>
                </c:pt>
                <c:pt idx="5">
                  <c:v>-0.31296836687815738</c:v>
                </c:pt>
                <c:pt idx="6">
                  <c:v>-2.2069891224586908</c:v>
                </c:pt>
                <c:pt idx="7">
                  <c:v>-0.35681704568776873</c:v>
                </c:pt>
                <c:pt idx="8">
                  <c:v>-0.38034045619709311</c:v>
                </c:pt>
                <c:pt idx="9">
                  <c:v>-0.78418363229150179</c:v>
                </c:pt>
                <c:pt idx="10">
                  <c:v>-0.89370901768406674</c:v>
                </c:pt>
                <c:pt idx="11">
                  <c:v>-0.2827970109443943</c:v>
                </c:pt>
                <c:pt idx="12">
                  <c:v>-3.1388162626226017</c:v>
                </c:pt>
                <c:pt idx="13">
                  <c:v>-0.81497168917340113</c:v>
                </c:pt>
                <c:pt idx="14">
                  <c:v>-1.4064013650729874</c:v>
                </c:pt>
                <c:pt idx="15">
                  <c:v>-2.8169070918447661</c:v>
                </c:pt>
                <c:pt idx="16">
                  <c:v>-2.2075000004771455</c:v>
                </c:pt>
                <c:pt idx="17">
                  <c:v>-2.0303003846847067</c:v>
                </c:pt>
                <c:pt idx="18">
                  <c:v>-1.9854409401703645</c:v>
                </c:pt>
                <c:pt idx="19">
                  <c:v>-1.6127269408011011</c:v>
                </c:pt>
                <c:pt idx="20">
                  <c:v>-0.81342837005116408</c:v>
                </c:pt>
                <c:pt idx="21">
                  <c:v>-1.0202070752509738</c:v>
                </c:pt>
                <c:pt idx="22">
                  <c:v>-0.56649364492275966</c:v>
                </c:pt>
                <c:pt idx="23">
                  <c:v>-1.9109295092628906</c:v>
                </c:pt>
                <c:pt idx="24">
                  <c:v>1.4501187008903089</c:v>
                </c:pt>
                <c:pt idx="25">
                  <c:v>0.89028504175969125</c:v>
                </c:pt>
                <c:pt idx="26">
                  <c:v>0.87285140483321755</c:v>
                </c:pt>
                <c:pt idx="27">
                  <c:v>2.3493031477560247</c:v>
                </c:pt>
                <c:pt idx="28">
                  <c:v>0.24711913409664224</c:v>
                </c:pt>
                <c:pt idx="29">
                  <c:v>1.2620600039517571</c:v>
                </c:pt>
                <c:pt idx="30">
                  <c:v>3.3566356643750588</c:v>
                </c:pt>
                <c:pt idx="31">
                  <c:v>3.6016364893114741</c:v>
                </c:pt>
                <c:pt idx="32">
                  <c:v>2.5740419115585955</c:v>
                </c:pt>
                <c:pt idx="33">
                  <c:v>3.0185912625198337</c:v>
                </c:pt>
                <c:pt idx="34">
                  <c:v>1.1248145354696528</c:v>
                </c:pt>
                <c:pt idx="35">
                  <c:v>2.4920793409424702</c:v>
                </c:pt>
                <c:pt idx="36">
                  <c:v>0.36056626954703858</c:v>
                </c:pt>
                <c:pt idx="37">
                  <c:v>-1.0399104828283712</c:v>
                </c:pt>
                <c:pt idx="38">
                  <c:v>0.18887996848582764</c:v>
                </c:pt>
                <c:pt idx="39">
                  <c:v>-1.2302169232012972</c:v>
                </c:pt>
                <c:pt idx="40">
                  <c:v>1.2382298521153003</c:v>
                </c:pt>
                <c:pt idx="41">
                  <c:v>-0.35459071742910353</c:v>
                </c:pt>
                <c:pt idx="42">
                  <c:v>-0.45457586099533104</c:v>
                </c:pt>
                <c:pt idx="43">
                  <c:v>-0.78589415920736971</c:v>
                </c:pt>
                <c:pt idx="44">
                  <c:v>0.80600433521660753</c:v>
                </c:pt>
                <c:pt idx="45">
                  <c:v>0.21135946806438669</c:v>
                </c:pt>
                <c:pt idx="46">
                  <c:v>0.15234772915832456</c:v>
                </c:pt>
                <c:pt idx="47">
                  <c:v>-1.1302506489480184</c:v>
                </c:pt>
                <c:pt idx="48">
                  <c:v>0.143828023417092</c:v>
                </c:pt>
                <c:pt idx="49">
                  <c:v>-0.66020529182959864</c:v>
                </c:pt>
                <c:pt idx="50">
                  <c:v>0.31516820900746806</c:v>
                </c:pt>
                <c:pt idx="51">
                  <c:v>4.7481085929158331</c:v>
                </c:pt>
                <c:pt idx="52">
                  <c:v>-0.46598346213628189</c:v>
                </c:pt>
                <c:pt idx="53">
                  <c:v>0.41792218907671264</c:v>
                </c:pt>
                <c:pt idx="54">
                  <c:v>0.15929328082338459</c:v>
                </c:pt>
                <c:pt idx="55">
                  <c:v>1.1446718426930496</c:v>
                </c:pt>
                <c:pt idx="56">
                  <c:v>2.2944067513816924</c:v>
                </c:pt>
                <c:pt idx="57">
                  <c:v>1.3728643855797393</c:v>
                </c:pt>
                <c:pt idx="58">
                  <c:v>2.9636850547906008</c:v>
                </c:pt>
                <c:pt idx="59">
                  <c:v>1.5230036229196682</c:v>
                </c:pt>
                <c:pt idx="60">
                  <c:v>1.7608513650281694</c:v>
                </c:pt>
                <c:pt idx="61">
                  <c:v>4.3743284765561272</c:v>
                </c:pt>
                <c:pt idx="62">
                  <c:v>3.9724623498807348</c:v>
                </c:pt>
                <c:pt idx="63">
                  <c:v>0.61208768957813375</c:v>
                </c:pt>
                <c:pt idx="64">
                  <c:v>2.632802789107366</c:v>
                </c:pt>
                <c:pt idx="65">
                  <c:v>2.7125288245809789</c:v>
                </c:pt>
                <c:pt idx="66">
                  <c:v>1.6915684382627469</c:v>
                </c:pt>
                <c:pt idx="67">
                  <c:v>2.4643620927095431</c:v>
                </c:pt>
                <c:pt idx="68">
                  <c:v>6.5530081574587423E-2</c:v>
                </c:pt>
                <c:pt idx="69">
                  <c:v>2.5846360505546651</c:v>
                </c:pt>
                <c:pt idx="70">
                  <c:v>-1.4250288243196114</c:v>
                </c:pt>
                <c:pt idx="71">
                  <c:v>-0.26301413346301394</c:v>
                </c:pt>
                <c:pt idx="72">
                  <c:v>6.8482094340356639E-2</c:v>
                </c:pt>
                <c:pt idx="73">
                  <c:v>-1.4081007035365787</c:v>
                </c:pt>
                <c:pt idx="74">
                  <c:v>-1.5325702923882085</c:v>
                </c:pt>
                <c:pt idx="75">
                  <c:v>9.5883513478028801E-2</c:v>
                </c:pt>
                <c:pt idx="76">
                  <c:v>1.6609878940164526</c:v>
                </c:pt>
                <c:pt idx="77">
                  <c:v>0.84233441464657322</c:v>
                </c:pt>
                <c:pt idx="78">
                  <c:v>1.9761806496551251</c:v>
                </c:pt>
                <c:pt idx="79">
                  <c:v>-9.9745039882370851E-2</c:v>
                </c:pt>
                <c:pt idx="80">
                  <c:v>-0.30423689666417586</c:v>
                </c:pt>
                <c:pt idx="81">
                  <c:v>-0.70914956783364991</c:v>
                </c:pt>
                <c:pt idx="82">
                  <c:v>1.9021109509777512</c:v>
                </c:pt>
                <c:pt idx="83">
                  <c:v>1.4890236971704778</c:v>
                </c:pt>
                <c:pt idx="84">
                  <c:v>1.6056407559404027</c:v>
                </c:pt>
                <c:pt idx="85">
                  <c:v>2.1554736297039976</c:v>
                </c:pt>
                <c:pt idx="86">
                  <c:v>1.8447067476400409</c:v>
                </c:pt>
                <c:pt idx="87">
                  <c:v>1.2011978178569436</c:v>
                </c:pt>
                <c:pt idx="88">
                  <c:v>0.15369354335173899</c:v>
                </c:pt>
                <c:pt idx="89">
                  <c:v>-0.34443178367354771</c:v>
                </c:pt>
                <c:pt idx="90">
                  <c:v>-0.3805310951781839</c:v>
                </c:pt>
                <c:pt idx="91">
                  <c:v>-0.41018518404841914</c:v>
                </c:pt>
                <c:pt idx="92">
                  <c:v>-0.31545511204893578</c:v>
                </c:pt>
                <c:pt idx="93">
                  <c:v>-0.23928499226035851</c:v>
                </c:pt>
                <c:pt idx="94">
                  <c:v>0.86728956011124336</c:v>
                </c:pt>
                <c:pt idx="95">
                  <c:v>1.2062496866731713</c:v>
                </c:pt>
                <c:pt idx="96">
                  <c:v>0.5689127160698586</c:v>
                </c:pt>
                <c:pt idx="97">
                  <c:v>1.7081194808282756</c:v>
                </c:pt>
                <c:pt idx="98">
                  <c:v>1.1859386209437639</c:v>
                </c:pt>
                <c:pt idx="99">
                  <c:v>0.64012259604385502</c:v>
                </c:pt>
                <c:pt idx="100">
                  <c:v>1.310897264201651</c:v>
                </c:pt>
                <c:pt idx="101">
                  <c:v>0.8794146924212326</c:v>
                </c:pt>
                <c:pt idx="102">
                  <c:v>1.1409975881864358</c:v>
                </c:pt>
                <c:pt idx="103">
                  <c:v>0.15885617934179883</c:v>
                </c:pt>
                <c:pt idx="104">
                  <c:v>-3.2900421824641098E-2</c:v>
                </c:pt>
                <c:pt idx="105">
                  <c:v>-0.21723062559077044</c:v>
                </c:pt>
                <c:pt idx="106">
                  <c:v>-0.19073586157291353</c:v>
                </c:pt>
                <c:pt idx="107">
                  <c:v>-0.44837325064114641</c:v>
                </c:pt>
              </c:numCache>
            </c:numRef>
          </c:val>
          <c:extLst>
            <c:ext xmlns:c16="http://schemas.microsoft.com/office/drawing/2014/chart" uri="{C3380CC4-5D6E-409C-BE32-E72D297353CC}">
              <c16:uniqueId val="{00000000-22F1-4320-9F0A-4B26C211DA1B}"/>
            </c:ext>
          </c:extLst>
        </c:ser>
        <c:ser>
          <c:idx val="2"/>
          <c:order val="2"/>
          <c:tx>
            <c:strRef>
              <c:f>Mazumtirdzniecība!$M$2</c:f>
              <c:strCache>
                <c:ptCount val="1"/>
                <c:pt idx="0">
                  <c:v>Pārtika</c:v>
                </c:pt>
              </c:strCache>
            </c:strRef>
          </c:tx>
          <c:spPr>
            <a:pattFill prst="dkUpDiag">
              <a:fgClr>
                <a:srgbClr val="00B050"/>
              </a:fgClr>
              <a:bgClr>
                <a:schemeClr val="bg1"/>
              </a:bgClr>
            </a:pattFill>
            <a:ln>
              <a:solidFill>
                <a:srgbClr val="00B050"/>
              </a:solidFill>
            </a:ln>
            <a:effectLst/>
          </c:spPr>
          <c:invertIfNegative val="0"/>
          <c:cat>
            <c:multiLvlStrRef>
              <c:f>Mazumtirdzniecība!$A$123:$B$230</c:f>
              <c:multiLvlStrCache>
                <c:ptCount val="108"/>
                <c:lvl>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pt idx="19">
                    <c:v>VIII</c:v>
                  </c:pt>
                  <c:pt idx="20">
                    <c:v>IX</c:v>
                  </c:pt>
                  <c:pt idx="21">
                    <c:v>X</c:v>
                  </c:pt>
                  <c:pt idx="22">
                    <c:v>XI</c:v>
                  </c:pt>
                  <c:pt idx="23">
                    <c:v>XII</c:v>
                  </c:pt>
                  <c:pt idx="24">
                    <c:v>I</c:v>
                  </c:pt>
                  <c:pt idx="25">
                    <c:v>II</c:v>
                  </c:pt>
                  <c:pt idx="26">
                    <c:v>III</c:v>
                  </c:pt>
                  <c:pt idx="27">
                    <c:v>IV</c:v>
                  </c:pt>
                  <c:pt idx="28">
                    <c:v>V</c:v>
                  </c:pt>
                  <c:pt idx="29">
                    <c:v>VI</c:v>
                  </c:pt>
                  <c:pt idx="30">
                    <c:v>VII</c:v>
                  </c:pt>
                  <c:pt idx="31">
                    <c:v>VIII</c:v>
                  </c:pt>
                  <c:pt idx="32">
                    <c:v>IX</c:v>
                  </c:pt>
                  <c:pt idx="33">
                    <c:v>X</c:v>
                  </c:pt>
                  <c:pt idx="34">
                    <c:v>XI</c:v>
                  </c:pt>
                  <c:pt idx="35">
                    <c:v>XII</c:v>
                  </c:pt>
                  <c:pt idx="36">
                    <c:v>I</c:v>
                  </c:pt>
                  <c:pt idx="37">
                    <c:v>II</c:v>
                  </c:pt>
                  <c:pt idx="38">
                    <c:v>III</c:v>
                  </c:pt>
                  <c:pt idx="39">
                    <c:v>IV</c:v>
                  </c:pt>
                  <c:pt idx="40">
                    <c:v>V</c:v>
                  </c:pt>
                  <c:pt idx="41">
                    <c:v>VI</c:v>
                  </c:pt>
                  <c:pt idx="42">
                    <c:v>VII</c:v>
                  </c:pt>
                  <c:pt idx="43">
                    <c:v>VIII</c:v>
                  </c:pt>
                  <c:pt idx="44">
                    <c:v>IX</c:v>
                  </c:pt>
                  <c:pt idx="45">
                    <c:v>X</c:v>
                  </c:pt>
                  <c:pt idx="46">
                    <c:v>XI</c:v>
                  </c:pt>
                  <c:pt idx="47">
                    <c:v>XII</c:v>
                  </c:pt>
                  <c:pt idx="48">
                    <c:v>I</c:v>
                  </c:pt>
                  <c:pt idx="49">
                    <c:v>II</c:v>
                  </c:pt>
                  <c:pt idx="50">
                    <c:v>III</c:v>
                  </c:pt>
                  <c:pt idx="51">
                    <c:v>IV</c:v>
                  </c:pt>
                  <c:pt idx="52">
                    <c:v>V</c:v>
                  </c:pt>
                  <c:pt idx="53">
                    <c:v>VI</c:v>
                  </c:pt>
                  <c:pt idx="54">
                    <c:v>VII</c:v>
                  </c:pt>
                  <c:pt idx="55">
                    <c:v>VIII</c:v>
                  </c:pt>
                  <c:pt idx="56">
                    <c:v>IX</c:v>
                  </c:pt>
                  <c:pt idx="57">
                    <c:v>X</c:v>
                  </c:pt>
                  <c:pt idx="58">
                    <c:v>XI</c:v>
                  </c:pt>
                  <c:pt idx="59">
                    <c:v>XII</c:v>
                  </c:pt>
                  <c:pt idx="60">
                    <c:v>I</c:v>
                  </c:pt>
                  <c:pt idx="61">
                    <c:v>II</c:v>
                  </c:pt>
                  <c:pt idx="62">
                    <c:v>III</c:v>
                  </c:pt>
                  <c:pt idx="63">
                    <c:v>IV</c:v>
                  </c:pt>
                  <c:pt idx="64">
                    <c:v>V</c:v>
                  </c:pt>
                  <c:pt idx="65">
                    <c:v>VI</c:v>
                  </c:pt>
                  <c:pt idx="66">
                    <c:v>VII</c:v>
                  </c:pt>
                  <c:pt idx="67">
                    <c:v>VIII</c:v>
                  </c:pt>
                  <c:pt idx="68">
                    <c:v>IX</c:v>
                  </c:pt>
                  <c:pt idx="69">
                    <c:v>X</c:v>
                  </c:pt>
                  <c:pt idx="70">
                    <c:v>XI</c:v>
                  </c:pt>
                  <c:pt idx="71">
                    <c:v>XII</c:v>
                  </c:pt>
                  <c:pt idx="72">
                    <c:v>I</c:v>
                  </c:pt>
                  <c:pt idx="73">
                    <c:v>II</c:v>
                  </c:pt>
                  <c:pt idx="74">
                    <c:v>III</c:v>
                  </c:pt>
                  <c:pt idx="75">
                    <c:v>IV</c:v>
                  </c:pt>
                  <c:pt idx="76">
                    <c:v>V</c:v>
                  </c:pt>
                  <c:pt idx="77">
                    <c:v>VI</c:v>
                  </c:pt>
                  <c:pt idx="78">
                    <c:v>VII</c:v>
                  </c:pt>
                  <c:pt idx="79">
                    <c:v>VIII</c:v>
                  </c:pt>
                  <c:pt idx="80">
                    <c:v>IX</c:v>
                  </c:pt>
                  <c:pt idx="81">
                    <c:v>X</c:v>
                  </c:pt>
                  <c:pt idx="82">
                    <c:v>XI</c:v>
                  </c:pt>
                  <c:pt idx="83">
                    <c:v>XII</c:v>
                  </c:pt>
                  <c:pt idx="84">
                    <c:v>I</c:v>
                  </c:pt>
                  <c:pt idx="85">
                    <c:v>II</c:v>
                  </c:pt>
                  <c:pt idx="86">
                    <c:v>III</c:v>
                  </c:pt>
                  <c:pt idx="87">
                    <c:v>IV</c:v>
                  </c:pt>
                  <c:pt idx="88">
                    <c:v>V</c:v>
                  </c:pt>
                  <c:pt idx="89">
                    <c:v>VI</c:v>
                  </c:pt>
                  <c:pt idx="90">
                    <c:v>VII</c:v>
                  </c:pt>
                  <c:pt idx="91">
                    <c:v>VIII</c:v>
                  </c:pt>
                  <c:pt idx="92">
                    <c:v>IX</c:v>
                  </c:pt>
                  <c:pt idx="93">
                    <c:v>X</c:v>
                  </c:pt>
                  <c:pt idx="94">
                    <c:v>XI</c:v>
                  </c:pt>
                  <c:pt idx="95">
                    <c:v>XII</c:v>
                  </c:pt>
                  <c:pt idx="96">
                    <c:v>I</c:v>
                  </c:pt>
                  <c:pt idx="97">
                    <c:v>II</c:v>
                  </c:pt>
                  <c:pt idx="98">
                    <c:v>III</c:v>
                  </c:pt>
                  <c:pt idx="99">
                    <c:v>IV</c:v>
                  </c:pt>
                  <c:pt idx="100">
                    <c:v>V</c:v>
                  </c:pt>
                  <c:pt idx="101">
                    <c:v>VI</c:v>
                  </c:pt>
                  <c:pt idx="102">
                    <c:v>VII</c:v>
                  </c:pt>
                  <c:pt idx="103">
                    <c:v>VIII</c:v>
                  </c:pt>
                  <c:pt idx="104">
                    <c:v>IX</c:v>
                  </c:pt>
                  <c:pt idx="105">
                    <c:v>X</c:v>
                  </c:pt>
                  <c:pt idx="106">
                    <c:v>XI</c:v>
                  </c:pt>
                  <c:pt idx="107">
                    <c:v>XII</c:v>
                  </c:pt>
                </c:lvl>
                <c:lvl>
                  <c:pt idx="0">
                    <c:v>2010</c:v>
                  </c:pt>
                  <c:pt idx="12">
                    <c:v>2011</c:v>
                  </c:pt>
                  <c:pt idx="24">
                    <c:v>2012</c:v>
                  </c:pt>
                  <c:pt idx="36">
                    <c:v>2013</c:v>
                  </c:pt>
                  <c:pt idx="48">
                    <c:v>2014</c:v>
                  </c:pt>
                  <c:pt idx="60">
                    <c:v>2015</c:v>
                  </c:pt>
                  <c:pt idx="72">
                    <c:v>2016</c:v>
                  </c:pt>
                  <c:pt idx="84">
                    <c:v>2017</c:v>
                  </c:pt>
                  <c:pt idx="96">
                    <c:v>2018</c:v>
                  </c:pt>
                </c:lvl>
              </c:multiLvlStrCache>
            </c:multiLvlStrRef>
          </c:cat>
          <c:val>
            <c:numRef>
              <c:f>Mazumtirdzniecība!$M$123:$M$230</c:f>
              <c:numCache>
                <c:formatCode>0.0</c:formatCode>
                <c:ptCount val="108"/>
                <c:pt idx="0">
                  <c:v>-7.3712194759082994</c:v>
                </c:pt>
                <c:pt idx="1">
                  <c:v>-5.3425857233956418</c:v>
                </c:pt>
                <c:pt idx="2">
                  <c:v>-2.3865138593445128</c:v>
                </c:pt>
                <c:pt idx="3">
                  <c:v>-3.9843662850131016</c:v>
                </c:pt>
                <c:pt idx="4">
                  <c:v>-3.5100465169888952</c:v>
                </c:pt>
                <c:pt idx="5">
                  <c:v>-2.8523691837967973</c:v>
                </c:pt>
                <c:pt idx="6">
                  <c:v>-0.80212494008290391</c:v>
                </c:pt>
                <c:pt idx="7">
                  <c:v>-0.39064157230753893</c:v>
                </c:pt>
                <c:pt idx="8">
                  <c:v>-0.1831186394562121</c:v>
                </c:pt>
                <c:pt idx="9">
                  <c:v>-0.27923305318917135</c:v>
                </c:pt>
                <c:pt idx="10">
                  <c:v>0.84558531209694487</c:v>
                </c:pt>
                <c:pt idx="11">
                  <c:v>0.50295484629432929</c:v>
                </c:pt>
                <c:pt idx="12">
                  <c:v>-0.59479707497643297</c:v>
                </c:pt>
                <c:pt idx="13">
                  <c:v>-0.38849845490700935</c:v>
                </c:pt>
                <c:pt idx="14">
                  <c:v>-1.2211601861067272</c:v>
                </c:pt>
                <c:pt idx="15">
                  <c:v>-0.40239521375042159</c:v>
                </c:pt>
                <c:pt idx="16">
                  <c:v>-0.27885980715415537</c:v>
                </c:pt>
                <c:pt idx="17">
                  <c:v>0.46669377475682955</c:v>
                </c:pt>
                <c:pt idx="18">
                  <c:v>1.1923310257784625</c:v>
                </c:pt>
                <c:pt idx="19">
                  <c:v>0.8077900464904717</c:v>
                </c:pt>
                <c:pt idx="20">
                  <c:v>0.90755647499997638</c:v>
                </c:pt>
                <c:pt idx="21">
                  <c:v>1.3963614166137426</c:v>
                </c:pt>
                <c:pt idx="22">
                  <c:v>1.8888350943286918</c:v>
                </c:pt>
                <c:pt idx="23">
                  <c:v>1.984228847929997</c:v>
                </c:pt>
                <c:pt idx="24">
                  <c:v>2.0030246769906954</c:v>
                </c:pt>
                <c:pt idx="25">
                  <c:v>1.309508155954819</c:v>
                </c:pt>
                <c:pt idx="26">
                  <c:v>0.97434534566457265</c:v>
                </c:pt>
                <c:pt idx="27">
                  <c:v>0.53430350755294764</c:v>
                </c:pt>
                <c:pt idx="28">
                  <c:v>1.7081747612742766</c:v>
                </c:pt>
                <c:pt idx="29">
                  <c:v>2.3149443567103791</c:v>
                </c:pt>
                <c:pt idx="30">
                  <c:v>1.8480509256110467</c:v>
                </c:pt>
                <c:pt idx="31">
                  <c:v>0.63393488096274075</c:v>
                </c:pt>
                <c:pt idx="32">
                  <c:v>0.81136347203036374</c:v>
                </c:pt>
                <c:pt idx="33">
                  <c:v>0.50384805995212112</c:v>
                </c:pt>
                <c:pt idx="34">
                  <c:v>0.36379925048749917</c:v>
                </c:pt>
                <c:pt idx="35">
                  <c:v>0.27526429224737048</c:v>
                </c:pt>
                <c:pt idx="36">
                  <c:v>1.5470985933006944</c:v>
                </c:pt>
                <c:pt idx="37">
                  <c:v>1.9596543191876037</c:v>
                </c:pt>
                <c:pt idx="38">
                  <c:v>3.5118407355858481</c:v>
                </c:pt>
                <c:pt idx="39">
                  <c:v>1.1032418791624448</c:v>
                </c:pt>
                <c:pt idx="40">
                  <c:v>1.7474015216989522</c:v>
                </c:pt>
                <c:pt idx="41">
                  <c:v>1.0716465809970854</c:v>
                </c:pt>
                <c:pt idx="42">
                  <c:v>0.86098233120984025</c:v>
                </c:pt>
                <c:pt idx="43">
                  <c:v>1.6323179951205902</c:v>
                </c:pt>
                <c:pt idx="44">
                  <c:v>0.80135537844573024</c:v>
                </c:pt>
                <c:pt idx="45">
                  <c:v>1.4531508604535752</c:v>
                </c:pt>
                <c:pt idx="46">
                  <c:v>2.7901776656084674</c:v>
                </c:pt>
                <c:pt idx="47">
                  <c:v>3.6226993020955018</c:v>
                </c:pt>
                <c:pt idx="48">
                  <c:v>1.3783409386990417</c:v>
                </c:pt>
                <c:pt idx="49">
                  <c:v>0.83094014470498934</c:v>
                </c:pt>
                <c:pt idx="50">
                  <c:v>1.6575580908801273</c:v>
                </c:pt>
                <c:pt idx="51">
                  <c:v>4.038155184349252</c:v>
                </c:pt>
                <c:pt idx="52">
                  <c:v>2.1831649724904953</c:v>
                </c:pt>
                <c:pt idx="53">
                  <c:v>1.3136314350820937</c:v>
                </c:pt>
                <c:pt idx="54">
                  <c:v>1.9944473621597325</c:v>
                </c:pt>
                <c:pt idx="55">
                  <c:v>1.4450091102239704</c:v>
                </c:pt>
                <c:pt idx="56">
                  <c:v>1.4102237550020331</c:v>
                </c:pt>
                <c:pt idx="57">
                  <c:v>1.2710912822579954</c:v>
                </c:pt>
                <c:pt idx="58">
                  <c:v>0</c:v>
                </c:pt>
                <c:pt idx="59">
                  <c:v>-3.6548502636429364E-2</c:v>
                </c:pt>
                <c:pt idx="60">
                  <c:v>1.9992678055506861</c:v>
                </c:pt>
                <c:pt idx="61">
                  <c:v>2.5991104164994305</c:v>
                </c:pt>
                <c:pt idx="62">
                  <c:v>0.73163814034734742</c:v>
                </c:pt>
                <c:pt idx="63">
                  <c:v>0.43053390484484327</c:v>
                </c:pt>
                <c:pt idx="64">
                  <c:v>-8.2746380612293891E-2</c:v>
                </c:pt>
                <c:pt idx="65">
                  <c:v>1.3467930049296313</c:v>
                </c:pt>
                <c:pt idx="66">
                  <c:v>0.96220151895904904</c:v>
                </c:pt>
                <c:pt idx="67">
                  <c:v>1.0794656856594675</c:v>
                </c:pt>
                <c:pt idx="68">
                  <c:v>1.1153068881954806</c:v>
                </c:pt>
                <c:pt idx="69">
                  <c:v>1.3868338032887524</c:v>
                </c:pt>
                <c:pt idx="70">
                  <c:v>1.2053975332798137</c:v>
                </c:pt>
                <c:pt idx="71">
                  <c:v>1.4391550571173197</c:v>
                </c:pt>
                <c:pt idx="72">
                  <c:v>0.27934869509624988</c:v>
                </c:pt>
                <c:pt idx="73">
                  <c:v>0.24560887825064842</c:v>
                </c:pt>
                <c:pt idx="74">
                  <c:v>0.22079007333755485</c:v>
                </c:pt>
                <c:pt idx="75">
                  <c:v>4.1975353793641458E-2</c:v>
                </c:pt>
                <c:pt idx="76">
                  <c:v>0.8596838933863985</c:v>
                </c:pt>
                <c:pt idx="77">
                  <c:v>0.24145366350049333</c:v>
                </c:pt>
                <c:pt idx="78">
                  <c:v>-1.4583890220951106</c:v>
                </c:pt>
                <c:pt idx="79">
                  <c:v>-0.87996945931023907</c:v>
                </c:pt>
                <c:pt idx="80">
                  <c:v>-0.55752024121868071</c:v>
                </c:pt>
                <c:pt idx="81">
                  <c:v>-1.1585736240934448</c:v>
                </c:pt>
                <c:pt idx="82">
                  <c:v>-0.77430330803440206</c:v>
                </c:pt>
                <c:pt idx="83">
                  <c:v>-2.339678807107898</c:v>
                </c:pt>
                <c:pt idx="84">
                  <c:v>0</c:v>
                </c:pt>
                <c:pt idx="85">
                  <c:v>-0.3284640698607067</c:v>
                </c:pt>
                <c:pt idx="86">
                  <c:v>8.3996777728798835E-2</c:v>
                </c:pt>
                <c:pt idx="87">
                  <c:v>1.1267965073350388</c:v>
                </c:pt>
                <c:pt idx="88">
                  <c:v>1.3766431811910871</c:v>
                </c:pt>
                <c:pt idx="89">
                  <c:v>0.88158653377459451</c:v>
                </c:pt>
                <c:pt idx="90">
                  <c:v>2.4570186109186811</c:v>
                </c:pt>
                <c:pt idx="91">
                  <c:v>3.0957151258977333</c:v>
                </c:pt>
                <c:pt idx="92">
                  <c:v>2.2811173921460695</c:v>
                </c:pt>
                <c:pt idx="93">
                  <c:v>1.7304558298971264</c:v>
                </c:pt>
                <c:pt idx="94">
                  <c:v>2.1617087323866917</c:v>
                </c:pt>
                <c:pt idx="95">
                  <c:v>3.9769730292967256</c:v>
                </c:pt>
                <c:pt idx="96">
                  <c:v>2.4346443693341606</c:v>
                </c:pt>
                <c:pt idx="97">
                  <c:v>1.8986918334560161</c:v>
                </c:pt>
                <c:pt idx="98">
                  <c:v>2.7707314660882867</c:v>
                </c:pt>
                <c:pt idx="99">
                  <c:v>0.64676683597469387</c:v>
                </c:pt>
                <c:pt idx="100">
                  <c:v>2.6085698311432166</c:v>
                </c:pt>
                <c:pt idx="101">
                  <c:v>2.6398182863796134</c:v>
                </c:pt>
                <c:pt idx="102">
                  <c:v>2.0161909532883073</c:v>
                </c:pt>
                <c:pt idx="103">
                  <c:v>1.0395974996812678</c:v>
                </c:pt>
                <c:pt idx="104">
                  <c:v>0.74052583288205764</c:v>
                </c:pt>
                <c:pt idx="105">
                  <c:v>1.6338556670376598</c:v>
                </c:pt>
                <c:pt idx="106">
                  <c:v>1.6971041094485844</c:v>
                </c:pt>
                <c:pt idx="107">
                  <c:v>0.62116978081118956</c:v>
                </c:pt>
              </c:numCache>
            </c:numRef>
          </c:val>
          <c:extLst>
            <c:ext xmlns:c16="http://schemas.microsoft.com/office/drawing/2014/chart" uri="{C3380CC4-5D6E-409C-BE32-E72D297353CC}">
              <c16:uniqueId val="{00000001-22F1-4320-9F0A-4B26C211DA1B}"/>
            </c:ext>
          </c:extLst>
        </c:ser>
        <c:ser>
          <c:idx val="3"/>
          <c:order val="3"/>
          <c:tx>
            <c:strRef>
              <c:f>Mazumtirdzniecība!$N$2</c:f>
              <c:strCache>
                <c:ptCount val="1"/>
                <c:pt idx="0">
                  <c:v>Nepārtika (-degviela)</c:v>
                </c:pt>
              </c:strCache>
            </c:strRef>
          </c:tx>
          <c:spPr>
            <a:solidFill>
              <a:srgbClr val="0070C0"/>
            </a:solidFill>
            <a:ln>
              <a:solidFill>
                <a:srgbClr val="0070C0"/>
              </a:solidFill>
            </a:ln>
            <a:effectLst/>
          </c:spPr>
          <c:invertIfNegative val="0"/>
          <c:cat>
            <c:multiLvlStrRef>
              <c:f>Mazumtirdzniecība!$A$123:$B$230</c:f>
              <c:multiLvlStrCache>
                <c:ptCount val="108"/>
                <c:lvl>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pt idx="19">
                    <c:v>VIII</c:v>
                  </c:pt>
                  <c:pt idx="20">
                    <c:v>IX</c:v>
                  </c:pt>
                  <c:pt idx="21">
                    <c:v>X</c:v>
                  </c:pt>
                  <c:pt idx="22">
                    <c:v>XI</c:v>
                  </c:pt>
                  <c:pt idx="23">
                    <c:v>XII</c:v>
                  </c:pt>
                  <c:pt idx="24">
                    <c:v>I</c:v>
                  </c:pt>
                  <c:pt idx="25">
                    <c:v>II</c:v>
                  </c:pt>
                  <c:pt idx="26">
                    <c:v>III</c:v>
                  </c:pt>
                  <c:pt idx="27">
                    <c:v>IV</c:v>
                  </c:pt>
                  <c:pt idx="28">
                    <c:v>V</c:v>
                  </c:pt>
                  <c:pt idx="29">
                    <c:v>VI</c:v>
                  </c:pt>
                  <c:pt idx="30">
                    <c:v>VII</c:v>
                  </c:pt>
                  <c:pt idx="31">
                    <c:v>VIII</c:v>
                  </c:pt>
                  <c:pt idx="32">
                    <c:v>IX</c:v>
                  </c:pt>
                  <c:pt idx="33">
                    <c:v>X</c:v>
                  </c:pt>
                  <c:pt idx="34">
                    <c:v>XI</c:v>
                  </c:pt>
                  <c:pt idx="35">
                    <c:v>XII</c:v>
                  </c:pt>
                  <c:pt idx="36">
                    <c:v>I</c:v>
                  </c:pt>
                  <c:pt idx="37">
                    <c:v>II</c:v>
                  </c:pt>
                  <c:pt idx="38">
                    <c:v>III</c:v>
                  </c:pt>
                  <c:pt idx="39">
                    <c:v>IV</c:v>
                  </c:pt>
                  <c:pt idx="40">
                    <c:v>V</c:v>
                  </c:pt>
                  <c:pt idx="41">
                    <c:v>VI</c:v>
                  </c:pt>
                  <c:pt idx="42">
                    <c:v>VII</c:v>
                  </c:pt>
                  <c:pt idx="43">
                    <c:v>VIII</c:v>
                  </c:pt>
                  <c:pt idx="44">
                    <c:v>IX</c:v>
                  </c:pt>
                  <c:pt idx="45">
                    <c:v>X</c:v>
                  </c:pt>
                  <c:pt idx="46">
                    <c:v>XI</c:v>
                  </c:pt>
                  <c:pt idx="47">
                    <c:v>XII</c:v>
                  </c:pt>
                  <c:pt idx="48">
                    <c:v>I</c:v>
                  </c:pt>
                  <c:pt idx="49">
                    <c:v>II</c:v>
                  </c:pt>
                  <c:pt idx="50">
                    <c:v>III</c:v>
                  </c:pt>
                  <c:pt idx="51">
                    <c:v>IV</c:v>
                  </c:pt>
                  <c:pt idx="52">
                    <c:v>V</c:v>
                  </c:pt>
                  <c:pt idx="53">
                    <c:v>VI</c:v>
                  </c:pt>
                  <c:pt idx="54">
                    <c:v>VII</c:v>
                  </c:pt>
                  <c:pt idx="55">
                    <c:v>VIII</c:v>
                  </c:pt>
                  <c:pt idx="56">
                    <c:v>IX</c:v>
                  </c:pt>
                  <c:pt idx="57">
                    <c:v>X</c:v>
                  </c:pt>
                  <c:pt idx="58">
                    <c:v>XI</c:v>
                  </c:pt>
                  <c:pt idx="59">
                    <c:v>XII</c:v>
                  </c:pt>
                  <c:pt idx="60">
                    <c:v>I</c:v>
                  </c:pt>
                  <c:pt idx="61">
                    <c:v>II</c:v>
                  </c:pt>
                  <c:pt idx="62">
                    <c:v>III</c:v>
                  </c:pt>
                  <c:pt idx="63">
                    <c:v>IV</c:v>
                  </c:pt>
                  <c:pt idx="64">
                    <c:v>V</c:v>
                  </c:pt>
                  <c:pt idx="65">
                    <c:v>VI</c:v>
                  </c:pt>
                  <c:pt idx="66">
                    <c:v>VII</c:v>
                  </c:pt>
                  <c:pt idx="67">
                    <c:v>VIII</c:v>
                  </c:pt>
                  <c:pt idx="68">
                    <c:v>IX</c:v>
                  </c:pt>
                  <c:pt idx="69">
                    <c:v>X</c:v>
                  </c:pt>
                  <c:pt idx="70">
                    <c:v>XI</c:v>
                  </c:pt>
                  <c:pt idx="71">
                    <c:v>XII</c:v>
                  </c:pt>
                  <c:pt idx="72">
                    <c:v>I</c:v>
                  </c:pt>
                  <c:pt idx="73">
                    <c:v>II</c:v>
                  </c:pt>
                  <c:pt idx="74">
                    <c:v>III</c:v>
                  </c:pt>
                  <c:pt idx="75">
                    <c:v>IV</c:v>
                  </c:pt>
                  <c:pt idx="76">
                    <c:v>V</c:v>
                  </c:pt>
                  <c:pt idx="77">
                    <c:v>VI</c:v>
                  </c:pt>
                  <c:pt idx="78">
                    <c:v>VII</c:v>
                  </c:pt>
                  <c:pt idx="79">
                    <c:v>VIII</c:v>
                  </c:pt>
                  <c:pt idx="80">
                    <c:v>IX</c:v>
                  </c:pt>
                  <c:pt idx="81">
                    <c:v>X</c:v>
                  </c:pt>
                  <c:pt idx="82">
                    <c:v>XI</c:v>
                  </c:pt>
                  <c:pt idx="83">
                    <c:v>XII</c:v>
                  </c:pt>
                  <c:pt idx="84">
                    <c:v>I</c:v>
                  </c:pt>
                  <c:pt idx="85">
                    <c:v>II</c:v>
                  </c:pt>
                  <c:pt idx="86">
                    <c:v>III</c:v>
                  </c:pt>
                  <c:pt idx="87">
                    <c:v>IV</c:v>
                  </c:pt>
                  <c:pt idx="88">
                    <c:v>V</c:v>
                  </c:pt>
                  <c:pt idx="89">
                    <c:v>VI</c:v>
                  </c:pt>
                  <c:pt idx="90">
                    <c:v>VII</c:v>
                  </c:pt>
                  <c:pt idx="91">
                    <c:v>VIII</c:v>
                  </c:pt>
                  <c:pt idx="92">
                    <c:v>IX</c:v>
                  </c:pt>
                  <c:pt idx="93">
                    <c:v>X</c:v>
                  </c:pt>
                  <c:pt idx="94">
                    <c:v>XI</c:v>
                  </c:pt>
                  <c:pt idx="95">
                    <c:v>XII</c:v>
                  </c:pt>
                  <c:pt idx="96">
                    <c:v>I</c:v>
                  </c:pt>
                  <c:pt idx="97">
                    <c:v>II</c:v>
                  </c:pt>
                  <c:pt idx="98">
                    <c:v>III</c:v>
                  </c:pt>
                  <c:pt idx="99">
                    <c:v>IV</c:v>
                  </c:pt>
                  <c:pt idx="100">
                    <c:v>V</c:v>
                  </c:pt>
                  <c:pt idx="101">
                    <c:v>VI</c:v>
                  </c:pt>
                  <c:pt idx="102">
                    <c:v>VII</c:v>
                  </c:pt>
                  <c:pt idx="103">
                    <c:v>VIII</c:v>
                  </c:pt>
                  <c:pt idx="104">
                    <c:v>IX</c:v>
                  </c:pt>
                  <c:pt idx="105">
                    <c:v>X</c:v>
                  </c:pt>
                  <c:pt idx="106">
                    <c:v>XI</c:v>
                  </c:pt>
                  <c:pt idx="107">
                    <c:v>XII</c:v>
                  </c:pt>
                </c:lvl>
                <c:lvl>
                  <c:pt idx="0">
                    <c:v>2010</c:v>
                  </c:pt>
                  <c:pt idx="12">
                    <c:v>2011</c:v>
                  </c:pt>
                  <c:pt idx="24">
                    <c:v>2012</c:v>
                  </c:pt>
                  <c:pt idx="36">
                    <c:v>2013</c:v>
                  </c:pt>
                  <c:pt idx="48">
                    <c:v>2014</c:v>
                  </c:pt>
                  <c:pt idx="60">
                    <c:v>2015</c:v>
                  </c:pt>
                  <c:pt idx="72">
                    <c:v>2016</c:v>
                  </c:pt>
                  <c:pt idx="84">
                    <c:v>2017</c:v>
                  </c:pt>
                  <c:pt idx="96">
                    <c:v>2018</c:v>
                  </c:pt>
                </c:lvl>
              </c:multiLvlStrCache>
            </c:multiLvlStrRef>
          </c:cat>
          <c:val>
            <c:numRef>
              <c:f>Mazumtirdzniecība!$N$123:$N$230</c:f>
              <c:numCache>
                <c:formatCode>0.0</c:formatCode>
                <c:ptCount val="108"/>
                <c:pt idx="0">
                  <c:v>-6.7259023519347618</c:v>
                </c:pt>
                <c:pt idx="1">
                  <c:v>-5.8047215158150607</c:v>
                </c:pt>
                <c:pt idx="2">
                  <c:v>-3.1503917569503859</c:v>
                </c:pt>
                <c:pt idx="3">
                  <c:v>-2.0852390913299033</c:v>
                </c:pt>
                <c:pt idx="4">
                  <c:v>-1.7025308005225954</c:v>
                </c:pt>
                <c:pt idx="5">
                  <c:v>0.26846117494753097</c:v>
                </c:pt>
                <c:pt idx="6">
                  <c:v>1.0023487654269627</c:v>
                </c:pt>
                <c:pt idx="7">
                  <c:v>3.0337318588017261</c:v>
                </c:pt>
                <c:pt idx="8">
                  <c:v>5.4109108426434958</c:v>
                </c:pt>
                <c:pt idx="9">
                  <c:v>5.5499978780308465</c:v>
                </c:pt>
                <c:pt idx="10">
                  <c:v>6.6030794222046678</c:v>
                </c:pt>
                <c:pt idx="11">
                  <c:v>5.3746824834444507</c:v>
                </c:pt>
                <c:pt idx="12">
                  <c:v>2.6243396893161144</c:v>
                </c:pt>
                <c:pt idx="13">
                  <c:v>2.7391808752558502</c:v>
                </c:pt>
                <c:pt idx="14">
                  <c:v>2.2235072452749725</c:v>
                </c:pt>
                <c:pt idx="15">
                  <c:v>1.5780284523447112</c:v>
                </c:pt>
                <c:pt idx="16">
                  <c:v>1.8845477813746982</c:v>
                </c:pt>
                <c:pt idx="17">
                  <c:v>3.0773910329866987</c:v>
                </c:pt>
                <c:pt idx="18">
                  <c:v>5.0485913376866876</c:v>
                </c:pt>
                <c:pt idx="19">
                  <c:v>5.7911881292881979</c:v>
                </c:pt>
                <c:pt idx="20">
                  <c:v>4.5798625164430824</c:v>
                </c:pt>
                <c:pt idx="21">
                  <c:v>3.4958643214391238</c:v>
                </c:pt>
                <c:pt idx="22">
                  <c:v>4.3758844266455457</c:v>
                </c:pt>
                <c:pt idx="23">
                  <c:v>4.4761420313076181</c:v>
                </c:pt>
                <c:pt idx="24">
                  <c:v>8.3937553206213416</c:v>
                </c:pt>
                <c:pt idx="25">
                  <c:v>5.2584570980986918</c:v>
                </c:pt>
                <c:pt idx="26">
                  <c:v>5.0555742780953059</c:v>
                </c:pt>
                <c:pt idx="27">
                  <c:v>3.000234070981564</c:v>
                </c:pt>
                <c:pt idx="28">
                  <c:v>3.7549031192742199</c:v>
                </c:pt>
                <c:pt idx="29">
                  <c:v>3.6805651367093364</c:v>
                </c:pt>
                <c:pt idx="30">
                  <c:v>3.6689200443024155</c:v>
                </c:pt>
                <c:pt idx="31">
                  <c:v>3.6565154419606354</c:v>
                </c:pt>
                <c:pt idx="32">
                  <c:v>3.791290354404937</c:v>
                </c:pt>
                <c:pt idx="33">
                  <c:v>4.0053981519940747</c:v>
                </c:pt>
                <c:pt idx="34">
                  <c:v>3.1622153519598641</c:v>
                </c:pt>
                <c:pt idx="35">
                  <c:v>5.2832635493277902</c:v>
                </c:pt>
                <c:pt idx="36">
                  <c:v>1.9428755164195182</c:v>
                </c:pt>
                <c:pt idx="37">
                  <c:v>3.414471124061607</c:v>
                </c:pt>
                <c:pt idx="38">
                  <c:v>2.4680170468148734</c:v>
                </c:pt>
                <c:pt idx="39">
                  <c:v>3.5187975925673154</c:v>
                </c:pt>
                <c:pt idx="40">
                  <c:v>4.0549954007041809</c:v>
                </c:pt>
                <c:pt idx="41">
                  <c:v>1.8519754337503869</c:v>
                </c:pt>
                <c:pt idx="42">
                  <c:v>2.6160952633588237</c:v>
                </c:pt>
                <c:pt idx="43">
                  <c:v>1.1048006275533238</c:v>
                </c:pt>
                <c:pt idx="44">
                  <c:v>0.82893620716066196</c:v>
                </c:pt>
                <c:pt idx="45">
                  <c:v>1.3743130287795642</c:v>
                </c:pt>
                <c:pt idx="46">
                  <c:v>2.0661506597563246</c:v>
                </c:pt>
                <c:pt idx="47">
                  <c:v>2.3927206497827682</c:v>
                </c:pt>
                <c:pt idx="48">
                  <c:v>0.29278535205014666</c:v>
                </c:pt>
                <c:pt idx="49">
                  <c:v>0.7846511273970127</c:v>
                </c:pt>
                <c:pt idx="50">
                  <c:v>1.7604858370511671</c:v>
                </c:pt>
                <c:pt idx="51">
                  <c:v>2.3641364791529202</c:v>
                </c:pt>
                <c:pt idx="52">
                  <c:v>0.17211120344078537</c:v>
                </c:pt>
                <c:pt idx="53">
                  <c:v>0.90747512566598632</c:v>
                </c:pt>
                <c:pt idx="54">
                  <c:v>1.5047766224246146</c:v>
                </c:pt>
                <c:pt idx="55">
                  <c:v>1.1070585466331893</c:v>
                </c:pt>
                <c:pt idx="56">
                  <c:v>-0.12501210033056043</c:v>
                </c:pt>
                <c:pt idx="57">
                  <c:v>2.0297955285320834</c:v>
                </c:pt>
                <c:pt idx="58">
                  <c:v>1.8345045311067256</c:v>
                </c:pt>
                <c:pt idx="59">
                  <c:v>1.3479600873296929</c:v>
                </c:pt>
                <c:pt idx="60">
                  <c:v>2.8548938777374153</c:v>
                </c:pt>
                <c:pt idx="61">
                  <c:v>2.4216774171405522</c:v>
                </c:pt>
                <c:pt idx="62">
                  <c:v>2.7085928852637258</c:v>
                </c:pt>
                <c:pt idx="63">
                  <c:v>2.5303095380170264</c:v>
                </c:pt>
                <c:pt idx="64">
                  <c:v>2.9690335774336969</c:v>
                </c:pt>
                <c:pt idx="65">
                  <c:v>3.1753351023863723</c:v>
                </c:pt>
                <c:pt idx="66">
                  <c:v>2.2758235590673013</c:v>
                </c:pt>
                <c:pt idx="67">
                  <c:v>2.0636239544226207</c:v>
                </c:pt>
                <c:pt idx="68">
                  <c:v>3.3938274723328217</c:v>
                </c:pt>
                <c:pt idx="69">
                  <c:v>1.2931671274988805</c:v>
                </c:pt>
                <c:pt idx="70">
                  <c:v>0.27063379113000507</c:v>
                </c:pt>
                <c:pt idx="71">
                  <c:v>0.377695266850398</c:v>
                </c:pt>
                <c:pt idx="72">
                  <c:v>2.6586010539526299</c:v>
                </c:pt>
                <c:pt idx="73">
                  <c:v>3.3332671511703054</c:v>
                </c:pt>
                <c:pt idx="74">
                  <c:v>2.9184491088216187</c:v>
                </c:pt>
                <c:pt idx="75">
                  <c:v>2.2293848693342624</c:v>
                </c:pt>
                <c:pt idx="76">
                  <c:v>0.77078579272821113</c:v>
                </c:pt>
                <c:pt idx="77">
                  <c:v>0.74573550771851216</c:v>
                </c:pt>
                <c:pt idx="78">
                  <c:v>1.4174985132724804</c:v>
                </c:pt>
                <c:pt idx="79">
                  <c:v>2.0172756798602851</c:v>
                </c:pt>
                <c:pt idx="80">
                  <c:v>1.8022041881195838</c:v>
                </c:pt>
                <c:pt idx="81">
                  <c:v>2.285586960035181</c:v>
                </c:pt>
                <c:pt idx="82">
                  <c:v>3.8538303046065669</c:v>
                </c:pt>
                <c:pt idx="83">
                  <c:v>3.1954282665276947</c:v>
                </c:pt>
                <c:pt idx="84">
                  <c:v>1.8389390022859429</c:v>
                </c:pt>
                <c:pt idx="85">
                  <c:v>0.60225291817352422</c:v>
                </c:pt>
                <c:pt idx="86">
                  <c:v>0.33747563991442803</c:v>
                </c:pt>
                <c:pt idx="87">
                  <c:v>1.2422074935845013</c:v>
                </c:pt>
                <c:pt idx="88">
                  <c:v>2.8242724969629482</c:v>
                </c:pt>
                <c:pt idx="89">
                  <c:v>3.0669051152388835</c:v>
                </c:pt>
                <c:pt idx="90">
                  <c:v>2.5719189385813377</c:v>
                </c:pt>
                <c:pt idx="91">
                  <c:v>2.9445726777638837</c:v>
                </c:pt>
                <c:pt idx="92">
                  <c:v>3.3035214825008135</c:v>
                </c:pt>
                <c:pt idx="93">
                  <c:v>2.9860573308027094</c:v>
                </c:pt>
                <c:pt idx="94">
                  <c:v>2.5563717766025151</c:v>
                </c:pt>
                <c:pt idx="95">
                  <c:v>2.3735855435813278</c:v>
                </c:pt>
                <c:pt idx="96">
                  <c:v>3.2573235134063565</c:v>
                </c:pt>
                <c:pt idx="97">
                  <c:v>0.17508109735905786</c:v>
                </c:pt>
                <c:pt idx="98">
                  <c:v>2.3839168121925711</c:v>
                </c:pt>
                <c:pt idx="99">
                  <c:v>1.7168399509781609</c:v>
                </c:pt>
                <c:pt idx="100">
                  <c:v>2.7645469983581412</c:v>
                </c:pt>
                <c:pt idx="101">
                  <c:v>1.7453123336150249</c:v>
                </c:pt>
                <c:pt idx="102">
                  <c:v>1.2232188291051087</c:v>
                </c:pt>
                <c:pt idx="103">
                  <c:v>0.23765642519415656</c:v>
                </c:pt>
                <c:pt idx="104">
                  <c:v>2.4428990435701201</c:v>
                </c:pt>
                <c:pt idx="105">
                  <c:v>0.99312008430532417</c:v>
                </c:pt>
                <c:pt idx="106">
                  <c:v>2.3490901534932029</c:v>
                </c:pt>
                <c:pt idx="107">
                  <c:v>1.8825524762535779</c:v>
                </c:pt>
              </c:numCache>
            </c:numRef>
          </c:val>
          <c:extLst>
            <c:ext xmlns:c16="http://schemas.microsoft.com/office/drawing/2014/chart" uri="{C3380CC4-5D6E-409C-BE32-E72D297353CC}">
              <c16:uniqueId val="{00000002-22F1-4320-9F0A-4B26C211DA1B}"/>
            </c:ext>
          </c:extLst>
        </c:ser>
        <c:dLbls>
          <c:showLegendKey val="0"/>
          <c:showVal val="0"/>
          <c:showCatName val="0"/>
          <c:showSerName val="0"/>
          <c:showPercent val="0"/>
          <c:showBubbleSize val="0"/>
        </c:dLbls>
        <c:gapWidth val="150"/>
        <c:overlap val="100"/>
        <c:axId val="343843672"/>
        <c:axId val="343844064"/>
      </c:barChart>
      <c:lineChart>
        <c:grouping val="standard"/>
        <c:varyColors val="0"/>
        <c:ser>
          <c:idx val="0"/>
          <c:order val="0"/>
          <c:tx>
            <c:strRef>
              <c:f>Mazumtirdzniecība!$K$2</c:f>
              <c:strCache>
                <c:ptCount val="1"/>
                <c:pt idx="0">
                  <c:v>Mazumtirdzniecība</c:v>
                </c:pt>
              </c:strCache>
            </c:strRef>
          </c:tx>
          <c:spPr>
            <a:ln w="28575" cap="rnd">
              <a:solidFill>
                <a:schemeClr val="tx1"/>
              </a:solidFill>
              <a:prstDash val="sysDash"/>
              <a:round/>
            </a:ln>
            <a:effectLst/>
          </c:spPr>
          <c:marker>
            <c:symbol val="none"/>
          </c:marker>
          <c:cat>
            <c:multiLvlStrRef>
              <c:f>Mazumtirdzniecība!$A$123:$B$230</c:f>
              <c:multiLvlStrCache>
                <c:ptCount val="108"/>
                <c:lvl>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pt idx="19">
                    <c:v>VIII</c:v>
                  </c:pt>
                  <c:pt idx="20">
                    <c:v>IX</c:v>
                  </c:pt>
                  <c:pt idx="21">
                    <c:v>X</c:v>
                  </c:pt>
                  <c:pt idx="22">
                    <c:v>XI</c:v>
                  </c:pt>
                  <c:pt idx="23">
                    <c:v>XII</c:v>
                  </c:pt>
                  <c:pt idx="24">
                    <c:v>I</c:v>
                  </c:pt>
                  <c:pt idx="25">
                    <c:v>II</c:v>
                  </c:pt>
                  <c:pt idx="26">
                    <c:v>III</c:v>
                  </c:pt>
                  <c:pt idx="27">
                    <c:v>IV</c:v>
                  </c:pt>
                  <c:pt idx="28">
                    <c:v>V</c:v>
                  </c:pt>
                  <c:pt idx="29">
                    <c:v>VI</c:v>
                  </c:pt>
                  <c:pt idx="30">
                    <c:v>VII</c:v>
                  </c:pt>
                  <c:pt idx="31">
                    <c:v>VIII</c:v>
                  </c:pt>
                  <c:pt idx="32">
                    <c:v>IX</c:v>
                  </c:pt>
                  <c:pt idx="33">
                    <c:v>X</c:v>
                  </c:pt>
                  <c:pt idx="34">
                    <c:v>XI</c:v>
                  </c:pt>
                  <c:pt idx="35">
                    <c:v>XII</c:v>
                  </c:pt>
                  <c:pt idx="36">
                    <c:v>I</c:v>
                  </c:pt>
                  <c:pt idx="37">
                    <c:v>II</c:v>
                  </c:pt>
                  <c:pt idx="38">
                    <c:v>III</c:v>
                  </c:pt>
                  <c:pt idx="39">
                    <c:v>IV</c:v>
                  </c:pt>
                  <c:pt idx="40">
                    <c:v>V</c:v>
                  </c:pt>
                  <c:pt idx="41">
                    <c:v>VI</c:v>
                  </c:pt>
                  <c:pt idx="42">
                    <c:v>VII</c:v>
                  </c:pt>
                  <c:pt idx="43">
                    <c:v>VIII</c:v>
                  </c:pt>
                  <c:pt idx="44">
                    <c:v>IX</c:v>
                  </c:pt>
                  <c:pt idx="45">
                    <c:v>X</c:v>
                  </c:pt>
                  <c:pt idx="46">
                    <c:v>XI</c:v>
                  </c:pt>
                  <c:pt idx="47">
                    <c:v>XII</c:v>
                  </c:pt>
                  <c:pt idx="48">
                    <c:v>I</c:v>
                  </c:pt>
                  <c:pt idx="49">
                    <c:v>II</c:v>
                  </c:pt>
                  <c:pt idx="50">
                    <c:v>III</c:v>
                  </c:pt>
                  <c:pt idx="51">
                    <c:v>IV</c:v>
                  </c:pt>
                  <c:pt idx="52">
                    <c:v>V</c:v>
                  </c:pt>
                  <c:pt idx="53">
                    <c:v>VI</c:v>
                  </c:pt>
                  <c:pt idx="54">
                    <c:v>VII</c:v>
                  </c:pt>
                  <c:pt idx="55">
                    <c:v>VIII</c:v>
                  </c:pt>
                  <c:pt idx="56">
                    <c:v>IX</c:v>
                  </c:pt>
                  <c:pt idx="57">
                    <c:v>X</c:v>
                  </c:pt>
                  <c:pt idx="58">
                    <c:v>XI</c:v>
                  </c:pt>
                  <c:pt idx="59">
                    <c:v>XII</c:v>
                  </c:pt>
                  <c:pt idx="60">
                    <c:v>I</c:v>
                  </c:pt>
                  <c:pt idx="61">
                    <c:v>II</c:v>
                  </c:pt>
                  <c:pt idx="62">
                    <c:v>III</c:v>
                  </c:pt>
                  <c:pt idx="63">
                    <c:v>IV</c:v>
                  </c:pt>
                  <c:pt idx="64">
                    <c:v>V</c:v>
                  </c:pt>
                  <c:pt idx="65">
                    <c:v>VI</c:v>
                  </c:pt>
                  <c:pt idx="66">
                    <c:v>VII</c:v>
                  </c:pt>
                  <c:pt idx="67">
                    <c:v>VIII</c:v>
                  </c:pt>
                  <c:pt idx="68">
                    <c:v>IX</c:v>
                  </c:pt>
                  <c:pt idx="69">
                    <c:v>X</c:v>
                  </c:pt>
                  <c:pt idx="70">
                    <c:v>XI</c:v>
                  </c:pt>
                  <c:pt idx="71">
                    <c:v>XII</c:v>
                  </c:pt>
                  <c:pt idx="72">
                    <c:v>I</c:v>
                  </c:pt>
                  <c:pt idx="73">
                    <c:v>II</c:v>
                  </c:pt>
                  <c:pt idx="74">
                    <c:v>III</c:v>
                  </c:pt>
                  <c:pt idx="75">
                    <c:v>IV</c:v>
                  </c:pt>
                  <c:pt idx="76">
                    <c:v>V</c:v>
                  </c:pt>
                  <c:pt idx="77">
                    <c:v>VI</c:v>
                  </c:pt>
                  <c:pt idx="78">
                    <c:v>VII</c:v>
                  </c:pt>
                  <c:pt idx="79">
                    <c:v>VIII</c:v>
                  </c:pt>
                  <c:pt idx="80">
                    <c:v>IX</c:v>
                  </c:pt>
                  <c:pt idx="81">
                    <c:v>X</c:v>
                  </c:pt>
                  <c:pt idx="82">
                    <c:v>XI</c:v>
                  </c:pt>
                  <c:pt idx="83">
                    <c:v>XII</c:v>
                  </c:pt>
                  <c:pt idx="84">
                    <c:v>I</c:v>
                  </c:pt>
                  <c:pt idx="85">
                    <c:v>II</c:v>
                  </c:pt>
                  <c:pt idx="86">
                    <c:v>III</c:v>
                  </c:pt>
                  <c:pt idx="87">
                    <c:v>IV</c:v>
                  </c:pt>
                  <c:pt idx="88">
                    <c:v>V</c:v>
                  </c:pt>
                  <c:pt idx="89">
                    <c:v>VI</c:v>
                  </c:pt>
                  <c:pt idx="90">
                    <c:v>VII</c:v>
                  </c:pt>
                  <c:pt idx="91">
                    <c:v>VIII</c:v>
                  </c:pt>
                  <c:pt idx="92">
                    <c:v>IX</c:v>
                  </c:pt>
                  <c:pt idx="93">
                    <c:v>X</c:v>
                  </c:pt>
                  <c:pt idx="94">
                    <c:v>XI</c:v>
                  </c:pt>
                  <c:pt idx="95">
                    <c:v>XII</c:v>
                  </c:pt>
                  <c:pt idx="96">
                    <c:v>I</c:v>
                  </c:pt>
                  <c:pt idx="97">
                    <c:v>II</c:v>
                  </c:pt>
                  <c:pt idx="98">
                    <c:v>III</c:v>
                  </c:pt>
                  <c:pt idx="99">
                    <c:v>IV</c:v>
                  </c:pt>
                  <c:pt idx="100">
                    <c:v>V</c:v>
                  </c:pt>
                  <c:pt idx="101">
                    <c:v>VI</c:v>
                  </c:pt>
                  <c:pt idx="102">
                    <c:v>VII</c:v>
                  </c:pt>
                  <c:pt idx="103">
                    <c:v>VIII</c:v>
                  </c:pt>
                  <c:pt idx="104">
                    <c:v>IX</c:v>
                  </c:pt>
                  <c:pt idx="105">
                    <c:v>X</c:v>
                  </c:pt>
                  <c:pt idx="106">
                    <c:v>XI</c:v>
                  </c:pt>
                  <c:pt idx="107">
                    <c:v>XII</c:v>
                  </c:pt>
                </c:lvl>
                <c:lvl>
                  <c:pt idx="0">
                    <c:v>2010</c:v>
                  </c:pt>
                  <c:pt idx="12">
                    <c:v>2011</c:v>
                  </c:pt>
                  <c:pt idx="24">
                    <c:v>2012</c:v>
                  </c:pt>
                  <c:pt idx="36">
                    <c:v>2013</c:v>
                  </c:pt>
                  <c:pt idx="48">
                    <c:v>2014</c:v>
                  </c:pt>
                  <c:pt idx="60">
                    <c:v>2015</c:v>
                  </c:pt>
                  <c:pt idx="72">
                    <c:v>2016</c:v>
                  </c:pt>
                  <c:pt idx="84">
                    <c:v>2017</c:v>
                  </c:pt>
                  <c:pt idx="96">
                    <c:v>2018</c:v>
                  </c:pt>
                </c:lvl>
              </c:multiLvlStrCache>
            </c:multiLvlStrRef>
          </c:cat>
          <c:val>
            <c:numRef>
              <c:f>Mazumtirdzniecība!$K$123:$K$230</c:f>
              <c:numCache>
                <c:formatCode>0.0</c:formatCode>
                <c:ptCount val="108"/>
                <c:pt idx="0">
                  <c:v>-17.281105990783409</c:v>
                </c:pt>
                <c:pt idx="1">
                  <c:v>-13.468869123252869</c:v>
                </c:pt>
                <c:pt idx="2">
                  <c:v>-7.4209245742092538</c:v>
                </c:pt>
                <c:pt idx="3">
                  <c:v>-7.7014218009478714</c:v>
                </c:pt>
                <c:pt idx="4">
                  <c:v>-6.2785388127853832</c:v>
                </c:pt>
                <c:pt idx="5">
                  <c:v>-3.0480656506447712</c:v>
                </c:pt>
                <c:pt idx="6">
                  <c:v>-2.3094688221709014</c:v>
                </c:pt>
                <c:pt idx="7">
                  <c:v>2.100350058343059</c:v>
                </c:pt>
                <c:pt idx="8">
                  <c:v>4.5397225725094748</c:v>
                </c:pt>
                <c:pt idx="9">
                  <c:v>4.0100250626566414</c:v>
                </c:pt>
                <c:pt idx="10">
                  <c:v>5.9379217273954232</c:v>
                </c:pt>
                <c:pt idx="11">
                  <c:v>5.3960964408725554</c:v>
                </c:pt>
                <c:pt idx="12">
                  <c:v>-1.532033426183832</c:v>
                </c:pt>
                <c:pt idx="13">
                  <c:v>1.4684287812041008</c:v>
                </c:pt>
                <c:pt idx="14">
                  <c:v>-0.39421813403416328</c:v>
                </c:pt>
                <c:pt idx="15">
                  <c:v>-1.7971758664955151</c:v>
                </c:pt>
                <c:pt idx="16">
                  <c:v>-0.60901339829476653</c:v>
                </c:pt>
                <c:pt idx="17">
                  <c:v>1.5719467956469169</c:v>
                </c:pt>
                <c:pt idx="18">
                  <c:v>4.1371158392434992</c:v>
                </c:pt>
                <c:pt idx="19">
                  <c:v>4.8000000000000043</c:v>
                </c:pt>
                <c:pt idx="20">
                  <c:v>4.5838359469239975</c:v>
                </c:pt>
                <c:pt idx="21">
                  <c:v>3.9759036144578319</c:v>
                </c:pt>
                <c:pt idx="22">
                  <c:v>5.7324840764331197</c:v>
                </c:pt>
                <c:pt idx="23">
                  <c:v>4.3572984749455257</c:v>
                </c:pt>
                <c:pt idx="24">
                  <c:v>11.739745403111733</c:v>
                </c:pt>
                <c:pt idx="25">
                  <c:v>7.5253256150506598</c:v>
                </c:pt>
                <c:pt idx="26">
                  <c:v>6.9920844327176823</c:v>
                </c:pt>
                <c:pt idx="27">
                  <c:v>5.7516339869281063</c:v>
                </c:pt>
                <c:pt idx="28">
                  <c:v>6.0049019607843146</c:v>
                </c:pt>
                <c:pt idx="29">
                  <c:v>7.2619047619047583</c:v>
                </c:pt>
                <c:pt idx="30">
                  <c:v>8.6265607264472308</c:v>
                </c:pt>
                <c:pt idx="31">
                  <c:v>7.4154852780806912</c:v>
                </c:pt>
                <c:pt idx="32">
                  <c:v>7.0357554786620424</c:v>
                </c:pt>
                <c:pt idx="33">
                  <c:v>7.0683661645422946</c:v>
                </c:pt>
                <c:pt idx="34">
                  <c:v>4.5783132530120341</c:v>
                </c:pt>
                <c:pt idx="35">
                  <c:v>7.9331941544885209</c:v>
                </c:pt>
                <c:pt idx="36">
                  <c:v>3.9240506329113911</c:v>
                </c:pt>
                <c:pt idx="37">
                  <c:v>4.5760430686406561</c:v>
                </c:pt>
                <c:pt idx="38">
                  <c:v>6.1652281134402021</c:v>
                </c:pt>
                <c:pt idx="39">
                  <c:v>3.4610630407911014</c:v>
                </c:pt>
                <c:pt idx="40">
                  <c:v>7.0520231213872853</c:v>
                </c:pt>
                <c:pt idx="41">
                  <c:v>2.6637069922308632</c:v>
                </c:pt>
                <c:pt idx="42">
                  <c:v>3.1347962382445083</c:v>
                </c:pt>
                <c:pt idx="43">
                  <c:v>2.0304568527918843</c:v>
                </c:pt>
                <c:pt idx="44">
                  <c:v>2.4784482758620552</c:v>
                </c:pt>
                <c:pt idx="45">
                  <c:v>3.0303030303030276</c:v>
                </c:pt>
                <c:pt idx="46">
                  <c:v>5.069124423963145</c:v>
                </c:pt>
                <c:pt idx="47">
                  <c:v>4.7388781431334515</c:v>
                </c:pt>
                <c:pt idx="48">
                  <c:v>1.705237515225333</c:v>
                </c:pt>
                <c:pt idx="49">
                  <c:v>1.158301158301156</c:v>
                </c:pt>
                <c:pt idx="50">
                  <c:v>3.832752613240431</c:v>
                </c:pt>
                <c:pt idx="51">
                  <c:v>10.394265232974909</c:v>
                </c:pt>
                <c:pt idx="52">
                  <c:v>1.8358531317494542</c:v>
                </c:pt>
                <c:pt idx="53">
                  <c:v>2.5945945945945903</c:v>
                </c:pt>
                <c:pt idx="54">
                  <c:v>3.6474164133738496</c:v>
                </c:pt>
                <c:pt idx="55">
                  <c:v>3.5820895522387985</c:v>
                </c:pt>
                <c:pt idx="56">
                  <c:v>3.1545741324921162</c:v>
                </c:pt>
                <c:pt idx="57">
                  <c:v>4.7268907563025264</c:v>
                </c:pt>
                <c:pt idx="58">
                  <c:v>4.4956140350877138</c:v>
                </c:pt>
                <c:pt idx="59">
                  <c:v>2.8624192059095277</c:v>
                </c:pt>
                <c:pt idx="60">
                  <c:v>6.706586826347305</c:v>
                </c:pt>
                <c:pt idx="61">
                  <c:v>8.9058524173027962</c:v>
                </c:pt>
                <c:pt idx="62">
                  <c:v>7.0469798657718075</c:v>
                </c:pt>
                <c:pt idx="63">
                  <c:v>3.5714285714285587</c:v>
                </c:pt>
                <c:pt idx="64">
                  <c:v>5.4082714740190996</c:v>
                </c:pt>
                <c:pt idx="65">
                  <c:v>7.1654373024236051</c:v>
                </c:pt>
                <c:pt idx="66">
                  <c:v>4.9853372434017773</c:v>
                </c:pt>
                <c:pt idx="67">
                  <c:v>5.6676272814601303</c:v>
                </c:pt>
                <c:pt idx="68">
                  <c:v>4.4852191641182593</c:v>
                </c:pt>
                <c:pt idx="69">
                  <c:v>5.2156469408224604</c:v>
                </c:pt>
                <c:pt idx="70">
                  <c:v>-0.31479538300104304</c:v>
                </c:pt>
                <c:pt idx="71">
                  <c:v>1.3464991023339312</c:v>
                </c:pt>
                <c:pt idx="72">
                  <c:v>3.0303030303030276</c:v>
                </c:pt>
                <c:pt idx="73">
                  <c:v>1.7523364485981352</c:v>
                </c:pt>
                <c:pt idx="74">
                  <c:v>1.1494252873563093</c:v>
                </c:pt>
                <c:pt idx="75">
                  <c:v>2.4033437826541215</c:v>
                </c:pt>
                <c:pt idx="76">
                  <c:v>3.4205231388329871</c:v>
                </c:pt>
                <c:pt idx="77">
                  <c:v>1.9665683382497523</c:v>
                </c:pt>
                <c:pt idx="78">
                  <c:v>2.0484171322159961</c:v>
                </c:pt>
                <c:pt idx="79">
                  <c:v>1.0000000000000009</c:v>
                </c:pt>
                <c:pt idx="80">
                  <c:v>0.97560975609756184</c:v>
                </c:pt>
                <c:pt idx="81">
                  <c:v>0.38131553860818457</c:v>
                </c:pt>
                <c:pt idx="82">
                  <c:v>4.9473684210526336</c:v>
                </c:pt>
                <c:pt idx="83">
                  <c:v>2.3029229406554386</c:v>
                </c:pt>
                <c:pt idx="84">
                  <c:v>3.4858387799564294</c:v>
                </c:pt>
                <c:pt idx="85">
                  <c:v>2.2962112514351318</c:v>
                </c:pt>
                <c:pt idx="86">
                  <c:v>2.1694214876033069</c:v>
                </c:pt>
                <c:pt idx="87">
                  <c:v>3.5714285714285809</c:v>
                </c:pt>
                <c:pt idx="88">
                  <c:v>4.2801556420233533</c:v>
                </c:pt>
                <c:pt idx="89">
                  <c:v>3.5679845708775249</c:v>
                </c:pt>
                <c:pt idx="90">
                  <c:v>4.4708029197080279</c:v>
                </c:pt>
                <c:pt idx="91">
                  <c:v>5.3105310531053052</c:v>
                </c:pt>
                <c:pt idx="92">
                  <c:v>5.1207729468599084</c:v>
                </c:pt>
                <c:pt idx="93">
                  <c:v>4.368471035137711</c:v>
                </c:pt>
                <c:pt idx="94">
                  <c:v>5.6168505516549505</c:v>
                </c:pt>
                <c:pt idx="95">
                  <c:v>7.3593073593073655</c:v>
                </c:pt>
                <c:pt idx="96">
                  <c:v>6.4210526315789496</c:v>
                </c:pt>
                <c:pt idx="97">
                  <c:v>3.4792368125701634</c:v>
                </c:pt>
                <c:pt idx="98">
                  <c:v>6.2689585439838158</c:v>
                </c:pt>
                <c:pt idx="99">
                  <c:v>3.0541871921182295</c:v>
                </c:pt>
                <c:pt idx="100">
                  <c:v>6.7164179104477695</c:v>
                </c:pt>
                <c:pt idx="101">
                  <c:v>5.1210428305400457</c:v>
                </c:pt>
                <c:pt idx="102">
                  <c:v>4.1921397379912628</c:v>
                </c:pt>
                <c:pt idx="103">
                  <c:v>1.3675213675213627</c:v>
                </c:pt>
                <c:pt idx="104">
                  <c:v>3.3088235294117752</c:v>
                </c:pt>
                <c:pt idx="105">
                  <c:v>2.3657870791628621</c:v>
                </c:pt>
                <c:pt idx="106">
                  <c:v>3.9886039886039892</c:v>
                </c:pt>
                <c:pt idx="107">
                  <c:v>2.1774193548387055</c:v>
                </c:pt>
              </c:numCache>
            </c:numRef>
          </c:val>
          <c:smooth val="0"/>
          <c:extLst>
            <c:ext xmlns:c16="http://schemas.microsoft.com/office/drawing/2014/chart" uri="{C3380CC4-5D6E-409C-BE32-E72D297353CC}">
              <c16:uniqueId val="{00000003-22F1-4320-9F0A-4B26C211DA1B}"/>
            </c:ext>
          </c:extLst>
        </c:ser>
        <c:dLbls>
          <c:showLegendKey val="0"/>
          <c:showVal val="0"/>
          <c:showCatName val="0"/>
          <c:showSerName val="0"/>
          <c:showPercent val="0"/>
          <c:showBubbleSize val="0"/>
        </c:dLbls>
        <c:marker val="1"/>
        <c:smooth val="0"/>
        <c:axId val="343843672"/>
        <c:axId val="343844064"/>
      </c:lineChart>
      <c:catAx>
        <c:axId val="343843672"/>
        <c:scaling>
          <c:orientation val="minMax"/>
        </c:scaling>
        <c:delete val="0"/>
        <c:axPos val="b"/>
        <c:numFmt formatCode="General" sourceLinked="0"/>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343844064"/>
        <c:crosses val="autoZero"/>
        <c:auto val="1"/>
        <c:lblAlgn val="ctr"/>
        <c:lblOffset val="100"/>
        <c:noMultiLvlLbl val="0"/>
      </c:catAx>
      <c:valAx>
        <c:axId val="3438440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3438436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lv-LV" sz="1200" b="1">
                <a:solidFill>
                  <a:schemeClr val="tx1"/>
                </a:solidFill>
                <a:latin typeface="Times New Roman" panose="02020603050405020304" pitchFamily="18" charset="0"/>
                <a:cs typeface="Times New Roman" panose="02020603050405020304" pitchFamily="18" charset="0"/>
              </a:rPr>
              <a:t>Milj. eiro</a:t>
            </a:r>
          </a:p>
        </c:rich>
      </c:tx>
      <c:layout>
        <c:manualLayout>
          <c:xMode val="edge"/>
          <c:yMode val="edge"/>
          <c:x val="4.2697004011622471E-3"/>
          <c:y val="9.9750597325427293E-3"/>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clustered"/>
        <c:varyColors val="0"/>
        <c:ser>
          <c:idx val="2"/>
          <c:order val="2"/>
          <c:tx>
            <c:strRef>
              <c:f>'[ATD200 (18).xlsx]ATD200'!$D$9</c:f>
              <c:strCache>
                <c:ptCount val="1"/>
                <c:pt idx="0">
                  <c:v>Preču tirdzniecības bilance</c:v>
                </c:pt>
              </c:strCache>
            </c:strRef>
          </c:tx>
          <c:spPr>
            <a:solidFill>
              <a:srgbClr val="00B050"/>
            </a:solidFill>
            <a:ln>
              <a:noFill/>
            </a:ln>
            <a:effectLst/>
          </c:spPr>
          <c:invertIfNegative val="0"/>
          <c:cat>
            <c:strRef>
              <c:f>'[ATD200 (18).xlsx]ATD200'!$E$3:$O$3</c:f>
              <c:strCache>
                <c:ptCount val="11"/>
                <c:pt idx="0">
                  <c:v>2008</c:v>
                </c:pt>
                <c:pt idx="1">
                  <c:v>2009</c:v>
                </c:pt>
                <c:pt idx="2">
                  <c:v>2010</c:v>
                </c:pt>
                <c:pt idx="3">
                  <c:v>2011</c:v>
                </c:pt>
                <c:pt idx="4">
                  <c:v>2012</c:v>
                </c:pt>
                <c:pt idx="5">
                  <c:v>2013</c:v>
                </c:pt>
                <c:pt idx="6">
                  <c:v>2014</c:v>
                </c:pt>
                <c:pt idx="7">
                  <c:v>2015</c:v>
                </c:pt>
                <c:pt idx="8">
                  <c:v>2016</c:v>
                </c:pt>
                <c:pt idx="9">
                  <c:v>2017</c:v>
                </c:pt>
                <c:pt idx="10">
                  <c:v>2018</c:v>
                </c:pt>
              </c:strCache>
            </c:strRef>
          </c:cat>
          <c:val>
            <c:numRef>
              <c:f>'[ATD200 (18).xlsx]ATD200'!$E$9:$O$9</c:f>
              <c:numCache>
                <c:formatCode>#,##0</c:formatCode>
                <c:ptCount val="11"/>
                <c:pt idx="0">
                  <c:v>-4409.1082270000006</c:v>
                </c:pt>
                <c:pt idx="1">
                  <c:v>-1575.8773600000004</c:v>
                </c:pt>
                <c:pt idx="2">
                  <c:v>-1731.620379</c:v>
                </c:pt>
                <c:pt idx="3">
                  <c:v>-2448.1693849999992</c:v>
                </c:pt>
                <c:pt idx="4">
                  <c:v>-2641.2258999999995</c:v>
                </c:pt>
                <c:pt idx="5">
                  <c:v>-2613.8476970000011</c:v>
                </c:pt>
                <c:pt idx="6">
                  <c:v>-2405.7339700000011</c:v>
                </c:pt>
                <c:pt idx="7">
                  <c:v>-2128.9218860000001</c:v>
                </c:pt>
                <c:pt idx="8">
                  <c:v>-1891.5158649999994</c:v>
                </c:pt>
                <c:pt idx="9">
                  <c:v>-2534.0402540000014</c:v>
                </c:pt>
                <c:pt idx="10">
                  <c:v>-3120.3198489999995</c:v>
                </c:pt>
              </c:numCache>
            </c:numRef>
          </c:val>
          <c:extLst>
            <c:ext xmlns:c16="http://schemas.microsoft.com/office/drawing/2014/chart" uri="{C3380CC4-5D6E-409C-BE32-E72D297353CC}">
              <c16:uniqueId val="{00000000-4392-4929-8FA2-AFBE1F7772AE}"/>
            </c:ext>
          </c:extLst>
        </c:ser>
        <c:dLbls>
          <c:showLegendKey val="0"/>
          <c:showVal val="0"/>
          <c:showCatName val="0"/>
          <c:showSerName val="0"/>
          <c:showPercent val="0"/>
          <c:showBubbleSize val="0"/>
        </c:dLbls>
        <c:gapWidth val="150"/>
        <c:axId val="562215903"/>
        <c:axId val="562228799"/>
      </c:barChart>
      <c:lineChart>
        <c:grouping val="standard"/>
        <c:varyColors val="0"/>
        <c:ser>
          <c:idx val="0"/>
          <c:order val="0"/>
          <c:tx>
            <c:strRef>
              <c:f>'[ATD200 (18).xlsx]ATD200'!$D$7</c:f>
              <c:strCache>
                <c:ptCount val="1"/>
                <c:pt idx="0">
                  <c:v>Preču imports</c:v>
                </c:pt>
              </c:strCache>
            </c:strRef>
          </c:tx>
          <c:spPr>
            <a:ln w="28575" cap="rnd">
              <a:solidFill>
                <a:schemeClr val="accent1"/>
              </a:solidFill>
              <a:round/>
            </a:ln>
            <a:effectLst/>
          </c:spPr>
          <c:marker>
            <c:symbol val="none"/>
          </c:marker>
          <c:cat>
            <c:strRef>
              <c:f>'[ATD200 (18).xlsx]ATD200'!$E$3:$O$3</c:f>
              <c:strCache>
                <c:ptCount val="11"/>
                <c:pt idx="0">
                  <c:v>2008</c:v>
                </c:pt>
                <c:pt idx="1">
                  <c:v>2009</c:v>
                </c:pt>
                <c:pt idx="2">
                  <c:v>2010</c:v>
                </c:pt>
                <c:pt idx="3">
                  <c:v>2011</c:v>
                </c:pt>
                <c:pt idx="4">
                  <c:v>2012</c:v>
                </c:pt>
                <c:pt idx="5">
                  <c:v>2013</c:v>
                </c:pt>
                <c:pt idx="6">
                  <c:v>2014</c:v>
                </c:pt>
                <c:pt idx="7">
                  <c:v>2015</c:v>
                </c:pt>
                <c:pt idx="8">
                  <c:v>2016</c:v>
                </c:pt>
                <c:pt idx="9">
                  <c:v>2017</c:v>
                </c:pt>
                <c:pt idx="10">
                  <c:v>2018</c:v>
                </c:pt>
              </c:strCache>
            </c:strRef>
          </c:cat>
          <c:val>
            <c:numRef>
              <c:f>'[ATD200 (18).xlsx]ATD200'!$E$7:$O$7</c:f>
              <c:numCache>
                <c:formatCode>#,##0</c:formatCode>
                <c:ptCount val="11"/>
                <c:pt idx="0">
                  <c:v>10710.928544</c:v>
                </c:pt>
                <c:pt idx="1">
                  <c:v>6701.4065730000002</c:v>
                </c:pt>
                <c:pt idx="2">
                  <c:v>8411.838221</c:v>
                </c:pt>
                <c:pt idx="3">
                  <c:v>10983.288391</c:v>
                </c:pt>
                <c:pt idx="4">
                  <c:v>12512.279640999999</c:v>
                </c:pt>
                <c:pt idx="5">
                  <c:v>12635.13888</c:v>
                </c:pt>
                <c:pt idx="6">
                  <c:v>12654.337744</c:v>
                </c:pt>
                <c:pt idx="7">
                  <c:v>12492.133865</c:v>
                </c:pt>
                <c:pt idx="8">
                  <c:v>12249.219748</c:v>
                </c:pt>
                <c:pt idx="9">
                  <c:v>14041.073748000001</c:v>
                </c:pt>
                <c:pt idx="10">
                  <c:v>15461.243929</c:v>
                </c:pt>
              </c:numCache>
            </c:numRef>
          </c:val>
          <c:smooth val="0"/>
          <c:extLst>
            <c:ext xmlns:c16="http://schemas.microsoft.com/office/drawing/2014/chart" uri="{C3380CC4-5D6E-409C-BE32-E72D297353CC}">
              <c16:uniqueId val="{00000001-4392-4929-8FA2-AFBE1F7772AE}"/>
            </c:ext>
          </c:extLst>
        </c:ser>
        <c:ser>
          <c:idx val="1"/>
          <c:order val="1"/>
          <c:tx>
            <c:strRef>
              <c:f>'[ATD200 (18).xlsx]ATD200'!$D$8</c:f>
              <c:strCache>
                <c:ptCount val="1"/>
                <c:pt idx="0">
                  <c:v>Preču eksports</c:v>
                </c:pt>
              </c:strCache>
            </c:strRef>
          </c:tx>
          <c:spPr>
            <a:ln w="28575" cap="rnd">
              <a:solidFill>
                <a:schemeClr val="accent2"/>
              </a:solidFill>
              <a:round/>
            </a:ln>
            <a:effectLst/>
          </c:spPr>
          <c:marker>
            <c:symbol val="none"/>
          </c:marker>
          <c:cat>
            <c:strRef>
              <c:f>'[ATD200 (18).xlsx]ATD200'!$E$3:$O$3</c:f>
              <c:strCache>
                <c:ptCount val="11"/>
                <c:pt idx="0">
                  <c:v>2008</c:v>
                </c:pt>
                <c:pt idx="1">
                  <c:v>2009</c:v>
                </c:pt>
                <c:pt idx="2">
                  <c:v>2010</c:v>
                </c:pt>
                <c:pt idx="3">
                  <c:v>2011</c:v>
                </c:pt>
                <c:pt idx="4">
                  <c:v>2012</c:v>
                </c:pt>
                <c:pt idx="5">
                  <c:v>2013</c:v>
                </c:pt>
                <c:pt idx="6">
                  <c:v>2014</c:v>
                </c:pt>
                <c:pt idx="7">
                  <c:v>2015</c:v>
                </c:pt>
                <c:pt idx="8">
                  <c:v>2016</c:v>
                </c:pt>
                <c:pt idx="9">
                  <c:v>2017</c:v>
                </c:pt>
                <c:pt idx="10">
                  <c:v>2018</c:v>
                </c:pt>
              </c:strCache>
            </c:strRef>
          </c:cat>
          <c:val>
            <c:numRef>
              <c:f>'[ATD200 (18).xlsx]ATD200'!$E$8:$O$8</c:f>
              <c:numCache>
                <c:formatCode>#,##0</c:formatCode>
                <c:ptCount val="11"/>
                <c:pt idx="0">
                  <c:v>6301.8203169999997</c:v>
                </c:pt>
                <c:pt idx="1">
                  <c:v>5125.5292129999998</c:v>
                </c:pt>
                <c:pt idx="2">
                  <c:v>6680.217842</c:v>
                </c:pt>
                <c:pt idx="3">
                  <c:v>8535.1190060000008</c:v>
                </c:pt>
                <c:pt idx="4">
                  <c:v>9871.0537409999997</c:v>
                </c:pt>
                <c:pt idx="5">
                  <c:v>10021.291182999999</c:v>
                </c:pt>
                <c:pt idx="6">
                  <c:v>10248.603773999999</c:v>
                </c:pt>
                <c:pt idx="7">
                  <c:v>10363.211979</c:v>
                </c:pt>
                <c:pt idx="8">
                  <c:v>10357.703883</c:v>
                </c:pt>
                <c:pt idx="9">
                  <c:v>11507.033493999999</c:v>
                </c:pt>
                <c:pt idx="10">
                  <c:v>12340.924080000001</c:v>
                </c:pt>
              </c:numCache>
            </c:numRef>
          </c:val>
          <c:smooth val="0"/>
          <c:extLst>
            <c:ext xmlns:c16="http://schemas.microsoft.com/office/drawing/2014/chart" uri="{C3380CC4-5D6E-409C-BE32-E72D297353CC}">
              <c16:uniqueId val="{00000002-4392-4929-8FA2-AFBE1F7772AE}"/>
            </c:ext>
          </c:extLst>
        </c:ser>
        <c:dLbls>
          <c:showLegendKey val="0"/>
          <c:showVal val="0"/>
          <c:showCatName val="0"/>
          <c:showSerName val="0"/>
          <c:showPercent val="0"/>
          <c:showBubbleSize val="0"/>
        </c:dLbls>
        <c:marker val="1"/>
        <c:smooth val="0"/>
        <c:axId val="562215903"/>
        <c:axId val="562228799"/>
      </c:lineChart>
      <c:catAx>
        <c:axId val="562215903"/>
        <c:scaling>
          <c:orientation val="minMax"/>
        </c:scaling>
        <c:delete val="0"/>
        <c:axPos val="b"/>
        <c:numFmt formatCode="General" sourceLinked="1"/>
        <c:majorTickMark val="none"/>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562228799"/>
        <c:crosses val="autoZero"/>
        <c:auto val="1"/>
        <c:lblAlgn val="ctr"/>
        <c:lblOffset val="100"/>
        <c:noMultiLvlLbl val="0"/>
      </c:catAx>
      <c:valAx>
        <c:axId val="56222879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562215903"/>
        <c:crosses val="autoZero"/>
        <c:crossBetween val="between"/>
        <c:majorUnit val="200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lv-LV" sz="1200" b="1">
                <a:solidFill>
                  <a:schemeClr val="tx1"/>
                </a:solidFill>
                <a:latin typeface="Times New Roman" panose="02020603050405020304" pitchFamily="18" charset="0"/>
                <a:cs typeface="Times New Roman" panose="02020603050405020304" pitchFamily="18" charset="0"/>
              </a:rPr>
              <a:t>Milj. </a:t>
            </a:r>
            <a:r>
              <a:rPr lang="lv-LV" sz="1200" b="1" i="1">
                <a:solidFill>
                  <a:schemeClr val="tx1"/>
                </a:solidFill>
                <a:latin typeface="Times New Roman" panose="02020603050405020304" pitchFamily="18" charset="0"/>
                <a:cs typeface="Times New Roman" panose="02020603050405020304" pitchFamily="18" charset="0"/>
              </a:rPr>
              <a:t>euro</a:t>
            </a:r>
          </a:p>
        </c:rich>
      </c:tx>
      <c:layout>
        <c:manualLayout>
          <c:xMode val="edge"/>
          <c:yMode val="edge"/>
          <c:x val="5.2278806601980324E-3"/>
          <c:y val="1.4532164190854662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barChart>
        <c:barDir val="col"/>
        <c:grouping val="stacked"/>
        <c:varyColors val="0"/>
        <c:ser>
          <c:idx val="0"/>
          <c:order val="0"/>
          <c:tx>
            <c:strRef>
              <c:f>Eksports_pa_gadiem!$J$139</c:f>
              <c:strCache>
                <c:ptCount val="1"/>
                <c:pt idx="0">
                  <c:v>Lauksaimniecības preces un pārtika</c:v>
                </c:pt>
              </c:strCache>
            </c:strRef>
          </c:tx>
          <c:spPr>
            <a:solidFill>
              <a:schemeClr val="accent1"/>
            </a:solidFill>
            <a:ln>
              <a:noFill/>
            </a:ln>
            <a:effectLst/>
          </c:spPr>
          <c:invertIfNegative val="0"/>
          <c:cat>
            <c:strRef>
              <c:f>Eksports_pa_gadiem!$L$2:$P$2</c:f>
              <c:strCache>
                <c:ptCount val="5"/>
                <c:pt idx="0">
                  <c:v>2014</c:v>
                </c:pt>
                <c:pt idx="1">
                  <c:v>2015</c:v>
                </c:pt>
                <c:pt idx="2">
                  <c:v>2016</c:v>
                </c:pt>
                <c:pt idx="3">
                  <c:v>2017</c:v>
                </c:pt>
                <c:pt idx="4">
                  <c:v>2018</c:v>
                </c:pt>
              </c:strCache>
            </c:strRef>
          </c:cat>
          <c:val>
            <c:numRef>
              <c:f>Eksports_pa_gadiem!$L$139:$P$139</c:f>
              <c:numCache>
                <c:formatCode>#,##0</c:formatCode>
                <c:ptCount val="5"/>
                <c:pt idx="0">
                  <c:v>1981.0916460000001</c:v>
                </c:pt>
                <c:pt idx="1">
                  <c:v>1923.6997570000001</c:v>
                </c:pt>
                <c:pt idx="2">
                  <c:v>1997.475107</c:v>
                </c:pt>
                <c:pt idx="3">
                  <c:v>2380.2253190000001</c:v>
                </c:pt>
                <c:pt idx="4">
                  <c:v>2367.9300870000002</c:v>
                </c:pt>
              </c:numCache>
            </c:numRef>
          </c:val>
          <c:extLst>
            <c:ext xmlns:c16="http://schemas.microsoft.com/office/drawing/2014/chart" uri="{C3380CC4-5D6E-409C-BE32-E72D297353CC}">
              <c16:uniqueId val="{00000000-3477-4676-9E77-69FD013C3A74}"/>
            </c:ext>
          </c:extLst>
        </c:ser>
        <c:ser>
          <c:idx val="1"/>
          <c:order val="1"/>
          <c:tx>
            <c:strRef>
              <c:f>Eksports_pa_gadiem!$J$140</c:f>
              <c:strCache>
                <c:ptCount val="1"/>
                <c:pt idx="0">
                  <c:v>Minerālprodukti</c:v>
                </c:pt>
              </c:strCache>
            </c:strRef>
          </c:tx>
          <c:spPr>
            <a:solidFill>
              <a:schemeClr val="accent2"/>
            </a:solidFill>
            <a:ln>
              <a:noFill/>
            </a:ln>
            <a:effectLst/>
          </c:spPr>
          <c:invertIfNegative val="0"/>
          <c:cat>
            <c:strRef>
              <c:f>Eksports_pa_gadiem!$L$2:$P$2</c:f>
              <c:strCache>
                <c:ptCount val="5"/>
                <c:pt idx="0">
                  <c:v>2014</c:v>
                </c:pt>
                <c:pt idx="1">
                  <c:v>2015</c:v>
                </c:pt>
                <c:pt idx="2">
                  <c:v>2016</c:v>
                </c:pt>
                <c:pt idx="3">
                  <c:v>2017</c:v>
                </c:pt>
                <c:pt idx="4">
                  <c:v>2018</c:v>
                </c:pt>
              </c:strCache>
            </c:strRef>
          </c:cat>
          <c:val>
            <c:numRef>
              <c:f>Eksports_pa_gadiem!$L$140:$P$140</c:f>
              <c:numCache>
                <c:formatCode>#,##0</c:formatCode>
                <c:ptCount val="5"/>
                <c:pt idx="0">
                  <c:v>849.08508099999995</c:v>
                </c:pt>
                <c:pt idx="1">
                  <c:v>702.73945900000001</c:v>
                </c:pt>
                <c:pt idx="2">
                  <c:v>512.19805799999995</c:v>
                </c:pt>
                <c:pt idx="3">
                  <c:v>528.20242299999995</c:v>
                </c:pt>
                <c:pt idx="4">
                  <c:v>546.71601399999997</c:v>
                </c:pt>
              </c:numCache>
            </c:numRef>
          </c:val>
          <c:extLst>
            <c:ext xmlns:c16="http://schemas.microsoft.com/office/drawing/2014/chart" uri="{C3380CC4-5D6E-409C-BE32-E72D297353CC}">
              <c16:uniqueId val="{00000001-3477-4676-9E77-69FD013C3A74}"/>
            </c:ext>
          </c:extLst>
        </c:ser>
        <c:ser>
          <c:idx val="2"/>
          <c:order val="2"/>
          <c:tx>
            <c:strRef>
              <c:f>Eksports_pa_gadiem!$J$141</c:f>
              <c:strCache>
                <c:ptCount val="1"/>
                <c:pt idx="0">
                  <c:v>Ķīmiskās rūpniecības ražojumi</c:v>
                </c:pt>
              </c:strCache>
            </c:strRef>
          </c:tx>
          <c:spPr>
            <a:solidFill>
              <a:schemeClr val="accent3"/>
            </a:solidFill>
            <a:ln>
              <a:noFill/>
            </a:ln>
            <a:effectLst/>
          </c:spPr>
          <c:invertIfNegative val="0"/>
          <c:cat>
            <c:strRef>
              <c:f>Eksports_pa_gadiem!$L$2:$P$2</c:f>
              <c:strCache>
                <c:ptCount val="5"/>
                <c:pt idx="0">
                  <c:v>2014</c:v>
                </c:pt>
                <c:pt idx="1">
                  <c:v>2015</c:v>
                </c:pt>
                <c:pt idx="2">
                  <c:v>2016</c:v>
                </c:pt>
                <c:pt idx="3">
                  <c:v>2017</c:v>
                </c:pt>
                <c:pt idx="4">
                  <c:v>2018</c:v>
                </c:pt>
              </c:strCache>
            </c:strRef>
          </c:cat>
          <c:val>
            <c:numRef>
              <c:f>Eksports_pa_gadiem!$L$141:$P$141</c:f>
              <c:numCache>
                <c:formatCode>#,##0</c:formatCode>
                <c:ptCount val="5"/>
                <c:pt idx="0">
                  <c:v>699.73665300000005</c:v>
                </c:pt>
                <c:pt idx="1">
                  <c:v>732.57254</c:v>
                </c:pt>
                <c:pt idx="2">
                  <c:v>804.96651199999997</c:v>
                </c:pt>
                <c:pt idx="3">
                  <c:v>870.98361499999999</c:v>
                </c:pt>
                <c:pt idx="4">
                  <c:v>932.01338799999996</c:v>
                </c:pt>
              </c:numCache>
            </c:numRef>
          </c:val>
          <c:extLst>
            <c:ext xmlns:c16="http://schemas.microsoft.com/office/drawing/2014/chart" uri="{C3380CC4-5D6E-409C-BE32-E72D297353CC}">
              <c16:uniqueId val="{00000002-3477-4676-9E77-69FD013C3A74}"/>
            </c:ext>
          </c:extLst>
        </c:ser>
        <c:ser>
          <c:idx val="3"/>
          <c:order val="3"/>
          <c:tx>
            <c:strRef>
              <c:f>Eksports_pa_gadiem!$J$142</c:f>
              <c:strCache>
                <c:ptCount val="1"/>
                <c:pt idx="0">
                  <c:v>Koks un koka izstrādājumi</c:v>
                </c:pt>
              </c:strCache>
            </c:strRef>
          </c:tx>
          <c:spPr>
            <a:solidFill>
              <a:schemeClr val="accent4"/>
            </a:solidFill>
            <a:ln>
              <a:noFill/>
            </a:ln>
            <a:effectLst/>
          </c:spPr>
          <c:invertIfNegative val="0"/>
          <c:cat>
            <c:strRef>
              <c:f>Eksports_pa_gadiem!$L$2:$P$2</c:f>
              <c:strCache>
                <c:ptCount val="5"/>
                <c:pt idx="0">
                  <c:v>2014</c:v>
                </c:pt>
                <c:pt idx="1">
                  <c:v>2015</c:v>
                </c:pt>
                <c:pt idx="2">
                  <c:v>2016</c:v>
                </c:pt>
                <c:pt idx="3">
                  <c:v>2017</c:v>
                </c:pt>
                <c:pt idx="4">
                  <c:v>2018</c:v>
                </c:pt>
              </c:strCache>
            </c:strRef>
          </c:cat>
          <c:val>
            <c:numRef>
              <c:f>Eksports_pa_gadiem!$L$142:$P$142</c:f>
              <c:numCache>
                <c:formatCode>#,##0</c:formatCode>
                <c:ptCount val="5"/>
                <c:pt idx="0">
                  <c:v>1700.028861</c:v>
                </c:pt>
                <c:pt idx="1">
                  <c:v>1710.09061</c:v>
                </c:pt>
                <c:pt idx="2">
                  <c:v>1779.8636289999999</c:v>
                </c:pt>
                <c:pt idx="3">
                  <c:v>1905.390977</c:v>
                </c:pt>
                <c:pt idx="4">
                  <c:v>2244.0107549999998</c:v>
                </c:pt>
              </c:numCache>
            </c:numRef>
          </c:val>
          <c:extLst>
            <c:ext xmlns:c16="http://schemas.microsoft.com/office/drawing/2014/chart" uri="{C3380CC4-5D6E-409C-BE32-E72D297353CC}">
              <c16:uniqueId val="{00000003-3477-4676-9E77-69FD013C3A74}"/>
            </c:ext>
          </c:extLst>
        </c:ser>
        <c:ser>
          <c:idx val="4"/>
          <c:order val="4"/>
          <c:tx>
            <c:strRef>
              <c:f>Eksports_pa_gadiem!$J$143</c:f>
              <c:strCache>
                <c:ptCount val="1"/>
                <c:pt idx="0">
                  <c:v>Metāli un to izstrādājumi</c:v>
                </c:pt>
              </c:strCache>
            </c:strRef>
          </c:tx>
          <c:spPr>
            <a:solidFill>
              <a:schemeClr val="accent5"/>
            </a:solidFill>
            <a:ln>
              <a:noFill/>
            </a:ln>
            <a:effectLst/>
          </c:spPr>
          <c:invertIfNegative val="0"/>
          <c:cat>
            <c:strRef>
              <c:f>Eksports_pa_gadiem!$L$2:$P$2</c:f>
              <c:strCache>
                <c:ptCount val="5"/>
                <c:pt idx="0">
                  <c:v>2014</c:v>
                </c:pt>
                <c:pt idx="1">
                  <c:v>2015</c:v>
                </c:pt>
                <c:pt idx="2">
                  <c:v>2016</c:v>
                </c:pt>
                <c:pt idx="3">
                  <c:v>2017</c:v>
                </c:pt>
                <c:pt idx="4">
                  <c:v>2018</c:v>
                </c:pt>
              </c:strCache>
            </c:strRef>
          </c:cat>
          <c:val>
            <c:numRef>
              <c:f>Eksports_pa_gadiem!$L$143:$P$143</c:f>
              <c:numCache>
                <c:formatCode>#,##0</c:formatCode>
                <c:ptCount val="5"/>
                <c:pt idx="0">
                  <c:v>925.168813</c:v>
                </c:pt>
                <c:pt idx="1">
                  <c:v>890.25432999999998</c:v>
                </c:pt>
                <c:pt idx="2">
                  <c:v>833.83522200000004</c:v>
                </c:pt>
                <c:pt idx="3">
                  <c:v>1008.705366</c:v>
                </c:pt>
                <c:pt idx="4">
                  <c:v>1149.869338</c:v>
                </c:pt>
              </c:numCache>
            </c:numRef>
          </c:val>
          <c:extLst>
            <c:ext xmlns:c16="http://schemas.microsoft.com/office/drawing/2014/chart" uri="{C3380CC4-5D6E-409C-BE32-E72D297353CC}">
              <c16:uniqueId val="{00000004-3477-4676-9E77-69FD013C3A74}"/>
            </c:ext>
          </c:extLst>
        </c:ser>
        <c:ser>
          <c:idx val="5"/>
          <c:order val="5"/>
          <c:tx>
            <c:strRef>
              <c:f>Eksports_pa_gadiem!$J$144</c:f>
              <c:strCache>
                <c:ptCount val="1"/>
                <c:pt idx="0">
                  <c:v>Mehānismi un elektroierīces</c:v>
                </c:pt>
              </c:strCache>
            </c:strRef>
          </c:tx>
          <c:spPr>
            <a:solidFill>
              <a:schemeClr val="accent6"/>
            </a:solidFill>
            <a:ln>
              <a:noFill/>
            </a:ln>
            <a:effectLst/>
          </c:spPr>
          <c:invertIfNegative val="0"/>
          <c:cat>
            <c:strRef>
              <c:f>Eksports_pa_gadiem!$L$2:$P$2</c:f>
              <c:strCache>
                <c:ptCount val="5"/>
                <c:pt idx="0">
                  <c:v>2014</c:v>
                </c:pt>
                <c:pt idx="1">
                  <c:v>2015</c:v>
                </c:pt>
                <c:pt idx="2">
                  <c:v>2016</c:v>
                </c:pt>
                <c:pt idx="3">
                  <c:v>2017</c:v>
                </c:pt>
                <c:pt idx="4">
                  <c:v>2018</c:v>
                </c:pt>
              </c:strCache>
            </c:strRef>
          </c:cat>
          <c:val>
            <c:numRef>
              <c:f>Eksports_pa_gadiem!$L$144:$P$144</c:f>
              <c:numCache>
                <c:formatCode>#,##0</c:formatCode>
                <c:ptCount val="5"/>
                <c:pt idx="0">
                  <c:v>1724.518609</c:v>
                </c:pt>
                <c:pt idx="1">
                  <c:v>1982.9593480000001</c:v>
                </c:pt>
                <c:pt idx="2">
                  <c:v>1857.8523990000001</c:v>
                </c:pt>
                <c:pt idx="3">
                  <c:v>2059.0639000000001</c:v>
                </c:pt>
                <c:pt idx="4">
                  <c:v>2247.21758</c:v>
                </c:pt>
              </c:numCache>
            </c:numRef>
          </c:val>
          <c:extLst>
            <c:ext xmlns:c16="http://schemas.microsoft.com/office/drawing/2014/chart" uri="{C3380CC4-5D6E-409C-BE32-E72D297353CC}">
              <c16:uniqueId val="{00000005-3477-4676-9E77-69FD013C3A74}"/>
            </c:ext>
          </c:extLst>
        </c:ser>
        <c:ser>
          <c:idx val="6"/>
          <c:order val="6"/>
          <c:tx>
            <c:strRef>
              <c:f>Eksports_pa_gadiem!$J$145</c:f>
              <c:strCache>
                <c:ptCount val="1"/>
                <c:pt idx="0">
                  <c:v>Satiksmes līdzekļi </c:v>
                </c:pt>
              </c:strCache>
            </c:strRef>
          </c:tx>
          <c:spPr>
            <a:solidFill>
              <a:schemeClr val="accent1">
                <a:lumMod val="60000"/>
              </a:schemeClr>
            </a:solidFill>
            <a:ln>
              <a:noFill/>
            </a:ln>
            <a:effectLst/>
          </c:spPr>
          <c:invertIfNegative val="0"/>
          <c:cat>
            <c:strRef>
              <c:f>Eksports_pa_gadiem!$L$2:$P$2</c:f>
              <c:strCache>
                <c:ptCount val="5"/>
                <c:pt idx="0">
                  <c:v>2014</c:v>
                </c:pt>
                <c:pt idx="1">
                  <c:v>2015</c:v>
                </c:pt>
                <c:pt idx="2">
                  <c:v>2016</c:v>
                </c:pt>
                <c:pt idx="3">
                  <c:v>2017</c:v>
                </c:pt>
                <c:pt idx="4">
                  <c:v>2018</c:v>
                </c:pt>
              </c:strCache>
            </c:strRef>
          </c:cat>
          <c:val>
            <c:numRef>
              <c:f>Eksports_pa_gadiem!$L$145:$P$145</c:f>
              <c:numCache>
                <c:formatCode>#,##0</c:formatCode>
                <c:ptCount val="5"/>
                <c:pt idx="0">
                  <c:v>528.25415199999998</c:v>
                </c:pt>
                <c:pt idx="1">
                  <c:v>544.24553200000003</c:v>
                </c:pt>
                <c:pt idx="2">
                  <c:v>660.75622399999997</c:v>
                </c:pt>
                <c:pt idx="3">
                  <c:v>718.316507</c:v>
                </c:pt>
                <c:pt idx="4">
                  <c:v>780.14374399999997</c:v>
                </c:pt>
              </c:numCache>
            </c:numRef>
          </c:val>
          <c:extLst>
            <c:ext xmlns:c16="http://schemas.microsoft.com/office/drawing/2014/chart" uri="{C3380CC4-5D6E-409C-BE32-E72D297353CC}">
              <c16:uniqueId val="{00000006-3477-4676-9E77-69FD013C3A74}"/>
            </c:ext>
          </c:extLst>
        </c:ser>
        <c:ser>
          <c:idx val="7"/>
          <c:order val="7"/>
          <c:tx>
            <c:strRef>
              <c:f>Eksports_pa_gadiem!$J$146</c:f>
              <c:strCache>
                <c:ptCount val="1"/>
                <c:pt idx="0">
                  <c:v>Pārējās preces</c:v>
                </c:pt>
              </c:strCache>
            </c:strRef>
          </c:tx>
          <c:spPr>
            <a:solidFill>
              <a:schemeClr val="accent2">
                <a:lumMod val="60000"/>
              </a:schemeClr>
            </a:solidFill>
            <a:ln>
              <a:noFill/>
            </a:ln>
            <a:effectLst/>
          </c:spPr>
          <c:invertIfNegative val="0"/>
          <c:cat>
            <c:strRef>
              <c:f>Eksports_pa_gadiem!$L$2:$P$2</c:f>
              <c:strCache>
                <c:ptCount val="5"/>
                <c:pt idx="0">
                  <c:v>2014</c:v>
                </c:pt>
                <c:pt idx="1">
                  <c:v>2015</c:v>
                </c:pt>
                <c:pt idx="2">
                  <c:v>2016</c:v>
                </c:pt>
                <c:pt idx="3">
                  <c:v>2017</c:v>
                </c:pt>
                <c:pt idx="4">
                  <c:v>2018</c:v>
                </c:pt>
              </c:strCache>
            </c:strRef>
          </c:cat>
          <c:val>
            <c:numRef>
              <c:f>Eksports_pa_gadiem!$L$146:$P$146</c:f>
              <c:numCache>
                <c:formatCode>#,##0</c:formatCode>
                <c:ptCount val="5"/>
                <c:pt idx="0">
                  <c:v>1840.719959</c:v>
                </c:pt>
                <c:pt idx="1">
                  <c:v>1876.6504029999999</c:v>
                </c:pt>
                <c:pt idx="2">
                  <c:v>1910.7567320000001</c:v>
                </c:pt>
                <c:pt idx="3">
                  <c:v>2036.145387</c:v>
                </c:pt>
                <c:pt idx="4">
                  <c:v>2073.0231739999999</c:v>
                </c:pt>
              </c:numCache>
            </c:numRef>
          </c:val>
          <c:extLst>
            <c:ext xmlns:c16="http://schemas.microsoft.com/office/drawing/2014/chart" uri="{C3380CC4-5D6E-409C-BE32-E72D297353CC}">
              <c16:uniqueId val="{00000007-3477-4676-9E77-69FD013C3A74}"/>
            </c:ext>
          </c:extLst>
        </c:ser>
        <c:dLbls>
          <c:showLegendKey val="0"/>
          <c:showVal val="0"/>
          <c:showCatName val="0"/>
          <c:showSerName val="0"/>
          <c:showPercent val="0"/>
          <c:showBubbleSize val="0"/>
        </c:dLbls>
        <c:gapWidth val="75"/>
        <c:overlap val="100"/>
        <c:axId val="761551023"/>
        <c:axId val="761553519"/>
      </c:barChart>
      <c:catAx>
        <c:axId val="7615510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761553519"/>
        <c:crosses val="autoZero"/>
        <c:auto val="1"/>
        <c:lblAlgn val="ctr"/>
        <c:lblOffset val="100"/>
        <c:noMultiLvlLbl val="0"/>
      </c:catAx>
      <c:valAx>
        <c:axId val="76155351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761551023"/>
        <c:crosses val="autoZero"/>
        <c:crossBetween val="between"/>
        <c:majorUnit val="1500"/>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Pakalpojumu_eksports!$AN$35</c:f>
              <c:strCache>
                <c:ptCount val="1"/>
                <c:pt idx="0">
                  <c:v>Transporta pakalpojumi</c:v>
                </c:pt>
              </c:strCache>
            </c:strRef>
          </c:tx>
          <c:spPr>
            <a:solidFill>
              <a:schemeClr val="accent1"/>
            </a:solidFill>
            <a:ln>
              <a:noFill/>
            </a:ln>
            <a:effectLst/>
          </c:spPr>
          <c:invertIfNegative val="0"/>
          <c:cat>
            <c:multiLvlStrRef>
              <c:f>Pakalpojumu_eksports!$AS$5:$BK$6</c:f>
              <c:multiLvlStrCache>
                <c:ptCount val="19"/>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lvl>
                <c:lvl>
                  <c:pt idx="0">
                    <c:v>2014</c:v>
                  </c:pt>
                  <c:pt idx="4">
                    <c:v>2015</c:v>
                  </c:pt>
                  <c:pt idx="8">
                    <c:v>2016</c:v>
                  </c:pt>
                  <c:pt idx="12">
                    <c:v>2017</c:v>
                  </c:pt>
                  <c:pt idx="16">
                    <c:v>2018</c:v>
                  </c:pt>
                </c:lvl>
              </c:multiLvlStrCache>
            </c:multiLvlStrRef>
          </c:cat>
          <c:val>
            <c:numRef>
              <c:f>Pakalpojumu_eksports!$AS$35:$BK$35</c:f>
              <c:numCache>
                <c:formatCode>0.0</c:formatCode>
                <c:ptCount val="19"/>
                <c:pt idx="0">
                  <c:v>6.5095398428731768</c:v>
                </c:pt>
                <c:pt idx="1">
                  <c:v>4.2283298097251585</c:v>
                </c:pt>
                <c:pt idx="2">
                  <c:v>3.5204567078972411</c:v>
                </c:pt>
                <c:pt idx="3">
                  <c:v>4.6305418719211824</c:v>
                </c:pt>
                <c:pt idx="4">
                  <c:v>-0.8421052631578948</c:v>
                </c:pt>
                <c:pt idx="5">
                  <c:v>2.8543307086614176</c:v>
                </c:pt>
                <c:pt idx="6">
                  <c:v>4.1743970315398888</c:v>
                </c:pt>
                <c:pt idx="7">
                  <c:v>0.28328611898016998</c:v>
                </c:pt>
                <c:pt idx="8">
                  <c:v>0.80563947633434041</c:v>
                </c:pt>
                <c:pt idx="9">
                  <c:v>0.37313432835820898</c:v>
                </c:pt>
                <c:pt idx="10">
                  <c:v>-3.1924072476272647</c:v>
                </c:pt>
                <c:pt idx="11">
                  <c:v>8.8495575221238937E-2</c:v>
                </c:pt>
                <c:pt idx="12">
                  <c:v>3.8461538461538463</c:v>
                </c:pt>
                <c:pt idx="13">
                  <c:v>1.8372703412073488</c:v>
                </c:pt>
                <c:pt idx="14">
                  <c:v>4.4877222692633358</c:v>
                </c:pt>
                <c:pt idx="15">
                  <c:v>4.1141897565071366</c:v>
                </c:pt>
                <c:pt idx="16">
                  <c:v>-2.6655202063628547</c:v>
                </c:pt>
                <c:pt idx="17">
                  <c:v>2.1434460016488046</c:v>
                </c:pt>
                <c:pt idx="18">
                  <c:v>4.3243243243243246</c:v>
                </c:pt>
              </c:numCache>
            </c:numRef>
          </c:val>
          <c:extLst>
            <c:ext xmlns:c16="http://schemas.microsoft.com/office/drawing/2014/chart" uri="{C3380CC4-5D6E-409C-BE32-E72D297353CC}">
              <c16:uniqueId val="{00000000-E1F7-4A9F-96F4-5B87460426AF}"/>
            </c:ext>
          </c:extLst>
        </c:ser>
        <c:ser>
          <c:idx val="1"/>
          <c:order val="1"/>
          <c:tx>
            <c:strRef>
              <c:f>Pakalpojumu_eksports!$AN$36</c:f>
              <c:strCache>
                <c:ptCount val="1"/>
                <c:pt idx="0">
                  <c:v>Braucieni</c:v>
                </c:pt>
              </c:strCache>
            </c:strRef>
          </c:tx>
          <c:spPr>
            <a:solidFill>
              <a:schemeClr val="accent2"/>
            </a:solidFill>
            <a:ln>
              <a:noFill/>
            </a:ln>
            <a:effectLst/>
          </c:spPr>
          <c:invertIfNegative val="0"/>
          <c:cat>
            <c:multiLvlStrRef>
              <c:f>Pakalpojumu_eksports!$AS$5:$BK$6</c:f>
              <c:multiLvlStrCache>
                <c:ptCount val="19"/>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lvl>
                <c:lvl>
                  <c:pt idx="0">
                    <c:v>2014</c:v>
                  </c:pt>
                  <c:pt idx="4">
                    <c:v>2015</c:v>
                  </c:pt>
                  <c:pt idx="8">
                    <c:v>2016</c:v>
                  </c:pt>
                  <c:pt idx="12">
                    <c:v>2017</c:v>
                  </c:pt>
                  <c:pt idx="16">
                    <c:v>2018</c:v>
                  </c:pt>
                </c:lvl>
              </c:multiLvlStrCache>
            </c:multiLvlStrRef>
          </c:cat>
          <c:val>
            <c:numRef>
              <c:f>Pakalpojumu_eksports!$AS$36:$BK$36</c:f>
              <c:numCache>
                <c:formatCode>0.0</c:formatCode>
                <c:ptCount val="19"/>
                <c:pt idx="0">
                  <c:v>1.7957351290684624</c:v>
                </c:pt>
                <c:pt idx="1">
                  <c:v>2.2198731501057081</c:v>
                </c:pt>
                <c:pt idx="2">
                  <c:v>1.4272121788772598</c:v>
                </c:pt>
                <c:pt idx="3">
                  <c:v>1.5763546798029557</c:v>
                </c:pt>
                <c:pt idx="4">
                  <c:v>1.6842105263157896</c:v>
                </c:pt>
                <c:pt idx="5">
                  <c:v>2.2637795275590551</c:v>
                </c:pt>
                <c:pt idx="6">
                  <c:v>2.5974025974025974</c:v>
                </c:pt>
                <c:pt idx="7">
                  <c:v>1.9830028328611902</c:v>
                </c:pt>
                <c:pt idx="8">
                  <c:v>2.7190332326283988</c:v>
                </c:pt>
                <c:pt idx="9">
                  <c:v>0.46641791044776121</c:v>
                </c:pt>
                <c:pt idx="10">
                  <c:v>-1.2942191544434858</c:v>
                </c:pt>
                <c:pt idx="11">
                  <c:v>-1.0619469026548674</c:v>
                </c:pt>
                <c:pt idx="12">
                  <c:v>-0.91575091575091572</c:v>
                </c:pt>
                <c:pt idx="13">
                  <c:v>1.0498687664041995</c:v>
                </c:pt>
                <c:pt idx="14">
                  <c:v>1.4394580863674851</c:v>
                </c:pt>
                <c:pt idx="15">
                  <c:v>0.58774139378673385</c:v>
                </c:pt>
                <c:pt idx="16">
                  <c:v>1.4617368873602752</c:v>
                </c:pt>
                <c:pt idx="17">
                  <c:v>1.3190436933223411</c:v>
                </c:pt>
                <c:pt idx="18">
                  <c:v>1.0038610038610036</c:v>
                </c:pt>
              </c:numCache>
            </c:numRef>
          </c:val>
          <c:extLst>
            <c:ext xmlns:c16="http://schemas.microsoft.com/office/drawing/2014/chart" uri="{C3380CC4-5D6E-409C-BE32-E72D297353CC}">
              <c16:uniqueId val="{00000001-E1F7-4A9F-96F4-5B87460426AF}"/>
            </c:ext>
          </c:extLst>
        </c:ser>
        <c:ser>
          <c:idx val="2"/>
          <c:order val="2"/>
          <c:tx>
            <c:strRef>
              <c:f>Pakalpojumu_eksports!$AN$37</c:f>
              <c:strCache>
                <c:ptCount val="1"/>
                <c:pt idx="0">
                  <c:v>Telesakaru un IT</c:v>
                </c:pt>
              </c:strCache>
            </c:strRef>
          </c:tx>
          <c:spPr>
            <a:solidFill>
              <a:schemeClr val="accent3"/>
            </a:solidFill>
            <a:ln>
              <a:noFill/>
            </a:ln>
            <a:effectLst/>
          </c:spPr>
          <c:invertIfNegative val="0"/>
          <c:cat>
            <c:multiLvlStrRef>
              <c:f>Pakalpojumu_eksports!$AS$5:$BK$6</c:f>
              <c:multiLvlStrCache>
                <c:ptCount val="19"/>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lvl>
                <c:lvl>
                  <c:pt idx="0">
                    <c:v>2014</c:v>
                  </c:pt>
                  <c:pt idx="4">
                    <c:v>2015</c:v>
                  </c:pt>
                  <c:pt idx="8">
                    <c:v>2016</c:v>
                  </c:pt>
                  <c:pt idx="12">
                    <c:v>2017</c:v>
                  </c:pt>
                  <c:pt idx="16">
                    <c:v>2018</c:v>
                  </c:pt>
                </c:lvl>
              </c:multiLvlStrCache>
            </c:multiLvlStrRef>
          </c:cat>
          <c:val>
            <c:numRef>
              <c:f>Pakalpojumu_eksports!$AS$37:$BK$37</c:f>
              <c:numCache>
                <c:formatCode>0.0</c:formatCode>
                <c:ptCount val="19"/>
                <c:pt idx="0">
                  <c:v>0.89786756453423122</c:v>
                </c:pt>
                <c:pt idx="1">
                  <c:v>0.10570824524312897</c:v>
                </c:pt>
                <c:pt idx="2">
                  <c:v>0</c:v>
                </c:pt>
                <c:pt idx="3">
                  <c:v>0.19704433497536947</c:v>
                </c:pt>
                <c:pt idx="4">
                  <c:v>1.368421052631579</c:v>
                </c:pt>
                <c:pt idx="5">
                  <c:v>2.2637795275590546</c:v>
                </c:pt>
                <c:pt idx="6">
                  <c:v>1.2059369202226347</c:v>
                </c:pt>
                <c:pt idx="7">
                  <c:v>1.8885741265344664</c:v>
                </c:pt>
                <c:pt idx="8">
                  <c:v>3.3232628398791539</c:v>
                </c:pt>
                <c:pt idx="9">
                  <c:v>3.7313432835820897</c:v>
                </c:pt>
                <c:pt idx="10">
                  <c:v>4.4866264020707511</c:v>
                </c:pt>
                <c:pt idx="11">
                  <c:v>4.1592920353982299</c:v>
                </c:pt>
                <c:pt idx="12">
                  <c:v>2.1062271062271063</c:v>
                </c:pt>
                <c:pt idx="13">
                  <c:v>1.2248468941382327</c:v>
                </c:pt>
                <c:pt idx="14">
                  <c:v>1.6934801016088061</c:v>
                </c:pt>
                <c:pt idx="15">
                  <c:v>2.8547439126784213</c:v>
                </c:pt>
                <c:pt idx="16">
                  <c:v>2.1496130696474633</c:v>
                </c:pt>
                <c:pt idx="17">
                  <c:v>3.3800494641384997</c:v>
                </c:pt>
                <c:pt idx="18">
                  <c:v>3.4749034749034751</c:v>
                </c:pt>
              </c:numCache>
            </c:numRef>
          </c:val>
          <c:extLst>
            <c:ext xmlns:c16="http://schemas.microsoft.com/office/drawing/2014/chart" uri="{C3380CC4-5D6E-409C-BE32-E72D297353CC}">
              <c16:uniqueId val="{00000002-E1F7-4A9F-96F4-5B87460426AF}"/>
            </c:ext>
          </c:extLst>
        </c:ser>
        <c:ser>
          <c:idx val="3"/>
          <c:order val="3"/>
          <c:tx>
            <c:strRef>
              <c:f>Pakalpojumu_eksports!$AN$38</c:f>
              <c:strCache>
                <c:ptCount val="1"/>
                <c:pt idx="0">
                  <c:v>Finanšu pakalpojumi</c:v>
                </c:pt>
              </c:strCache>
            </c:strRef>
          </c:tx>
          <c:spPr>
            <a:solidFill>
              <a:schemeClr val="accent4"/>
            </a:solidFill>
            <a:ln>
              <a:noFill/>
            </a:ln>
            <a:effectLst/>
          </c:spPr>
          <c:invertIfNegative val="0"/>
          <c:cat>
            <c:multiLvlStrRef>
              <c:f>Pakalpojumu_eksports!$AS$5:$BK$6</c:f>
              <c:multiLvlStrCache>
                <c:ptCount val="19"/>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lvl>
                <c:lvl>
                  <c:pt idx="0">
                    <c:v>2014</c:v>
                  </c:pt>
                  <c:pt idx="4">
                    <c:v>2015</c:v>
                  </c:pt>
                  <c:pt idx="8">
                    <c:v>2016</c:v>
                  </c:pt>
                  <c:pt idx="12">
                    <c:v>2017</c:v>
                  </c:pt>
                  <c:pt idx="16">
                    <c:v>2018</c:v>
                  </c:pt>
                </c:lvl>
              </c:multiLvlStrCache>
            </c:multiLvlStrRef>
          </c:cat>
          <c:val>
            <c:numRef>
              <c:f>Pakalpojumu_eksports!$AS$38:$BK$38</c:f>
              <c:numCache>
                <c:formatCode>0.0</c:formatCode>
                <c:ptCount val="19"/>
                <c:pt idx="0">
                  <c:v>0.22446689113355781</c:v>
                </c:pt>
                <c:pt idx="1">
                  <c:v>1.9027484143763216</c:v>
                </c:pt>
                <c:pt idx="2">
                  <c:v>1.2369172216936251</c:v>
                </c:pt>
                <c:pt idx="3">
                  <c:v>1.87192118226601</c:v>
                </c:pt>
                <c:pt idx="4">
                  <c:v>2.7368421052631575</c:v>
                </c:pt>
                <c:pt idx="5">
                  <c:v>0.6889763779527559</c:v>
                </c:pt>
                <c:pt idx="6">
                  <c:v>0.92764378478664211</c:v>
                </c:pt>
                <c:pt idx="7">
                  <c:v>0.18885741265344663</c:v>
                </c:pt>
                <c:pt idx="8">
                  <c:v>-0.60422960725075536</c:v>
                </c:pt>
                <c:pt idx="9">
                  <c:v>-0.46641791044776115</c:v>
                </c:pt>
                <c:pt idx="10">
                  <c:v>-1.2079378774805867</c:v>
                </c:pt>
                <c:pt idx="11">
                  <c:v>0.8849557522123892</c:v>
                </c:pt>
                <c:pt idx="12">
                  <c:v>-1.2820512820512819</c:v>
                </c:pt>
                <c:pt idx="13">
                  <c:v>-1.4873140857392826</c:v>
                </c:pt>
                <c:pt idx="14">
                  <c:v>-0.84674005080440307</c:v>
                </c:pt>
                <c:pt idx="15">
                  <c:v>-2.9387069689336691</c:v>
                </c:pt>
                <c:pt idx="16">
                  <c:v>-0.94582975064488384</c:v>
                </c:pt>
                <c:pt idx="17">
                  <c:v>0.90684253915910962</c:v>
                </c:pt>
                <c:pt idx="18">
                  <c:v>-1.7760617760617758</c:v>
                </c:pt>
              </c:numCache>
            </c:numRef>
          </c:val>
          <c:extLst>
            <c:ext xmlns:c16="http://schemas.microsoft.com/office/drawing/2014/chart" uri="{C3380CC4-5D6E-409C-BE32-E72D297353CC}">
              <c16:uniqueId val="{00000003-E1F7-4A9F-96F4-5B87460426AF}"/>
            </c:ext>
          </c:extLst>
        </c:ser>
        <c:ser>
          <c:idx val="4"/>
          <c:order val="4"/>
          <c:tx>
            <c:strRef>
              <c:f>Pakalpojumu_eksports!$AN$39</c:f>
              <c:strCache>
                <c:ptCount val="1"/>
                <c:pt idx="0">
                  <c:v>Būvniecība</c:v>
                </c:pt>
              </c:strCache>
            </c:strRef>
          </c:tx>
          <c:spPr>
            <a:solidFill>
              <a:schemeClr val="tx2">
                <a:lumMod val="75000"/>
              </a:schemeClr>
            </a:solidFill>
            <a:ln>
              <a:noFill/>
            </a:ln>
            <a:effectLst/>
          </c:spPr>
          <c:invertIfNegative val="0"/>
          <c:cat>
            <c:multiLvlStrRef>
              <c:f>Pakalpojumu_eksports!$AS$5:$BK$6</c:f>
              <c:multiLvlStrCache>
                <c:ptCount val="19"/>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lvl>
                <c:lvl>
                  <c:pt idx="0">
                    <c:v>2014</c:v>
                  </c:pt>
                  <c:pt idx="4">
                    <c:v>2015</c:v>
                  </c:pt>
                  <c:pt idx="8">
                    <c:v>2016</c:v>
                  </c:pt>
                  <c:pt idx="12">
                    <c:v>2017</c:v>
                  </c:pt>
                  <c:pt idx="16">
                    <c:v>2018</c:v>
                  </c:pt>
                </c:lvl>
              </c:multiLvlStrCache>
            </c:multiLvlStrRef>
          </c:cat>
          <c:val>
            <c:numRef>
              <c:f>Pakalpojumu_eksports!$AS$39:$BK$39</c:f>
              <c:numCache>
                <c:formatCode>0.0</c:formatCode>
                <c:ptCount val="19"/>
                <c:pt idx="0">
                  <c:v>0.22446689113355775</c:v>
                </c:pt>
                <c:pt idx="1">
                  <c:v>2.1141649048625792</c:v>
                </c:pt>
                <c:pt idx="2">
                  <c:v>1.6175071360608946</c:v>
                </c:pt>
                <c:pt idx="3">
                  <c:v>-0.19704433497536947</c:v>
                </c:pt>
                <c:pt idx="4">
                  <c:v>0</c:v>
                </c:pt>
                <c:pt idx="5">
                  <c:v>-1.2795275590551181</c:v>
                </c:pt>
                <c:pt idx="6">
                  <c:v>-2.1335807050092761</c:v>
                </c:pt>
                <c:pt idx="7">
                  <c:v>-9.4428706326723316E-2</c:v>
                </c:pt>
                <c:pt idx="8">
                  <c:v>0.90634441087613293</c:v>
                </c:pt>
                <c:pt idx="9">
                  <c:v>0.83955223880597019</c:v>
                </c:pt>
                <c:pt idx="10">
                  <c:v>2.8472821397756687</c:v>
                </c:pt>
                <c:pt idx="11">
                  <c:v>1.5929203539823009</c:v>
                </c:pt>
                <c:pt idx="12">
                  <c:v>1.1904761904761905</c:v>
                </c:pt>
                <c:pt idx="13">
                  <c:v>1.5748031496062991</c:v>
                </c:pt>
                <c:pt idx="14">
                  <c:v>1.100762066045724</c:v>
                </c:pt>
                <c:pt idx="15">
                  <c:v>2.3509655751469349</c:v>
                </c:pt>
                <c:pt idx="16">
                  <c:v>0.25795356835769562</c:v>
                </c:pt>
                <c:pt idx="17">
                  <c:v>1.2366034624896949</c:v>
                </c:pt>
                <c:pt idx="18">
                  <c:v>-0.61776061776061775</c:v>
                </c:pt>
              </c:numCache>
            </c:numRef>
          </c:val>
          <c:extLst>
            <c:ext xmlns:c16="http://schemas.microsoft.com/office/drawing/2014/chart" uri="{C3380CC4-5D6E-409C-BE32-E72D297353CC}">
              <c16:uniqueId val="{00000004-E1F7-4A9F-96F4-5B87460426AF}"/>
            </c:ext>
          </c:extLst>
        </c:ser>
        <c:ser>
          <c:idx val="5"/>
          <c:order val="5"/>
          <c:tx>
            <c:strRef>
              <c:f>Pakalpojumu_eksports!$AN$40</c:f>
              <c:strCache>
                <c:ptCount val="1"/>
                <c:pt idx="0">
                  <c:v>Citi pakalpojumi</c:v>
                </c:pt>
              </c:strCache>
            </c:strRef>
          </c:tx>
          <c:spPr>
            <a:solidFill>
              <a:schemeClr val="accent6"/>
            </a:solidFill>
            <a:ln>
              <a:noFill/>
            </a:ln>
            <a:effectLst/>
          </c:spPr>
          <c:invertIfNegative val="0"/>
          <c:cat>
            <c:multiLvlStrRef>
              <c:f>Pakalpojumu_eksports!$AS$5:$BK$6</c:f>
              <c:multiLvlStrCache>
                <c:ptCount val="19"/>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pt idx="18">
                    <c:v>III</c:v>
                  </c:pt>
                </c:lvl>
                <c:lvl>
                  <c:pt idx="0">
                    <c:v>2014</c:v>
                  </c:pt>
                  <c:pt idx="4">
                    <c:v>2015</c:v>
                  </c:pt>
                  <c:pt idx="8">
                    <c:v>2016</c:v>
                  </c:pt>
                  <c:pt idx="12">
                    <c:v>2017</c:v>
                  </c:pt>
                  <c:pt idx="16">
                    <c:v>2018</c:v>
                  </c:pt>
                </c:lvl>
              </c:multiLvlStrCache>
            </c:multiLvlStrRef>
          </c:cat>
          <c:val>
            <c:numRef>
              <c:f>Pakalpojumu_eksports!$AS$40:$BK$40</c:f>
              <c:numCache>
                <c:formatCode>0.0</c:formatCode>
                <c:ptCount val="19"/>
                <c:pt idx="0">
                  <c:v>-3.0303030303030303</c:v>
                </c:pt>
                <c:pt idx="1">
                  <c:v>-3.1712473572938689</c:v>
                </c:pt>
                <c:pt idx="2">
                  <c:v>-5.2331113225499521</c:v>
                </c:pt>
                <c:pt idx="3">
                  <c:v>-3.7438423645320196</c:v>
                </c:pt>
                <c:pt idx="4">
                  <c:v>-0.42105263157894735</c:v>
                </c:pt>
                <c:pt idx="5">
                  <c:v>-1.2795275590551181</c:v>
                </c:pt>
                <c:pt idx="6">
                  <c:v>0.74211502782931349</c:v>
                </c:pt>
                <c:pt idx="7">
                  <c:v>2.4551463644948059</c:v>
                </c:pt>
                <c:pt idx="8">
                  <c:v>2.8197381671701915</c:v>
                </c:pt>
                <c:pt idx="9">
                  <c:v>1.6791044776119401</c:v>
                </c:pt>
                <c:pt idx="10">
                  <c:v>0.25884383088869717</c:v>
                </c:pt>
                <c:pt idx="11">
                  <c:v>-0.26548672566371678</c:v>
                </c:pt>
                <c:pt idx="12">
                  <c:v>1.5567765567765568</c:v>
                </c:pt>
                <c:pt idx="13">
                  <c:v>1.9247594050743659</c:v>
                </c:pt>
                <c:pt idx="14">
                  <c:v>1.7781541066892463</c:v>
                </c:pt>
                <c:pt idx="15">
                  <c:v>2.3509655751469354</c:v>
                </c:pt>
                <c:pt idx="16">
                  <c:v>0.94582975064488406</c:v>
                </c:pt>
                <c:pt idx="17">
                  <c:v>1.6488046166529264</c:v>
                </c:pt>
                <c:pt idx="18">
                  <c:v>2.6254826254826256</c:v>
                </c:pt>
              </c:numCache>
            </c:numRef>
          </c:val>
          <c:extLst>
            <c:ext xmlns:c16="http://schemas.microsoft.com/office/drawing/2014/chart" uri="{C3380CC4-5D6E-409C-BE32-E72D297353CC}">
              <c16:uniqueId val="{00000005-E1F7-4A9F-96F4-5B87460426AF}"/>
            </c:ext>
          </c:extLst>
        </c:ser>
        <c:dLbls>
          <c:showLegendKey val="0"/>
          <c:showVal val="0"/>
          <c:showCatName val="0"/>
          <c:showSerName val="0"/>
          <c:showPercent val="0"/>
          <c:showBubbleSize val="0"/>
        </c:dLbls>
        <c:gapWidth val="75"/>
        <c:overlap val="100"/>
        <c:axId val="348099048"/>
        <c:axId val="348099440"/>
      </c:barChart>
      <c:lineChart>
        <c:grouping val="standard"/>
        <c:varyColors val="0"/>
        <c:ser>
          <c:idx val="6"/>
          <c:order val="6"/>
          <c:tx>
            <c:strRef>
              <c:f>Pakalpojumu_eksports!$AN$41</c:f>
              <c:strCache>
                <c:ptCount val="1"/>
                <c:pt idx="0">
                  <c:v>Kopējais pieaugums</c:v>
                </c:pt>
              </c:strCache>
            </c:strRef>
          </c:tx>
          <c:spPr>
            <a:ln w="28575" cap="rnd">
              <a:solidFill>
                <a:schemeClr val="tx1"/>
              </a:solidFill>
              <a:prstDash val="sysDash"/>
              <a:round/>
            </a:ln>
            <a:effectLst/>
          </c:spPr>
          <c:marker>
            <c:symbol val="none"/>
          </c:marker>
          <c:cat>
            <c:multiLvlStrRef>
              <c:f>Pakalpojumu_eksports!$AS$5:$BJ$6</c:f>
              <c:multiLvlStrCache>
                <c:ptCount val="18"/>
                <c:lvl>
                  <c:pt idx="0">
                    <c:v>I</c:v>
                  </c:pt>
                  <c:pt idx="1">
                    <c:v>II</c:v>
                  </c:pt>
                  <c:pt idx="2">
                    <c:v>III</c:v>
                  </c:pt>
                  <c:pt idx="3">
                    <c:v>IV</c:v>
                  </c:pt>
                  <c:pt idx="4">
                    <c:v>I</c:v>
                  </c:pt>
                  <c:pt idx="5">
                    <c:v>II</c:v>
                  </c:pt>
                  <c:pt idx="6">
                    <c:v>III</c:v>
                  </c:pt>
                  <c:pt idx="7">
                    <c:v>IV</c:v>
                  </c:pt>
                  <c:pt idx="8">
                    <c:v>I</c:v>
                  </c:pt>
                  <c:pt idx="9">
                    <c:v>II</c:v>
                  </c:pt>
                  <c:pt idx="10">
                    <c:v>III</c:v>
                  </c:pt>
                  <c:pt idx="11">
                    <c:v>IV</c:v>
                  </c:pt>
                  <c:pt idx="12">
                    <c:v>I</c:v>
                  </c:pt>
                  <c:pt idx="13">
                    <c:v>II</c:v>
                  </c:pt>
                  <c:pt idx="14">
                    <c:v>III</c:v>
                  </c:pt>
                  <c:pt idx="15">
                    <c:v>IV</c:v>
                  </c:pt>
                  <c:pt idx="16">
                    <c:v>I</c:v>
                  </c:pt>
                  <c:pt idx="17">
                    <c:v>II</c:v>
                  </c:pt>
                </c:lvl>
                <c:lvl>
                  <c:pt idx="0">
                    <c:v>2014</c:v>
                  </c:pt>
                  <c:pt idx="4">
                    <c:v>2015</c:v>
                  </c:pt>
                  <c:pt idx="8">
                    <c:v>2016</c:v>
                  </c:pt>
                  <c:pt idx="12">
                    <c:v>2017</c:v>
                  </c:pt>
                  <c:pt idx="16">
                    <c:v>2018</c:v>
                  </c:pt>
                </c:lvl>
              </c:multiLvlStrCache>
            </c:multiLvlStrRef>
          </c:cat>
          <c:val>
            <c:numRef>
              <c:f>Pakalpojumu_eksports!$AS$41:$BK$41</c:f>
              <c:numCache>
                <c:formatCode>0.0</c:formatCode>
                <c:ptCount val="19"/>
                <c:pt idx="0">
                  <c:v>6.6217732884399547</c:v>
                </c:pt>
                <c:pt idx="1">
                  <c:v>7.3995771670190287</c:v>
                </c:pt>
                <c:pt idx="2">
                  <c:v>2.568981921979069</c:v>
                </c:pt>
                <c:pt idx="3">
                  <c:v>4.3349753694581281</c:v>
                </c:pt>
                <c:pt idx="4">
                  <c:v>4.526315789473685</c:v>
                </c:pt>
                <c:pt idx="5">
                  <c:v>5.5118110236220463</c:v>
                </c:pt>
                <c:pt idx="6">
                  <c:v>7.5139146567718003</c:v>
                </c:pt>
                <c:pt idx="7">
                  <c:v>6.7044381491973564</c:v>
                </c:pt>
                <c:pt idx="8">
                  <c:v>9.9697885196374614</c:v>
                </c:pt>
                <c:pt idx="9">
                  <c:v>6.6231343283582085</c:v>
                </c:pt>
                <c:pt idx="10">
                  <c:v>1.89818809318378</c:v>
                </c:pt>
                <c:pt idx="11">
                  <c:v>5.3982300884955743</c:v>
                </c:pt>
                <c:pt idx="12">
                  <c:v>6.5018315018315018</c:v>
                </c:pt>
                <c:pt idx="13">
                  <c:v>6.1242344706911629</c:v>
                </c:pt>
                <c:pt idx="14">
                  <c:v>9.6528365791701933</c:v>
                </c:pt>
                <c:pt idx="15">
                  <c:v>9.3198992443324933</c:v>
                </c:pt>
                <c:pt idx="16">
                  <c:v>1.2037833190025797</c:v>
                </c:pt>
                <c:pt idx="17">
                  <c:v>10.634789777411376</c:v>
                </c:pt>
                <c:pt idx="18">
                  <c:v>9.0347490347490353</c:v>
                </c:pt>
              </c:numCache>
            </c:numRef>
          </c:val>
          <c:smooth val="0"/>
          <c:extLst>
            <c:ext xmlns:c16="http://schemas.microsoft.com/office/drawing/2014/chart" uri="{C3380CC4-5D6E-409C-BE32-E72D297353CC}">
              <c16:uniqueId val="{00000006-E1F7-4A9F-96F4-5B87460426AF}"/>
            </c:ext>
          </c:extLst>
        </c:ser>
        <c:dLbls>
          <c:showLegendKey val="0"/>
          <c:showVal val="0"/>
          <c:showCatName val="0"/>
          <c:showSerName val="0"/>
          <c:showPercent val="0"/>
          <c:showBubbleSize val="0"/>
        </c:dLbls>
        <c:marker val="1"/>
        <c:smooth val="0"/>
        <c:axId val="348099048"/>
        <c:axId val="348099440"/>
      </c:lineChart>
      <c:catAx>
        <c:axId val="348099048"/>
        <c:scaling>
          <c:orientation val="minMax"/>
        </c:scaling>
        <c:delete val="0"/>
        <c:axPos val="b"/>
        <c:numFmt formatCode="General" sourceLinked="1"/>
        <c:majorTickMark val="none"/>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348099440"/>
        <c:crosses val="autoZero"/>
        <c:auto val="1"/>
        <c:lblAlgn val="ctr"/>
        <c:lblOffset val="100"/>
        <c:noMultiLvlLbl val="0"/>
      </c:catAx>
      <c:valAx>
        <c:axId val="3480994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lv-LV"/>
          </a:p>
        </c:txPr>
        <c:crossAx val="348099048"/>
        <c:crosses val="autoZero"/>
        <c:crossBetween val="between"/>
      </c:valAx>
      <c:spPr>
        <a:noFill/>
        <a:ln w="25400">
          <a:noFill/>
        </a:ln>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lv-LV" sz="1200" b="1">
                <a:solidFill>
                  <a:schemeClr val="tx1"/>
                </a:solidFill>
                <a:latin typeface="Times New Roman" panose="02020603050405020304" pitchFamily="18" charset="0"/>
                <a:cs typeface="Times New Roman" panose="02020603050405020304" pitchFamily="18" charset="0"/>
              </a:rPr>
              <a:t>Milj. </a:t>
            </a:r>
            <a:r>
              <a:rPr lang="lv-LV" sz="1200" b="1" i="1">
                <a:solidFill>
                  <a:schemeClr val="tx1"/>
                </a:solidFill>
                <a:latin typeface="Times New Roman" panose="02020603050405020304" pitchFamily="18" charset="0"/>
                <a:cs typeface="Times New Roman" panose="02020603050405020304" pitchFamily="18" charset="0"/>
              </a:rPr>
              <a:t>euro</a:t>
            </a:r>
          </a:p>
        </c:rich>
      </c:tx>
      <c:layout>
        <c:manualLayout>
          <c:xMode val="edge"/>
          <c:yMode val="edge"/>
          <c:x val="1.2511968139358816E-3"/>
          <c:y val="1.0643959552953698E-2"/>
        </c:manualLayout>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lv-LV"/>
        </a:p>
      </c:txPr>
    </c:title>
    <c:autoTitleDeleted val="0"/>
    <c:plotArea>
      <c:layout>
        <c:manualLayout>
          <c:layoutTarget val="inner"/>
          <c:xMode val="edge"/>
          <c:yMode val="edge"/>
          <c:x val="8.3572377838174269E-2"/>
          <c:y val="0.109091645609227"/>
          <c:w val="0.89217450784146413"/>
          <c:h val="0.61904039536303301"/>
        </c:manualLayout>
      </c:layout>
      <c:barChart>
        <c:barDir val="col"/>
        <c:grouping val="stacked"/>
        <c:varyColors val="0"/>
        <c:ser>
          <c:idx val="0"/>
          <c:order val="0"/>
          <c:tx>
            <c:strRef>
              <c:f>Nefin_invest_III!$E$105</c:f>
              <c:strCache>
                <c:ptCount val="1"/>
                <c:pt idx="0">
                  <c:v>Nemateriālie ieguldījumi</c:v>
                </c:pt>
              </c:strCache>
            </c:strRef>
          </c:tx>
          <c:spPr>
            <a:solidFill>
              <a:srgbClr val="FFC000"/>
            </a:solidFill>
            <a:ln>
              <a:solidFill>
                <a:srgbClr val="FFC000"/>
              </a:solidFill>
            </a:ln>
            <a:effectLst/>
          </c:spPr>
          <c:invertIfNegative val="0"/>
          <c:cat>
            <c:strRef>
              <c:f>Nefin_invest_III!$C$106:$C$117</c:f>
              <c:strCache>
                <c:ptCount val="12"/>
                <c:pt idx="0">
                  <c:v>2008</c:v>
                </c:pt>
                <c:pt idx="1">
                  <c:v>2009</c:v>
                </c:pt>
                <c:pt idx="2">
                  <c:v>2010</c:v>
                </c:pt>
                <c:pt idx="3">
                  <c:v>2011</c:v>
                </c:pt>
                <c:pt idx="4">
                  <c:v>2012</c:v>
                </c:pt>
                <c:pt idx="5">
                  <c:v>2013</c:v>
                </c:pt>
                <c:pt idx="6">
                  <c:v>2014</c:v>
                </c:pt>
                <c:pt idx="7">
                  <c:v>2015</c:v>
                </c:pt>
                <c:pt idx="8">
                  <c:v>2016</c:v>
                </c:pt>
                <c:pt idx="9">
                  <c:v>2017</c:v>
                </c:pt>
                <c:pt idx="10">
                  <c:v>2017                     I-III</c:v>
                </c:pt>
                <c:pt idx="11">
                  <c:v>2018                      I-III</c:v>
                </c:pt>
              </c:strCache>
            </c:strRef>
          </c:cat>
          <c:val>
            <c:numRef>
              <c:f>Nefin_invest_III!$E$106:$E$117</c:f>
              <c:numCache>
                <c:formatCode>0</c:formatCode>
                <c:ptCount val="12"/>
                <c:pt idx="0">
                  <c:v>91.394999999999996</c:v>
                </c:pt>
                <c:pt idx="1">
                  <c:v>58.893999999999991</c:v>
                </c:pt>
                <c:pt idx="2">
                  <c:v>59.694000000000003</c:v>
                </c:pt>
                <c:pt idx="3">
                  <c:v>65.917000000000002</c:v>
                </c:pt>
                <c:pt idx="4">
                  <c:v>71.400999999999996</c:v>
                </c:pt>
                <c:pt idx="5">
                  <c:v>103.01300000000001</c:v>
                </c:pt>
                <c:pt idx="6">
                  <c:v>93.747</c:v>
                </c:pt>
                <c:pt idx="7">
                  <c:v>96.561000000000007</c:v>
                </c:pt>
                <c:pt idx="8">
                  <c:v>86.838000000000008</c:v>
                </c:pt>
                <c:pt idx="9">
                  <c:v>94.84899999999999</c:v>
                </c:pt>
                <c:pt idx="10" formatCode="0.0">
                  <c:v>57.673999999999999</c:v>
                </c:pt>
                <c:pt idx="11" formatCode="0.0">
                  <c:v>59.26</c:v>
                </c:pt>
              </c:numCache>
            </c:numRef>
          </c:val>
          <c:extLst>
            <c:ext xmlns:c16="http://schemas.microsoft.com/office/drawing/2014/chart" uri="{C3380CC4-5D6E-409C-BE32-E72D297353CC}">
              <c16:uniqueId val="{00000000-0844-4C8A-9E68-BCA87D2C3B19}"/>
            </c:ext>
          </c:extLst>
        </c:ser>
        <c:ser>
          <c:idx val="1"/>
          <c:order val="1"/>
          <c:tx>
            <c:strRef>
              <c:f>Nefin_invest_III!$F$105</c:f>
              <c:strCache>
                <c:ptCount val="1"/>
                <c:pt idx="0">
                  <c:v>Ēkas, būves, celtnes</c:v>
                </c:pt>
              </c:strCache>
            </c:strRef>
          </c:tx>
          <c:spPr>
            <a:pattFill prst="dkUpDiag">
              <a:fgClr>
                <a:srgbClr val="00B050"/>
              </a:fgClr>
              <a:bgClr>
                <a:schemeClr val="bg1"/>
              </a:bgClr>
            </a:pattFill>
            <a:ln>
              <a:solidFill>
                <a:srgbClr val="00B050"/>
              </a:solidFill>
            </a:ln>
            <a:effectLst/>
          </c:spPr>
          <c:invertIfNegative val="0"/>
          <c:cat>
            <c:strRef>
              <c:f>Nefin_invest_III!$C$106:$C$117</c:f>
              <c:strCache>
                <c:ptCount val="12"/>
                <c:pt idx="0">
                  <c:v>2008</c:v>
                </c:pt>
                <c:pt idx="1">
                  <c:v>2009</c:v>
                </c:pt>
                <c:pt idx="2">
                  <c:v>2010</c:v>
                </c:pt>
                <c:pt idx="3">
                  <c:v>2011</c:v>
                </c:pt>
                <c:pt idx="4">
                  <c:v>2012</c:v>
                </c:pt>
                <c:pt idx="5">
                  <c:v>2013</c:v>
                </c:pt>
                <c:pt idx="6">
                  <c:v>2014</c:v>
                </c:pt>
                <c:pt idx="7">
                  <c:v>2015</c:v>
                </c:pt>
                <c:pt idx="8">
                  <c:v>2016</c:v>
                </c:pt>
                <c:pt idx="9">
                  <c:v>2017</c:v>
                </c:pt>
                <c:pt idx="10">
                  <c:v>2017                     I-III</c:v>
                </c:pt>
                <c:pt idx="11">
                  <c:v>2018                      I-III</c:v>
                </c:pt>
              </c:strCache>
            </c:strRef>
          </c:cat>
          <c:val>
            <c:numRef>
              <c:f>Nefin_invest_III!$F$106:$F$117</c:f>
              <c:numCache>
                <c:formatCode>0</c:formatCode>
                <c:ptCount val="12"/>
                <c:pt idx="0">
                  <c:v>1886.5100000000002</c:v>
                </c:pt>
                <c:pt idx="1">
                  <c:v>1201.1579999999999</c:v>
                </c:pt>
                <c:pt idx="2">
                  <c:v>889.13599999999997</c:v>
                </c:pt>
                <c:pt idx="3">
                  <c:v>1105.4090000000001</c:v>
                </c:pt>
                <c:pt idx="4">
                  <c:v>1363.3069999999998</c:v>
                </c:pt>
                <c:pt idx="5">
                  <c:v>1283.576</c:v>
                </c:pt>
                <c:pt idx="6">
                  <c:v>1314.989</c:v>
                </c:pt>
                <c:pt idx="7">
                  <c:v>1239.2080000000001</c:v>
                </c:pt>
                <c:pt idx="8">
                  <c:v>810.15899999999988</c:v>
                </c:pt>
                <c:pt idx="9">
                  <c:v>1066.31</c:v>
                </c:pt>
                <c:pt idx="10" formatCode="0.0">
                  <c:v>647.95000000000005</c:v>
                </c:pt>
                <c:pt idx="11" formatCode="0.0">
                  <c:v>872.04899999999998</c:v>
                </c:pt>
              </c:numCache>
            </c:numRef>
          </c:val>
          <c:extLst>
            <c:ext xmlns:c16="http://schemas.microsoft.com/office/drawing/2014/chart" uri="{C3380CC4-5D6E-409C-BE32-E72D297353CC}">
              <c16:uniqueId val="{00000001-0844-4C8A-9E68-BCA87D2C3B19}"/>
            </c:ext>
          </c:extLst>
        </c:ser>
        <c:ser>
          <c:idx val="2"/>
          <c:order val="2"/>
          <c:tx>
            <c:strRef>
              <c:f>Nefin_invest_III!$G$105</c:f>
              <c:strCache>
                <c:ptCount val="1"/>
                <c:pt idx="0">
                  <c:v>Tehnoloģiskās iekārtas un mašīnas</c:v>
                </c:pt>
              </c:strCache>
            </c:strRef>
          </c:tx>
          <c:spPr>
            <a:solidFill>
              <a:srgbClr val="0070C0"/>
            </a:solidFill>
            <a:ln>
              <a:solidFill>
                <a:srgbClr val="0070C0"/>
              </a:solidFill>
            </a:ln>
            <a:effectLst/>
          </c:spPr>
          <c:invertIfNegative val="0"/>
          <c:cat>
            <c:strRef>
              <c:f>Nefin_invest_III!$C$106:$C$117</c:f>
              <c:strCache>
                <c:ptCount val="12"/>
                <c:pt idx="0">
                  <c:v>2008</c:v>
                </c:pt>
                <c:pt idx="1">
                  <c:v>2009</c:v>
                </c:pt>
                <c:pt idx="2">
                  <c:v>2010</c:v>
                </c:pt>
                <c:pt idx="3">
                  <c:v>2011</c:v>
                </c:pt>
                <c:pt idx="4">
                  <c:v>2012</c:v>
                </c:pt>
                <c:pt idx="5">
                  <c:v>2013</c:v>
                </c:pt>
                <c:pt idx="6">
                  <c:v>2014</c:v>
                </c:pt>
                <c:pt idx="7">
                  <c:v>2015</c:v>
                </c:pt>
                <c:pt idx="8">
                  <c:v>2016</c:v>
                </c:pt>
                <c:pt idx="9">
                  <c:v>2017</c:v>
                </c:pt>
                <c:pt idx="10">
                  <c:v>2017                     I-III</c:v>
                </c:pt>
                <c:pt idx="11">
                  <c:v>2018                      I-III</c:v>
                </c:pt>
              </c:strCache>
            </c:strRef>
          </c:cat>
          <c:val>
            <c:numRef>
              <c:f>Nefin_invest_III!$G$106:$G$117</c:f>
              <c:numCache>
                <c:formatCode>0</c:formatCode>
                <c:ptCount val="12"/>
                <c:pt idx="0">
                  <c:v>1299.3310000000001</c:v>
                </c:pt>
                <c:pt idx="1">
                  <c:v>848.21</c:v>
                </c:pt>
                <c:pt idx="2">
                  <c:v>658.60000000000014</c:v>
                </c:pt>
                <c:pt idx="3">
                  <c:v>905.00300000000016</c:v>
                </c:pt>
                <c:pt idx="4">
                  <c:v>1103.9409999999998</c:v>
                </c:pt>
                <c:pt idx="5">
                  <c:v>759.48199999999997</c:v>
                </c:pt>
                <c:pt idx="6">
                  <c:v>709.13699999999994</c:v>
                </c:pt>
                <c:pt idx="7">
                  <c:v>863.91700000000003</c:v>
                </c:pt>
                <c:pt idx="8">
                  <c:v>574.43100000000004</c:v>
                </c:pt>
                <c:pt idx="9">
                  <c:v>498.05</c:v>
                </c:pt>
                <c:pt idx="10" formatCode="0.0">
                  <c:v>308.959</c:v>
                </c:pt>
                <c:pt idx="11" formatCode="0.0">
                  <c:v>381.15800000000002</c:v>
                </c:pt>
              </c:numCache>
            </c:numRef>
          </c:val>
          <c:extLst>
            <c:ext xmlns:c16="http://schemas.microsoft.com/office/drawing/2014/chart" uri="{C3380CC4-5D6E-409C-BE32-E72D297353CC}">
              <c16:uniqueId val="{00000002-0844-4C8A-9E68-BCA87D2C3B19}"/>
            </c:ext>
          </c:extLst>
        </c:ser>
        <c:ser>
          <c:idx val="3"/>
          <c:order val="3"/>
          <c:tx>
            <c:strRef>
              <c:f>Nefin_invest_III!$H$105</c:f>
              <c:strCache>
                <c:ptCount val="1"/>
                <c:pt idx="0">
                  <c:v>Pārējie pamatlīdzekļi</c:v>
                </c:pt>
              </c:strCache>
            </c:strRef>
          </c:tx>
          <c:spPr>
            <a:pattFill prst="dkUpDiag">
              <a:fgClr>
                <a:srgbClr val="7030A0"/>
              </a:fgClr>
              <a:bgClr>
                <a:schemeClr val="bg1"/>
              </a:bgClr>
            </a:pattFill>
            <a:ln>
              <a:solidFill>
                <a:srgbClr val="7030A0"/>
              </a:solidFill>
            </a:ln>
            <a:effectLst/>
          </c:spPr>
          <c:invertIfNegative val="0"/>
          <c:cat>
            <c:strRef>
              <c:f>Nefin_invest_III!$C$106:$C$117</c:f>
              <c:strCache>
                <c:ptCount val="12"/>
                <c:pt idx="0">
                  <c:v>2008</c:v>
                </c:pt>
                <c:pt idx="1">
                  <c:v>2009</c:v>
                </c:pt>
                <c:pt idx="2">
                  <c:v>2010</c:v>
                </c:pt>
                <c:pt idx="3">
                  <c:v>2011</c:v>
                </c:pt>
                <c:pt idx="4">
                  <c:v>2012</c:v>
                </c:pt>
                <c:pt idx="5">
                  <c:v>2013</c:v>
                </c:pt>
                <c:pt idx="6">
                  <c:v>2014</c:v>
                </c:pt>
                <c:pt idx="7">
                  <c:v>2015</c:v>
                </c:pt>
                <c:pt idx="8">
                  <c:v>2016</c:v>
                </c:pt>
                <c:pt idx="9">
                  <c:v>2017</c:v>
                </c:pt>
                <c:pt idx="10">
                  <c:v>2017                     I-III</c:v>
                </c:pt>
                <c:pt idx="11">
                  <c:v>2018                      I-III</c:v>
                </c:pt>
              </c:strCache>
            </c:strRef>
          </c:cat>
          <c:val>
            <c:numRef>
              <c:f>Nefin_invest_III!$H$106:$H$117</c:f>
              <c:numCache>
                <c:formatCode>0</c:formatCode>
                <c:ptCount val="12"/>
                <c:pt idx="0">
                  <c:v>746.82500000000005</c:v>
                </c:pt>
                <c:pt idx="1">
                  <c:v>313.49399999999997</c:v>
                </c:pt>
                <c:pt idx="2">
                  <c:v>295.06099999999998</c:v>
                </c:pt>
                <c:pt idx="3">
                  <c:v>372.26200000000006</c:v>
                </c:pt>
                <c:pt idx="4">
                  <c:v>466.20000000000005</c:v>
                </c:pt>
                <c:pt idx="5">
                  <c:v>520.79700000000003</c:v>
                </c:pt>
                <c:pt idx="6">
                  <c:v>573.38</c:v>
                </c:pt>
                <c:pt idx="7">
                  <c:v>580.99300000000005</c:v>
                </c:pt>
                <c:pt idx="8">
                  <c:v>644.42399999999998</c:v>
                </c:pt>
                <c:pt idx="9">
                  <c:v>815.35900000000004</c:v>
                </c:pt>
                <c:pt idx="10" formatCode="0.0">
                  <c:v>588.25</c:v>
                </c:pt>
                <c:pt idx="11" formatCode="0.0">
                  <c:v>553.86099999999999</c:v>
                </c:pt>
              </c:numCache>
            </c:numRef>
          </c:val>
          <c:extLst>
            <c:ext xmlns:c16="http://schemas.microsoft.com/office/drawing/2014/chart" uri="{C3380CC4-5D6E-409C-BE32-E72D297353CC}">
              <c16:uniqueId val="{00000003-0844-4C8A-9E68-BCA87D2C3B19}"/>
            </c:ext>
          </c:extLst>
        </c:ser>
        <c:dLbls>
          <c:showLegendKey val="0"/>
          <c:showVal val="0"/>
          <c:showCatName val="0"/>
          <c:showSerName val="0"/>
          <c:showPercent val="0"/>
          <c:showBubbleSize val="0"/>
        </c:dLbls>
        <c:gapWidth val="150"/>
        <c:overlap val="100"/>
        <c:axId val="351083752"/>
        <c:axId val="351084144"/>
      </c:barChart>
      <c:catAx>
        <c:axId val="351083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351084144"/>
        <c:crosses val="autoZero"/>
        <c:auto val="1"/>
        <c:lblAlgn val="ctr"/>
        <c:lblOffset val="100"/>
        <c:noMultiLvlLbl val="0"/>
      </c:catAx>
      <c:valAx>
        <c:axId val="351084144"/>
        <c:scaling>
          <c:orientation val="minMax"/>
          <c:max val="42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351083752"/>
        <c:crosses val="autoZero"/>
        <c:crossBetween val="between"/>
        <c:majorUnit val="300"/>
      </c:valAx>
      <c:spPr>
        <a:noFill/>
        <a:ln>
          <a:noFill/>
        </a:ln>
        <a:effectLst/>
      </c:spPr>
    </c:plotArea>
    <c:legend>
      <c:legendPos val="b"/>
      <c:layout>
        <c:manualLayout>
          <c:xMode val="edge"/>
          <c:yMode val="edge"/>
          <c:x val="5.1074940734381513E-2"/>
          <c:y val="0.85782575475032097"/>
          <c:w val="0.89564511634810928"/>
          <c:h val="0.1208863261437716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6846221514232999E-2"/>
          <c:y val="3.5446940135108143E-2"/>
          <c:w val="0.88556575119985204"/>
          <c:h val="0.64521221202825407"/>
        </c:manualLayout>
      </c:layout>
      <c:barChart>
        <c:barDir val="col"/>
        <c:grouping val="stacked"/>
        <c:varyColors val="0"/>
        <c:ser>
          <c:idx val="0"/>
          <c:order val="0"/>
          <c:tx>
            <c:strRef>
              <c:f>Bezdarbs!$C$1</c:f>
              <c:strCache>
                <c:ptCount val="1"/>
                <c:pt idx="0">
                  <c:v>t.sk. ilgstošo bezdarbnieku skaits, tūkst.</c:v>
                </c:pt>
              </c:strCache>
            </c:strRef>
          </c:tx>
          <c:spPr>
            <a:pattFill prst="dkUpDiag">
              <a:fgClr>
                <a:srgbClr val="00B050"/>
              </a:fgClr>
              <a:bgClr>
                <a:schemeClr val="bg1"/>
              </a:bgClr>
            </a:pattFill>
            <a:ln>
              <a:solidFill>
                <a:srgbClr val="00B050"/>
              </a:solidFill>
            </a:ln>
            <a:effectLst/>
          </c:spPr>
          <c:invertIfNegative val="0"/>
          <c:cat>
            <c:multiLvlStrRef>
              <c:f>Bezdarbs!$A$26:$B$133</c:f>
              <c:multiLvlStrCache>
                <c:ptCount val="108"/>
                <c:lvl>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pt idx="19">
                    <c:v>VIII</c:v>
                  </c:pt>
                  <c:pt idx="20">
                    <c:v>IX</c:v>
                  </c:pt>
                  <c:pt idx="21">
                    <c:v>X</c:v>
                  </c:pt>
                  <c:pt idx="22">
                    <c:v>XI</c:v>
                  </c:pt>
                  <c:pt idx="23">
                    <c:v>XII</c:v>
                  </c:pt>
                  <c:pt idx="24">
                    <c:v>I</c:v>
                  </c:pt>
                  <c:pt idx="25">
                    <c:v>II</c:v>
                  </c:pt>
                  <c:pt idx="26">
                    <c:v>III</c:v>
                  </c:pt>
                  <c:pt idx="27">
                    <c:v>IV</c:v>
                  </c:pt>
                  <c:pt idx="28">
                    <c:v>V</c:v>
                  </c:pt>
                  <c:pt idx="29">
                    <c:v>VI</c:v>
                  </c:pt>
                  <c:pt idx="30">
                    <c:v>VII</c:v>
                  </c:pt>
                  <c:pt idx="31">
                    <c:v>VIII</c:v>
                  </c:pt>
                  <c:pt idx="32">
                    <c:v>IX</c:v>
                  </c:pt>
                  <c:pt idx="33">
                    <c:v>X</c:v>
                  </c:pt>
                  <c:pt idx="34">
                    <c:v>XI</c:v>
                  </c:pt>
                  <c:pt idx="35">
                    <c:v>XII</c:v>
                  </c:pt>
                  <c:pt idx="36">
                    <c:v>I</c:v>
                  </c:pt>
                  <c:pt idx="37">
                    <c:v>II</c:v>
                  </c:pt>
                  <c:pt idx="38">
                    <c:v>III</c:v>
                  </c:pt>
                  <c:pt idx="39">
                    <c:v>IV</c:v>
                  </c:pt>
                  <c:pt idx="40">
                    <c:v>V</c:v>
                  </c:pt>
                  <c:pt idx="41">
                    <c:v>VI</c:v>
                  </c:pt>
                  <c:pt idx="42">
                    <c:v>VII</c:v>
                  </c:pt>
                  <c:pt idx="43">
                    <c:v>VIII</c:v>
                  </c:pt>
                  <c:pt idx="44">
                    <c:v>IX</c:v>
                  </c:pt>
                  <c:pt idx="45">
                    <c:v>X</c:v>
                  </c:pt>
                  <c:pt idx="46">
                    <c:v>XI</c:v>
                  </c:pt>
                  <c:pt idx="47">
                    <c:v>XII</c:v>
                  </c:pt>
                  <c:pt idx="48">
                    <c:v>I</c:v>
                  </c:pt>
                  <c:pt idx="49">
                    <c:v>II</c:v>
                  </c:pt>
                  <c:pt idx="50">
                    <c:v>III</c:v>
                  </c:pt>
                  <c:pt idx="51">
                    <c:v>IV</c:v>
                  </c:pt>
                  <c:pt idx="52">
                    <c:v>V</c:v>
                  </c:pt>
                  <c:pt idx="53">
                    <c:v>VI</c:v>
                  </c:pt>
                  <c:pt idx="54">
                    <c:v>VII</c:v>
                  </c:pt>
                  <c:pt idx="55">
                    <c:v>VIII</c:v>
                  </c:pt>
                  <c:pt idx="56">
                    <c:v>IX</c:v>
                  </c:pt>
                  <c:pt idx="57">
                    <c:v>X</c:v>
                  </c:pt>
                  <c:pt idx="58">
                    <c:v>XI</c:v>
                  </c:pt>
                  <c:pt idx="59">
                    <c:v>XII</c:v>
                  </c:pt>
                  <c:pt idx="60">
                    <c:v>I</c:v>
                  </c:pt>
                  <c:pt idx="61">
                    <c:v>II</c:v>
                  </c:pt>
                  <c:pt idx="62">
                    <c:v>III</c:v>
                  </c:pt>
                  <c:pt idx="63">
                    <c:v>IV</c:v>
                  </c:pt>
                  <c:pt idx="64">
                    <c:v>V</c:v>
                  </c:pt>
                  <c:pt idx="65">
                    <c:v>VI</c:v>
                  </c:pt>
                  <c:pt idx="66">
                    <c:v>VII</c:v>
                  </c:pt>
                  <c:pt idx="67">
                    <c:v>VIII</c:v>
                  </c:pt>
                  <c:pt idx="68">
                    <c:v>IX</c:v>
                  </c:pt>
                  <c:pt idx="69">
                    <c:v>X</c:v>
                  </c:pt>
                  <c:pt idx="70">
                    <c:v>XI</c:v>
                  </c:pt>
                  <c:pt idx="71">
                    <c:v>XII</c:v>
                  </c:pt>
                  <c:pt idx="72">
                    <c:v>I</c:v>
                  </c:pt>
                  <c:pt idx="73">
                    <c:v>II</c:v>
                  </c:pt>
                  <c:pt idx="74">
                    <c:v>III</c:v>
                  </c:pt>
                  <c:pt idx="75">
                    <c:v>IV</c:v>
                  </c:pt>
                  <c:pt idx="76">
                    <c:v>V</c:v>
                  </c:pt>
                  <c:pt idx="77">
                    <c:v>VI</c:v>
                  </c:pt>
                  <c:pt idx="78">
                    <c:v>VII</c:v>
                  </c:pt>
                  <c:pt idx="79">
                    <c:v>VIII</c:v>
                  </c:pt>
                  <c:pt idx="80">
                    <c:v>IX</c:v>
                  </c:pt>
                  <c:pt idx="81">
                    <c:v>X</c:v>
                  </c:pt>
                  <c:pt idx="82">
                    <c:v>XI</c:v>
                  </c:pt>
                  <c:pt idx="83">
                    <c:v>XII</c:v>
                  </c:pt>
                  <c:pt idx="84">
                    <c:v>I</c:v>
                  </c:pt>
                  <c:pt idx="85">
                    <c:v>II</c:v>
                  </c:pt>
                  <c:pt idx="86">
                    <c:v>III</c:v>
                  </c:pt>
                  <c:pt idx="87">
                    <c:v>IV</c:v>
                  </c:pt>
                  <c:pt idx="88">
                    <c:v>V</c:v>
                  </c:pt>
                  <c:pt idx="89">
                    <c:v>VI</c:v>
                  </c:pt>
                  <c:pt idx="90">
                    <c:v>VII</c:v>
                  </c:pt>
                  <c:pt idx="91">
                    <c:v>VIII</c:v>
                  </c:pt>
                  <c:pt idx="92">
                    <c:v>IX</c:v>
                  </c:pt>
                  <c:pt idx="93">
                    <c:v>X</c:v>
                  </c:pt>
                  <c:pt idx="94">
                    <c:v>XI</c:v>
                  </c:pt>
                  <c:pt idx="95">
                    <c:v>XII</c:v>
                  </c:pt>
                  <c:pt idx="96">
                    <c:v>I</c:v>
                  </c:pt>
                  <c:pt idx="97">
                    <c:v>II</c:v>
                  </c:pt>
                  <c:pt idx="98">
                    <c:v>III</c:v>
                  </c:pt>
                  <c:pt idx="99">
                    <c:v>IV</c:v>
                  </c:pt>
                  <c:pt idx="100">
                    <c:v>V</c:v>
                  </c:pt>
                  <c:pt idx="101">
                    <c:v>VI</c:v>
                  </c:pt>
                  <c:pt idx="102">
                    <c:v>VII</c:v>
                  </c:pt>
                  <c:pt idx="103">
                    <c:v>VIII</c:v>
                  </c:pt>
                  <c:pt idx="104">
                    <c:v>IX</c:v>
                  </c:pt>
                  <c:pt idx="105">
                    <c:v>X</c:v>
                  </c:pt>
                  <c:pt idx="106">
                    <c:v>XI</c:v>
                  </c:pt>
                  <c:pt idx="107">
                    <c:v>XII</c:v>
                  </c:pt>
                </c:lvl>
                <c:lvl>
                  <c:pt idx="0">
                    <c:v>2010</c:v>
                  </c:pt>
                  <c:pt idx="12">
                    <c:v>2011</c:v>
                  </c:pt>
                  <c:pt idx="24">
                    <c:v>2012</c:v>
                  </c:pt>
                  <c:pt idx="36">
                    <c:v>2013</c:v>
                  </c:pt>
                  <c:pt idx="48">
                    <c:v>2014</c:v>
                  </c:pt>
                  <c:pt idx="60">
                    <c:v>2015</c:v>
                  </c:pt>
                  <c:pt idx="72">
                    <c:v>2016</c:v>
                  </c:pt>
                  <c:pt idx="84">
                    <c:v>2017</c:v>
                  </c:pt>
                  <c:pt idx="96">
                    <c:v>2018</c:v>
                  </c:pt>
                </c:lvl>
              </c:multiLvlStrCache>
            </c:multiLvlStrRef>
          </c:cat>
          <c:val>
            <c:numRef>
              <c:f>Bezdarbs!$C$26:$C$133</c:f>
              <c:numCache>
                <c:formatCode>0.0</c:formatCode>
                <c:ptCount val="108"/>
                <c:pt idx="0">
                  <c:v>29.42</c:v>
                </c:pt>
                <c:pt idx="1">
                  <c:v>34.387</c:v>
                </c:pt>
                <c:pt idx="2">
                  <c:v>39.509</c:v>
                </c:pt>
                <c:pt idx="3">
                  <c:v>42.323</c:v>
                </c:pt>
                <c:pt idx="4">
                  <c:v>43.735999999999997</c:v>
                </c:pt>
                <c:pt idx="5">
                  <c:v>44.982999999999997</c:v>
                </c:pt>
                <c:pt idx="6">
                  <c:v>47.350999999999999</c:v>
                </c:pt>
                <c:pt idx="7">
                  <c:v>49.665999999999997</c:v>
                </c:pt>
                <c:pt idx="8">
                  <c:v>53.645000000000003</c:v>
                </c:pt>
                <c:pt idx="9">
                  <c:v>56.432000000000002</c:v>
                </c:pt>
                <c:pt idx="10">
                  <c:v>59.29</c:v>
                </c:pt>
                <c:pt idx="11">
                  <c:v>61.331000000000003</c:v>
                </c:pt>
                <c:pt idx="12">
                  <c:v>63.023000000000003</c:v>
                </c:pt>
                <c:pt idx="13">
                  <c:v>64.658000000000001</c:v>
                </c:pt>
                <c:pt idx="14">
                  <c:v>65.399000000000001</c:v>
                </c:pt>
                <c:pt idx="15">
                  <c:v>65.090999999999994</c:v>
                </c:pt>
                <c:pt idx="16">
                  <c:v>63.093000000000004</c:v>
                </c:pt>
                <c:pt idx="17">
                  <c:v>61.018000000000001</c:v>
                </c:pt>
                <c:pt idx="18">
                  <c:v>60.070999999999998</c:v>
                </c:pt>
                <c:pt idx="19">
                  <c:v>59.052</c:v>
                </c:pt>
                <c:pt idx="20">
                  <c:v>58.503</c:v>
                </c:pt>
                <c:pt idx="21">
                  <c:v>58.146999999999998</c:v>
                </c:pt>
                <c:pt idx="22">
                  <c:v>57.691000000000003</c:v>
                </c:pt>
                <c:pt idx="23">
                  <c:v>56.933999999999997</c:v>
                </c:pt>
                <c:pt idx="24">
                  <c:v>56.755000000000003</c:v>
                </c:pt>
                <c:pt idx="25">
                  <c:v>56.432000000000002</c:v>
                </c:pt>
                <c:pt idx="26">
                  <c:v>56.35</c:v>
                </c:pt>
                <c:pt idx="27">
                  <c:v>55.607999999999997</c:v>
                </c:pt>
                <c:pt idx="28">
                  <c:v>54</c:v>
                </c:pt>
                <c:pt idx="29">
                  <c:v>52.4</c:v>
                </c:pt>
                <c:pt idx="30">
                  <c:v>51</c:v>
                </c:pt>
                <c:pt idx="31">
                  <c:v>50</c:v>
                </c:pt>
                <c:pt idx="32">
                  <c:v>49.567</c:v>
                </c:pt>
                <c:pt idx="33">
                  <c:v>48.158999999999999</c:v>
                </c:pt>
                <c:pt idx="34">
                  <c:v>47.003999999999998</c:v>
                </c:pt>
                <c:pt idx="35">
                  <c:v>45.981000000000002</c:v>
                </c:pt>
                <c:pt idx="36">
                  <c:v>45.231999999999999</c:v>
                </c:pt>
                <c:pt idx="37">
                  <c:v>44.7</c:v>
                </c:pt>
                <c:pt idx="38">
                  <c:v>44.1</c:v>
                </c:pt>
                <c:pt idx="39">
                  <c:v>42.3</c:v>
                </c:pt>
                <c:pt idx="40">
                  <c:v>40.1</c:v>
                </c:pt>
                <c:pt idx="41">
                  <c:v>38.200000000000003</c:v>
                </c:pt>
                <c:pt idx="42">
                  <c:v>36.6</c:v>
                </c:pt>
                <c:pt idx="43">
                  <c:v>35.4</c:v>
                </c:pt>
                <c:pt idx="44">
                  <c:v>34.700000000000003</c:v>
                </c:pt>
                <c:pt idx="45">
                  <c:v>33.853000000000002</c:v>
                </c:pt>
                <c:pt idx="46">
                  <c:v>33.585999999999999</c:v>
                </c:pt>
                <c:pt idx="47" formatCode="General">
                  <c:v>33</c:v>
                </c:pt>
                <c:pt idx="48" formatCode="General">
                  <c:v>33.4</c:v>
                </c:pt>
                <c:pt idx="49" formatCode="General">
                  <c:v>33.4</c:v>
                </c:pt>
                <c:pt idx="50" formatCode="General">
                  <c:v>33.200000000000003</c:v>
                </c:pt>
                <c:pt idx="51" formatCode="General">
                  <c:v>32.4</c:v>
                </c:pt>
                <c:pt idx="52" formatCode="General">
                  <c:v>31.2</c:v>
                </c:pt>
                <c:pt idx="53" formatCode="General">
                  <c:v>29.9</c:v>
                </c:pt>
                <c:pt idx="54" formatCode="General">
                  <c:v>28.9</c:v>
                </c:pt>
                <c:pt idx="55" formatCode="General">
                  <c:v>28.2</c:v>
                </c:pt>
                <c:pt idx="56" formatCode="General">
                  <c:v>27.6</c:v>
                </c:pt>
                <c:pt idx="57" formatCode="General">
                  <c:v>27.3</c:v>
                </c:pt>
                <c:pt idx="58">
                  <c:v>27.5</c:v>
                </c:pt>
                <c:pt idx="59">
                  <c:v>27</c:v>
                </c:pt>
                <c:pt idx="60" formatCode="General">
                  <c:v>27.2</c:v>
                </c:pt>
                <c:pt idx="61">
                  <c:v>27.1</c:v>
                </c:pt>
                <c:pt idx="62">
                  <c:v>26.9</c:v>
                </c:pt>
                <c:pt idx="63">
                  <c:v>26.3</c:v>
                </c:pt>
                <c:pt idx="64" formatCode="General">
                  <c:v>25.8</c:v>
                </c:pt>
                <c:pt idx="65" formatCode="General">
                  <c:v>25.2</c:v>
                </c:pt>
                <c:pt idx="66" formatCode="General">
                  <c:v>24.8</c:v>
                </c:pt>
                <c:pt idx="67" formatCode="General">
                  <c:v>24.5</c:v>
                </c:pt>
                <c:pt idx="68" formatCode="General">
                  <c:v>24.5</c:v>
                </c:pt>
                <c:pt idx="69" formatCode="General">
                  <c:v>24.4</c:v>
                </c:pt>
                <c:pt idx="70" formatCode="General">
                  <c:v>24.5</c:v>
                </c:pt>
                <c:pt idx="71" formatCode="General">
                  <c:v>24.3</c:v>
                </c:pt>
                <c:pt idx="72" formatCode="General">
                  <c:v>24.9</c:v>
                </c:pt>
                <c:pt idx="73" formatCode="General">
                  <c:v>25.1</c:v>
                </c:pt>
                <c:pt idx="74" formatCode="General">
                  <c:v>25.2</c:v>
                </c:pt>
                <c:pt idx="75" formatCode="General">
                  <c:v>24.2</c:v>
                </c:pt>
                <c:pt idx="76" formatCode="General">
                  <c:v>24.3</c:v>
                </c:pt>
                <c:pt idx="77" formatCode="General">
                  <c:v>23.8</c:v>
                </c:pt>
                <c:pt idx="78">
                  <c:v>23.608661915971549</c:v>
                </c:pt>
                <c:pt idx="79">
                  <c:v>23.071692543882094</c:v>
                </c:pt>
                <c:pt idx="80">
                  <c:v>22.673158205823654</c:v>
                </c:pt>
                <c:pt idx="81">
                  <c:v>22.580461619159717</c:v>
                </c:pt>
                <c:pt idx="82">
                  <c:v>22.975336881428788</c:v>
                </c:pt>
                <c:pt idx="83">
                  <c:v>22.45</c:v>
                </c:pt>
                <c:pt idx="84">
                  <c:v>22.602</c:v>
                </c:pt>
                <c:pt idx="85">
                  <c:v>22.565000000000001</c:v>
                </c:pt>
                <c:pt idx="86">
                  <c:v>22.065000000000001</c:v>
                </c:pt>
                <c:pt idx="87">
                  <c:v>21.731999999999999</c:v>
                </c:pt>
                <c:pt idx="88">
                  <c:v>21.138999999999999</c:v>
                </c:pt>
                <c:pt idx="89">
                  <c:v>20.381</c:v>
                </c:pt>
                <c:pt idx="90">
                  <c:v>19.759</c:v>
                </c:pt>
                <c:pt idx="91">
                  <c:v>19.251000000000001</c:v>
                </c:pt>
                <c:pt idx="92">
                  <c:v>18.89</c:v>
                </c:pt>
                <c:pt idx="93">
                  <c:v>18.498999999999999</c:v>
                </c:pt>
                <c:pt idx="94">
                  <c:v>18.268000000000001</c:v>
                </c:pt>
                <c:pt idx="95">
                  <c:v>18.135999999999999</c:v>
                </c:pt>
                <c:pt idx="96">
                  <c:v>18.241</c:v>
                </c:pt>
                <c:pt idx="97">
                  <c:v>18.036000000000001</c:v>
                </c:pt>
                <c:pt idx="98" formatCode="General">
                  <c:v>18</c:v>
                </c:pt>
                <c:pt idx="99">
                  <c:v>17.600000000000001</c:v>
                </c:pt>
                <c:pt idx="100">
                  <c:v>16.882999999999999</c:v>
                </c:pt>
                <c:pt idx="101">
                  <c:v>16.125</c:v>
                </c:pt>
                <c:pt idx="102">
                  <c:v>15.6</c:v>
                </c:pt>
                <c:pt idx="103">
                  <c:v>15.257</c:v>
                </c:pt>
                <c:pt idx="104">
                  <c:v>15.115</c:v>
                </c:pt>
                <c:pt idx="105">
                  <c:v>14.917999999999999</c:v>
                </c:pt>
                <c:pt idx="106">
                  <c:v>14.888</c:v>
                </c:pt>
              </c:numCache>
            </c:numRef>
          </c:val>
          <c:extLst>
            <c:ext xmlns:c16="http://schemas.microsoft.com/office/drawing/2014/chart" uri="{C3380CC4-5D6E-409C-BE32-E72D297353CC}">
              <c16:uniqueId val="{00000000-11B8-4F6F-9346-8762ABB5B92A}"/>
            </c:ext>
          </c:extLst>
        </c:ser>
        <c:ser>
          <c:idx val="1"/>
          <c:order val="1"/>
          <c:tx>
            <c:strRef>
              <c:f>Bezdarbs!$D$1</c:f>
              <c:strCache>
                <c:ptCount val="1"/>
                <c:pt idx="0">
                  <c:v>reģistrēto bezdarbnieku skaits, tūkst.</c:v>
                </c:pt>
              </c:strCache>
            </c:strRef>
          </c:tx>
          <c:spPr>
            <a:solidFill>
              <a:schemeClr val="tx1">
                <a:lumMod val="50000"/>
                <a:lumOff val="50000"/>
              </a:schemeClr>
            </a:solidFill>
            <a:ln>
              <a:solidFill>
                <a:schemeClr val="tx1">
                  <a:lumMod val="50000"/>
                  <a:lumOff val="50000"/>
                </a:schemeClr>
              </a:solidFill>
            </a:ln>
            <a:effectLst/>
          </c:spPr>
          <c:invertIfNegative val="0"/>
          <c:cat>
            <c:multiLvlStrRef>
              <c:f>Bezdarbs!$A$26:$B$133</c:f>
              <c:multiLvlStrCache>
                <c:ptCount val="108"/>
                <c:lvl>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pt idx="19">
                    <c:v>VIII</c:v>
                  </c:pt>
                  <c:pt idx="20">
                    <c:v>IX</c:v>
                  </c:pt>
                  <c:pt idx="21">
                    <c:v>X</c:v>
                  </c:pt>
                  <c:pt idx="22">
                    <c:v>XI</c:v>
                  </c:pt>
                  <c:pt idx="23">
                    <c:v>XII</c:v>
                  </c:pt>
                  <c:pt idx="24">
                    <c:v>I</c:v>
                  </c:pt>
                  <c:pt idx="25">
                    <c:v>II</c:v>
                  </c:pt>
                  <c:pt idx="26">
                    <c:v>III</c:v>
                  </c:pt>
                  <c:pt idx="27">
                    <c:v>IV</c:v>
                  </c:pt>
                  <c:pt idx="28">
                    <c:v>V</c:v>
                  </c:pt>
                  <c:pt idx="29">
                    <c:v>VI</c:v>
                  </c:pt>
                  <c:pt idx="30">
                    <c:v>VII</c:v>
                  </c:pt>
                  <c:pt idx="31">
                    <c:v>VIII</c:v>
                  </c:pt>
                  <c:pt idx="32">
                    <c:v>IX</c:v>
                  </c:pt>
                  <c:pt idx="33">
                    <c:v>X</c:v>
                  </c:pt>
                  <c:pt idx="34">
                    <c:v>XI</c:v>
                  </c:pt>
                  <c:pt idx="35">
                    <c:v>XII</c:v>
                  </c:pt>
                  <c:pt idx="36">
                    <c:v>I</c:v>
                  </c:pt>
                  <c:pt idx="37">
                    <c:v>II</c:v>
                  </c:pt>
                  <c:pt idx="38">
                    <c:v>III</c:v>
                  </c:pt>
                  <c:pt idx="39">
                    <c:v>IV</c:v>
                  </c:pt>
                  <c:pt idx="40">
                    <c:v>V</c:v>
                  </c:pt>
                  <c:pt idx="41">
                    <c:v>VI</c:v>
                  </c:pt>
                  <c:pt idx="42">
                    <c:v>VII</c:v>
                  </c:pt>
                  <c:pt idx="43">
                    <c:v>VIII</c:v>
                  </c:pt>
                  <c:pt idx="44">
                    <c:v>IX</c:v>
                  </c:pt>
                  <c:pt idx="45">
                    <c:v>X</c:v>
                  </c:pt>
                  <c:pt idx="46">
                    <c:v>XI</c:v>
                  </c:pt>
                  <c:pt idx="47">
                    <c:v>XII</c:v>
                  </c:pt>
                  <c:pt idx="48">
                    <c:v>I</c:v>
                  </c:pt>
                  <c:pt idx="49">
                    <c:v>II</c:v>
                  </c:pt>
                  <c:pt idx="50">
                    <c:v>III</c:v>
                  </c:pt>
                  <c:pt idx="51">
                    <c:v>IV</c:v>
                  </c:pt>
                  <c:pt idx="52">
                    <c:v>V</c:v>
                  </c:pt>
                  <c:pt idx="53">
                    <c:v>VI</c:v>
                  </c:pt>
                  <c:pt idx="54">
                    <c:v>VII</c:v>
                  </c:pt>
                  <c:pt idx="55">
                    <c:v>VIII</c:v>
                  </c:pt>
                  <c:pt idx="56">
                    <c:v>IX</c:v>
                  </c:pt>
                  <c:pt idx="57">
                    <c:v>X</c:v>
                  </c:pt>
                  <c:pt idx="58">
                    <c:v>XI</c:v>
                  </c:pt>
                  <c:pt idx="59">
                    <c:v>XII</c:v>
                  </c:pt>
                  <c:pt idx="60">
                    <c:v>I</c:v>
                  </c:pt>
                  <c:pt idx="61">
                    <c:v>II</c:v>
                  </c:pt>
                  <c:pt idx="62">
                    <c:v>III</c:v>
                  </c:pt>
                  <c:pt idx="63">
                    <c:v>IV</c:v>
                  </c:pt>
                  <c:pt idx="64">
                    <c:v>V</c:v>
                  </c:pt>
                  <c:pt idx="65">
                    <c:v>VI</c:v>
                  </c:pt>
                  <c:pt idx="66">
                    <c:v>VII</c:v>
                  </c:pt>
                  <c:pt idx="67">
                    <c:v>VIII</c:v>
                  </c:pt>
                  <c:pt idx="68">
                    <c:v>IX</c:v>
                  </c:pt>
                  <c:pt idx="69">
                    <c:v>X</c:v>
                  </c:pt>
                  <c:pt idx="70">
                    <c:v>XI</c:v>
                  </c:pt>
                  <c:pt idx="71">
                    <c:v>XII</c:v>
                  </c:pt>
                  <c:pt idx="72">
                    <c:v>I</c:v>
                  </c:pt>
                  <c:pt idx="73">
                    <c:v>II</c:v>
                  </c:pt>
                  <c:pt idx="74">
                    <c:v>III</c:v>
                  </c:pt>
                  <c:pt idx="75">
                    <c:v>IV</c:v>
                  </c:pt>
                  <c:pt idx="76">
                    <c:v>V</c:v>
                  </c:pt>
                  <c:pt idx="77">
                    <c:v>VI</c:v>
                  </c:pt>
                  <c:pt idx="78">
                    <c:v>VII</c:v>
                  </c:pt>
                  <c:pt idx="79">
                    <c:v>VIII</c:v>
                  </c:pt>
                  <c:pt idx="80">
                    <c:v>IX</c:v>
                  </c:pt>
                  <c:pt idx="81">
                    <c:v>X</c:v>
                  </c:pt>
                  <c:pt idx="82">
                    <c:v>XI</c:v>
                  </c:pt>
                  <c:pt idx="83">
                    <c:v>XII</c:v>
                  </c:pt>
                  <c:pt idx="84">
                    <c:v>I</c:v>
                  </c:pt>
                  <c:pt idx="85">
                    <c:v>II</c:v>
                  </c:pt>
                  <c:pt idx="86">
                    <c:v>III</c:v>
                  </c:pt>
                  <c:pt idx="87">
                    <c:v>IV</c:v>
                  </c:pt>
                  <c:pt idx="88">
                    <c:v>V</c:v>
                  </c:pt>
                  <c:pt idx="89">
                    <c:v>VI</c:v>
                  </c:pt>
                  <c:pt idx="90">
                    <c:v>VII</c:v>
                  </c:pt>
                  <c:pt idx="91">
                    <c:v>VIII</c:v>
                  </c:pt>
                  <c:pt idx="92">
                    <c:v>IX</c:v>
                  </c:pt>
                  <c:pt idx="93">
                    <c:v>X</c:v>
                  </c:pt>
                  <c:pt idx="94">
                    <c:v>XI</c:v>
                  </c:pt>
                  <c:pt idx="95">
                    <c:v>XII</c:v>
                  </c:pt>
                  <c:pt idx="96">
                    <c:v>I</c:v>
                  </c:pt>
                  <c:pt idx="97">
                    <c:v>II</c:v>
                  </c:pt>
                  <c:pt idx="98">
                    <c:v>III</c:v>
                  </c:pt>
                  <c:pt idx="99">
                    <c:v>IV</c:v>
                  </c:pt>
                  <c:pt idx="100">
                    <c:v>V</c:v>
                  </c:pt>
                  <c:pt idx="101">
                    <c:v>VI</c:v>
                  </c:pt>
                  <c:pt idx="102">
                    <c:v>VII</c:v>
                  </c:pt>
                  <c:pt idx="103">
                    <c:v>VIII</c:v>
                  </c:pt>
                  <c:pt idx="104">
                    <c:v>IX</c:v>
                  </c:pt>
                  <c:pt idx="105">
                    <c:v>X</c:v>
                  </c:pt>
                  <c:pt idx="106">
                    <c:v>XI</c:v>
                  </c:pt>
                  <c:pt idx="107">
                    <c:v>XII</c:v>
                  </c:pt>
                </c:lvl>
                <c:lvl>
                  <c:pt idx="0">
                    <c:v>2010</c:v>
                  </c:pt>
                  <c:pt idx="12">
                    <c:v>2011</c:v>
                  </c:pt>
                  <c:pt idx="24">
                    <c:v>2012</c:v>
                  </c:pt>
                  <c:pt idx="36">
                    <c:v>2013</c:v>
                  </c:pt>
                  <c:pt idx="48">
                    <c:v>2014</c:v>
                  </c:pt>
                  <c:pt idx="60">
                    <c:v>2015</c:v>
                  </c:pt>
                  <c:pt idx="72">
                    <c:v>2016</c:v>
                  </c:pt>
                  <c:pt idx="84">
                    <c:v>2017</c:v>
                  </c:pt>
                  <c:pt idx="96">
                    <c:v>2018</c:v>
                  </c:pt>
                </c:lvl>
              </c:multiLvlStrCache>
            </c:multiLvlStrRef>
          </c:cat>
          <c:val>
            <c:numRef>
              <c:f>Bezdarbs!$D$26:$D$133</c:f>
              <c:numCache>
                <c:formatCode>0.0</c:formatCode>
                <c:ptCount val="108"/>
                <c:pt idx="0">
                  <c:v>156.875</c:v>
                </c:pt>
                <c:pt idx="1">
                  <c:v>157.666</c:v>
                </c:pt>
                <c:pt idx="2">
                  <c:v>154.744</c:v>
                </c:pt>
                <c:pt idx="3">
                  <c:v>147.55799999999999</c:v>
                </c:pt>
                <c:pt idx="4">
                  <c:v>139.851</c:v>
                </c:pt>
                <c:pt idx="5">
                  <c:v>131.89599999999999</c:v>
                </c:pt>
                <c:pt idx="6">
                  <c:v>125.95</c:v>
                </c:pt>
                <c:pt idx="7">
                  <c:v>120.28</c:v>
                </c:pt>
                <c:pt idx="8">
                  <c:v>111.745</c:v>
                </c:pt>
                <c:pt idx="9">
                  <c:v>106.065</c:v>
                </c:pt>
                <c:pt idx="10">
                  <c:v>102.526</c:v>
                </c:pt>
                <c:pt idx="11">
                  <c:v>101.13200000000001</c:v>
                </c:pt>
                <c:pt idx="12">
                  <c:v>101.52800000000001</c:v>
                </c:pt>
                <c:pt idx="13">
                  <c:v>100.22199999999999</c:v>
                </c:pt>
                <c:pt idx="14">
                  <c:v>98.055000000000007</c:v>
                </c:pt>
                <c:pt idx="15">
                  <c:v>92.766000000000005</c:v>
                </c:pt>
                <c:pt idx="16">
                  <c:v>86.507000000000005</c:v>
                </c:pt>
                <c:pt idx="17">
                  <c:v>81.41</c:v>
                </c:pt>
                <c:pt idx="18">
                  <c:v>77.566999999999993</c:v>
                </c:pt>
                <c:pt idx="19">
                  <c:v>75.123000000000005</c:v>
                </c:pt>
                <c:pt idx="20">
                  <c:v>73.156000000000006</c:v>
                </c:pt>
                <c:pt idx="21">
                  <c:v>72.394000000000005</c:v>
                </c:pt>
                <c:pt idx="22">
                  <c:v>72.549000000000007</c:v>
                </c:pt>
                <c:pt idx="23">
                  <c:v>73.361999999999995</c:v>
                </c:pt>
                <c:pt idx="24">
                  <c:v>75.819999999999993</c:v>
                </c:pt>
                <c:pt idx="25">
                  <c:v>76.980999999999995</c:v>
                </c:pt>
                <c:pt idx="26">
                  <c:v>75.808000000000007</c:v>
                </c:pt>
                <c:pt idx="27">
                  <c:v>72.174999999999997</c:v>
                </c:pt>
                <c:pt idx="28">
                  <c:v>68</c:v>
                </c:pt>
                <c:pt idx="29">
                  <c:v>65.2</c:v>
                </c:pt>
                <c:pt idx="30">
                  <c:v>63.7</c:v>
                </c:pt>
                <c:pt idx="31">
                  <c:v>61.5</c:v>
                </c:pt>
                <c:pt idx="32">
                  <c:v>58.755000000000003</c:v>
                </c:pt>
                <c:pt idx="33">
                  <c:v>57.511000000000003</c:v>
                </c:pt>
                <c:pt idx="34">
                  <c:v>57.41</c:v>
                </c:pt>
                <c:pt idx="35">
                  <c:v>58.070999999999998</c:v>
                </c:pt>
                <c:pt idx="36">
                  <c:v>62.256</c:v>
                </c:pt>
                <c:pt idx="37">
                  <c:v>62.986999999999995</c:v>
                </c:pt>
                <c:pt idx="38">
                  <c:v>62.963000000000001</c:v>
                </c:pt>
                <c:pt idx="39">
                  <c:v>60.460000000000008</c:v>
                </c:pt>
                <c:pt idx="40">
                  <c:v>57.669000000000004</c:v>
                </c:pt>
                <c:pt idx="41">
                  <c:v>56.5</c:v>
                </c:pt>
                <c:pt idx="42">
                  <c:v>56.4</c:v>
                </c:pt>
                <c:pt idx="43">
                  <c:v>55.8</c:v>
                </c:pt>
                <c:pt idx="44">
                  <c:v>54.7</c:v>
                </c:pt>
                <c:pt idx="45">
                  <c:v>55.762999999999998</c:v>
                </c:pt>
                <c:pt idx="46">
                  <c:v>58.033000000000001</c:v>
                </c:pt>
                <c:pt idx="47">
                  <c:v>60.3</c:v>
                </c:pt>
                <c:pt idx="48">
                  <c:v>63.3</c:v>
                </c:pt>
                <c:pt idx="49">
                  <c:v>64.3</c:v>
                </c:pt>
                <c:pt idx="50" formatCode="General">
                  <c:v>63.3</c:v>
                </c:pt>
                <c:pt idx="51" formatCode="General">
                  <c:v>59.6</c:v>
                </c:pt>
                <c:pt idx="52" formatCode="General">
                  <c:v>56.5</c:v>
                </c:pt>
                <c:pt idx="53" formatCode="General">
                  <c:v>55.4</c:v>
                </c:pt>
                <c:pt idx="54" formatCode="General">
                  <c:v>54.3</c:v>
                </c:pt>
                <c:pt idx="55" formatCode="General">
                  <c:v>52.7</c:v>
                </c:pt>
                <c:pt idx="56" formatCode="General">
                  <c:v>51.5</c:v>
                </c:pt>
                <c:pt idx="57" formatCode="General">
                  <c:v>51.8</c:v>
                </c:pt>
                <c:pt idx="58">
                  <c:v>52.3</c:v>
                </c:pt>
                <c:pt idx="59">
                  <c:v>55</c:v>
                </c:pt>
                <c:pt idx="60">
                  <c:v>58</c:v>
                </c:pt>
                <c:pt idx="61" formatCode="General">
                  <c:v>60.7</c:v>
                </c:pt>
                <c:pt idx="62" formatCode="General">
                  <c:v>59.7</c:v>
                </c:pt>
                <c:pt idx="63" formatCode="General">
                  <c:v>56.5</c:v>
                </c:pt>
                <c:pt idx="64" formatCode="General">
                  <c:v>54.8</c:v>
                </c:pt>
                <c:pt idx="65" formatCode="General">
                  <c:v>55.4</c:v>
                </c:pt>
                <c:pt idx="66" formatCode="General">
                  <c:v>55.9</c:v>
                </c:pt>
                <c:pt idx="67" formatCode="General">
                  <c:v>55.3</c:v>
                </c:pt>
                <c:pt idx="68" formatCode="General">
                  <c:v>54</c:v>
                </c:pt>
                <c:pt idx="69" formatCode="General">
                  <c:v>53.6</c:v>
                </c:pt>
                <c:pt idx="70" formatCode="General">
                  <c:v>54.1</c:v>
                </c:pt>
                <c:pt idx="71" formatCode="General">
                  <c:v>57.5</c:v>
                </c:pt>
                <c:pt idx="72" formatCode="General">
                  <c:v>60.6</c:v>
                </c:pt>
                <c:pt idx="73" formatCode="General">
                  <c:v>61.5</c:v>
                </c:pt>
                <c:pt idx="74" formatCode="General">
                  <c:v>60.2</c:v>
                </c:pt>
                <c:pt idx="75" formatCode="General">
                  <c:v>58</c:v>
                </c:pt>
                <c:pt idx="76" formatCode="General">
                  <c:v>54.8</c:v>
                </c:pt>
                <c:pt idx="77" formatCode="General">
                  <c:v>54.3</c:v>
                </c:pt>
                <c:pt idx="78">
                  <c:v>53.816338084028452</c:v>
                </c:pt>
                <c:pt idx="79">
                  <c:v>52.592307456117908</c:v>
                </c:pt>
                <c:pt idx="80">
                  <c:v>51.683841794176345</c:v>
                </c:pt>
                <c:pt idx="81">
                  <c:v>51.472538380840284</c:v>
                </c:pt>
                <c:pt idx="82">
                  <c:v>52.372663118571211</c:v>
                </c:pt>
                <c:pt idx="83">
                  <c:v>55.906999999999996</c:v>
                </c:pt>
                <c:pt idx="84">
                  <c:v>57.414000000000001</c:v>
                </c:pt>
                <c:pt idx="85">
                  <c:v>56.587000000000003</c:v>
                </c:pt>
                <c:pt idx="86">
                  <c:v>54.366</c:v>
                </c:pt>
                <c:pt idx="87">
                  <c:v>49.972999999999999</c:v>
                </c:pt>
                <c:pt idx="88">
                  <c:v>47.3</c:v>
                </c:pt>
                <c:pt idx="89">
                  <c:v>46.326999999999998</c:v>
                </c:pt>
                <c:pt idx="90">
                  <c:v>45.795000000000002</c:v>
                </c:pt>
                <c:pt idx="91">
                  <c:v>44.466000000000001</c:v>
                </c:pt>
                <c:pt idx="92">
                  <c:v>42.570999999999998</c:v>
                </c:pt>
                <c:pt idx="93">
                  <c:v>42.515000000000001</c:v>
                </c:pt>
                <c:pt idx="94">
                  <c:v>43.27</c:v>
                </c:pt>
                <c:pt idx="95">
                  <c:v>44.984999999999999</c:v>
                </c:pt>
                <c:pt idx="96">
                  <c:v>46.895000000000003</c:v>
                </c:pt>
                <c:pt idx="97">
                  <c:v>47.246000000000002</c:v>
                </c:pt>
                <c:pt idx="98" formatCode="General">
                  <c:v>46.6</c:v>
                </c:pt>
                <c:pt idx="99">
                  <c:v>44.2</c:v>
                </c:pt>
                <c:pt idx="100">
                  <c:v>42.664999999999999</c:v>
                </c:pt>
                <c:pt idx="101">
                  <c:v>42.994</c:v>
                </c:pt>
                <c:pt idx="102">
                  <c:v>43.3</c:v>
                </c:pt>
                <c:pt idx="103">
                  <c:v>42.793999999999997</c:v>
                </c:pt>
                <c:pt idx="104">
                  <c:v>41.619</c:v>
                </c:pt>
                <c:pt idx="105">
                  <c:v>41.808</c:v>
                </c:pt>
                <c:pt idx="106">
                  <c:v>42.567</c:v>
                </c:pt>
              </c:numCache>
            </c:numRef>
          </c:val>
          <c:extLst>
            <c:ext xmlns:c16="http://schemas.microsoft.com/office/drawing/2014/chart" uri="{C3380CC4-5D6E-409C-BE32-E72D297353CC}">
              <c16:uniqueId val="{00000001-11B8-4F6F-9346-8762ABB5B92A}"/>
            </c:ext>
          </c:extLst>
        </c:ser>
        <c:dLbls>
          <c:showLegendKey val="0"/>
          <c:showVal val="0"/>
          <c:showCatName val="0"/>
          <c:showSerName val="0"/>
          <c:showPercent val="0"/>
          <c:showBubbleSize val="0"/>
        </c:dLbls>
        <c:gapWidth val="62"/>
        <c:overlap val="100"/>
        <c:axId val="344995384"/>
        <c:axId val="344995776"/>
      </c:barChart>
      <c:lineChart>
        <c:grouping val="standard"/>
        <c:varyColors val="0"/>
        <c:ser>
          <c:idx val="2"/>
          <c:order val="2"/>
          <c:tx>
            <c:strRef>
              <c:f>Bezdarbs!$E$1</c:f>
              <c:strCache>
                <c:ptCount val="1"/>
                <c:pt idx="0">
                  <c:v>reģistrētais bezdarba līmenis, % (labā ass)</c:v>
                </c:pt>
              </c:strCache>
            </c:strRef>
          </c:tx>
          <c:spPr>
            <a:ln w="28575" cap="rnd">
              <a:solidFill>
                <a:schemeClr val="tx1"/>
              </a:solidFill>
              <a:prstDash val="solid"/>
              <a:round/>
            </a:ln>
            <a:effectLst/>
          </c:spPr>
          <c:marker>
            <c:symbol val="none"/>
          </c:marker>
          <c:cat>
            <c:multiLvlStrRef>
              <c:f>Bezdarbs!$A$26:$B$133</c:f>
              <c:multiLvlStrCache>
                <c:ptCount val="108"/>
                <c:lvl>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pt idx="19">
                    <c:v>VIII</c:v>
                  </c:pt>
                  <c:pt idx="20">
                    <c:v>IX</c:v>
                  </c:pt>
                  <c:pt idx="21">
                    <c:v>X</c:v>
                  </c:pt>
                  <c:pt idx="22">
                    <c:v>XI</c:v>
                  </c:pt>
                  <c:pt idx="23">
                    <c:v>XII</c:v>
                  </c:pt>
                  <c:pt idx="24">
                    <c:v>I</c:v>
                  </c:pt>
                  <c:pt idx="25">
                    <c:v>II</c:v>
                  </c:pt>
                  <c:pt idx="26">
                    <c:v>III</c:v>
                  </c:pt>
                  <c:pt idx="27">
                    <c:v>IV</c:v>
                  </c:pt>
                  <c:pt idx="28">
                    <c:v>V</c:v>
                  </c:pt>
                  <c:pt idx="29">
                    <c:v>VI</c:v>
                  </c:pt>
                  <c:pt idx="30">
                    <c:v>VII</c:v>
                  </c:pt>
                  <c:pt idx="31">
                    <c:v>VIII</c:v>
                  </c:pt>
                  <c:pt idx="32">
                    <c:v>IX</c:v>
                  </c:pt>
                  <c:pt idx="33">
                    <c:v>X</c:v>
                  </c:pt>
                  <c:pt idx="34">
                    <c:v>XI</c:v>
                  </c:pt>
                  <c:pt idx="35">
                    <c:v>XII</c:v>
                  </c:pt>
                  <c:pt idx="36">
                    <c:v>I</c:v>
                  </c:pt>
                  <c:pt idx="37">
                    <c:v>II</c:v>
                  </c:pt>
                  <c:pt idx="38">
                    <c:v>III</c:v>
                  </c:pt>
                  <c:pt idx="39">
                    <c:v>IV</c:v>
                  </c:pt>
                  <c:pt idx="40">
                    <c:v>V</c:v>
                  </c:pt>
                  <c:pt idx="41">
                    <c:v>VI</c:v>
                  </c:pt>
                  <c:pt idx="42">
                    <c:v>VII</c:v>
                  </c:pt>
                  <c:pt idx="43">
                    <c:v>VIII</c:v>
                  </c:pt>
                  <c:pt idx="44">
                    <c:v>IX</c:v>
                  </c:pt>
                  <c:pt idx="45">
                    <c:v>X</c:v>
                  </c:pt>
                  <c:pt idx="46">
                    <c:v>XI</c:v>
                  </c:pt>
                  <c:pt idx="47">
                    <c:v>XII</c:v>
                  </c:pt>
                  <c:pt idx="48">
                    <c:v>I</c:v>
                  </c:pt>
                  <c:pt idx="49">
                    <c:v>II</c:v>
                  </c:pt>
                  <c:pt idx="50">
                    <c:v>III</c:v>
                  </c:pt>
                  <c:pt idx="51">
                    <c:v>IV</c:v>
                  </c:pt>
                  <c:pt idx="52">
                    <c:v>V</c:v>
                  </c:pt>
                  <c:pt idx="53">
                    <c:v>VI</c:v>
                  </c:pt>
                  <c:pt idx="54">
                    <c:v>VII</c:v>
                  </c:pt>
                  <c:pt idx="55">
                    <c:v>VIII</c:v>
                  </c:pt>
                  <c:pt idx="56">
                    <c:v>IX</c:v>
                  </c:pt>
                  <c:pt idx="57">
                    <c:v>X</c:v>
                  </c:pt>
                  <c:pt idx="58">
                    <c:v>XI</c:v>
                  </c:pt>
                  <c:pt idx="59">
                    <c:v>XII</c:v>
                  </c:pt>
                  <c:pt idx="60">
                    <c:v>I</c:v>
                  </c:pt>
                  <c:pt idx="61">
                    <c:v>II</c:v>
                  </c:pt>
                  <c:pt idx="62">
                    <c:v>III</c:v>
                  </c:pt>
                  <c:pt idx="63">
                    <c:v>IV</c:v>
                  </c:pt>
                  <c:pt idx="64">
                    <c:v>V</c:v>
                  </c:pt>
                  <c:pt idx="65">
                    <c:v>VI</c:v>
                  </c:pt>
                  <c:pt idx="66">
                    <c:v>VII</c:v>
                  </c:pt>
                  <c:pt idx="67">
                    <c:v>VIII</c:v>
                  </c:pt>
                  <c:pt idx="68">
                    <c:v>IX</c:v>
                  </c:pt>
                  <c:pt idx="69">
                    <c:v>X</c:v>
                  </c:pt>
                  <c:pt idx="70">
                    <c:v>XI</c:v>
                  </c:pt>
                  <c:pt idx="71">
                    <c:v>XII</c:v>
                  </c:pt>
                  <c:pt idx="72">
                    <c:v>I</c:v>
                  </c:pt>
                  <c:pt idx="73">
                    <c:v>II</c:v>
                  </c:pt>
                  <c:pt idx="74">
                    <c:v>III</c:v>
                  </c:pt>
                  <c:pt idx="75">
                    <c:v>IV</c:v>
                  </c:pt>
                  <c:pt idx="76">
                    <c:v>V</c:v>
                  </c:pt>
                  <c:pt idx="77">
                    <c:v>VI</c:v>
                  </c:pt>
                  <c:pt idx="78">
                    <c:v>VII</c:v>
                  </c:pt>
                  <c:pt idx="79">
                    <c:v>VIII</c:v>
                  </c:pt>
                  <c:pt idx="80">
                    <c:v>IX</c:v>
                  </c:pt>
                  <c:pt idx="81">
                    <c:v>X</c:v>
                  </c:pt>
                  <c:pt idx="82">
                    <c:v>XI</c:v>
                  </c:pt>
                  <c:pt idx="83">
                    <c:v>XII</c:v>
                  </c:pt>
                  <c:pt idx="84">
                    <c:v>I</c:v>
                  </c:pt>
                  <c:pt idx="85">
                    <c:v>II</c:v>
                  </c:pt>
                  <c:pt idx="86">
                    <c:v>III</c:v>
                  </c:pt>
                  <c:pt idx="87">
                    <c:v>IV</c:v>
                  </c:pt>
                  <c:pt idx="88">
                    <c:v>V</c:v>
                  </c:pt>
                  <c:pt idx="89">
                    <c:v>VI</c:v>
                  </c:pt>
                  <c:pt idx="90">
                    <c:v>VII</c:v>
                  </c:pt>
                  <c:pt idx="91">
                    <c:v>VIII</c:v>
                  </c:pt>
                  <c:pt idx="92">
                    <c:v>IX</c:v>
                  </c:pt>
                  <c:pt idx="93">
                    <c:v>X</c:v>
                  </c:pt>
                  <c:pt idx="94">
                    <c:v>XI</c:v>
                  </c:pt>
                  <c:pt idx="95">
                    <c:v>XII</c:v>
                  </c:pt>
                  <c:pt idx="96">
                    <c:v>I</c:v>
                  </c:pt>
                  <c:pt idx="97">
                    <c:v>II</c:v>
                  </c:pt>
                  <c:pt idx="98">
                    <c:v>III</c:v>
                  </c:pt>
                  <c:pt idx="99">
                    <c:v>IV</c:v>
                  </c:pt>
                  <c:pt idx="100">
                    <c:v>V</c:v>
                  </c:pt>
                  <c:pt idx="101">
                    <c:v>VI</c:v>
                  </c:pt>
                  <c:pt idx="102">
                    <c:v>VII</c:v>
                  </c:pt>
                  <c:pt idx="103">
                    <c:v>VIII</c:v>
                  </c:pt>
                  <c:pt idx="104">
                    <c:v>IX</c:v>
                  </c:pt>
                  <c:pt idx="105">
                    <c:v>X</c:v>
                  </c:pt>
                  <c:pt idx="106">
                    <c:v>XI</c:v>
                  </c:pt>
                  <c:pt idx="107">
                    <c:v>XII</c:v>
                  </c:pt>
                </c:lvl>
                <c:lvl>
                  <c:pt idx="0">
                    <c:v>2010</c:v>
                  </c:pt>
                  <c:pt idx="12">
                    <c:v>2011</c:v>
                  </c:pt>
                  <c:pt idx="24">
                    <c:v>2012</c:v>
                  </c:pt>
                  <c:pt idx="36">
                    <c:v>2013</c:v>
                  </c:pt>
                  <c:pt idx="48">
                    <c:v>2014</c:v>
                  </c:pt>
                  <c:pt idx="60">
                    <c:v>2015</c:v>
                  </c:pt>
                  <c:pt idx="72">
                    <c:v>2016</c:v>
                  </c:pt>
                  <c:pt idx="84">
                    <c:v>2017</c:v>
                  </c:pt>
                  <c:pt idx="96">
                    <c:v>2018</c:v>
                  </c:pt>
                </c:lvl>
              </c:multiLvlStrCache>
            </c:multiLvlStrRef>
          </c:cat>
          <c:val>
            <c:numRef>
              <c:f>Bezdarbs!$E$26:$E$133</c:f>
              <c:numCache>
                <c:formatCode>0.0</c:formatCode>
                <c:ptCount val="108"/>
                <c:pt idx="0">
                  <c:v>16.600000000000001</c:v>
                </c:pt>
                <c:pt idx="1">
                  <c:v>17.100000000000001</c:v>
                </c:pt>
                <c:pt idx="2">
                  <c:v>17.3</c:v>
                </c:pt>
                <c:pt idx="3">
                  <c:v>16.7</c:v>
                </c:pt>
                <c:pt idx="4">
                  <c:v>16.2</c:v>
                </c:pt>
                <c:pt idx="5">
                  <c:v>15.6</c:v>
                </c:pt>
                <c:pt idx="6">
                  <c:v>15.3</c:v>
                </c:pt>
                <c:pt idx="7">
                  <c:v>15</c:v>
                </c:pt>
                <c:pt idx="8">
                  <c:v>14.6</c:v>
                </c:pt>
                <c:pt idx="9">
                  <c:v>14.3</c:v>
                </c:pt>
                <c:pt idx="10">
                  <c:v>14.3</c:v>
                </c:pt>
                <c:pt idx="11">
                  <c:v>14.3</c:v>
                </c:pt>
                <c:pt idx="12">
                  <c:v>14.5</c:v>
                </c:pt>
                <c:pt idx="13">
                  <c:v>14.5</c:v>
                </c:pt>
                <c:pt idx="14">
                  <c:v>14.4</c:v>
                </c:pt>
                <c:pt idx="15">
                  <c:v>13.9</c:v>
                </c:pt>
                <c:pt idx="16">
                  <c:v>13.2</c:v>
                </c:pt>
                <c:pt idx="17">
                  <c:v>12.6</c:v>
                </c:pt>
                <c:pt idx="18">
                  <c:v>12.1</c:v>
                </c:pt>
                <c:pt idx="19">
                  <c:v>11.8</c:v>
                </c:pt>
                <c:pt idx="20">
                  <c:v>11.6</c:v>
                </c:pt>
                <c:pt idx="21">
                  <c:v>11.5</c:v>
                </c:pt>
                <c:pt idx="22">
                  <c:v>11.5</c:v>
                </c:pt>
                <c:pt idx="23">
                  <c:v>11.5</c:v>
                </c:pt>
                <c:pt idx="24">
                  <c:v>11.7</c:v>
                </c:pt>
                <c:pt idx="25">
                  <c:v>11.8</c:v>
                </c:pt>
                <c:pt idx="26">
                  <c:v>11.7</c:v>
                </c:pt>
                <c:pt idx="27">
                  <c:v>12.9</c:v>
                </c:pt>
                <c:pt idx="28">
                  <c:v>12.3</c:v>
                </c:pt>
                <c:pt idx="29">
                  <c:v>11.9</c:v>
                </c:pt>
                <c:pt idx="30">
                  <c:v>11.6</c:v>
                </c:pt>
                <c:pt idx="31">
                  <c:v>11.3</c:v>
                </c:pt>
                <c:pt idx="32">
                  <c:v>11</c:v>
                </c:pt>
                <c:pt idx="33">
                  <c:v>10.7</c:v>
                </c:pt>
                <c:pt idx="34">
                  <c:v>10.6</c:v>
                </c:pt>
                <c:pt idx="35">
                  <c:v>10.5</c:v>
                </c:pt>
                <c:pt idx="36">
                  <c:v>10.9</c:v>
                </c:pt>
                <c:pt idx="37">
                  <c:v>10.9</c:v>
                </c:pt>
                <c:pt idx="38">
                  <c:v>10.8</c:v>
                </c:pt>
                <c:pt idx="39">
                  <c:v>10.4</c:v>
                </c:pt>
                <c:pt idx="40">
                  <c:v>9.9</c:v>
                </c:pt>
                <c:pt idx="41">
                  <c:v>9.6</c:v>
                </c:pt>
                <c:pt idx="42">
                  <c:v>9.5</c:v>
                </c:pt>
                <c:pt idx="43">
                  <c:v>9.3000000000000007</c:v>
                </c:pt>
                <c:pt idx="44">
                  <c:v>9.1</c:v>
                </c:pt>
                <c:pt idx="45" formatCode="General">
                  <c:v>9.1</c:v>
                </c:pt>
                <c:pt idx="46" formatCode="General">
                  <c:v>9.3000000000000007</c:v>
                </c:pt>
                <c:pt idx="47" formatCode="General">
                  <c:v>9.5</c:v>
                </c:pt>
                <c:pt idx="48" formatCode="General">
                  <c:v>9.8000000000000007</c:v>
                </c:pt>
                <c:pt idx="49" formatCode="General">
                  <c:v>9.9</c:v>
                </c:pt>
                <c:pt idx="50" formatCode="General">
                  <c:v>9.8000000000000007</c:v>
                </c:pt>
                <c:pt idx="51" formatCode="General">
                  <c:v>9.6</c:v>
                </c:pt>
                <c:pt idx="52" formatCode="General">
                  <c:v>9.1</c:v>
                </c:pt>
                <c:pt idx="53" formatCode="General">
                  <c:v>8.9</c:v>
                </c:pt>
                <c:pt idx="54" formatCode="General">
                  <c:v>8.6</c:v>
                </c:pt>
                <c:pt idx="55" formatCode="General">
                  <c:v>8.4</c:v>
                </c:pt>
                <c:pt idx="56" formatCode="General">
                  <c:v>8.1999999999999993</c:v>
                </c:pt>
                <c:pt idx="57" formatCode="General">
                  <c:v>8.1999999999999993</c:v>
                </c:pt>
                <c:pt idx="58" formatCode="General">
                  <c:v>8.3000000000000007</c:v>
                </c:pt>
                <c:pt idx="59" formatCode="General">
                  <c:v>8.5</c:v>
                </c:pt>
                <c:pt idx="60">
                  <c:v>9</c:v>
                </c:pt>
                <c:pt idx="61">
                  <c:v>9.1</c:v>
                </c:pt>
                <c:pt idx="62">
                  <c:v>9.1999999999999993</c:v>
                </c:pt>
                <c:pt idx="63">
                  <c:v>8.8000000000000007</c:v>
                </c:pt>
                <c:pt idx="64" formatCode="General">
                  <c:v>8.6</c:v>
                </c:pt>
                <c:pt idx="65" formatCode="General">
                  <c:v>8.6</c:v>
                </c:pt>
                <c:pt idx="66" formatCode="General">
                  <c:v>8.6</c:v>
                </c:pt>
                <c:pt idx="67" formatCode="General">
                  <c:v>8.5</c:v>
                </c:pt>
                <c:pt idx="68" formatCode="General">
                  <c:v>8.3000000000000007</c:v>
                </c:pt>
                <c:pt idx="69" formatCode="General">
                  <c:v>8.3000000000000007</c:v>
                </c:pt>
                <c:pt idx="70" formatCode="General">
                  <c:v>8.4</c:v>
                </c:pt>
                <c:pt idx="71" formatCode="General">
                  <c:v>8.6999999999999993</c:v>
                </c:pt>
                <c:pt idx="72" formatCode="General">
                  <c:v>9.1</c:v>
                </c:pt>
                <c:pt idx="73" formatCode="General">
                  <c:v>9.1999999999999993</c:v>
                </c:pt>
                <c:pt idx="74" formatCode="General">
                  <c:v>9.1</c:v>
                </c:pt>
                <c:pt idx="75" formatCode="General">
                  <c:v>8.8000000000000007</c:v>
                </c:pt>
                <c:pt idx="76" formatCode="General">
                  <c:v>8.4</c:v>
                </c:pt>
                <c:pt idx="77" formatCode="General">
                  <c:v>8.3000000000000007</c:v>
                </c:pt>
                <c:pt idx="78" formatCode="General">
                  <c:v>8.3000000000000007</c:v>
                </c:pt>
                <c:pt idx="79" formatCode="General">
                  <c:v>8.1</c:v>
                </c:pt>
                <c:pt idx="80" formatCode="General">
                  <c:v>7.9</c:v>
                </c:pt>
                <c:pt idx="81" formatCode="General">
                  <c:v>7.9</c:v>
                </c:pt>
                <c:pt idx="82">
                  <c:v>8</c:v>
                </c:pt>
                <c:pt idx="83" formatCode="General">
                  <c:v>8.4</c:v>
                </c:pt>
                <c:pt idx="84" formatCode="General">
                  <c:v>8.5</c:v>
                </c:pt>
                <c:pt idx="85" formatCode="General">
                  <c:v>8.4</c:v>
                </c:pt>
                <c:pt idx="86" formatCode="General">
                  <c:v>8.3000000000000007</c:v>
                </c:pt>
                <c:pt idx="87" formatCode="General">
                  <c:v>7.8</c:v>
                </c:pt>
                <c:pt idx="88" formatCode="General">
                  <c:v>7.4</c:v>
                </c:pt>
                <c:pt idx="89" formatCode="General">
                  <c:v>7.2</c:v>
                </c:pt>
                <c:pt idx="90" formatCode="General">
                  <c:v>7.1</c:v>
                </c:pt>
                <c:pt idx="91" formatCode="General">
                  <c:v>6.9</c:v>
                </c:pt>
                <c:pt idx="92" formatCode="General">
                  <c:v>6.6</c:v>
                </c:pt>
                <c:pt idx="93" formatCode="General">
                  <c:v>6.6</c:v>
                </c:pt>
                <c:pt idx="94" formatCode="General">
                  <c:v>6.7</c:v>
                </c:pt>
                <c:pt idx="95" formatCode="General">
                  <c:v>6.8</c:v>
                </c:pt>
                <c:pt idx="96">
                  <c:v>7</c:v>
                </c:pt>
                <c:pt idx="97">
                  <c:v>7.1</c:v>
                </c:pt>
                <c:pt idx="98">
                  <c:v>7</c:v>
                </c:pt>
                <c:pt idx="99" formatCode="General">
                  <c:v>6.7</c:v>
                </c:pt>
                <c:pt idx="100" formatCode="General">
                  <c:v>6.4</c:v>
                </c:pt>
                <c:pt idx="101" formatCode="General">
                  <c:v>6.4</c:v>
                </c:pt>
                <c:pt idx="102" formatCode="General">
                  <c:v>6.4</c:v>
                </c:pt>
                <c:pt idx="103" formatCode="General">
                  <c:v>6.3</c:v>
                </c:pt>
                <c:pt idx="104" formatCode="General">
                  <c:v>6.1</c:v>
                </c:pt>
                <c:pt idx="105" formatCode="General">
                  <c:v>6.1</c:v>
                </c:pt>
                <c:pt idx="106" formatCode="General">
                  <c:v>6.2</c:v>
                </c:pt>
                <c:pt idx="107" formatCode="General">
                  <c:v>6.4</c:v>
                </c:pt>
              </c:numCache>
            </c:numRef>
          </c:val>
          <c:smooth val="0"/>
          <c:extLst>
            <c:ext xmlns:c16="http://schemas.microsoft.com/office/drawing/2014/chart" uri="{C3380CC4-5D6E-409C-BE32-E72D297353CC}">
              <c16:uniqueId val="{00000002-11B8-4F6F-9346-8762ABB5B92A}"/>
            </c:ext>
          </c:extLst>
        </c:ser>
        <c:ser>
          <c:idx val="3"/>
          <c:order val="3"/>
          <c:tx>
            <c:strRef>
              <c:f>Bezdarbs!$F$1</c:f>
              <c:strCache>
                <c:ptCount val="1"/>
                <c:pt idx="0">
                  <c:v>darba meklētāju īpatsvars, % (labā ass)</c:v>
                </c:pt>
              </c:strCache>
            </c:strRef>
          </c:tx>
          <c:spPr>
            <a:ln w="28575" cap="rnd">
              <a:solidFill>
                <a:schemeClr val="tx1"/>
              </a:solidFill>
              <a:prstDash val="sysDash"/>
              <a:round/>
            </a:ln>
            <a:effectLst/>
          </c:spPr>
          <c:marker>
            <c:symbol val="none"/>
          </c:marker>
          <c:cat>
            <c:multiLvlStrRef>
              <c:f>Bezdarbs!$A$26:$B$133</c:f>
              <c:multiLvlStrCache>
                <c:ptCount val="108"/>
                <c:lvl>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pt idx="19">
                    <c:v>VIII</c:v>
                  </c:pt>
                  <c:pt idx="20">
                    <c:v>IX</c:v>
                  </c:pt>
                  <c:pt idx="21">
                    <c:v>X</c:v>
                  </c:pt>
                  <c:pt idx="22">
                    <c:v>XI</c:v>
                  </c:pt>
                  <c:pt idx="23">
                    <c:v>XII</c:v>
                  </c:pt>
                  <c:pt idx="24">
                    <c:v>I</c:v>
                  </c:pt>
                  <c:pt idx="25">
                    <c:v>II</c:v>
                  </c:pt>
                  <c:pt idx="26">
                    <c:v>III</c:v>
                  </c:pt>
                  <c:pt idx="27">
                    <c:v>IV</c:v>
                  </c:pt>
                  <c:pt idx="28">
                    <c:v>V</c:v>
                  </c:pt>
                  <c:pt idx="29">
                    <c:v>VI</c:v>
                  </c:pt>
                  <c:pt idx="30">
                    <c:v>VII</c:v>
                  </c:pt>
                  <c:pt idx="31">
                    <c:v>VIII</c:v>
                  </c:pt>
                  <c:pt idx="32">
                    <c:v>IX</c:v>
                  </c:pt>
                  <c:pt idx="33">
                    <c:v>X</c:v>
                  </c:pt>
                  <c:pt idx="34">
                    <c:v>XI</c:v>
                  </c:pt>
                  <c:pt idx="35">
                    <c:v>XII</c:v>
                  </c:pt>
                  <c:pt idx="36">
                    <c:v>I</c:v>
                  </c:pt>
                  <c:pt idx="37">
                    <c:v>II</c:v>
                  </c:pt>
                  <c:pt idx="38">
                    <c:v>III</c:v>
                  </c:pt>
                  <c:pt idx="39">
                    <c:v>IV</c:v>
                  </c:pt>
                  <c:pt idx="40">
                    <c:v>V</c:v>
                  </c:pt>
                  <c:pt idx="41">
                    <c:v>VI</c:v>
                  </c:pt>
                  <c:pt idx="42">
                    <c:v>VII</c:v>
                  </c:pt>
                  <c:pt idx="43">
                    <c:v>VIII</c:v>
                  </c:pt>
                  <c:pt idx="44">
                    <c:v>IX</c:v>
                  </c:pt>
                  <c:pt idx="45">
                    <c:v>X</c:v>
                  </c:pt>
                  <c:pt idx="46">
                    <c:v>XI</c:v>
                  </c:pt>
                  <c:pt idx="47">
                    <c:v>XII</c:v>
                  </c:pt>
                  <c:pt idx="48">
                    <c:v>I</c:v>
                  </c:pt>
                  <c:pt idx="49">
                    <c:v>II</c:v>
                  </c:pt>
                  <c:pt idx="50">
                    <c:v>III</c:v>
                  </c:pt>
                  <c:pt idx="51">
                    <c:v>IV</c:v>
                  </c:pt>
                  <c:pt idx="52">
                    <c:v>V</c:v>
                  </c:pt>
                  <c:pt idx="53">
                    <c:v>VI</c:v>
                  </c:pt>
                  <c:pt idx="54">
                    <c:v>VII</c:v>
                  </c:pt>
                  <c:pt idx="55">
                    <c:v>VIII</c:v>
                  </c:pt>
                  <c:pt idx="56">
                    <c:v>IX</c:v>
                  </c:pt>
                  <c:pt idx="57">
                    <c:v>X</c:v>
                  </c:pt>
                  <c:pt idx="58">
                    <c:v>XI</c:v>
                  </c:pt>
                  <c:pt idx="59">
                    <c:v>XII</c:v>
                  </c:pt>
                  <c:pt idx="60">
                    <c:v>I</c:v>
                  </c:pt>
                  <c:pt idx="61">
                    <c:v>II</c:v>
                  </c:pt>
                  <c:pt idx="62">
                    <c:v>III</c:v>
                  </c:pt>
                  <c:pt idx="63">
                    <c:v>IV</c:v>
                  </c:pt>
                  <c:pt idx="64">
                    <c:v>V</c:v>
                  </c:pt>
                  <c:pt idx="65">
                    <c:v>VI</c:v>
                  </c:pt>
                  <c:pt idx="66">
                    <c:v>VII</c:v>
                  </c:pt>
                  <c:pt idx="67">
                    <c:v>VIII</c:v>
                  </c:pt>
                  <c:pt idx="68">
                    <c:v>IX</c:v>
                  </c:pt>
                  <c:pt idx="69">
                    <c:v>X</c:v>
                  </c:pt>
                  <c:pt idx="70">
                    <c:v>XI</c:v>
                  </c:pt>
                  <c:pt idx="71">
                    <c:v>XII</c:v>
                  </c:pt>
                  <c:pt idx="72">
                    <c:v>I</c:v>
                  </c:pt>
                  <c:pt idx="73">
                    <c:v>II</c:v>
                  </c:pt>
                  <c:pt idx="74">
                    <c:v>III</c:v>
                  </c:pt>
                  <c:pt idx="75">
                    <c:v>IV</c:v>
                  </c:pt>
                  <c:pt idx="76">
                    <c:v>V</c:v>
                  </c:pt>
                  <c:pt idx="77">
                    <c:v>VI</c:v>
                  </c:pt>
                  <c:pt idx="78">
                    <c:v>VII</c:v>
                  </c:pt>
                  <c:pt idx="79">
                    <c:v>VIII</c:v>
                  </c:pt>
                  <c:pt idx="80">
                    <c:v>IX</c:v>
                  </c:pt>
                  <c:pt idx="81">
                    <c:v>X</c:v>
                  </c:pt>
                  <c:pt idx="82">
                    <c:v>XI</c:v>
                  </c:pt>
                  <c:pt idx="83">
                    <c:v>XII</c:v>
                  </c:pt>
                  <c:pt idx="84">
                    <c:v>I</c:v>
                  </c:pt>
                  <c:pt idx="85">
                    <c:v>II</c:v>
                  </c:pt>
                  <c:pt idx="86">
                    <c:v>III</c:v>
                  </c:pt>
                  <c:pt idx="87">
                    <c:v>IV</c:v>
                  </c:pt>
                  <c:pt idx="88">
                    <c:v>V</c:v>
                  </c:pt>
                  <c:pt idx="89">
                    <c:v>VI</c:v>
                  </c:pt>
                  <c:pt idx="90">
                    <c:v>VII</c:v>
                  </c:pt>
                  <c:pt idx="91">
                    <c:v>VIII</c:v>
                  </c:pt>
                  <c:pt idx="92">
                    <c:v>IX</c:v>
                  </c:pt>
                  <c:pt idx="93">
                    <c:v>X</c:v>
                  </c:pt>
                  <c:pt idx="94">
                    <c:v>XI</c:v>
                  </c:pt>
                  <c:pt idx="95">
                    <c:v>XII</c:v>
                  </c:pt>
                  <c:pt idx="96">
                    <c:v>I</c:v>
                  </c:pt>
                  <c:pt idx="97">
                    <c:v>II</c:v>
                  </c:pt>
                  <c:pt idx="98">
                    <c:v>III</c:v>
                  </c:pt>
                  <c:pt idx="99">
                    <c:v>IV</c:v>
                  </c:pt>
                  <c:pt idx="100">
                    <c:v>V</c:v>
                  </c:pt>
                  <c:pt idx="101">
                    <c:v>VI</c:v>
                  </c:pt>
                  <c:pt idx="102">
                    <c:v>VII</c:v>
                  </c:pt>
                  <c:pt idx="103">
                    <c:v>VIII</c:v>
                  </c:pt>
                  <c:pt idx="104">
                    <c:v>IX</c:v>
                  </c:pt>
                  <c:pt idx="105">
                    <c:v>X</c:v>
                  </c:pt>
                  <c:pt idx="106">
                    <c:v>XI</c:v>
                  </c:pt>
                  <c:pt idx="107">
                    <c:v>XII</c:v>
                  </c:pt>
                </c:lvl>
                <c:lvl>
                  <c:pt idx="0">
                    <c:v>2010</c:v>
                  </c:pt>
                  <c:pt idx="12">
                    <c:v>2011</c:v>
                  </c:pt>
                  <c:pt idx="24">
                    <c:v>2012</c:v>
                  </c:pt>
                  <c:pt idx="36">
                    <c:v>2013</c:v>
                  </c:pt>
                  <c:pt idx="48">
                    <c:v>2014</c:v>
                  </c:pt>
                  <c:pt idx="60">
                    <c:v>2015</c:v>
                  </c:pt>
                  <c:pt idx="72">
                    <c:v>2016</c:v>
                  </c:pt>
                  <c:pt idx="84">
                    <c:v>2017</c:v>
                  </c:pt>
                  <c:pt idx="96">
                    <c:v>2018</c:v>
                  </c:pt>
                </c:lvl>
              </c:multiLvlStrCache>
            </c:multiLvlStrRef>
          </c:cat>
          <c:val>
            <c:numRef>
              <c:f>Bezdarbs!$F$26:$F$133</c:f>
              <c:numCache>
                <c:formatCode>0.0</c:formatCode>
                <c:ptCount val="108"/>
                <c:pt idx="0">
                  <c:v>21.3</c:v>
                </c:pt>
                <c:pt idx="1">
                  <c:v>21.3</c:v>
                </c:pt>
                <c:pt idx="2">
                  <c:v>21.3</c:v>
                </c:pt>
                <c:pt idx="3">
                  <c:v>20.399999999999999</c:v>
                </c:pt>
                <c:pt idx="4">
                  <c:v>20.399999999999999</c:v>
                </c:pt>
                <c:pt idx="5">
                  <c:v>20.399999999999999</c:v>
                </c:pt>
                <c:pt idx="6">
                  <c:v>18.5</c:v>
                </c:pt>
                <c:pt idx="7">
                  <c:v>18.5</c:v>
                </c:pt>
                <c:pt idx="8">
                  <c:v>18.5</c:v>
                </c:pt>
                <c:pt idx="9">
                  <c:v>17.8</c:v>
                </c:pt>
                <c:pt idx="10">
                  <c:v>17.8</c:v>
                </c:pt>
                <c:pt idx="11">
                  <c:v>17.8</c:v>
                </c:pt>
                <c:pt idx="12">
                  <c:v>17.600000000000001</c:v>
                </c:pt>
                <c:pt idx="13">
                  <c:v>17.600000000000001</c:v>
                </c:pt>
                <c:pt idx="14">
                  <c:v>17.600000000000001</c:v>
                </c:pt>
                <c:pt idx="15">
                  <c:v>17.100000000000001</c:v>
                </c:pt>
                <c:pt idx="16">
                  <c:v>17.100000000000001</c:v>
                </c:pt>
                <c:pt idx="17">
                  <c:v>17.100000000000001</c:v>
                </c:pt>
                <c:pt idx="18">
                  <c:v>15.1</c:v>
                </c:pt>
                <c:pt idx="19">
                  <c:v>15.1</c:v>
                </c:pt>
                <c:pt idx="20">
                  <c:v>15.1</c:v>
                </c:pt>
                <c:pt idx="21">
                  <c:v>15</c:v>
                </c:pt>
                <c:pt idx="22">
                  <c:v>15</c:v>
                </c:pt>
                <c:pt idx="23">
                  <c:v>15</c:v>
                </c:pt>
                <c:pt idx="24">
                  <c:v>16.3</c:v>
                </c:pt>
                <c:pt idx="25">
                  <c:v>16.3</c:v>
                </c:pt>
                <c:pt idx="26">
                  <c:v>16.3</c:v>
                </c:pt>
                <c:pt idx="27" formatCode="General">
                  <c:v>16.3</c:v>
                </c:pt>
                <c:pt idx="28" formatCode="General">
                  <c:v>16.3</c:v>
                </c:pt>
                <c:pt idx="29" formatCode="General">
                  <c:v>16.3</c:v>
                </c:pt>
                <c:pt idx="30">
                  <c:v>13.7</c:v>
                </c:pt>
                <c:pt idx="31">
                  <c:v>13.7</c:v>
                </c:pt>
                <c:pt idx="32">
                  <c:v>13.7</c:v>
                </c:pt>
                <c:pt idx="33">
                  <c:v>13.9</c:v>
                </c:pt>
                <c:pt idx="34">
                  <c:v>13.9</c:v>
                </c:pt>
                <c:pt idx="35">
                  <c:v>13.9</c:v>
                </c:pt>
                <c:pt idx="36">
                  <c:v>13</c:v>
                </c:pt>
                <c:pt idx="37">
                  <c:v>13</c:v>
                </c:pt>
                <c:pt idx="38">
                  <c:v>13</c:v>
                </c:pt>
                <c:pt idx="39">
                  <c:v>11.4</c:v>
                </c:pt>
                <c:pt idx="40">
                  <c:v>11.4</c:v>
                </c:pt>
                <c:pt idx="41">
                  <c:v>11.4</c:v>
                </c:pt>
                <c:pt idx="42">
                  <c:v>11.8</c:v>
                </c:pt>
                <c:pt idx="43">
                  <c:v>11.8</c:v>
                </c:pt>
                <c:pt idx="44">
                  <c:v>11.8</c:v>
                </c:pt>
                <c:pt idx="45" formatCode="General">
                  <c:v>11.3</c:v>
                </c:pt>
                <c:pt idx="46" formatCode="General">
                  <c:v>11.3</c:v>
                </c:pt>
                <c:pt idx="47" formatCode="General">
                  <c:v>11.3</c:v>
                </c:pt>
                <c:pt idx="48" formatCode="General">
                  <c:v>11.9</c:v>
                </c:pt>
                <c:pt idx="49" formatCode="General">
                  <c:v>11.9</c:v>
                </c:pt>
                <c:pt idx="50" formatCode="General">
                  <c:v>11.9</c:v>
                </c:pt>
                <c:pt idx="51" formatCode="General">
                  <c:v>10.7</c:v>
                </c:pt>
                <c:pt idx="52" formatCode="General">
                  <c:v>10.7</c:v>
                </c:pt>
                <c:pt idx="53" formatCode="General">
                  <c:v>10.7</c:v>
                </c:pt>
                <c:pt idx="54" formatCode="General">
                  <c:v>10.6</c:v>
                </c:pt>
                <c:pt idx="55" formatCode="General">
                  <c:v>10.6</c:v>
                </c:pt>
                <c:pt idx="56" formatCode="General">
                  <c:v>10.6</c:v>
                </c:pt>
                <c:pt idx="57" formatCode="General">
                  <c:v>10.199999999999999</c:v>
                </c:pt>
                <c:pt idx="58" formatCode="General">
                  <c:v>10.199999999999999</c:v>
                </c:pt>
                <c:pt idx="59" formatCode="General">
                  <c:v>10.199999999999999</c:v>
                </c:pt>
                <c:pt idx="60" formatCode="General">
                  <c:v>10.199999999999999</c:v>
                </c:pt>
                <c:pt idx="61" formatCode="General">
                  <c:v>10.199999999999999</c:v>
                </c:pt>
                <c:pt idx="62" formatCode="General">
                  <c:v>10.199999999999999</c:v>
                </c:pt>
                <c:pt idx="63" formatCode="General">
                  <c:v>9.8000000000000007</c:v>
                </c:pt>
                <c:pt idx="64" formatCode="General">
                  <c:v>9.8000000000000007</c:v>
                </c:pt>
                <c:pt idx="65" formatCode="General">
                  <c:v>9.8000000000000007</c:v>
                </c:pt>
                <c:pt idx="66" formatCode="General">
                  <c:v>9.6999999999999993</c:v>
                </c:pt>
                <c:pt idx="67" formatCode="General">
                  <c:v>9.6999999999999993</c:v>
                </c:pt>
                <c:pt idx="68" formatCode="General">
                  <c:v>9.6999999999999993</c:v>
                </c:pt>
                <c:pt idx="69" formatCode="General">
                  <c:v>9.8000000000000007</c:v>
                </c:pt>
                <c:pt idx="70" formatCode="General">
                  <c:v>9.8000000000000007</c:v>
                </c:pt>
                <c:pt idx="71" formatCode="General">
                  <c:v>9.8000000000000007</c:v>
                </c:pt>
                <c:pt idx="72" formatCode="General">
                  <c:v>10.3</c:v>
                </c:pt>
                <c:pt idx="73" formatCode="General">
                  <c:v>10.3</c:v>
                </c:pt>
                <c:pt idx="74" formatCode="General">
                  <c:v>10.3</c:v>
                </c:pt>
                <c:pt idx="75" formatCode="General">
                  <c:v>9.5</c:v>
                </c:pt>
                <c:pt idx="76" formatCode="General">
                  <c:v>9.5</c:v>
                </c:pt>
                <c:pt idx="77" formatCode="General">
                  <c:v>9.5</c:v>
                </c:pt>
                <c:pt idx="78" formatCode="General">
                  <c:v>9.5</c:v>
                </c:pt>
                <c:pt idx="79" formatCode="General">
                  <c:v>9.5</c:v>
                </c:pt>
                <c:pt idx="80" formatCode="General">
                  <c:v>9.5</c:v>
                </c:pt>
                <c:pt idx="81" formatCode="General">
                  <c:v>9.3000000000000007</c:v>
                </c:pt>
                <c:pt idx="82" formatCode="General">
                  <c:v>9.3000000000000007</c:v>
                </c:pt>
                <c:pt idx="83" formatCode="General">
                  <c:v>9.3000000000000007</c:v>
                </c:pt>
                <c:pt idx="84" formatCode="General">
                  <c:v>9.4</c:v>
                </c:pt>
                <c:pt idx="85" formatCode="General">
                  <c:v>9.4</c:v>
                </c:pt>
                <c:pt idx="86" formatCode="General">
                  <c:v>9.4</c:v>
                </c:pt>
                <c:pt idx="87" formatCode="General">
                  <c:v>8.9</c:v>
                </c:pt>
                <c:pt idx="88" formatCode="General">
                  <c:v>8.9</c:v>
                </c:pt>
                <c:pt idx="89" formatCode="General">
                  <c:v>8.9</c:v>
                </c:pt>
                <c:pt idx="90" formatCode="General">
                  <c:v>8.5</c:v>
                </c:pt>
                <c:pt idx="91" formatCode="General">
                  <c:v>8.5</c:v>
                </c:pt>
                <c:pt idx="92" formatCode="General">
                  <c:v>8.5</c:v>
                </c:pt>
                <c:pt idx="93" formatCode="General">
                  <c:v>8.1</c:v>
                </c:pt>
                <c:pt idx="94" formatCode="General">
                  <c:v>8.1</c:v>
                </c:pt>
                <c:pt idx="95" formatCode="General">
                  <c:v>8.1</c:v>
                </c:pt>
                <c:pt idx="96" formatCode="General">
                  <c:v>8.1999999999999993</c:v>
                </c:pt>
                <c:pt idx="97" formatCode="General">
                  <c:v>8.1999999999999993</c:v>
                </c:pt>
                <c:pt idx="98" formatCode="General">
                  <c:v>8.1999999999999993</c:v>
                </c:pt>
                <c:pt idx="99" formatCode="General">
                  <c:v>7.7</c:v>
                </c:pt>
                <c:pt idx="100" formatCode="General">
                  <c:v>7.7</c:v>
                </c:pt>
                <c:pt idx="101" formatCode="General">
                  <c:v>7.7</c:v>
                </c:pt>
                <c:pt idx="102">
                  <c:v>7</c:v>
                </c:pt>
                <c:pt idx="103">
                  <c:v>7</c:v>
                </c:pt>
                <c:pt idx="104">
                  <c:v>7</c:v>
                </c:pt>
                <c:pt idx="105" formatCode="General">
                  <c:v>6.9</c:v>
                </c:pt>
                <c:pt idx="106" formatCode="General">
                  <c:v>6.9</c:v>
                </c:pt>
                <c:pt idx="107" formatCode="General">
                  <c:v>6.9</c:v>
                </c:pt>
              </c:numCache>
            </c:numRef>
          </c:val>
          <c:smooth val="0"/>
          <c:extLst>
            <c:ext xmlns:c16="http://schemas.microsoft.com/office/drawing/2014/chart" uri="{C3380CC4-5D6E-409C-BE32-E72D297353CC}">
              <c16:uniqueId val="{00000003-11B8-4F6F-9346-8762ABB5B92A}"/>
            </c:ext>
          </c:extLst>
        </c:ser>
        <c:dLbls>
          <c:showLegendKey val="0"/>
          <c:showVal val="0"/>
          <c:showCatName val="0"/>
          <c:showSerName val="0"/>
          <c:showPercent val="0"/>
          <c:showBubbleSize val="0"/>
        </c:dLbls>
        <c:marker val="1"/>
        <c:smooth val="0"/>
        <c:axId val="344996560"/>
        <c:axId val="344996168"/>
      </c:lineChart>
      <c:catAx>
        <c:axId val="34499538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Verdana" panose="020B0604030504040204" pitchFamily="34" charset="0"/>
                <a:cs typeface="Times New Roman" panose="02020603050405020304" pitchFamily="18" charset="0"/>
              </a:defRPr>
            </a:pPr>
            <a:endParaRPr lang="lv-LV"/>
          </a:p>
        </c:txPr>
        <c:crossAx val="344995776"/>
        <c:crosses val="autoZero"/>
        <c:auto val="1"/>
        <c:lblAlgn val="ctr"/>
        <c:lblOffset val="100"/>
        <c:noMultiLvlLbl val="0"/>
      </c:catAx>
      <c:valAx>
        <c:axId val="3449957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lgn="ctr">
              <a:defRPr lang="lv-LV" sz="1000" b="0" i="0" u="none" strike="noStrike" kern="1200" baseline="0">
                <a:solidFill>
                  <a:schemeClr val="tx1"/>
                </a:solidFill>
                <a:latin typeface="Times New Roman" panose="02020603050405020304" pitchFamily="18" charset="0"/>
                <a:ea typeface="Verdana" panose="020B0604030504040204" pitchFamily="34" charset="0"/>
                <a:cs typeface="Times New Roman" panose="02020603050405020304" pitchFamily="18" charset="0"/>
              </a:defRPr>
            </a:pPr>
            <a:endParaRPr lang="lv-LV"/>
          </a:p>
        </c:txPr>
        <c:crossAx val="344995384"/>
        <c:crosses val="autoZero"/>
        <c:crossBetween val="between"/>
      </c:valAx>
      <c:valAx>
        <c:axId val="344996168"/>
        <c:scaling>
          <c:orientation val="minMax"/>
          <c:max val="22"/>
          <c:min val="0"/>
        </c:scaling>
        <c:delete val="0"/>
        <c:axPos val="r"/>
        <c:numFmt formatCode="0" sourceLinked="0"/>
        <c:majorTickMark val="none"/>
        <c:minorTickMark val="none"/>
        <c:tickLblPos val="nextTo"/>
        <c:spPr>
          <a:noFill/>
          <a:ln>
            <a:noFill/>
          </a:ln>
          <a:effectLst/>
        </c:spPr>
        <c:txPr>
          <a:bodyPr rot="-60000000" spcFirstLastPara="1" vertOverflow="ellipsis" vert="horz" wrap="square" anchor="ctr" anchorCtr="1"/>
          <a:lstStyle/>
          <a:p>
            <a:pPr algn="ctr">
              <a:defRPr lang="lv-LV" sz="1000" b="0" i="0" u="none" strike="noStrike" kern="1200" baseline="0">
                <a:solidFill>
                  <a:schemeClr val="tx1"/>
                </a:solidFill>
                <a:latin typeface="Times New Roman" panose="02020603050405020304" pitchFamily="18" charset="0"/>
                <a:ea typeface="Verdana" panose="020B0604030504040204" pitchFamily="34" charset="0"/>
                <a:cs typeface="Times New Roman" panose="02020603050405020304" pitchFamily="18" charset="0"/>
              </a:defRPr>
            </a:pPr>
            <a:endParaRPr lang="lv-LV"/>
          </a:p>
        </c:txPr>
        <c:crossAx val="344996560"/>
        <c:crosses val="max"/>
        <c:crossBetween val="between"/>
        <c:majorUnit val="4"/>
      </c:valAx>
      <c:catAx>
        <c:axId val="344996560"/>
        <c:scaling>
          <c:orientation val="minMax"/>
        </c:scaling>
        <c:delete val="1"/>
        <c:axPos val="b"/>
        <c:numFmt formatCode="General" sourceLinked="1"/>
        <c:majorTickMark val="none"/>
        <c:minorTickMark val="none"/>
        <c:tickLblPos val="nextTo"/>
        <c:crossAx val="344996168"/>
        <c:crosses val="autoZero"/>
        <c:auto val="1"/>
        <c:lblAlgn val="ctr"/>
        <c:lblOffset val="100"/>
        <c:noMultiLvlLbl val="0"/>
      </c:catAx>
      <c:spPr>
        <a:noFill/>
        <a:ln>
          <a:noFill/>
        </a:ln>
        <a:effectLst/>
      </c:spPr>
    </c:plotArea>
    <c:legend>
      <c:legendPos val="b"/>
      <c:layout>
        <c:manualLayout>
          <c:xMode val="edge"/>
          <c:yMode val="edge"/>
          <c:x val="2.2659040621796387E-2"/>
          <c:y val="0.84966017488388457"/>
          <c:w val="0.97734095937820364"/>
          <c:h val="0.126402063296845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Verdana" panose="020B0604030504040204" pitchFamily="34" charset="0"/>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3174723580110326E-2"/>
          <c:y val="4.0699745339594418E-2"/>
          <c:w val="0.93672979466292683"/>
          <c:h val="0.69533233776812386"/>
        </c:manualLayout>
      </c:layout>
      <c:barChart>
        <c:barDir val="col"/>
        <c:grouping val="stacked"/>
        <c:varyColors val="0"/>
        <c:ser>
          <c:idx val="0"/>
          <c:order val="1"/>
          <c:tx>
            <c:strRef>
              <c:f>PCI!$L$1</c:f>
              <c:strCache>
                <c:ptCount val="1"/>
                <c:pt idx="0">
                  <c:v>pamatinflācija</c:v>
                </c:pt>
              </c:strCache>
            </c:strRef>
          </c:tx>
          <c:spPr>
            <a:solidFill>
              <a:schemeClr val="accent6">
                <a:lumMod val="60000"/>
                <a:lumOff val="40000"/>
              </a:schemeClr>
            </a:solidFill>
            <a:ln>
              <a:noFill/>
            </a:ln>
            <a:effectLst/>
          </c:spPr>
          <c:invertIfNegative val="0"/>
          <c:cat>
            <c:multiLvlStrRef>
              <c:f>PCI!$A$86:$B$182</c:f>
              <c:multiLvlStrCache>
                <c:ptCount val="97"/>
                <c:lvl>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pt idx="19">
                    <c:v>VIII</c:v>
                  </c:pt>
                  <c:pt idx="20">
                    <c:v>IX</c:v>
                  </c:pt>
                  <c:pt idx="21">
                    <c:v>X</c:v>
                  </c:pt>
                  <c:pt idx="22">
                    <c:v>XI</c:v>
                  </c:pt>
                  <c:pt idx="23">
                    <c:v>XII</c:v>
                  </c:pt>
                  <c:pt idx="24">
                    <c:v>I</c:v>
                  </c:pt>
                  <c:pt idx="25">
                    <c:v>II</c:v>
                  </c:pt>
                  <c:pt idx="26">
                    <c:v>III</c:v>
                  </c:pt>
                  <c:pt idx="27">
                    <c:v>IV</c:v>
                  </c:pt>
                  <c:pt idx="28">
                    <c:v>V</c:v>
                  </c:pt>
                  <c:pt idx="29">
                    <c:v>VI</c:v>
                  </c:pt>
                  <c:pt idx="30">
                    <c:v>VII</c:v>
                  </c:pt>
                  <c:pt idx="31">
                    <c:v>VIII</c:v>
                  </c:pt>
                  <c:pt idx="32">
                    <c:v>IX</c:v>
                  </c:pt>
                  <c:pt idx="33">
                    <c:v>X</c:v>
                  </c:pt>
                  <c:pt idx="34">
                    <c:v>XI</c:v>
                  </c:pt>
                  <c:pt idx="35">
                    <c:v>XII</c:v>
                  </c:pt>
                  <c:pt idx="36">
                    <c:v>I</c:v>
                  </c:pt>
                  <c:pt idx="37">
                    <c:v>II</c:v>
                  </c:pt>
                  <c:pt idx="38">
                    <c:v>III</c:v>
                  </c:pt>
                  <c:pt idx="39">
                    <c:v>IV</c:v>
                  </c:pt>
                  <c:pt idx="40">
                    <c:v>V</c:v>
                  </c:pt>
                  <c:pt idx="41">
                    <c:v>VI</c:v>
                  </c:pt>
                  <c:pt idx="42">
                    <c:v>VII</c:v>
                  </c:pt>
                  <c:pt idx="43">
                    <c:v>VIII</c:v>
                  </c:pt>
                  <c:pt idx="44">
                    <c:v>IX</c:v>
                  </c:pt>
                  <c:pt idx="45">
                    <c:v>X</c:v>
                  </c:pt>
                  <c:pt idx="46">
                    <c:v>XI</c:v>
                  </c:pt>
                  <c:pt idx="47">
                    <c:v>XII</c:v>
                  </c:pt>
                  <c:pt idx="48">
                    <c:v>I</c:v>
                  </c:pt>
                  <c:pt idx="49">
                    <c:v>II</c:v>
                  </c:pt>
                  <c:pt idx="50">
                    <c:v>III</c:v>
                  </c:pt>
                  <c:pt idx="51">
                    <c:v>IV</c:v>
                  </c:pt>
                  <c:pt idx="52">
                    <c:v>V</c:v>
                  </c:pt>
                  <c:pt idx="53">
                    <c:v>VI</c:v>
                  </c:pt>
                  <c:pt idx="54">
                    <c:v>VII</c:v>
                  </c:pt>
                  <c:pt idx="55">
                    <c:v>VIII</c:v>
                  </c:pt>
                  <c:pt idx="56">
                    <c:v>IX</c:v>
                  </c:pt>
                  <c:pt idx="57">
                    <c:v>X</c:v>
                  </c:pt>
                  <c:pt idx="58">
                    <c:v>XI</c:v>
                  </c:pt>
                  <c:pt idx="59">
                    <c:v>XII</c:v>
                  </c:pt>
                  <c:pt idx="60">
                    <c:v>I</c:v>
                  </c:pt>
                  <c:pt idx="61">
                    <c:v>II</c:v>
                  </c:pt>
                  <c:pt idx="62">
                    <c:v>III</c:v>
                  </c:pt>
                  <c:pt idx="63">
                    <c:v>IV</c:v>
                  </c:pt>
                  <c:pt idx="64">
                    <c:v>V</c:v>
                  </c:pt>
                  <c:pt idx="65">
                    <c:v>VI</c:v>
                  </c:pt>
                  <c:pt idx="66">
                    <c:v>VII</c:v>
                  </c:pt>
                  <c:pt idx="67">
                    <c:v>VIII</c:v>
                  </c:pt>
                  <c:pt idx="68">
                    <c:v>IX</c:v>
                  </c:pt>
                  <c:pt idx="69">
                    <c:v>X</c:v>
                  </c:pt>
                  <c:pt idx="70">
                    <c:v>XI</c:v>
                  </c:pt>
                  <c:pt idx="71">
                    <c:v>XII</c:v>
                  </c:pt>
                  <c:pt idx="72">
                    <c:v>I</c:v>
                  </c:pt>
                  <c:pt idx="73">
                    <c:v>II</c:v>
                  </c:pt>
                  <c:pt idx="74">
                    <c:v>III</c:v>
                  </c:pt>
                  <c:pt idx="75">
                    <c:v>IV</c:v>
                  </c:pt>
                  <c:pt idx="76">
                    <c:v>V</c:v>
                  </c:pt>
                  <c:pt idx="77">
                    <c:v>VI</c:v>
                  </c:pt>
                  <c:pt idx="78">
                    <c:v>VII</c:v>
                  </c:pt>
                  <c:pt idx="79">
                    <c:v>VIII</c:v>
                  </c:pt>
                  <c:pt idx="80">
                    <c:v>IX</c:v>
                  </c:pt>
                  <c:pt idx="81">
                    <c:v>X</c:v>
                  </c:pt>
                  <c:pt idx="82">
                    <c:v>XI</c:v>
                  </c:pt>
                  <c:pt idx="83">
                    <c:v>XII</c:v>
                  </c:pt>
                  <c:pt idx="84">
                    <c:v>I</c:v>
                  </c:pt>
                  <c:pt idx="85">
                    <c:v>II</c:v>
                  </c:pt>
                  <c:pt idx="86">
                    <c:v>III</c:v>
                  </c:pt>
                  <c:pt idx="87">
                    <c:v>IV</c:v>
                  </c:pt>
                  <c:pt idx="88">
                    <c:v>V</c:v>
                  </c:pt>
                  <c:pt idx="89">
                    <c:v>VI</c:v>
                  </c:pt>
                  <c:pt idx="90">
                    <c:v>VII</c:v>
                  </c:pt>
                  <c:pt idx="91">
                    <c:v>VIII</c:v>
                  </c:pt>
                  <c:pt idx="92">
                    <c:v>IX</c:v>
                  </c:pt>
                  <c:pt idx="93">
                    <c:v>X</c:v>
                  </c:pt>
                  <c:pt idx="94">
                    <c:v>XI</c:v>
                  </c:pt>
                  <c:pt idx="95">
                    <c:v>XII</c:v>
                  </c:pt>
                  <c:pt idx="96">
                    <c:v>I</c:v>
                  </c:pt>
                </c:lvl>
                <c:lvl>
                  <c:pt idx="0">
                    <c:v>2011</c:v>
                  </c:pt>
                  <c:pt idx="12">
                    <c:v>2012</c:v>
                  </c:pt>
                  <c:pt idx="24">
                    <c:v>2013</c:v>
                  </c:pt>
                  <c:pt idx="36">
                    <c:v>2014</c:v>
                  </c:pt>
                  <c:pt idx="48">
                    <c:v>2015</c:v>
                  </c:pt>
                  <c:pt idx="60">
                    <c:v>2016</c:v>
                  </c:pt>
                  <c:pt idx="72">
                    <c:v>2017</c:v>
                  </c:pt>
                  <c:pt idx="84">
                    <c:v>2018</c:v>
                  </c:pt>
                  <c:pt idx="96">
                    <c:v>2019</c:v>
                  </c:pt>
                </c:lvl>
              </c:multiLvlStrCache>
            </c:multiLvlStrRef>
          </c:cat>
          <c:val>
            <c:numRef>
              <c:f>PCI!$L$86:$L$182</c:f>
              <c:numCache>
                <c:formatCode>0.000</c:formatCode>
                <c:ptCount val="97"/>
                <c:pt idx="0">
                  <c:v>-0.22384704296262092</c:v>
                </c:pt>
                <c:pt idx="1">
                  <c:v>0.16124148175607811</c:v>
                </c:pt>
                <c:pt idx="2">
                  <c:v>0.44880634462776747</c:v>
                </c:pt>
                <c:pt idx="3">
                  <c:v>0.81918074104148775</c:v>
                </c:pt>
                <c:pt idx="4">
                  <c:v>1.152592914043685</c:v>
                </c:pt>
                <c:pt idx="5">
                  <c:v>1.1377369501332648</c:v>
                </c:pt>
                <c:pt idx="6">
                  <c:v>0.83408321371840088</c:v>
                </c:pt>
                <c:pt idx="7">
                  <c:v>1.2255909623521906</c:v>
                </c:pt>
                <c:pt idx="8">
                  <c:v>0.89533646617668472</c:v>
                </c:pt>
                <c:pt idx="9">
                  <c:v>0.58348621846635051</c:v>
                </c:pt>
                <c:pt idx="10">
                  <c:v>0.31460013530175024</c:v>
                </c:pt>
                <c:pt idx="11">
                  <c:v>0.89761183728307503</c:v>
                </c:pt>
                <c:pt idx="12">
                  <c:v>1.0951064468252678</c:v>
                </c:pt>
                <c:pt idx="13">
                  <c:v>0.75845895056921853</c:v>
                </c:pt>
                <c:pt idx="14">
                  <c:v>0.69440277801430383</c:v>
                </c:pt>
                <c:pt idx="15">
                  <c:v>0.75676464365697105</c:v>
                </c:pt>
                <c:pt idx="16">
                  <c:v>0.51519556949613854</c:v>
                </c:pt>
                <c:pt idx="17">
                  <c:v>0.52667286637850941</c:v>
                </c:pt>
                <c:pt idx="18">
                  <c:v>0.94000633947199441</c:v>
                </c:pt>
                <c:pt idx="19">
                  <c:v>0.51895849358571378</c:v>
                </c:pt>
                <c:pt idx="20">
                  <c:v>0.46098808601710672</c:v>
                </c:pt>
                <c:pt idx="21">
                  <c:v>0.22223010379547145</c:v>
                </c:pt>
                <c:pt idx="22">
                  <c:v>0.58280743746785879</c:v>
                </c:pt>
                <c:pt idx="23">
                  <c:v>0.23418358005627582</c:v>
                </c:pt>
                <c:pt idx="24">
                  <c:v>0.14863811556982104</c:v>
                </c:pt>
                <c:pt idx="25">
                  <c:v>0.35190589027773445</c:v>
                </c:pt>
                <c:pt idx="26">
                  <c:v>0.44869318336796576</c:v>
                </c:pt>
                <c:pt idx="27">
                  <c:v>0.1389690923627146</c:v>
                </c:pt>
                <c:pt idx="28">
                  <c:v>0.15302012010475408</c:v>
                </c:pt>
                <c:pt idx="29">
                  <c:v>0.17886008382353685</c:v>
                </c:pt>
                <c:pt idx="30">
                  <c:v>-5.0772825881947148E-2</c:v>
                </c:pt>
                <c:pt idx="31">
                  <c:v>-3.4410437837126648E-2</c:v>
                </c:pt>
                <c:pt idx="32">
                  <c:v>0.14089585513270408</c:v>
                </c:pt>
                <c:pt idx="33">
                  <c:v>0.54894054315451257</c:v>
                </c:pt>
                <c:pt idx="34">
                  <c:v>1.2593907592300703E-2</c:v>
                </c:pt>
                <c:pt idx="35">
                  <c:v>9.9428802381561723E-2</c:v>
                </c:pt>
                <c:pt idx="36">
                  <c:v>0.48801821980363269</c:v>
                </c:pt>
                <c:pt idx="37">
                  <c:v>0.57142083604539284</c:v>
                </c:pt>
                <c:pt idx="38">
                  <c:v>0.52332008929592344</c:v>
                </c:pt>
                <c:pt idx="39">
                  <c:v>0.77242848254881824</c:v>
                </c:pt>
                <c:pt idx="40">
                  <c:v>0.80276931422065645</c:v>
                </c:pt>
                <c:pt idx="41">
                  <c:v>0.98462015967219774</c:v>
                </c:pt>
                <c:pt idx="42">
                  <c:v>0.8682799774114931</c:v>
                </c:pt>
                <c:pt idx="43">
                  <c:v>1.0726461064937283</c:v>
                </c:pt>
                <c:pt idx="44">
                  <c:v>1.0222635599800669</c:v>
                </c:pt>
                <c:pt idx="45">
                  <c:v>0.66987964973080294</c:v>
                </c:pt>
                <c:pt idx="46">
                  <c:v>1.1102884717528918</c:v>
                </c:pt>
                <c:pt idx="47">
                  <c:v>0.99016020156261475</c:v>
                </c:pt>
                <c:pt idx="48">
                  <c:v>0.65922703245154191</c:v>
                </c:pt>
                <c:pt idx="49">
                  <c:v>0.5114154077850942</c:v>
                </c:pt>
                <c:pt idx="50">
                  <c:v>0.67592314182225322</c:v>
                </c:pt>
                <c:pt idx="51">
                  <c:v>0.59126012490950208</c:v>
                </c:pt>
                <c:pt idx="52">
                  <c:v>0.78091483209483503</c:v>
                </c:pt>
                <c:pt idx="53">
                  <c:v>0.60989589013833978</c:v>
                </c:pt>
                <c:pt idx="54">
                  <c:v>0.36710090251858851</c:v>
                </c:pt>
                <c:pt idx="55">
                  <c:v>0.46217294810447795</c:v>
                </c:pt>
                <c:pt idx="56">
                  <c:v>0.30149994733582774</c:v>
                </c:pt>
                <c:pt idx="57">
                  <c:v>0.60453720383739551</c:v>
                </c:pt>
                <c:pt idx="58">
                  <c:v>0.49217522668943037</c:v>
                </c:pt>
                <c:pt idx="59">
                  <c:v>0.50113098641132869</c:v>
                </c:pt>
                <c:pt idx="60">
                  <c:v>0.22974621020138983</c:v>
                </c:pt>
                <c:pt idx="61">
                  <c:v>0.49760142564668969</c:v>
                </c:pt>
                <c:pt idx="62">
                  <c:v>0.64051454803596775</c:v>
                </c:pt>
                <c:pt idx="63">
                  <c:v>0.41964154916742591</c:v>
                </c:pt>
                <c:pt idx="64">
                  <c:v>0.70845128486779085</c:v>
                </c:pt>
                <c:pt idx="65">
                  <c:v>0.61495181553140155</c:v>
                </c:pt>
                <c:pt idx="66">
                  <c:v>0.84749419313534113</c:v>
                </c:pt>
                <c:pt idx="67">
                  <c:v>0.56602398032710011</c:v>
                </c:pt>
                <c:pt idx="68">
                  <c:v>0.70819976194658585</c:v>
                </c:pt>
                <c:pt idx="69">
                  <c:v>0.82366837655649527</c:v>
                </c:pt>
                <c:pt idx="70">
                  <c:v>0.88293763769473521</c:v>
                </c:pt>
                <c:pt idx="71">
                  <c:v>1.278105464679129</c:v>
                </c:pt>
                <c:pt idx="72">
                  <c:v>1.5407412072308968</c:v>
                </c:pt>
                <c:pt idx="73">
                  <c:v>1.4361403792811016</c:v>
                </c:pt>
                <c:pt idx="74">
                  <c:v>1.6245594079338732</c:v>
                </c:pt>
                <c:pt idx="75">
                  <c:v>1.9776098861213867</c:v>
                </c:pt>
                <c:pt idx="76">
                  <c:v>1.485859007214319</c:v>
                </c:pt>
                <c:pt idx="77">
                  <c:v>1.6924932865781954</c:v>
                </c:pt>
                <c:pt idx="78">
                  <c:v>1.4319484971323546</c:v>
                </c:pt>
                <c:pt idx="79">
                  <c:v>1.8718385852814594</c:v>
                </c:pt>
                <c:pt idx="80">
                  <c:v>1.5973688667930093</c:v>
                </c:pt>
                <c:pt idx="81">
                  <c:v>1.6755369345884346</c:v>
                </c:pt>
                <c:pt idx="82">
                  <c:v>1.5503366667797651</c:v>
                </c:pt>
                <c:pt idx="83">
                  <c:v>1.1611873855773489</c:v>
                </c:pt>
                <c:pt idx="84">
                  <c:v>1.2238262620642182</c:v>
                </c:pt>
                <c:pt idx="85">
                  <c:v>1.2907718295672268</c:v>
                </c:pt>
                <c:pt idx="86">
                  <c:v>1.2670477776129232</c:v>
                </c:pt>
                <c:pt idx="87">
                  <c:v>0.98527089573845839</c:v>
                </c:pt>
                <c:pt idx="88">
                  <c:v>0.98585971991311006</c:v>
                </c:pt>
                <c:pt idx="89">
                  <c:v>1.2062116608889122</c:v>
                </c:pt>
                <c:pt idx="90">
                  <c:v>1.0126232734032783</c:v>
                </c:pt>
                <c:pt idx="91">
                  <c:v>1.0503295896981033</c:v>
                </c:pt>
                <c:pt idx="92">
                  <c:v>1.2072967825954954</c:v>
                </c:pt>
                <c:pt idx="93">
                  <c:v>1.0957378705291934</c:v>
                </c:pt>
                <c:pt idx="94">
                  <c:v>1.2784197433078166</c:v>
                </c:pt>
                <c:pt idx="95">
                  <c:v>1.3327464203503485</c:v>
                </c:pt>
                <c:pt idx="96">
                  <c:v>1.6455762541620371</c:v>
                </c:pt>
              </c:numCache>
            </c:numRef>
          </c:val>
          <c:extLst>
            <c:ext xmlns:c16="http://schemas.microsoft.com/office/drawing/2014/chart" uri="{C3380CC4-5D6E-409C-BE32-E72D297353CC}">
              <c16:uniqueId val="{00000000-44C5-4D7A-B812-726538587C07}"/>
            </c:ext>
          </c:extLst>
        </c:ser>
        <c:ser>
          <c:idx val="1"/>
          <c:order val="2"/>
          <c:tx>
            <c:strRef>
              <c:f>PCI!$D$1</c:f>
              <c:strCache>
                <c:ptCount val="1"/>
                <c:pt idx="0">
                  <c:v>nodokļi</c:v>
                </c:pt>
              </c:strCache>
            </c:strRef>
          </c:tx>
          <c:spPr>
            <a:solidFill>
              <a:schemeClr val="accent2"/>
            </a:solidFill>
            <a:ln>
              <a:noFill/>
            </a:ln>
            <a:effectLst/>
          </c:spPr>
          <c:invertIfNegative val="0"/>
          <c:cat>
            <c:multiLvlStrRef>
              <c:f>PCI!$A$86:$B$182</c:f>
              <c:multiLvlStrCache>
                <c:ptCount val="97"/>
                <c:lvl>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pt idx="19">
                    <c:v>VIII</c:v>
                  </c:pt>
                  <c:pt idx="20">
                    <c:v>IX</c:v>
                  </c:pt>
                  <c:pt idx="21">
                    <c:v>X</c:v>
                  </c:pt>
                  <c:pt idx="22">
                    <c:v>XI</c:v>
                  </c:pt>
                  <c:pt idx="23">
                    <c:v>XII</c:v>
                  </c:pt>
                  <c:pt idx="24">
                    <c:v>I</c:v>
                  </c:pt>
                  <c:pt idx="25">
                    <c:v>II</c:v>
                  </c:pt>
                  <c:pt idx="26">
                    <c:v>III</c:v>
                  </c:pt>
                  <c:pt idx="27">
                    <c:v>IV</c:v>
                  </c:pt>
                  <c:pt idx="28">
                    <c:v>V</c:v>
                  </c:pt>
                  <c:pt idx="29">
                    <c:v>VI</c:v>
                  </c:pt>
                  <c:pt idx="30">
                    <c:v>VII</c:v>
                  </c:pt>
                  <c:pt idx="31">
                    <c:v>VIII</c:v>
                  </c:pt>
                  <c:pt idx="32">
                    <c:v>IX</c:v>
                  </c:pt>
                  <c:pt idx="33">
                    <c:v>X</c:v>
                  </c:pt>
                  <c:pt idx="34">
                    <c:v>XI</c:v>
                  </c:pt>
                  <c:pt idx="35">
                    <c:v>XII</c:v>
                  </c:pt>
                  <c:pt idx="36">
                    <c:v>I</c:v>
                  </c:pt>
                  <c:pt idx="37">
                    <c:v>II</c:v>
                  </c:pt>
                  <c:pt idx="38">
                    <c:v>III</c:v>
                  </c:pt>
                  <c:pt idx="39">
                    <c:v>IV</c:v>
                  </c:pt>
                  <c:pt idx="40">
                    <c:v>V</c:v>
                  </c:pt>
                  <c:pt idx="41">
                    <c:v>VI</c:v>
                  </c:pt>
                  <c:pt idx="42">
                    <c:v>VII</c:v>
                  </c:pt>
                  <c:pt idx="43">
                    <c:v>VIII</c:v>
                  </c:pt>
                  <c:pt idx="44">
                    <c:v>IX</c:v>
                  </c:pt>
                  <c:pt idx="45">
                    <c:v>X</c:v>
                  </c:pt>
                  <c:pt idx="46">
                    <c:v>XI</c:v>
                  </c:pt>
                  <c:pt idx="47">
                    <c:v>XII</c:v>
                  </c:pt>
                  <c:pt idx="48">
                    <c:v>I</c:v>
                  </c:pt>
                  <c:pt idx="49">
                    <c:v>II</c:v>
                  </c:pt>
                  <c:pt idx="50">
                    <c:v>III</c:v>
                  </c:pt>
                  <c:pt idx="51">
                    <c:v>IV</c:v>
                  </c:pt>
                  <c:pt idx="52">
                    <c:v>V</c:v>
                  </c:pt>
                  <c:pt idx="53">
                    <c:v>VI</c:v>
                  </c:pt>
                  <c:pt idx="54">
                    <c:v>VII</c:v>
                  </c:pt>
                  <c:pt idx="55">
                    <c:v>VIII</c:v>
                  </c:pt>
                  <c:pt idx="56">
                    <c:v>IX</c:v>
                  </c:pt>
                  <c:pt idx="57">
                    <c:v>X</c:v>
                  </c:pt>
                  <c:pt idx="58">
                    <c:v>XI</c:v>
                  </c:pt>
                  <c:pt idx="59">
                    <c:v>XII</c:v>
                  </c:pt>
                  <c:pt idx="60">
                    <c:v>I</c:v>
                  </c:pt>
                  <c:pt idx="61">
                    <c:v>II</c:v>
                  </c:pt>
                  <c:pt idx="62">
                    <c:v>III</c:v>
                  </c:pt>
                  <c:pt idx="63">
                    <c:v>IV</c:v>
                  </c:pt>
                  <c:pt idx="64">
                    <c:v>V</c:v>
                  </c:pt>
                  <c:pt idx="65">
                    <c:v>VI</c:v>
                  </c:pt>
                  <c:pt idx="66">
                    <c:v>VII</c:v>
                  </c:pt>
                  <c:pt idx="67">
                    <c:v>VIII</c:v>
                  </c:pt>
                  <c:pt idx="68">
                    <c:v>IX</c:v>
                  </c:pt>
                  <c:pt idx="69">
                    <c:v>X</c:v>
                  </c:pt>
                  <c:pt idx="70">
                    <c:v>XI</c:v>
                  </c:pt>
                  <c:pt idx="71">
                    <c:v>XII</c:v>
                  </c:pt>
                  <c:pt idx="72">
                    <c:v>I</c:v>
                  </c:pt>
                  <c:pt idx="73">
                    <c:v>II</c:v>
                  </c:pt>
                  <c:pt idx="74">
                    <c:v>III</c:v>
                  </c:pt>
                  <c:pt idx="75">
                    <c:v>IV</c:v>
                  </c:pt>
                  <c:pt idx="76">
                    <c:v>V</c:v>
                  </c:pt>
                  <c:pt idx="77">
                    <c:v>VI</c:v>
                  </c:pt>
                  <c:pt idx="78">
                    <c:v>VII</c:v>
                  </c:pt>
                  <c:pt idx="79">
                    <c:v>VIII</c:v>
                  </c:pt>
                  <c:pt idx="80">
                    <c:v>IX</c:v>
                  </c:pt>
                  <c:pt idx="81">
                    <c:v>X</c:v>
                  </c:pt>
                  <c:pt idx="82">
                    <c:v>XI</c:v>
                  </c:pt>
                  <c:pt idx="83">
                    <c:v>XII</c:v>
                  </c:pt>
                  <c:pt idx="84">
                    <c:v>I</c:v>
                  </c:pt>
                  <c:pt idx="85">
                    <c:v>II</c:v>
                  </c:pt>
                  <c:pt idx="86">
                    <c:v>III</c:v>
                  </c:pt>
                  <c:pt idx="87">
                    <c:v>IV</c:v>
                  </c:pt>
                  <c:pt idx="88">
                    <c:v>V</c:v>
                  </c:pt>
                  <c:pt idx="89">
                    <c:v>VI</c:v>
                  </c:pt>
                  <c:pt idx="90">
                    <c:v>VII</c:v>
                  </c:pt>
                  <c:pt idx="91">
                    <c:v>VIII</c:v>
                  </c:pt>
                  <c:pt idx="92">
                    <c:v>IX</c:v>
                  </c:pt>
                  <c:pt idx="93">
                    <c:v>X</c:v>
                  </c:pt>
                  <c:pt idx="94">
                    <c:v>XI</c:v>
                  </c:pt>
                  <c:pt idx="95">
                    <c:v>XII</c:v>
                  </c:pt>
                  <c:pt idx="96">
                    <c:v>I</c:v>
                  </c:pt>
                </c:lvl>
                <c:lvl>
                  <c:pt idx="0">
                    <c:v>2011</c:v>
                  </c:pt>
                  <c:pt idx="12">
                    <c:v>2012</c:v>
                  </c:pt>
                  <c:pt idx="24">
                    <c:v>2013</c:v>
                  </c:pt>
                  <c:pt idx="36">
                    <c:v>2014</c:v>
                  </c:pt>
                  <c:pt idx="48">
                    <c:v>2015</c:v>
                  </c:pt>
                  <c:pt idx="60">
                    <c:v>2016</c:v>
                  </c:pt>
                  <c:pt idx="72">
                    <c:v>2017</c:v>
                  </c:pt>
                  <c:pt idx="84">
                    <c:v>2018</c:v>
                  </c:pt>
                  <c:pt idx="96">
                    <c:v>2019</c:v>
                  </c:pt>
                </c:lvl>
              </c:multiLvlStrCache>
            </c:multiLvlStrRef>
          </c:cat>
          <c:val>
            <c:numRef>
              <c:f>PCI!$D$86:$D$182</c:f>
              <c:numCache>
                <c:formatCode>0.0</c:formatCode>
                <c:ptCount val="97"/>
                <c:pt idx="0">
                  <c:v>1.21895202148945</c:v>
                </c:pt>
                <c:pt idx="1">
                  <c:v>1.1906404427433959</c:v>
                </c:pt>
                <c:pt idx="2">
                  <c:v>1.2200201356344476</c:v>
                </c:pt>
                <c:pt idx="3">
                  <c:v>1.2560338726480103</c:v>
                </c:pt>
                <c:pt idx="4">
                  <c:v>1.3832834884464074</c:v>
                </c:pt>
                <c:pt idx="5">
                  <c:v>1.556217412377281</c:v>
                </c:pt>
                <c:pt idx="6">
                  <c:v>1.7251986155246701</c:v>
                </c:pt>
                <c:pt idx="7">
                  <c:v>1.7420993046602495</c:v>
                </c:pt>
                <c:pt idx="8">
                  <c:v>1.787294684051588</c:v>
                </c:pt>
                <c:pt idx="9">
                  <c:v>1.7578085899223383</c:v>
                </c:pt>
                <c:pt idx="10">
                  <c:v>1.7618947335880986</c:v>
                </c:pt>
                <c:pt idx="11">
                  <c:v>1.7568386825547622</c:v>
                </c:pt>
                <c:pt idx="12">
                  <c:v>0.46806374672825335</c:v>
                </c:pt>
                <c:pt idx="13">
                  <c:v>0.46652984840902523</c:v>
                </c:pt>
                <c:pt idx="14">
                  <c:v>0.49363212185757899</c:v>
                </c:pt>
                <c:pt idx="15">
                  <c:v>0.45613892431346503</c:v>
                </c:pt>
                <c:pt idx="16">
                  <c:v>0.44347225641874211</c:v>
                </c:pt>
                <c:pt idx="17">
                  <c:v>0.28568221927844917</c:v>
                </c:pt>
                <c:pt idx="18">
                  <c:v>-0.57117749789838967</c:v>
                </c:pt>
                <c:pt idx="19">
                  <c:v>-0.5839650011748132</c:v>
                </c:pt>
                <c:pt idx="20">
                  <c:v>-0.59259075946331841</c:v>
                </c:pt>
                <c:pt idx="21">
                  <c:v>-0.5801596787979646</c:v>
                </c:pt>
                <c:pt idx="22">
                  <c:v>-0.57023665098201448</c:v>
                </c:pt>
                <c:pt idx="23">
                  <c:v>-0.59106147967700196</c:v>
                </c:pt>
                <c:pt idx="24">
                  <c:v>-0.57326163874749092</c:v>
                </c:pt>
                <c:pt idx="25">
                  <c:v>-0.58184793780053923</c:v>
                </c:pt>
                <c:pt idx="26">
                  <c:v>-0.57882307610217509</c:v>
                </c:pt>
                <c:pt idx="27">
                  <c:v>-0.57252855439464678</c:v>
                </c:pt>
                <c:pt idx="28">
                  <c:v>-0.56322061716489458</c:v>
                </c:pt>
                <c:pt idx="29">
                  <c:v>-0.57454238099869936</c:v>
                </c:pt>
                <c:pt idx="30">
                  <c:v>5.1750668290995172E-2</c:v>
                </c:pt>
                <c:pt idx="31">
                  <c:v>6.0233111130070238E-2</c:v>
                </c:pt>
                <c:pt idx="32">
                  <c:v>5.9067941541879332E-2</c:v>
                </c:pt>
                <c:pt idx="33">
                  <c:v>6.0327551868455398E-2</c:v>
                </c:pt>
                <c:pt idx="34">
                  <c:v>4.944693645874132E-2</c:v>
                </c:pt>
                <c:pt idx="35">
                  <c:v>5.9237256561306406E-2</c:v>
                </c:pt>
                <c:pt idx="36">
                  <c:v>0.14258665982098684</c:v>
                </c:pt>
                <c:pt idx="37">
                  <c:v>0.15299584875565486</c:v>
                </c:pt>
                <c:pt idx="38">
                  <c:v>0.11138957181231479</c:v>
                </c:pt>
                <c:pt idx="39">
                  <c:v>0.1124736761959122</c:v>
                </c:pt>
                <c:pt idx="40">
                  <c:v>0.1120365221735975</c:v>
                </c:pt>
                <c:pt idx="41">
                  <c:v>0.1016406399408476</c:v>
                </c:pt>
                <c:pt idx="42">
                  <c:v>0.1213448575251741</c:v>
                </c:pt>
                <c:pt idx="43">
                  <c:v>0.12302888134920753</c:v>
                </c:pt>
                <c:pt idx="44">
                  <c:v>0.13395468966999058</c:v>
                </c:pt>
                <c:pt idx="45">
                  <c:v>0.13265018481374291</c:v>
                </c:pt>
                <c:pt idx="46">
                  <c:v>0.13370655665274622</c:v>
                </c:pt>
                <c:pt idx="47">
                  <c:v>0.1321494079090435</c:v>
                </c:pt>
                <c:pt idx="48">
                  <c:v>3.975110435042728E-2</c:v>
                </c:pt>
                <c:pt idx="49">
                  <c:v>5.033931078827214E-2</c:v>
                </c:pt>
                <c:pt idx="50">
                  <c:v>7.0846318374551132E-2</c:v>
                </c:pt>
                <c:pt idx="51">
                  <c:v>7.0542368500414732E-2</c:v>
                </c:pt>
                <c:pt idx="52">
                  <c:v>6.1167376763404668E-2</c:v>
                </c:pt>
                <c:pt idx="53">
                  <c:v>8.0236226804220045E-2</c:v>
                </c:pt>
                <c:pt idx="54">
                  <c:v>0.10923488517972091</c:v>
                </c:pt>
                <c:pt idx="55">
                  <c:v>0.18064227301821667</c:v>
                </c:pt>
                <c:pt idx="56">
                  <c:v>0.18937283258491089</c:v>
                </c:pt>
                <c:pt idx="57">
                  <c:v>0.19008779667691877</c:v>
                </c:pt>
                <c:pt idx="58">
                  <c:v>0.18065237371484022</c:v>
                </c:pt>
                <c:pt idx="59">
                  <c:v>0.19234719652208021</c:v>
                </c:pt>
                <c:pt idx="60">
                  <c:v>0.30259155774963187</c:v>
                </c:pt>
                <c:pt idx="61">
                  <c:v>0.30131232542679465</c:v>
                </c:pt>
                <c:pt idx="62">
                  <c:v>0.3392153772210027</c:v>
                </c:pt>
                <c:pt idx="63">
                  <c:v>0.3472019756389777</c:v>
                </c:pt>
                <c:pt idx="64">
                  <c:v>0.34428781865147862</c:v>
                </c:pt>
                <c:pt idx="65">
                  <c:v>0.33499434167341136</c:v>
                </c:pt>
                <c:pt idx="66">
                  <c:v>0.66819587114790302</c:v>
                </c:pt>
                <c:pt idx="67">
                  <c:v>0.59149972755125901</c:v>
                </c:pt>
                <c:pt idx="68">
                  <c:v>0.57226503211953439</c:v>
                </c:pt>
                <c:pt idx="69">
                  <c:v>0.5716057465338098</c:v>
                </c:pt>
                <c:pt idx="70">
                  <c:v>0.59203918491890217</c:v>
                </c:pt>
                <c:pt idx="71">
                  <c:v>0.57268704576687313</c:v>
                </c:pt>
                <c:pt idx="72" formatCode="0.000">
                  <c:v>0.4208896258503847</c:v>
                </c:pt>
                <c:pt idx="73" formatCode="0.000">
                  <c:v>0.41957212712528946</c:v>
                </c:pt>
                <c:pt idx="74" formatCode="0.000">
                  <c:v>0.43402548124944484</c:v>
                </c:pt>
                <c:pt idx="75" formatCode="0.000">
                  <c:v>0.43183529366772611</c:v>
                </c:pt>
                <c:pt idx="76" formatCode="0.000">
                  <c:v>0.44051944544596378</c:v>
                </c:pt>
                <c:pt idx="77" formatCode="0.000">
                  <c:v>0.44915811935617445</c:v>
                </c:pt>
                <c:pt idx="78" formatCode="0.000">
                  <c:v>0.11301168717383625</c:v>
                </c:pt>
                <c:pt idx="79" formatCode="0.000">
                  <c:v>0.11988776552356306</c:v>
                </c:pt>
                <c:pt idx="80" formatCode="0.000">
                  <c:v>0.13109693782886733</c:v>
                </c:pt>
                <c:pt idx="81" formatCode="0.000">
                  <c:v>0.13204300441380656</c:v>
                </c:pt>
                <c:pt idx="82" formatCode="0.000">
                  <c:v>0.121573528374741</c:v>
                </c:pt>
                <c:pt idx="83" formatCode="0.000">
                  <c:v>0.13477238884960219</c:v>
                </c:pt>
                <c:pt idx="84" formatCode="0.000">
                  <c:v>0.13640064937607832</c:v>
                </c:pt>
                <c:pt idx="85" formatCode="0.000">
                  <c:v>0.11705618380664085</c:v>
                </c:pt>
                <c:pt idx="86" formatCode="0.000">
                  <c:v>0.41517073877550548</c:v>
                </c:pt>
                <c:pt idx="87" formatCode="0.000">
                  <c:v>0.39483662952688459</c:v>
                </c:pt>
                <c:pt idx="88" formatCode="0.000">
                  <c:v>0.38240236593225507</c:v>
                </c:pt>
                <c:pt idx="89" formatCode="0.000">
                  <c:v>0.37837334310564241</c:v>
                </c:pt>
                <c:pt idx="90" formatCode="0.000">
                  <c:v>0.49769156232781775</c:v>
                </c:pt>
                <c:pt idx="91" formatCode="0.000">
                  <c:v>0.52632916648460704</c:v>
                </c:pt>
                <c:pt idx="92" formatCode="0.000">
                  <c:v>0.50216708101762375</c:v>
                </c:pt>
                <c:pt idx="93" formatCode="0.000">
                  <c:v>0.4911630385366017</c:v>
                </c:pt>
                <c:pt idx="94" formatCode="0.000">
                  <c:v>0.49284154331015184</c:v>
                </c:pt>
                <c:pt idx="95" formatCode="0.000">
                  <c:v>0.48594111962383391</c:v>
                </c:pt>
                <c:pt idx="96" formatCode="0.000">
                  <c:v>0.5328868667311415</c:v>
                </c:pt>
              </c:numCache>
            </c:numRef>
          </c:val>
          <c:extLst>
            <c:ext xmlns:c16="http://schemas.microsoft.com/office/drawing/2014/chart" uri="{C3380CC4-5D6E-409C-BE32-E72D297353CC}">
              <c16:uniqueId val="{00000001-44C5-4D7A-B812-726538587C07}"/>
            </c:ext>
          </c:extLst>
        </c:ser>
        <c:ser>
          <c:idx val="2"/>
          <c:order val="3"/>
          <c:tx>
            <c:strRef>
              <c:f>PCI!$N$1</c:f>
              <c:strCache>
                <c:ptCount val="1"/>
                <c:pt idx="0">
                  <c:v>importētā inflācija</c:v>
                </c:pt>
              </c:strCache>
            </c:strRef>
          </c:tx>
          <c:spPr>
            <a:solidFill>
              <a:schemeClr val="accent5">
                <a:lumMod val="75000"/>
              </a:schemeClr>
            </a:solidFill>
            <a:ln>
              <a:noFill/>
            </a:ln>
            <a:effectLst/>
          </c:spPr>
          <c:invertIfNegative val="0"/>
          <c:cat>
            <c:multiLvlStrRef>
              <c:f>PCI!$A$86:$B$182</c:f>
              <c:multiLvlStrCache>
                <c:ptCount val="97"/>
                <c:lvl>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pt idx="19">
                    <c:v>VIII</c:v>
                  </c:pt>
                  <c:pt idx="20">
                    <c:v>IX</c:v>
                  </c:pt>
                  <c:pt idx="21">
                    <c:v>X</c:v>
                  </c:pt>
                  <c:pt idx="22">
                    <c:v>XI</c:v>
                  </c:pt>
                  <c:pt idx="23">
                    <c:v>XII</c:v>
                  </c:pt>
                  <c:pt idx="24">
                    <c:v>I</c:v>
                  </c:pt>
                  <c:pt idx="25">
                    <c:v>II</c:v>
                  </c:pt>
                  <c:pt idx="26">
                    <c:v>III</c:v>
                  </c:pt>
                  <c:pt idx="27">
                    <c:v>IV</c:v>
                  </c:pt>
                  <c:pt idx="28">
                    <c:v>V</c:v>
                  </c:pt>
                  <c:pt idx="29">
                    <c:v>VI</c:v>
                  </c:pt>
                  <c:pt idx="30">
                    <c:v>VII</c:v>
                  </c:pt>
                  <c:pt idx="31">
                    <c:v>VIII</c:v>
                  </c:pt>
                  <c:pt idx="32">
                    <c:v>IX</c:v>
                  </c:pt>
                  <c:pt idx="33">
                    <c:v>X</c:v>
                  </c:pt>
                  <c:pt idx="34">
                    <c:v>XI</c:v>
                  </c:pt>
                  <c:pt idx="35">
                    <c:v>XII</c:v>
                  </c:pt>
                  <c:pt idx="36">
                    <c:v>I</c:v>
                  </c:pt>
                  <c:pt idx="37">
                    <c:v>II</c:v>
                  </c:pt>
                  <c:pt idx="38">
                    <c:v>III</c:v>
                  </c:pt>
                  <c:pt idx="39">
                    <c:v>IV</c:v>
                  </c:pt>
                  <c:pt idx="40">
                    <c:v>V</c:v>
                  </c:pt>
                  <c:pt idx="41">
                    <c:v>VI</c:v>
                  </c:pt>
                  <c:pt idx="42">
                    <c:v>VII</c:v>
                  </c:pt>
                  <c:pt idx="43">
                    <c:v>VIII</c:v>
                  </c:pt>
                  <c:pt idx="44">
                    <c:v>IX</c:v>
                  </c:pt>
                  <c:pt idx="45">
                    <c:v>X</c:v>
                  </c:pt>
                  <c:pt idx="46">
                    <c:v>XI</c:v>
                  </c:pt>
                  <c:pt idx="47">
                    <c:v>XII</c:v>
                  </c:pt>
                  <c:pt idx="48">
                    <c:v>I</c:v>
                  </c:pt>
                  <c:pt idx="49">
                    <c:v>II</c:v>
                  </c:pt>
                  <c:pt idx="50">
                    <c:v>III</c:v>
                  </c:pt>
                  <c:pt idx="51">
                    <c:v>IV</c:v>
                  </c:pt>
                  <c:pt idx="52">
                    <c:v>V</c:v>
                  </c:pt>
                  <c:pt idx="53">
                    <c:v>VI</c:v>
                  </c:pt>
                  <c:pt idx="54">
                    <c:v>VII</c:v>
                  </c:pt>
                  <c:pt idx="55">
                    <c:v>VIII</c:v>
                  </c:pt>
                  <c:pt idx="56">
                    <c:v>IX</c:v>
                  </c:pt>
                  <c:pt idx="57">
                    <c:v>X</c:v>
                  </c:pt>
                  <c:pt idx="58">
                    <c:v>XI</c:v>
                  </c:pt>
                  <c:pt idx="59">
                    <c:v>XII</c:v>
                  </c:pt>
                  <c:pt idx="60">
                    <c:v>I</c:v>
                  </c:pt>
                  <c:pt idx="61">
                    <c:v>II</c:v>
                  </c:pt>
                  <c:pt idx="62">
                    <c:v>III</c:v>
                  </c:pt>
                  <c:pt idx="63">
                    <c:v>IV</c:v>
                  </c:pt>
                  <c:pt idx="64">
                    <c:v>V</c:v>
                  </c:pt>
                  <c:pt idx="65">
                    <c:v>VI</c:v>
                  </c:pt>
                  <c:pt idx="66">
                    <c:v>VII</c:v>
                  </c:pt>
                  <c:pt idx="67">
                    <c:v>VIII</c:v>
                  </c:pt>
                  <c:pt idx="68">
                    <c:v>IX</c:v>
                  </c:pt>
                  <c:pt idx="69">
                    <c:v>X</c:v>
                  </c:pt>
                  <c:pt idx="70">
                    <c:v>XI</c:v>
                  </c:pt>
                  <c:pt idx="71">
                    <c:v>XII</c:v>
                  </c:pt>
                  <c:pt idx="72">
                    <c:v>I</c:v>
                  </c:pt>
                  <c:pt idx="73">
                    <c:v>II</c:v>
                  </c:pt>
                  <c:pt idx="74">
                    <c:v>III</c:v>
                  </c:pt>
                  <c:pt idx="75">
                    <c:v>IV</c:v>
                  </c:pt>
                  <c:pt idx="76">
                    <c:v>V</c:v>
                  </c:pt>
                  <c:pt idx="77">
                    <c:v>VI</c:v>
                  </c:pt>
                  <c:pt idx="78">
                    <c:v>VII</c:v>
                  </c:pt>
                  <c:pt idx="79">
                    <c:v>VIII</c:v>
                  </c:pt>
                  <c:pt idx="80">
                    <c:v>IX</c:v>
                  </c:pt>
                  <c:pt idx="81">
                    <c:v>X</c:v>
                  </c:pt>
                  <c:pt idx="82">
                    <c:v>XI</c:v>
                  </c:pt>
                  <c:pt idx="83">
                    <c:v>XII</c:v>
                  </c:pt>
                  <c:pt idx="84">
                    <c:v>I</c:v>
                  </c:pt>
                  <c:pt idx="85">
                    <c:v>II</c:v>
                  </c:pt>
                  <c:pt idx="86">
                    <c:v>III</c:v>
                  </c:pt>
                  <c:pt idx="87">
                    <c:v>IV</c:v>
                  </c:pt>
                  <c:pt idx="88">
                    <c:v>V</c:v>
                  </c:pt>
                  <c:pt idx="89">
                    <c:v>VI</c:v>
                  </c:pt>
                  <c:pt idx="90">
                    <c:v>VII</c:v>
                  </c:pt>
                  <c:pt idx="91">
                    <c:v>VIII</c:v>
                  </c:pt>
                  <c:pt idx="92">
                    <c:v>IX</c:v>
                  </c:pt>
                  <c:pt idx="93">
                    <c:v>X</c:v>
                  </c:pt>
                  <c:pt idx="94">
                    <c:v>XI</c:v>
                  </c:pt>
                  <c:pt idx="95">
                    <c:v>XII</c:v>
                  </c:pt>
                  <c:pt idx="96">
                    <c:v>I</c:v>
                  </c:pt>
                </c:lvl>
                <c:lvl>
                  <c:pt idx="0">
                    <c:v>2011</c:v>
                  </c:pt>
                  <c:pt idx="12">
                    <c:v>2012</c:v>
                  </c:pt>
                  <c:pt idx="24">
                    <c:v>2013</c:v>
                  </c:pt>
                  <c:pt idx="36">
                    <c:v>2014</c:v>
                  </c:pt>
                  <c:pt idx="48">
                    <c:v>2015</c:v>
                  </c:pt>
                  <c:pt idx="60">
                    <c:v>2016</c:v>
                  </c:pt>
                  <c:pt idx="72">
                    <c:v>2017</c:v>
                  </c:pt>
                  <c:pt idx="84">
                    <c:v>2018</c:v>
                  </c:pt>
                  <c:pt idx="96">
                    <c:v>2019</c:v>
                  </c:pt>
                </c:lvl>
              </c:multiLvlStrCache>
            </c:multiLvlStrRef>
          </c:cat>
          <c:val>
            <c:numRef>
              <c:f>PCI!$N$86:$N$182</c:f>
              <c:numCache>
                <c:formatCode>0.000</c:formatCode>
                <c:ptCount val="97"/>
                <c:pt idx="0">
                  <c:v>2.7048950214731713</c:v>
                </c:pt>
                <c:pt idx="1">
                  <c:v>2.648118075500526</c:v>
                </c:pt>
                <c:pt idx="2">
                  <c:v>2.5311735197377851</c:v>
                </c:pt>
                <c:pt idx="3">
                  <c:v>2.4247853863105018</c:v>
                </c:pt>
                <c:pt idx="4">
                  <c:v>2.4641235975099076</c:v>
                </c:pt>
                <c:pt idx="5">
                  <c:v>2.1060456374894541</c:v>
                </c:pt>
                <c:pt idx="6">
                  <c:v>1.7407181707569288</c:v>
                </c:pt>
                <c:pt idx="7">
                  <c:v>1.7323097329875601</c:v>
                </c:pt>
                <c:pt idx="8">
                  <c:v>1.9173688497717269</c:v>
                </c:pt>
                <c:pt idx="9">
                  <c:v>2.0587051916113115</c:v>
                </c:pt>
                <c:pt idx="10">
                  <c:v>2.1235051311101514</c:v>
                </c:pt>
                <c:pt idx="11">
                  <c:v>1.3455494801621628</c:v>
                </c:pt>
                <c:pt idx="12">
                  <c:v>2.0368298064464785</c:v>
                </c:pt>
                <c:pt idx="13">
                  <c:v>2.1750112010217562</c:v>
                </c:pt>
                <c:pt idx="14">
                  <c:v>2.111965100128117</c:v>
                </c:pt>
                <c:pt idx="15">
                  <c:v>1.5870964320295637</c:v>
                </c:pt>
                <c:pt idx="16">
                  <c:v>1.2413321740851195</c:v>
                </c:pt>
                <c:pt idx="17">
                  <c:v>1.0876449143430413</c:v>
                </c:pt>
                <c:pt idx="18">
                  <c:v>1.3311711584263954</c:v>
                </c:pt>
                <c:pt idx="19">
                  <c:v>1.7650065075890993</c:v>
                </c:pt>
                <c:pt idx="20">
                  <c:v>1.9316026734462119</c:v>
                </c:pt>
                <c:pt idx="21">
                  <c:v>1.9579295750024932</c:v>
                </c:pt>
                <c:pt idx="22">
                  <c:v>1.5874292135141559</c:v>
                </c:pt>
                <c:pt idx="23">
                  <c:v>1.9568778996207261</c:v>
                </c:pt>
                <c:pt idx="24">
                  <c:v>1.0246235231776699</c:v>
                </c:pt>
                <c:pt idx="25">
                  <c:v>0.52994204752280472</c:v>
                </c:pt>
                <c:pt idx="26">
                  <c:v>0.33012989273420934</c:v>
                </c:pt>
                <c:pt idx="27">
                  <c:v>3.3559462031932163E-2</c:v>
                </c:pt>
                <c:pt idx="28">
                  <c:v>0.31020049706014052</c:v>
                </c:pt>
                <c:pt idx="29">
                  <c:v>0.59568229717516252</c:v>
                </c:pt>
                <c:pt idx="30">
                  <c:v>0.29902215759095196</c:v>
                </c:pt>
                <c:pt idx="31">
                  <c:v>-0.22582267329294359</c:v>
                </c:pt>
                <c:pt idx="32">
                  <c:v>-0.59996379667458344</c:v>
                </c:pt>
                <c:pt idx="33">
                  <c:v>-0.60926809502296797</c:v>
                </c:pt>
                <c:pt idx="34">
                  <c:v>-0.46204084405104207</c:v>
                </c:pt>
                <c:pt idx="35">
                  <c:v>-0.55866605894286814</c:v>
                </c:pt>
                <c:pt idx="36">
                  <c:v>-0.23060487962461954</c:v>
                </c:pt>
                <c:pt idx="37">
                  <c:v>-0.22441668480104771</c:v>
                </c:pt>
                <c:pt idx="38">
                  <c:v>-0.33470966110823819</c:v>
                </c:pt>
                <c:pt idx="39">
                  <c:v>-0.18490215874473043</c:v>
                </c:pt>
                <c:pt idx="40">
                  <c:v>-0.31480583639425391</c:v>
                </c:pt>
                <c:pt idx="41">
                  <c:v>-0.38626079961304538</c:v>
                </c:pt>
                <c:pt idx="42">
                  <c:v>-0.38962483493666722</c:v>
                </c:pt>
                <c:pt idx="43">
                  <c:v>-0.3956749878429357</c:v>
                </c:pt>
                <c:pt idx="44">
                  <c:v>-0.15621824965005751</c:v>
                </c:pt>
                <c:pt idx="45">
                  <c:v>-0.10252983454454592</c:v>
                </c:pt>
                <c:pt idx="46">
                  <c:v>-0.343995028405638</c:v>
                </c:pt>
                <c:pt idx="47">
                  <c:v>-0.9223096094716583</c:v>
                </c:pt>
                <c:pt idx="48">
                  <c:v>-1.0989781368019691</c:v>
                </c:pt>
                <c:pt idx="49">
                  <c:v>-0.66175471857336632</c:v>
                </c:pt>
                <c:pt idx="50">
                  <c:v>-0.34676946019680432</c:v>
                </c:pt>
                <c:pt idx="51">
                  <c:v>-0.16180249340991684</c:v>
                </c:pt>
                <c:pt idx="52">
                  <c:v>0.35791779114176031</c:v>
                </c:pt>
                <c:pt idx="53">
                  <c:v>-9.0132116942559903E-2</c:v>
                </c:pt>
                <c:pt idx="54">
                  <c:v>-0.47633578769830942</c:v>
                </c:pt>
                <c:pt idx="55">
                  <c:v>-0.54281522112269465</c:v>
                </c:pt>
                <c:pt idx="56">
                  <c:v>-0.99087277992073863</c:v>
                </c:pt>
                <c:pt idx="57">
                  <c:v>-0.99462500051431446</c:v>
                </c:pt>
                <c:pt idx="58">
                  <c:v>-0.67282760040427059</c:v>
                </c:pt>
                <c:pt idx="59">
                  <c:v>-0.39347818293340886</c:v>
                </c:pt>
                <c:pt idx="60">
                  <c:v>-0.83233776795102166</c:v>
                </c:pt>
                <c:pt idx="61">
                  <c:v>-1.2989137510734843</c:v>
                </c:pt>
                <c:pt idx="62">
                  <c:v>-1.5797299252569703</c:v>
                </c:pt>
                <c:pt idx="63">
                  <c:v>-1.5668435248064037</c:v>
                </c:pt>
                <c:pt idx="64">
                  <c:v>-1.8527391035192695</c:v>
                </c:pt>
                <c:pt idx="65">
                  <c:v>-1.4499461572048129</c:v>
                </c:pt>
                <c:pt idx="66">
                  <c:v>-1.4156900642832442</c:v>
                </c:pt>
                <c:pt idx="67">
                  <c:v>-1.1575237078783591</c:v>
                </c:pt>
                <c:pt idx="68">
                  <c:v>-0.68046479406612026</c:v>
                </c:pt>
                <c:pt idx="69">
                  <c:v>-0.39527412309030507</c:v>
                </c:pt>
                <c:pt idx="70">
                  <c:v>-0.17497682261363734</c:v>
                </c:pt>
                <c:pt idx="71">
                  <c:v>0.34920748955399811</c:v>
                </c:pt>
                <c:pt idx="72">
                  <c:v>0.93836916691871841</c:v>
                </c:pt>
                <c:pt idx="73">
                  <c:v>1.4442874935936088</c:v>
                </c:pt>
                <c:pt idx="74">
                  <c:v>1.3414151108166819</c:v>
                </c:pt>
                <c:pt idx="75">
                  <c:v>0.99055482021088714</c:v>
                </c:pt>
                <c:pt idx="76">
                  <c:v>0.87362154733971709</c:v>
                </c:pt>
                <c:pt idx="77">
                  <c:v>0.85834859406563013</c:v>
                </c:pt>
                <c:pt idx="78">
                  <c:v>1.0550398156938092</c:v>
                </c:pt>
                <c:pt idx="79">
                  <c:v>1.1082736491949776</c:v>
                </c:pt>
                <c:pt idx="80">
                  <c:v>1.1715341953781233</c:v>
                </c:pt>
                <c:pt idx="81">
                  <c:v>0.99242006099775881</c:v>
                </c:pt>
                <c:pt idx="82">
                  <c:v>1.0280898048454941</c:v>
                </c:pt>
                <c:pt idx="83">
                  <c:v>0.90404022557304919</c:v>
                </c:pt>
                <c:pt idx="84">
                  <c:v>0.6397730885597035</c:v>
                </c:pt>
                <c:pt idx="85">
                  <c:v>0.3921719866261324</c:v>
                </c:pt>
                <c:pt idx="86">
                  <c:v>0.5177814836115715</c:v>
                </c:pt>
                <c:pt idx="87">
                  <c:v>0.61989247473465703</c:v>
                </c:pt>
                <c:pt idx="88">
                  <c:v>0.93173791415463469</c:v>
                </c:pt>
                <c:pt idx="89">
                  <c:v>1.2154149960054452</c:v>
                </c:pt>
                <c:pt idx="90">
                  <c:v>1.089685164268904</c:v>
                </c:pt>
                <c:pt idx="91">
                  <c:v>1.2233412438172895</c:v>
                </c:pt>
                <c:pt idx="92">
                  <c:v>1.490536136386881</c:v>
                </c:pt>
                <c:pt idx="93">
                  <c:v>1.6130990909342051</c:v>
                </c:pt>
                <c:pt idx="94">
                  <c:v>1.2287387133820316</c:v>
                </c:pt>
                <c:pt idx="95">
                  <c:v>0.78131246002581767</c:v>
                </c:pt>
                <c:pt idx="96">
                  <c:v>0.82153687910682138</c:v>
                </c:pt>
              </c:numCache>
            </c:numRef>
          </c:val>
          <c:extLst>
            <c:ext xmlns:c16="http://schemas.microsoft.com/office/drawing/2014/chart" uri="{C3380CC4-5D6E-409C-BE32-E72D297353CC}">
              <c16:uniqueId val="{00000002-44C5-4D7A-B812-726538587C07}"/>
            </c:ext>
          </c:extLst>
        </c:ser>
        <c:dLbls>
          <c:showLegendKey val="0"/>
          <c:showVal val="0"/>
          <c:showCatName val="0"/>
          <c:showSerName val="0"/>
          <c:showPercent val="0"/>
          <c:showBubbleSize val="0"/>
        </c:dLbls>
        <c:gapWidth val="70"/>
        <c:overlap val="100"/>
        <c:axId val="343593320"/>
        <c:axId val="343593712"/>
      </c:barChart>
      <c:lineChart>
        <c:grouping val="standard"/>
        <c:varyColors val="0"/>
        <c:ser>
          <c:idx val="3"/>
          <c:order val="0"/>
          <c:tx>
            <c:strRef>
              <c:f>PCI!$C$1</c:f>
              <c:strCache>
                <c:ptCount val="1"/>
                <c:pt idx="0">
                  <c:v>PCI</c:v>
                </c:pt>
              </c:strCache>
            </c:strRef>
          </c:tx>
          <c:spPr>
            <a:ln w="19050" cap="rnd">
              <a:solidFill>
                <a:schemeClr val="tx1"/>
              </a:solidFill>
              <a:round/>
            </a:ln>
            <a:effectLst/>
          </c:spPr>
          <c:marker>
            <c:symbol val="none"/>
          </c:marker>
          <c:val>
            <c:numRef>
              <c:f>PCI!$C$86:$C$182</c:f>
              <c:numCache>
                <c:formatCode>0.0</c:formatCode>
                <c:ptCount val="97"/>
                <c:pt idx="0">
                  <c:v>3.7</c:v>
                </c:pt>
                <c:pt idx="1">
                  <c:v>4</c:v>
                </c:pt>
                <c:pt idx="2">
                  <c:v>4.2</c:v>
                </c:pt>
                <c:pt idx="3">
                  <c:v>4.5</c:v>
                </c:pt>
                <c:pt idx="4">
                  <c:v>5</c:v>
                </c:pt>
                <c:pt idx="5">
                  <c:v>4.8</c:v>
                </c:pt>
                <c:pt idx="6">
                  <c:v>4.3</c:v>
                </c:pt>
                <c:pt idx="7">
                  <c:v>4.7</c:v>
                </c:pt>
                <c:pt idx="8">
                  <c:v>4.5999999999999996</c:v>
                </c:pt>
                <c:pt idx="9">
                  <c:v>4.4000000000000004</c:v>
                </c:pt>
                <c:pt idx="10">
                  <c:v>4.2</c:v>
                </c:pt>
                <c:pt idx="11">
                  <c:v>4</c:v>
                </c:pt>
                <c:pt idx="12">
                  <c:v>3.6</c:v>
                </c:pt>
                <c:pt idx="13">
                  <c:v>3.4</c:v>
                </c:pt>
                <c:pt idx="14">
                  <c:v>3.3</c:v>
                </c:pt>
                <c:pt idx="15">
                  <c:v>2.8</c:v>
                </c:pt>
                <c:pt idx="16">
                  <c:v>2.2000000000000002</c:v>
                </c:pt>
                <c:pt idx="17">
                  <c:v>1.9</c:v>
                </c:pt>
                <c:pt idx="18">
                  <c:v>1.7</c:v>
                </c:pt>
                <c:pt idx="19">
                  <c:v>1.7</c:v>
                </c:pt>
                <c:pt idx="20">
                  <c:v>1.8</c:v>
                </c:pt>
                <c:pt idx="21">
                  <c:v>1.6</c:v>
                </c:pt>
                <c:pt idx="22">
                  <c:v>1.6</c:v>
                </c:pt>
                <c:pt idx="23">
                  <c:v>1.6</c:v>
                </c:pt>
                <c:pt idx="24">
                  <c:v>0.6</c:v>
                </c:pt>
                <c:pt idx="25">
                  <c:v>0.3</c:v>
                </c:pt>
                <c:pt idx="26">
                  <c:v>0.2</c:v>
                </c:pt>
                <c:pt idx="27">
                  <c:v>-0.4</c:v>
                </c:pt>
                <c:pt idx="28">
                  <c:v>-0.1</c:v>
                </c:pt>
                <c:pt idx="29">
                  <c:v>0.2</c:v>
                </c:pt>
                <c:pt idx="30">
                  <c:v>0.3</c:v>
                </c:pt>
                <c:pt idx="31">
                  <c:v>-0.2</c:v>
                </c:pt>
                <c:pt idx="32">
                  <c:v>-0.4</c:v>
                </c:pt>
                <c:pt idx="33">
                  <c:v>0</c:v>
                </c:pt>
                <c:pt idx="34">
                  <c:v>-0.4</c:v>
                </c:pt>
                <c:pt idx="35">
                  <c:v>-0.4</c:v>
                </c:pt>
                <c:pt idx="36">
                  <c:v>0.4</c:v>
                </c:pt>
                <c:pt idx="37">
                  <c:v>0.5</c:v>
                </c:pt>
                <c:pt idx="38">
                  <c:v>0.3</c:v>
                </c:pt>
                <c:pt idx="39">
                  <c:v>0.7</c:v>
                </c:pt>
                <c:pt idx="40">
                  <c:v>0.6</c:v>
                </c:pt>
                <c:pt idx="41">
                  <c:v>0.7</c:v>
                </c:pt>
                <c:pt idx="42">
                  <c:v>0.6</c:v>
                </c:pt>
                <c:pt idx="43">
                  <c:v>0.8</c:v>
                </c:pt>
                <c:pt idx="44">
                  <c:v>1</c:v>
                </c:pt>
                <c:pt idx="45">
                  <c:v>0.7</c:v>
                </c:pt>
                <c:pt idx="46">
                  <c:v>0.9</c:v>
                </c:pt>
                <c:pt idx="47">
                  <c:v>0.2</c:v>
                </c:pt>
                <c:pt idx="48">
                  <c:v>-0.4</c:v>
                </c:pt>
                <c:pt idx="49">
                  <c:v>-0.1</c:v>
                </c:pt>
                <c:pt idx="50">
                  <c:v>0.4</c:v>
                </c:pt>
                <c:pt idx="51">
                  <c:v>0.5</c:v>
                </c:pt>
                <c:pt idx="52">
                  <c:v>1.2</c:v>
                </c:pt>
                <c:pt idx="53">
                  <c:v>0.6</c:v>
                </c:pt>
                <c:pt idx="54">
                  <c:v>0</c:v>
                </c:pt>
                <c:pt idx="55">
                  <c:v>0.1</c:v>
                </c:pt>
                <c:pt idx="56">
                  <c:v>-0.5</c:v>
                </c:pt>
                <c:pt idx="57">
                  <c:v>-0.2</c:v>
                </c:pt>
                <c:pt idx="58">
                  <c:v>0</c:v>
                </c:pt>
                <c:pt idx="59">
                  <c:v>0.3</c:v>
                </c:pt>
                <c:pt idx="60">
                  <c:v>-0.3</c:v>
                </c:pt>
                <c:pt idx="61">
                  <c:v>-0.5</c:v>
                </c:pt>
                <c:pt idx="62">
                  <c:v>-0.6</c:v>
                </c:pt>
                <c:pt idx="63">
                  <c:v>-0.8</c:v>
                </c:pt>
                <c:pt idx="64">
                  <c:v>-0.8</c:v>
                </c:pt>
                <c:pt idx="65">
                  <c:v>-0.5</c:v>
                </c:pt>
                <c:pt idx="66">
                  <c:v>0.1</c:v>
                </c:pt>
                <c:pt idx="67">
                  <c:v>0</c:v>
                </c:pt>
                <c:pt idx="68">
                  <c:v>0.6</c:v>
                </c:pt>
                <c:pt idx="69">
                  <c:v>1</c:v>
                </c:pt>
                <c:pt idx="70">
                  <c:v>1.3</c:v>
                </c:pt>
                <c:pt idx="71">
                  <c:v>2.2000000000000002</c:v>
                </c:pt>
                <c:pt idx="72" formatCode="0.000">
                  <c:v>2.9</c:v>
                </c:pt>
                <c:pt idx="73" formatCode="0.000">
                  <c:v>3.3</c:v>
                </c:pt>
                <c:pt idx="74" formatCode="0.000">
                  <c:v>3.4</c:v>
                </c:pt>
                <c:pt idx="75" formatCode="0.000">
                  <c:v>3.4</c:v>
                </c:pt>
                <c:pt idx="76" formatCode="0.000">
                  <c:v>2.8</c:v>
                </c:pt>
                <c:pt idx="77" formatCode="0.000">
                  <c:v>3</c:v>
                </c:pt>
                <c:pt idx="78" formatCode="0.000">
                  <c:v>2.6</c:v>
                </c:pt>
                <c:pt idx="79" formatCode="0.000">
                  <c:v>3.1</c:v>
                </c:pt>
                <c:pt idx="80" formatCode="0.000">
                  <c:v>2.9</c:v>
                </c:pt>
                <c:pt idx="81" formatCode="0.000">
                  <c:v>2.8</c:v>
                </c:pt>
                <c:pt idx="82" formatCode="0.000">
                  <c:v>2.7</c:v>
                </c:pt>
                <c:pt idx="83" formatCode="0.000">
                  <c:v>2.2000000000000002</c:v>
                </c:pt>
                <c:pt idx="84" formatCode="0.000">
                  <c:v>2</c:v>
                </c:pt>
                <c:pt idx="85" formatCode="0.000">
                  <c:v>1.8</c:v>
                </c:pt>
                <c:pt idx="86" formatCode="0.000">
                  <c:v>2.2000000000000002</c:v>
                </c:pt>
                <c:pt idx="87" formatCode="0.000">
                  <c:v>2</c:v>
                </c:pt>
                <c:pt idx="88" formatCode="0.000">
                  <c:v>2.2999999999999998</c:v>
                </c:pt>
                <c:pt idx="89" formatCode="0.000">
                  <c:v>2.8</c:v>
                </c:pt>
                <c:pt idx="90" formatCode="0.000">
                  <c:v>2.6</c:v>
                </c:pt>
                <c:pt idx="91" formatCode="0.000">
                  <c:v>2.8</c:v>
                </c:pt>
                <c:pt idx="92" formatCode="0.000">
                  <c:v>3.2</c:v>
                </c:pt>
                <c:pt idx="93" formatCode="0.000">
                  <c:v>3.2</c:v>
                </c:pt>
                <c:pt idx="94" formatCode="0.000">
                  <c:v>3</c:v>
                </c:pt>
                <c:pt idx="95" formatCode="0.000">
                  <c:v>2.6</c:v>
                </c:pt>
                <c:pt idx="96" formatCode="0.000">
                  <c:v>3</c:v>
                </c:pt>
              </c:numCache>
            </c:numRef>
          </c:val>
          <c:smooth val="0"/>
          <c:extLst>
            <c:ext xmlns:c16="http://schemas.microsoft.com/office/drawing/2014/chart" uri="{C3380CC4-5D6E-409C-BE32-E72D297353CC}">
              <c16:uniqueId val="{00000003-44C5-4D7A-B812-726538587C07}"/>
            </c:ext>
          </c:extLst>
        </c:ser>
        <c:dLbls>
          <c:showLegendKey val="0"/>
          <c:showVal val="0"/>
          <c:showCatName val="0"/>
          <c:showSerName val="0"/>
          <c:showPercent val="0"/>
          <c:showBubbleSize val="0"/>
        </c:dLbls>
        <c:marker val="1"/>
        <c:smooth val="0"/>
        <c:axId val="343593320"/>
        <c:axId val="343593712"/>
      </c:lineChart>
      <c:catAx>
        <c:axId val="343593320"/>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cap="none" spc="0" normalizeH="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343593712"/>
        <c:crossesAt val="-8"/>
        <c:auto val="1"/>
        <c:lblAlgn val="ctr"/>
        <c:lblOffset val="100"/>
        <c:noMultiLvlLbl val="0"/>
      </c:catAx>
      <c:valAx>
        <c:axId val="343593712"/>
        <c:scaling>
          <c:orientation val="minMax"/>
          <c:max val="6"/>
          <c:min val="-3"/>
        </c:scaling>
        <c:delete val="0"/>
        <c:axPos val="l"/>
        <c:majorGridlines>
          <c:spPr>
            <a:ln w="3175" cap="flat" cmpd="sng" algn="ctr">
              <a:solidFill>
                <a:schemeClr val="bg1">
                  <a:lumMod val="7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343593320"/>
        <c:crosses val="autoZero"/>
        <c:crossBetween val="midCat"/>
        <c:majorUnit val="1"/>
      </c:valAx>
      <c:spPr>
        <a:noFill/>
        <a:ln>
          <a:noFill/>
        </a:ln>
        <a:effectLst/>
      </c:spPr>
    </c:plotArea>
    <c:legend>
      <c:legendPos val="t"/>
      <c:layout>
        <c:manualLayout>
          <c:xMode val="edge"/>
          <c:yMode val="edge"/>
          <c:x val="0.16441944867133038"/>
          <c:y val="0.92040669963692867"/>
          <c:w val="0.6711609290487901"/>
          <c:h val="6.6766045935652704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0.06357</cdr:x>
      <cdr:y>0.37383</cdr:y>
    </cdr:from>
    <cdr:to>
      <cdr:x>0.94011</cdr:x>
      <cdr:y>0.37458</cdr:y>
    </cdr:to>
    <cdr:cxnSp macro="">
      <cdr:nvCxnSpPr>
        <cdr:cNvPr id="3" name="Straight Connector 2"/>
        <cdr:cNvCxnSpPr/>
      </cdr:nvCxnSpPr>
      <cdr:spPr>
        <a:xfrm xmlns:a="http://schemas.openxmlformats.org/drawingml/2006/main" flipV="1">
          <a:off x="366169" y="1147976"/>
          <a:ext cx="5048945" cy="2303"/>
        </a:xfrm>
        <a:prstGeom xmlns:a="http://schemas.openxmlformats.org/drawingml/2006/main" prst="line">
          <a:avLst/>
        </a:prstGeom>
        <a:ln xmlns:a="http://schemas.openxmlformats.org/drawingml/2006/main" w="6350">
          <a:solidFill>
            <a:schemeClr val="bg1">
              <a:lumMod val="50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0.82452</cdr:x>
      <cdr:y>0.34472</cdr:y>
    </cdr:from>
    <cdr:to>
      <cdr:x>0.82452</cdr:x>
      <cdr:y>0.83196</cdr:y>
    </cdr:to>
    <cdr:cxnSp macro="">
      <cdr:nvCxnSpPr>
        <cdr:cNvPr id="3" name="Straight Connector 2"/>
        <cdr:cNvCxnSpPr/>
      </cdr:nvCxnSpPr>
      <cdr:spPr>
        <a:xfrm xmlns:a="http://schemas.openxmlformats.org/drawingml/2006/main">
          <a:off x="4749305" y="1233929"/>
          <a:ext cx="0" cy="1744073"/>
        </a:xfrm>
        <a:prstGeom xmlns:a="http://schemas.openxmlformats.org/drawingml/2006/main" prst="line">
          <a:avLst/>
        </a:prstGeom>
        <a:ln xmlns:a="http://schemas.openxmlformats.org/drawingml/2006/main" w="19050">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7F515-FDF1-49FF-B71A-1F63B5E70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33</Pages>
  <Words>57945</Words>
  <Characters>33029</Characters>
  <Application>Microsoft Office Word</Application>
  <DocSecurity>0</DocSecurity>
  <Lines>275</Lines>
  <Paragraphs>181</Paragraphs>
  <ScaleCrop>false</ScaleCrop>
  <HeadingPairs>
    <vt:vector size="2" baseType="variant">
      <vt:variant>
        <vt:lpstr>Title</vt:lpstr>
      </vt:variant>
      <vt:variant>
        <vt:i4>1</vt:i4>
      </vt:variant>
    </vt:vector>
  </HeadingPairs>
  <TitlesOfParts>
    <vt:vector size="1" baseType="lpstr">
      <vt:lpstr>Likuma "Par valsts budžetu 2019.gadam" paskaidrojumi. 1.nodaļa Makroekonomiskās attīstības apraksts</vt:lpstr>
    </vt:vector>
  </TitlesOfParts>
  <Company>Finanšu ministrija</Company>
  <LinksUpToDate>false</LinksUpToDate>
  <CharactersWithSpaces>90793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Likuma "Par valsts budžetu 2019.gadam" paskaidrojumi. 1.nodaļa Makroekonomiskās attīstības apraksts</dc:title>
  <dc:subject/>
  <dc:creator>Krista Belija</dc:creator>
  <cp:keywords/>
  <dc:description>67083912, krista.belija@fm.gov.lv</dc:description>
  <cp:lastModifiedBy>Aija Freiberga</cp:lastModifiedBy>
  <cp:revision>8</cp:revision>
  <cp:lastPrinted>2016-10-07T05:00:00Z</cp:lastPrinted>
  <dcterms:created xsi:type="dcterms:W3CDTF">2019-05-07T11:18:00Z</dcterms:created>
  <dcterms:modified xsi:type="dcterms:W3CDTF">2019-05-10T07:20:00Z</dcterms:modified>
</cp:coreProperties>
</file>