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BF789" w14:textId="77777777" w:rsidR="00E279B8" w:rsidRDefault="00E279B8" w:rsidP="00B33183">
      <w:pPr>
        <w:pStyle w:val="Subtitle"/>
        <w:jc w:val="center"/>
      </w:pPr>
    </w:p>
    <w:p w14:paraId="409411F8" w14:textId="77777777" w:rsidR="00E279B8" w:rsidRDefault="00E279B8" w:rsidP="00B33183">
      <w:pPr>
        <w:pStyle w:val="Subtitle"/>
      </w:pPr>
    </w:p>
    <w:p w14:paraId="0B8230B6" w14:textId="77777777" w:rsidR="00E279B8" w:rsidRDefault="001451E5" w:rsidP="00B33183">
      <w:pPr>
        <w:pStyle w:val="Logo"/>
        <w:tabs>
          <w:tab w:val="left" w:pos="2400"/>
          <w:tab w:val="left" w:pos="6282"/>
          <w:tab w:val="left" w:pos="7185"/>
          <w:tab w:val="right" w:pos="9288"/>
        </w:tabs>
        <w:spacing w:before="0" w:after="120"/>
        <w:jc w:val="left"/>
      </w:pPr>
      <w:r>
        <w:rPr>
          <w:lang w:eastAsia="lv-LV"/>
        </w:rPr>
        <mc:AlternateContent>
          <mc:Choice Requires="wps">
            <w:drawing>
              <wp:anchor distT="0" distB="0" distL="114300" distR="114300" simplePos="0" relativeHeight="251660288" behindDoc="0" locked="0" layoutInCell="1" allowOverlap="1" wp14:anchorId="53B0BD58" wp14:editId="2389DE9C">
                <wp:simplePos x="0" y="0"/>
                <wp:positionH relativeFrom="margin">
                  <wp:posOffset>317068</wp:posOffset>
                </wp:positionH>
                <wp:positionV relativeFrom="paragraph">
                  <wp:posOffset>546456</wp:posOffset>
                </wp:positionV>
                <wp:extent cx="5334000" cy="159448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5334000" cy="1594485"/>
                        </a:xfrm>
                        <a:prstGeom prst="rect">
                          <a:avLst/>
                        </a:prstGeom>
                        <a:solidFill>
                          <a:schemeClr val="lt1"/>
                        </a:solidFill>
                        <a:ln w="6350">
                          <a:noFill/>
                        </a:ln>
                      </wps:spPr>
                      <wps:txbx>
                        <w:txbxContent>
                          <w:p w14:paraId="05780F94" w14:textId="112D578D" w:rsidR="0049308C" w:rsidRPr="001451E5" w:rsidRDefault="0049308C" w:rsidP="00993753">
                            <w:pPr>
                              <w:ind w:left="0"/>
                              <w:jc w:val="center"/>
                              <w:rPr>
                                <w:rFonts w:cs="Times New Roman"/>
                                <w:b/>
                                <w:sz w:val="48"/>
                                <w:szCs w:val="48"/>
                              </w:rPr>
                            </w:pPr>
                            <w:r w:rsidRPr="001451E5">
                              <w:rPr>
                                <w:rFonts w:cs="Times New Roman"/>
                                <w:b/>
                                <w:sz w:val="48"/>
                                <w:szCs w:val="48"/>
                              </w:rPr>
                              <w:t xml:space="preserve">Informatīvais ziņojums par </w:t>
                            </w:r>
                            <w:r w:rsidR="009F6F78">
                              <w:rPr>
                                <w:rFonts w:cs="Times New Roman"/>
                                <w:b/>
                                <w:sz w:val="48"/>
                                <w:szCs w:val="48"/>
                              </w:rPr>
                              <w:t>neatkarīgo institūciju</w:t>
                            </w:r>
                            <w:r w:rsidR="009F6F78" w:rsidRPr="001451E5">
                              <w:rPr>
                                <w:rFonts w:cs="Times New Roman"/>
                                <w:b/>
                                <w:sz w:val="48"/>
                                <w:szCs w:val="48"/>
                              </w:rPr>
                              <w:t xml:space="preserve"> </w:t>
                            </w:r>
                            <w:r w:rsidRPr="001451E5">
                              <w:rPr>
                                <w:rFonts w:cs="Times New Roman"/>
                                <w:b/>
                                <w:sz w:val="48"/>
                                <w:szCs w:val="48"/>
                              </w:rPr>
                              <w:t>prioritārajiem pasākumiem 20</w:t>
                            </w:r>
                            <w:r w:rsidR="00C416BE">
                              <w:rPr>
                                <w:rFonts w:cs="Times New Roman"/>
                                <w:b/>
                                <w:sz w:val="48"/>
                                <w:szCs w:val="48"/>
                              </w:rPr>
                              <w:t>20., 2021. un 2022</w:t>
                            </w:r>
                            <w:r w:rsidRPr="001451E5">
                              <w:rPr>
                                <w:rFonts w:cs="Times New Roman"/>
                                <w:b/>
                                <w:sz w:val="48"/>
                                <w:szCs w:val="48"/>
                              </w:rPr>
                              <w:t>.</w:t>
                            </w:r>
                            <w:r w:rsidR="00C416BE">
                              <w:rPr>
                                <w:rFonts w:cs="Times New Roman"/>
                                <w:b/>
                                <w:sz w:val="48"/>
                                <w:szCs w:val="48"/>
                              </w:rPr>
                              <w:t> </w:t>
                            </w:r>
                            <w:r w:rsidRPr="001451E5">
                              <w:rPr>
                                <w:rFonts w:cs="Times New Roman"/>
                                <w:b/>
                                <w:sz w:val="48"/>
                                <w:szCs w:val="48"/>
                              </w:rPr>
                              <w:t>gadam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B0BD58" id="_x0000_t202" coordsize="21600,21600" o:spt="202" path="m,l,21600r21600,l21600,xe">
                <v:stroke joinstyle="miter"/>
                <v:path gradientshapeok="t" o:connecttype="rect"/>
              </v:shapetype>
              <v:shape id="Text Box 4" o:spid="_x0000_s1026" type="#_x0000_t202" style="position:absolute;left:0;text-align:left;margin-left:24.95pt;margin-top:43.05pt;width:420pt;height:125.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" fillcolor="white [3201]" stroked="f" strokeweight=".5pt">
                <v:textbox>
                  <w:txbxContent>
                    <w:p w14:paraId="05780F94" w14:textId="112D578D" w:rsidR="0049308C" w:rsidRPr="001451E5" w:rsidRDefault="0049308C" w:rsidP="00993753">
                      <w:pPr>
                        <w:ind w:left="0"/>
                        <w:jc w:val="center"/>
                        <w:rPr>
                          <w:rFonts w:cs="Times New Roman"/>
                          <w:b/>
                          <w:sz w:val="48"/>
                          <w:szCs w:val="48"/>
                        </w:rPr>
                      </w:pPr>
                      <w:bookmarkStart w:id="1" w:name="_GoBack"/>
                      <w:r w:rsidRPr="001451E5">
                        <w:rPr>
                          <w:rFonts w:cs="Times New Roman"/>
                          <w:b/>
                          <w:sz w:val="48"/>
                          <w:szCs w:val="48"/>
                        </w:rPr>
                        <w:t xml:space="preserve">Informatīvais ziņojums par </w:t>
                      </w:r>
                      <w:r w:rsidR="009F6F78">
                        <w:rPr>
                          <w:rFonts w:cs="Times New Roman"/>
                          <w:b/>
                          <w:sz w:val="48"/>
                          <w:szCs w:val="48"/>
                        </w:rPr>
                        <w:t>neatkarīgo institūciju</w:t>
                      </w:r>
                      <w:r w:rsidR="009F6F78" w:rsidRPr="001451E5">
                        <w:rPr>
                          <w:rFonts w:cs="Times New Roman"/>
                          <w:b/>
                          <w:sz w:val="48"/>
                          <w:szCs w:val="48"/>
                        </w:rPr>
                        <w:t xml:space="preserve"> </w:t>
                      </w:r>
                      <w:r w:rsidRPr="001451E5">
                        <w:rPr>
                          <w:rFonts w:cs="Times New Roman"/>
                          <w:b/>
                          <w:sz w:val="48"/>
                          <w:szCs w:val="48"/>
                        </w:rPr>
                        <w:t>prioritārajiem pasākumiem 20</w:t>
                      </w:r>
                      <w:r w:rsidR="00C416BE">
                        <w:rPr>
                          <w:rFonts w:cs="Times New Roman"/>
                          <w:b/>
                          <w:sz w:val="48"/>
                          <w:szCs w:val="48"/>
                        </w:rPr>
                        <w:t>20., 2021. un 2022</w:t>
                      </w:r>
                      <w:r w:rsidRPr="001451E5">
                        <w:rPr>
                          <w:rFonts w:cs="Times New Roman"/>
                          <w:b/>
                          <w:sz w:val="48"/>
                          <w:szCs w:val="48"/>
                        </w:rPr>
                        <w:t>.</w:t>
                      </w:r>
                      <w:r w:rsidR="00C416BE">
                        <w:rPr>
                          <w:rFonts w:cs="Times New Roman"/>
                          <w:b/>
                          <w:sz w:val="48"/>
                          <w:szCs w:val="48"/>
                        </w:rPr>
                        <w:t> </w:t>
                      </w:r>
                      <w:r w:rsidRPr="001451E5">
                        <w:rPr>
                          <w:rFonts w:cs="Times New Roman"/>
                          <w:b/>
                          <w:sz w:val="48"/>
                          <w:szCs w:val="48"/>
                        </w:rPr>
                        <w:t>gadam</w:t>
                      </w:r>
                      <w:bookmarkEnd w:id="1"/>
                    </w:p>
                  </w:txbxContent>
                </v:textbox>
                <w10:wrap anchorx="margin"/>
              </v:shape>
            </w:pict>
          </mc:Fallback>
        </mc:AlternateContent>
      </w:r>
      <w:r w:rsidR="000B615F">
        <w:rPr>
          <w:lang w:eastAsia="lv-LV"/>
        </w:rPr>
        <w:drawing>
          <wp:anchor distT="0" distB="0" distL="114300" distR="114300" simplePos="0" relativeHeight="251659264" behindDoc="0" locked="0" layoutInCell="1" allowOverlap="1" wp14:anchorId="075E08B1" wp14:editId="2CF0C5BF">
            <wp:simplePos x="0" y="0"/>
            <wp:positionH relativeFrom="column">
              <wp:posOffset>3686176</wp:posOffset>
            </wp:positionH>
            <wp:positionV relativeFrom="paragraph">
              <wp:posOffset>3080385</wp:posOffset>
            </wp:positionV>
            <wp:extent cx="2218848" cy="2125550"/>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M logo.png"/>
                    <pic:cNvPicPr/>
                  </pic:nvPicPr>
                  <pic:blipFill>
                    <a:blip r:embed="rId8">
                      <a:extLst>
                        <a:ext uri="{28A0092B-C50C-407E-A947-70E740481C1C}">
                          <a14:useLocalDpi xmlns:a14="http://schemas.microsoft.com/office/drawing/2010/main" val="0"/>
                        </a:ext>
                      </a:extLst>
                    </a:blip>
                    <a:stretch>
                      <a:fillRect/>
                    </a:stretch>
                  </pic:blipFill>
                  <pic:spPr>
                    <a:xfrm>
                      <a:off x="0" y="0"/>
                      <a:ext cx="2225532" cy="2131953"/>
                    </a:xfrm>
                    <a:prstGeom prst="rect">
                      <a:avLst/>
                    </a:prstGeom>
                  </pic:spPr>
                </pic:pic>
              </a:graphicData>
            </a:graphic>
            <wp14:sizeRelH relativeFrom="margin">
              <wp14:pctWidth>0</wp14:pctWidth>
            </wp14:sizeRelH>
            <wp14:sizeRelV relativeFrom="margin">
              <wp14:pctHeight>0</wp14:pctHeight>
            </wp14:sizeRelV>
          </wp:anchor>
        </w:drawing>
      </w:r>
      <w:r w:rsidR="00993753">
        <w:tab/>
      </w:r>
      <w:r w:rsidR="00993753">
        <w:tab/>
      </w:r>
      <w:r w:rsidR="00993753">
        <w:tab/>
      </w:r>
      <w:r w:rsidR="00993753">
        <w:tab/>
      </w:r>
    </w:p>
    <w:p w14:paraId="1C9372E3" w14:textId="77777777" w:rsidR="00B33183" w:rsidRDefault="00B33183" w:rsidP="00B33183">
      <w:pPr>
        <w:pStyle w:val="Logo"/>
        <w:tabs>
          <w:tab w:val="left" w:pos="2400"/>
          <w:tab w:val="left" w:pos="6282"/>
          <w:tab w:val="left" w:pos="7185"/>
          <w:tab w:val="right" w:pos="9288"/>
        </w:tabs>
        <w:spacing w:before="0" w:after="120"/>
        <w:jc w:val="left"/>
      </w:pPr>
    </w:p>
    <w:p w14:paraId="5FAB2DDA" w14:textId="77777777" w:rsidR="00B33183" w:rsidRDefault="00B33183" w:rsidP="00B33183">
      <w:pPr>
        <w:pStyle w:val="Logo"/>
        <w:tabs>
          <w:tab w:val="left" w:pos="2400"/>
          <w:tab w:val="left" w:pos="6282"/>
          <w:tab w:val="left" w:pos="7185"/>
          <w:tab w:val="right" w:pos="9288"/>
        </w:tabs>
        <w:spacing w:before="0" w:after="120"/>
        <w:jc w:val="left"/>
      </w:pPr>
    </w:p>
    <w:p w14:paraId="450AF7A9" w14:textId="77777777" w:rsidR="00B33183" w:rsidRDefault="00B33183" w:rsidP="00B33183">
      <w:pPr>
        <w:pStyle w:val="Logo"/>
        <w:tabs>
          <w:tab w:val="left" w:pos="2400"/>
          <w:tab w:val="left" w:pos="6282"/>
          <w:tab w:val="left" w:pos="7185"/>
          <w:tab w:val="right" w:pos="9288"/>
        </w:tabs>
        <w:spacing w:before="0" w:after="120"/>
        <w:jc w:val="left"/>
      </w:pPr>
    </w:p>
    <w:p w14:paraId="50CBE4B6" w14:textId="77777777" w:rsidR="00B33183" w:rsidRDefault="00B33183" w:rsidP="00B33183">
      <w:pPr>
        <w:pStyle w:val="Contactinfo"/>
        <w:spacing w:after="120"/>
        <w:rPr>
          <w:rFonts w:cs="Times New Roman"/>
        </w:rPr>
      </w:pPr>
    </w:p>
    <w:p w14:paraId="1CF1E3AD" w14:textId="77777777" w:rsidR="0062084D" w:rsidRDefault="0062084D" w:rsidP="00B33183">
      <w:pPr>
        <w:pStyle w:val="Contactinfo"/>
        <w:spacing w:after="120"/>
        <w:rPr>
          <w:rFonts w:cs="Times New Roman"/>
        </w:rPr>
      </w:pPr>
    </w:p>
    <w:p w14:paraId="3911FD8C" w14:textId="5DD3312D" w:rsidR="00E279B8" w:rsidRPr="000B615F" w:rsidRDefault="00B10ACC" w:rsidP="00B33183">
      <w:pPr>
        <w:pStyle w:val="Contactinfo"/>
        <w:spacing w:after="120"/>
        <w:rPr>
          <w:rFonts w:cs="Times New Roman"/>
        </w:rPr>
      </w:pPr>
      <w:r>
        <w:rPr>
          <w:rFonts w:cs="Times New Roman"/>
        </w:rPr>
        <w:t>2019</w:t>
      </w:r>
      <w:r w:rsidR="008B4FD0">
        <w:rPr>
          <w:rFonts w:cs="Times New Roman"/>
          <w:caps w:val="0"/>
        </w:rPr>
        <w:t>.</w:t>
      </w:r>
      <w:r w:rsidR="00320B00">
        <w:rPr>
          <w:rFonts w:cs="Times New Roman"/>
          <w:caps w:val="0"/>
        </w:rPr>
        <w:t> </w:t>
      </w:r>
      <w:r w:rsidR="000B615F">
        <w:rPr>
          <w:rFonts w:cs="Times New Roman"/>
          <w:caps w:val="0"/>
        </w:rPr>
        <w:t>gads</w:t>
      </w:r>
    </w:p>
    <w:p w14:paraId="0238BF20" w14:textId="77777777" w:rsidR="00907CBB" w:rsidRDefault="00907CBB" w:rsidP="00B33183">
      <w:pPr>
        <w:rPr>
          <w:noProof/>
        </w:rPr>
      </w:pPr>
    </w:p>
    <w:p w14:paraId="5608EB3E" w14:textId="77777777" w:rsidR="00993753" w:rsidRDefault="00993753" w:rsidP="00B33183">
      <w:pPr>
        <w:rPr>
          <w:noProof/>
        </w:rPr>
      </w:pPr>
    </w:p>
    <w:p w14:paraId="2F358158" w14:textId="77777777" w:rsidR="00993753" w:rsidRDefault="00993753" w:rsidP="00B33183">
      <w:pPr>
        <w:rPr>
          <w:noProof/>
        </w:rPr>
      </w:pPr>
    </w:p>
    <w:p w14:paraId="32AFD2F4" w14:textId="77777777" w:rsidR="000B615F" w:rsidRDefault="000B615F" w:rsidP="00B33183">
      <w:pPr>
        <w:rPr>
          <w:noProof/>
        </w:rPr>
      </w:pPr>
    </w:p>
    <w:p w14:paraId="1E3CA725" w14:textId="77777777" w:rsidR="00993753" w:rsidRDefault="00993753" w:rsidP="00B33183">
      <w:pPr>
        <w:rPr>
          <w:noProof/>
        </w:rPr>
      </w:pPr>
    </w:p>
    <w:p w14:paraId="17E4FB61" w14:textId="77777777" w:rsidR="00DF58CC" w:rsidRDefault="00DF58CC" w:rsidP="00B33183">
      <w:pPr>
        <w:rPr>
          <w:noProof/>
        </w:rPr>
      </w:pPr>
    </w:p>
    <w:p w14:paraId="468C6FE9" w14:textId="77777777" w:rsidR="00DF58CC" w:rsidRDefault="00DF58CC" w:rsidP="00B33183">
      <w:pPr>
        <w:rPr>
          <w:noProof/>
        </w:rPr>
      </w:pPr>
    </w:p>
    <w:p w14:paraId="14AE15EA" w14:textId="16967196" w:rsidR="00DF58CC" w:rsidRDefault="00DF58CC" w:rsidP="00B33183">
      <w:pPr>
        <w:ind w:firstLine="648"/>
        <w:rPr>
          <w:rFonts w:cs="Times New Roman"/>
          <w:szCs w:val="24"/>
        </w:rPr>
      </w:pPr>
    </w:p>
    <w:p w14:paraId="758B646E" w14:textId="66FD8A3F" w:rsidR="00596885" w:rsidRDefault="00DF58CC" w:rsidP="00961D2F">
      <w:pPr>
        <w:ind w:left="0" w:right="74" w:firstLine="709"/>
        <w:rPr>
          <w:rFonts w:cs="Times New Roman"/>
          <w:szCs w:val="24"/>
        </w:rPr>
      </w:pPr>
      <w:r w:rsidRPr="001451E5">
        <w:rPr>
          <w:rFonts w:cs="Times New Roman"/>
          <w:szCs w:val="24"/>
        </w:rPr>
        <w:lastRenderedPageBreak/>
        <w:t>Pamatojoties uz Likumu par budžetu un</w:t>
      </w:r>
      <w:r w:rsidR="004526A1" w:rsidRPr="001451E5">
        <w:rPr>
          <w:rFonts w:cs="Times New Roman"/>
          <w:szCs w:val="24"/>
        </w:rPr>
        <w:t xml:space="preserve"> finanšu vadību</w:t>
      </w:r>
      <w:r w:rsidR="00961D2F">
        <w:rPr>
          <w:rFonts w:cs="Times New Roman"/>
          <w:szCs w:val="24"/>
        </w:rPr>
        <w:t xml:space="preserve"> (turpmāk – LBFV)</w:t>
      </w:r>
      <w:r w:rsidRPr="001451E5">
        <w:rPr>
          <w:rFonts w:cs="Times New Roman"/>
          <w:szCs w:val="24"/>
        </w:rPr>
        <w:t xml:space="preserve">, </w:t>
      </w:r>
      <w:r w:rsidR="00165024">
        <w:rPr>
          <w:rFonts w:cs="Times New Roman"/>
          <w:szCs w:val="24"/>
        </w:rPr>
        <w:t xml:space="preserve">kā arī </w:t>
      </w:r>
      <w:r w:rsidRPr="001451E5">
        <w:rPr>
          <w:rFonts w:cs="Times New Roman"/>
          <w:szCs w:val="24"/>
        </w:rPr>
        <w:t>saskaņā ar 2012.</w:t>
      </w:r>
      <w:r w:rsidR="00C416BE">
        <w:rPr>
          <w:rFonts w:cs="Times New Roman"/>
          <w:szCs w:val="24"/>
        </w:rPr>
        <w:t> </w:t>
      </w:r>
      <w:r w:rsidRPr="001451E5">
        <w:rPr>
          <w:rFonts w:cs="Times New Roman"/>
          <w:szCs w:val="24"/>
        </w:rPr>
        <w:t>gada 11.</w:t>
      </w:r>
      <w:r w:rsidR="00C416BE">
        <w:rPr>
          <w:rFonts w:cs="Times New Roman"/>
          <w:szCs w:val="24"/>
        </w:rPr>
        <w:t> </w:t>
      </w:r>
      <w:r w:rsidRPr="001451E5">
        <w:rPr>
          <w:rFonts w:cs="Times New Roman"/>
          <w:szCs w:val="24"/>
        </w:rPr>
        <w:t>decembra Ministru kabineta (turpmāk – MK) noteikumiem Nr.</w:t>
      </w:r>
      <w:r w:rsidR="00C416BE">
        <w:rPr>
          <w:rFonts w:cs="Times New Roman"/>
          <w:szCs w:val="24"/>
        </w:rPr>
        <w:t> </w:t>
      </w:r>
      <w:r w:rsidRPr="001451E5">
        <w:rPr>
          <w:rFonts w:cs="Times New Roman"/>
          <w:szCs w:val="24"/>
        </w:rPr>
        <w:t xml:space="preserve">867 “Kārtība, kādā nosakāms maksimāli pieļaujamais valsts budžeta izdevumu kopapjoms un maksimāli pieļaujamais valsts budžeta izdevumu kopējais apjoms katrai </w:t>
      </w:r>
      <w:r w:rsidRPr="009222BE">
        <w:rPr>
          <w:rFonts w:cs="Times New Roman"/>
          <w:szCs w:val="24"/>
        </w:rPr>
        <w:t xml:space="preserve">ministrijai un citām centrālajām valsts iestādēm vidējam termiņam” </w:t>
      </w:r>
      <w:r w:rsidR="00C416BE">
        <w:rPr>
          <w:rFonts w:cs="Times New Roman"/>
          <w:szCs w:val="24"/>
        </w:rPr>
        <w:t>un 2019</w:t>
      </w:r>
      <w:r w:rsidRPr="009222BE">
        <w:rPr>
          <w:rFonts w:cs="Times New Roman"/>
          <w:szCs w:val="24"/>
        </w:rPr>
        <w:t>.</w:t>
      </w:r>
      <w:r w:rsidR="00C416BE">
        <w:rPr>
          <w:rFonts w:cs="Times New Roman"/>
          <w:szCs w:val="24"/>
        </w:rPr>
        <w:t> gada 20</w:t>
      </w:r>
      <w:r w:rsidRPr="009222BE">
        <w:rPr>
          <w:rFonts w:cs="Times New Roman"/>
          <w:szCs w:val="24"/>
        </w:rPr>
        <w:t>.</w:t>
      </w:r>
      <w:r w:rsidR="00C416BE">
        <w:rPr>
          <w:rFonts w:cs="Times New Roman"/>
          <w:szCs w:val="24"/>
        </w:rPr>
        <w:t> </w:t>
      </w:r>
      <w:r w:rsidRPr="009222BE">
        <w:rPr>
          <w:rFonts w:cs="Times New Roman"/>
          <w:szCs w:val="24"/>
        </w:rPr>
        <w:t>marta rīkojumu Nr.</w:t>
      </w:r>
      <w:r w:rsidR="00C416BE">
        <w:rPr>
          <w:rFonts w:cs="Times New Roman"/>
          <w:szCs w:val="24"/>
        </w:rPr>
        <w:t> 116</w:t>
      </w:r>
      <w:r w:rsidRPr="009222BE">
        <w:rPr>
          <w:rFonts w:cs="Times New Roman"/>
          <w:szCs w:val="24"/>
        </w:rPr>
        <w:t xml:space="preserve"> “Par likumprojekta “Par vidēja termiņa budžeta ietvaru 20</w:t>
      </w:r>
      <w:r w:rsidR="00C416BE">
        <w:rPr>
          <w:rFonts w:cs="Times New Roman"/>
          <w:szCs w:val="24"/>
        </w:rPr>
        <w:t>20</w:t>
      </w:r>
      <w:r w:rsidRPr="009222BE">
        <w:rPr>
          <w:rFonts w:cs="Times New Roman"/>
          <w:szCs w:val="24"/>
        </w:rPr>
        <w:t>., 202</w:t>
      </w:r>
      <w:r w:rsidR="00C416BE">
        <w:rPr>
          <w:rFonts w:cs="Times New Roman"/>
          <w:szCs w:val="24"/>
        </w:rPr>
        <w:t>1. un 2022</w:t>
      </w:r>
      <w:r w:rsidRPr="009222BE">
        <w:rPr>
          <w:rFonts w:cs="Times New Roman"/>
          <w:szCs w:val="24"/>
        </w:rPr>
        <w:t>. gadam” un likumprojekta “</w:t>
      </w:r>
      <w:r w:rsidR="00C416BE">
        <w:rPr>
          <w:rFonts w:cs="Times New Roman"/>
          <w:szCs w:val="24"/>
        </w:rPr>
        <w:t>Par valsts budžetu 2020</w:t>
      </w:r>
      <w:r w:rsidRPr="009222BE">
        <w:rPr>
          <w:rFonts w:cs="Times New Roman"/>
          <w:szCs w:val="24"/>
        </w:rPr>
        <w:t>.</w:t>
      </w:r>
      <w:r w:rsidR="00C416BE">
        <w:rPr>
          <w:rFonts w:cs="Times New Roman"/>
          <w:szCs w:val="24"/>
        </w:rPr>
        <w:t> </w:t>
      </w:r>
      <w:r w:rsidRPr="009222BE">
        <w:rPr>
          <w:rFonts w:cs="Times New Roman"/>
          <w:szCs w:val="24"/>
        </w:rPr>
        <w:t>gadam” sagatavošanas grafiku”, Finanšu ministrija</w:t>
      </w:r>
      <w:r w:rsidR="00250E05" w:rsidRPr="009222BE">
        <w:rPr>
          <w:rFonts w:cs="Times New Roman"/>
          <w:szCs w:val="24"/>
        </w:rPr>
        <w:t xml:space="preserve"> (turpmāk – </w:t>
      </w:r>
      <w:r w:rsidR="00165024" w:rsidRPr="009222BE">
        <w:rPr>
          <w:rFonts w:cs="Times New Roman"/>
          <w:szCs w:val="24"/>
        </w:rPr>
        <w:t>FM)</w:t>
      </w:r>
      <w:r w:rsidR="00781BD8" w:rsidRPr="009222BE">
        <w:rPr>
          <w:rFonts w:cs="Times New Roman"/>
          <w:szCs w:val="24"/>
        </w:rPr>
        <w:t xml:space="preserve"> </w:t>
      </w:r>
      <w:r w:rsidRPr="009222BE">
        <w:rPr>
          <w:rFonts w:cs="Times New Roman"/>
          <w:szCs w:val="24"/>
        </w:rPr>
        <w:t xml:space="preserve">ir sagatavojusi informatīvo ziņojumu par </w:t>
      </w:r>
      <w:r w:rsidR="009F6F78">
        <w:rPr>
          <w:rFonts w:cs="Times New Roman"/>
          <w:szCs w:val="24"/>
        </w:rPr>
        <w:t>neatkarīgo institūciju prioritārajiem pasākumiem (turpmāk </w:t>
      </w:r>
      <w:r w:rsidRPr="009222BE">
        <w:rPr>
          <w:rFonts w:cs="Times New Roman"/>
          <w:szCs w:val="24"/>
        </w:rPr>
        <w:t xml:space="preserve">– </w:t>
      </w:r>
      <w:r w:rsidR="005730E7" w:rsidRPr="009222BE">
        <w:rPr>
          <w:rFonts w:cs="Times New Roman"/>
          <w:szCs w:val="24"/>
        </w:rPr>
        <w:t>PP</w:t>
      </w:r>
      <w:r w:rsidR="00C416BE">
        <w:rPr>
          <w:rFonts w:cs="Times New Roman"/>
          <w:szCs w:val="24"/>
        </w:rPr>
        <w:t>) 2020., 2021. un 2022</w:t>
      </w:r>
      <w:r w:rsidRPr="009222BE">
        <w:rPr>
          <w:rFonts w:cs="Times New Roman"/>
          <w:szCs w:val="24"/>
        </w:rPr>
        <w:t>.</w:t>
      </w:r>
      <w:r w:rsidR="00C416BE">
        <w:rPr>
          <w:rFonts w:cs="Times New Roman"/>
          <w:szCs w:val="24"/>
        </w:rPr>
        <w:t xml:space="preserve"> </w:t>
      </w:r>
      <w:r w:rsidRPr="009222BE">
        <w:rPr>
          <w:rFonts w:cs="Times New Roman"/>
          <w:szCs w:val="24"/>
        </w:rPr>
        <w:t>gadam.</w:t>
      </w:r>
      <w:r w:rsidR="002272ED">
        <w:rPr>
          <w:rFonts w:cs="Times New Roman"/>
          <w:szCs w:val="24"/>
        </w:rPr>
        <w:t xml:space="preserve"> </w:t>
      </w:r>
    </w:p>
    <w:p w14:paraId="5EE9708D" w14:textId="460B1FAD" w:rsidR="009F6F78" w:rsidRDefault="009F6F78" w:rsidP="009F6F78">
      <w:pPr>
        <w:spacing w:before="120"/>
        <w:ind w:left="0" w:right="74" w:firstLine="709"/>
        <w:rPr>
          <w:rFonts w:cs="Times New Roman"/>
          <w:szCs w:val="24"/>
        </w:rPr>
      </w:pPr>
      <w:r>
        <w:rPr>
          <w:rFonts w:cs="Times New Roman"/>
          <w:szCs w:val="24"/>
        </w:rPr>
        <w:t>S</w:t>
      </w:r>
      <w:r w:rsidRPr="008D05C0">
        <w:rPr>
          <w:rFonts w:cs="Times New Roman"/>
          <w:szCs w:val="24"/>
        </w:rPr>
        <w:t xml:space="preserve">askaņā ar </w:t>
      </w:r>
      <w:r>
        <w:rPr>
          <w:rFonts w:cs="Times New Roman"/>
          <w:szCs w:val="24"/>
        </w:rPr>
        <w:t>LBFV</w:t>
      </w:r>
      <w:r w:rsidRPr="008D05C0">
        <w:rPr>
          <w:rFonts w:cs="Times New Roman"/>
          <w:szCs w:val="24"/>
        </w:rPr>
        <w:t xml:space="preserve"> 16.</w:t>
      </w:r>
      <w:r w:rsidRPr="00995C3D">
        <w:rPr>
          <w:rFonts w:cs="Times New Roman"/>
          <w:szCs w:val="24"/>
          <w:vertAlign w:val="superscript"/>
        </w:rPr>
        <w:t>1</w:t>
      </w:r>
      <w:r w:rsidRPr="008D05C0">
        <w:rPr>
          <w:rFonts w:cs="Times New Roman"/>
          <w:szCs w:val="24"/>
        </w:rPr>
        <w:t xml:space="preserve"> panta </w:t>
      </w:r>
      <w:r>
        <w:rPr>
          <w:rFonts w:cs="Times New Roman"/>
          <w:szCs w:val="24"/>
        </w:rPr>
        <w:t>trešo</w:t>
      </w:r>
      <w:r w:rsidRPr="008D05C0">
        <w:rPr>
          <w:rFonts w:cs="Times New Roman"/>
          <w:szCs w:val="24"/>
        </w:rPr>
        <w:t xml:space="preserve"> </w:t>
      </w:r>
      <w:r w:rsidRPr="009F6F78">
        <w:rPr>
          <w:rFonts w:cs="Times New Roman"/>
          <w:szCs w:val="24"/>
        </w:rPr>
        <w:t xml:space="preserve">daļu </w:t>
      </w:r>
      <w:r w:rsidRPr="009F6F78">
        <w:rPr>
          <w:rFonts w:cs="Times New Roman"/>
          <w:szCs w:val="24"/>
          <w:shd w:val="clear" w:color="auto" w:fill="FFFFFF"/>
        </w:rPr>
        <w:t>Saeimai, Valsts prezidenta kancelejai, Augstākajai tiesai, Satversmes</w:t>
      </w:r>
      <w:r>
        <w:rPr>
          <w:rFonts w:cs="Times New Roman"/>
          <w:szCs w:val="24"/>
          <w:shd w:val="clear" w:color="auto" w:fill="FFFFFF"/>
        </w:rPr>
        <w:t xml:space="preserve"> tiesai, Tieslietu ministrijai (</w:t>
      </w:r>
      <w:r w:rsidRPr="009F6F78">
        <w:rPr>
          <w:rFonts w:cs="Times New Roman"/>
          <w:szCs w:val="24"/>
          <w:shd w:val="clear" w:color="auto" w:fill="FFFFFF"/>
        </w:rPr>
        <w:t>par rajonu (pilsētu) tiesām, apgabalt</w:t>
      </w:r>
      <w:r>
        <w:rPr>
          <w:rFonts w:cs="Times New Roman"/>
          <w:szCs w:val="24"/>
          <w:shd w:val="clear" w:color="auto" w:fill="FFFFFF"/>
        </w:rPr>
        <w:t>iesām un Datu valsts inspekciju)</w:t>
      </w:r>
      <w:r w:rsidRPr="009F6F78">
        <w:rPr>
          <w:rFonts w:cs="Times New Roman"/>
          <w:szCs w:val="24"/>
          <w:shd w:val="clear" w:color="auto" w:fill="FFFFFF"/>
        </w:rPr>
        <w:t>, Valsts kontrolei, Nacionālajai elektronisko plašsaziņas līdzekļu padomei, Tiesībsarga birojam, Sabiedrisko pakalpojumu regulēšanas komisijai un Ģenerālprokuratūrai</w:t>
      </w:r>
      <w:r w:rsidRPr="009F6F78">
        <w:rPr>
          <w:rFonts w:ascii="Arial" w:hAnsi="Arial" w:cs="Arial"/>
          <w:sz w:val="20"/>
          <w:szCs w:val="20"/>
          <w:shd w:val="clear" w:color="auto" w:fill="FFFFFF"/>
        </w:rPr>
        <w:t> </w:t>
      </w:r>
      <w:r w:rsidRPr="009A1E6B">
        <w:rPr>
          <w:rFonts w:cs="Times New Roman"/>
          <w:szCs w:val="24"/>
        </w:rPr>
        <w:t xml:space="preserve">ir tiesības iesniegt priekšlikumus par </w:t>
      </w:r>
      <w:r>
        <w:rPr>
          <w:rFonts w:cs="Times New Roman"/>
          <w:szCs w:val="24"/>
        </w:rPr>
        <w:t>PP</w:t>
      </w:r>
      <w:r w:rsidRPr="009A1E6B">
        <w:rPr>
          <w:rFonts w:cs="Times New Roman"/>
          <w:szCs w:val="24"/>
        </w:rPr>
        <w:t xml:space="preserve"> neatkarīgi</w:t>
      </w:r>
      <w:r>
        <w:rPr>
          <w:rFonts w:cs="Times New Roman"/>
          <w:szCs w:val="24"/>
        </w:rPr>
        <w:t>, vai</w:t>
      </w:r>
      <w:r w:rsidRPr="009A1E6B">
        <w:rPr>
          <w:rFonts w:cs="Times New Roman"/>
          <w:szCs w:val="24"/>
        </w:rPr>
        <w:t xml:space="preserve"> nākamajos saimnieciskajos gados atbilstoši aktuālajām makroekonomiskās attīstības prognozēm būs pieejami līdzekļi </w:t>
      </w:r>
      <w:r>
        <w:rPr>
          <w:rFonts w:cs="Times New Roman"/>
          <w:szCs w:val="24"/>
        </w:rPr>
        <w:t>PP</w:t>
      </w:r>
      <w:r w:rsidRPr="009A1E6B">
        <w:rPr>
          <w:rFonts w:cs="Times New Roman"/>
          <w:szCs w:val="24"/>
        </w:rPr>
        <w:t xml:space="preserve"> finansēšanai.</w:t>
      </w:r>
    </w:p>
    <w:p w14:paraId="19D67353" w14:textId="4950569A" w:rsidR="009F6F78" w:rsidRPr="001451E5" w:rsidRDefault="009F6F78" w:rsidP="009F6F78">
      <w:pPr>
        <w:tabs>
          <w:tab w:val="left" w:pos="2590"/>
        </w:tabs>
        <w:spacing w:before="120"/>
        <w:ind w:left="0" w:right="74" w:firstLine="885"/>
        <w:rPr>
          <w:rFonts w:cs="Times New Roman"/>
          <w:szCs w:val="24"/>
        </w:rPr>
      </w:pPr>
      <w:r w:rsidRPr="004F7BA2">
        <w:rPr>
          <w:rFonts w:cs="Times New Roman"/>
          <w:szCs w:val="24"/>
        </w:rPr>
        <w:t>Pieprasījumus PP iesniedza</w:t>
      </w:r>
      <w:r w:rsidRPr="001451E5">
        <w:rPr>
          <w:rFonts w:cs="Times New Roman"/>
          <w:szCs w:val="24"/>
        </w:rPr>
        <w:t xml:space="preserve"> </w:t>
      </w:r>
      <w:r>
        <w:rPr>
          <w:rFonts w:cs="Times New Roman"/>
          <w:szCs w:val="24"/>
        </w:rPr>
        <w:t xml:space="preserve">desmit </w:t>
      </w:r>
      <w:r w:rsidRPr="001451E5">
        <w:rPr>
          <w:rFonts w:cs="Times New Roman"/>
          <w:szCs w:val="24"/>
        </w:rPr>
        <w:t>neatkarīgās institūcijas –</w:t>
      </w:r>
      <w:r>
        <w:rPr>
          <w:rFonts w:cs="Times New Roman"/>
          <w:szCs w:val="24"/>
        </w:rPr>
        <w:t xml:space="preserve"> Valsts prezidenta kanceleja,</w:t>
      </w:r>
      <w:r w:rsidRPr="001451E5">
        <w:rPr>
          <w:rFonts w:cs="Times New Roman"/>
          <w:szCs w:val="24"/>
        </w:rPr>
        <w:t xml:space="preserve"> Tiesībsarga birojs, Tieslietu ministrija (Zemesgrāmatu n</w:t>
      </w:r>
      <w:r>
        <w:rPr>
          <w:rFonts w:cs="Times New Roman"/>
          <w:szCs w:val="24"/>
        </w:rPr>
        <w:t>odaļas, rajonu (pilsētu) tiesas un</w:t>
      </w:r>
      <w:r w:rsidRPr="001451E5">
        <w:rPr>
          <w:rFonts w:cs="Times New Roman"/>
          <w:szCs w:val="24"/>
        </w:rPr>
        <w:t xml:space="preserve"> apgabaltiesas), Tieslietu ministrija (Satversmes aizsardzības birojs), Tieslietu ministrija (Datu valsts inspekcija), Valsts kontrole, </w:t>
      </w:r>
      <w:r>
        <w:rPr>
          <w:rFonts w:cs="Times New Roman"/>
          <w:szCs w:val="24"/>
        </w:rPr>
        <w:t xml:space="preserve">Augstākā tiesa, </w:t>
      </w:r>
      <w:r w:rsidRPr="001451E5">
        <w:rPr>
          <w:rFonts w:cs="Times New Roman"/>
          <w:szCs w:val="24"/>
        </w:rPr>
        <w:t>Satversmes tiesa, Prokuratūra, Radio un televīzija. Tieslietu ministrija (Zemesgrāmatu n</w:t>
      </w:r>
      <w:r>
        <w:rPr>
          <w:rFonts w:cs="Times New Roman"/>
          <w:szCs w:val="24"/>
        </w:rPr>
        <w:t>odaļas, rajonu (pilsētu) tiesas un</w:t>
      </w:r>
      <w:r w:rsidRPr="001451E5">
        <w:rPr>
          <w:rFonts w:cs="Times New Roman"/>
          <w:szCs w:val="24"/>
        </w:rPr>
        <w:t xml:space="preserve"> apgabaltiesas) </w:t>
      </w:r>
      <w:r>
        <w:rPr>
          <w:rFonts w:cs="Times New Roman"/>
          <w:szCs w:val="24"/>
        </w:rPr>
        <w:t xml:space="preserve">kopā </w:t>
      </w:r>
      <w:r w:rsidRPr="001451E5">
        <w:rPr>
          <w:rFonts w:cs="Times New Roman"/>
          <w:szCs w:val="24"/>
        </w:rPr>
        <w:t>ar Augstāko tiesu</w:t>
      </w:r>
      <w:r>
        <w:rPr>
          <w:rFonts w:cs="Times New Roman"/>
          <w:szCs w:val="24"/>
        </w:rPr>
        <w:t xml:space="preserve">, </w:t>
      </w:r>
      <w:r w:rsidRPr="001451E5">
        <w:rPr>
          <w:rFonts w:cs="Times New Roman"/>
          <w:szCs w:val="24"/>
        </w:rPr>
        <w:t xml:space="preserve">Satversmes tiesu </w:t>
      </w:r>
      <w:r>
        <w:rPr>
          <w:rFonts w:cs="Times New Roman"/>
          <w:szCs w:val="24"/>
        </w:rPr>
        <w:t>un Prokuratūru</w:t>
      </w:r>
      <w:r w:rsidRPr="001451E5">
        <w:rPr>
          <w:rFonts w:cs="Times New Roman"/>
          <w:szCs w:val="24"/>
        </w:rPr>
        <w:t xml:space="preserve"> </w:t>
      </w:r>
      <w:r>
        <w:rPr>
          <w:rFonts w:cs="Times New Roman"/>
          <w:szCs w:val="24"/>
        </w:rPr>
        <w:t xml:space="preserve">ir </w:t>
      </w:r>
      <w:r w:rsidRPr="001451E5">
        <w:rPr>
          <w:rFonts w:cs="Times New Roman"/>
          <w:szCs w:val="24"/>
        </w:rPr>
        <w:t xml:space="preserve">iesniegusi divus starpnozaru </w:t>
      </w:r>
      <w:r>
        <w:rPr>
          <w:rFonts w:cs="Times New Roman"/>
          <w:szCs w:val="24"/>
        </w:rPr>
        <w:t>PP</w:t>
      </w:r>
      <w:r w:rsidRPr="001451E5">
        <w:rPr>
          <w:rFonts w:cs="Times New Roman"/>
          <w:szCs w:val="24"/>
        </w:rPr>
        <w:t xml:space="preserve">. Neatkarīgo institūciju pieprasījumi </w:t>
      </w:r>
      <w:r>
        <w:rPr>
          <w:rFonts w:cs="Times New Roman"/>
          <w:szCs w:val="24"/>
        </w:rPr>
        <w:t>PP</w:t>
      </w:r>
      <w:r w:rsidRPr="001451E5">
        <w:rPr>
          <w:rFonts w:cs="Times New Roman"/>
          <w:szCs w:val="24"/>
        </w:rPr>
        <w:t xml:space="preserve"> apkopoti un pievienoti informatīvajam ziņojumam (skat. </w:t>
      </w:r>
      <w:r w:rsidR="00925D31">
        <w:rPr>
          <w:rFonts w:cs="Times New Roman"/>
          <w:szCs w:val="24"/>
        </w:rPr>
        <w:t>1</w:t>
      </w:r>
      <w:r w:rsidRPr="001451E5">
        <w:rPr>
          <w:rFonts w:cs="Times New Roman"/>
          <w:szCs w:val="24"/>
        </w:rPr>
        <w:t xml:space="preserve">. un </w:t>
      </w:r>
      <w:r w:rsidR="00925D31">
        <w:rPr>
          <w:rFonts w:cs="Times New Roman"/>
          <w:szCs w:val="24"/>
        </w:rPr>
        <w:t>2</w:t>
      </w:r>
      <w:r w:rsidRPr="001451E5">
        <w:rPr>
          <w:rFonts w:cs="Times New Roman"/>
          <w:szCs w:val="24"/>
        </w:rPr>
        <w:t>.</w:t>
      </w:r>
      <w:r>
        <w:rPr>
          <w:rFonts w:cs="Times New Roman"/>
          <w:szCs w:val="24"/>
        </w:rPr>
        <w:t> </w:t>
      </w:r>
      <w:r w:rsidRPr="001451E5">
        <w:rPr>
          <w:rFonts w:cs="Times New Roman"/>
          <w:szCs w:val="24"/>
        </w:rPr>
        <w:t>pielikumu).</w:t>
      </w:r>
    </w:p>
    <w:p w14:paraId="7468B372" w14:textId="22B37F54" w:rsidR="003B3D1F" w:rsidRPr="001451E5" w:rsidRDefault="003B3D1F" w:rsidP="009F6F78">
      <w:pPr>
        <w:tabs>
          <w:tab w:val="left" w:pos="2590"/>
        </w:tabs>
        <w:spacing w:before="120"/>
        <w:ind w:left="0" w:right="74" w:firstLine="709"/>
        <w:rPr>
          <w:rFonts w:cs="Times New Roman"/>
          <w:b/>
          <w:szCs w:val="24"/>
        </w:rPr>
      </w:pPr>
      <w:r w:rsidRPr="001451E5">
        <w:rPr>
          <w:rFonts w:cs="Times New Roman"/>
          <w:szCs w:val="24"/>
        </w:rPr>
        <w:t xml:space="preserve">Neatkarīgo institūciju kopējie pieprasījumi </w:t>
      </w:r>
      <w:r w:rsidR="0049308C">
        <w:rPr>
          <w:rFonts w:cs="Times New Roman"/>
          <w:szCs w:val="24"/>
        </w:rPr>
        <w:t>PP</w:t>
      </w:r>
      <w:r w:rsidR="004A2D0E">
        <w:rPr>
          <w:rFonts w:cs="Times New Roman"/>
          <w:szCs w:val="24"/>
        </w:rPr>
        <w:t xml:space="preserve"> veido 2020</w:t>
      </w:r>
      <w:r w:rsidR="00A76DA9">
        <w:rPr>
          <w:rFonts w:cs="Times New Roman"/>
          <w:szCs w:val="24"/>
        </w:rPr>
        <w:t>.</w:t>
      </w:r>
      <w:r w:rsidR="004A2D0E">
        <w:rPr>
          <w:rFonts w:cs="Times New Roman"/>
          <w:szCs w:val="24"/>
        </w:rPr>
        <w:t> </w:t>
      </w:r>
      <w:r w:rsidR="00A76DA9">
        <w:rPr>
          <w:rFonts w:cs="Times New Roman"/>
          <w:szCs w:val="24"/>
        </w:rPr>
        <w:t xml:space="preserve">gadam </w:t>
      </w:r>
      <w:r w:rsidR="00EE1CC8">
        <w:rPr>
          <w:rFonts w:cs="Times New Roman"/>
          <w:szCs w:val="24"/>
        </w:rPr>
        <w:t>23,4</w:t>
      </w:r>
      <w:r w:rsidRPr="001451E5">
        <w:rPr>
          <w:rFonts w:cs="Times New Roman"/>
          <w:szCs w:val="24"/>
        </w:rPr>
        <w:t xml:space="preserve"> milj. </w:t>
      </w:r>
      <w:r w:rsidRPr="001451E5">
        <w:rPr>
          <w:rFonts w:cs="Times New Roman"/>
          <w:i/>
          <w:szCs w:val="24"/>
        </w:rPr>
        <w:t>euro</w:t>
      </w:r>
      <w:r w:rsidR="004A2D0E">
        <w:rPr>
          <w:rFonts w:cs="Times New Roman"/>
          <w:szCs w:val="24"/>
        </w:rPr>
        <w:t>, 2021</w:t>
      </w:r>
      <w:r w:rsidR="00A76DA9">
        <w:rPr>
          <w:rFonts w:cs="Times New Roman"/>
          <w:szCs w:val="24"/>
        </w:rPr>
        <w:t>.</w:t>
      </w:r>
      <w:r w:rsidR="004A2D0E">
        <w:rPr>
          <w:rFonts w:cs="Times New Roman"/>
          <w:szCs w:val="24"/>
        </w:rPr>
        <w:t> </w:t>
      </w:r>
      <w:r w:rsidR="00A76DA9">
        <w:rPr>
          <w:rFonts w:cs="Times New Roman"/>
          <w:szCs w:val="24"/>
        </w:rPr>
        <w:t xml:space="preserve">gadam </w:t>
      </w:r>
      <w:r w:rsidR="00EE1CC8">
        <w:rPr>
          <w:rFonts w:cs="Times New Roman"/>
          <w:szCs w:val="24"/>
        </w:rPr>
        <w:t>19,3</w:t>
      </w:r>
      <w:r w:rsidRPr="001451E5">
        <w:rPr>
          <w:rFonts w:cs="Times New Roman"/>
          <w:szCs w:val="24"/>
        </w:rPr>
        <w:t xml:space="preserve"> milj. </w:t>
      </w:r>
      <w:r w:rsidRPr="001451E5">
        <w:rPr>
          <w:rFonts w:cs="Times New Roman"/>
          <w:i/>
          <w:szCs w:val="24"/>
        </w:rPr>
        <w:t>euro</w:t>
      </w:r>
      <w:r w:rsidR="008A63E1">
        <w:rPr>
          <w:rFonts w:cs="Times New Roman"/>
          <w:szCs w:val="24"/>
        </w:rPr>
        <w:t xml:space="preserve"> un 2022</w:t>
      </w:r>
      <w:r w:rsidR="00A76DA9">
        <w:rPr>
          <w:rFonts w:cs="Times New Roman"/>
          <w:szCs w:val="24"/>
        </w:rPr>
        <w:t>.</w:t>
      </w:r>
      <w:r w:rsidR="008A63E1">
        <w:rPr>
          <w:rFonts w:cs="Times New Roman"/>
          <w:szCs w:val="24"/>
        </w:rPr>
        <w:t xml:space="preserve"> gadam </w:t>
      </w:r>
      <w:r w:rsidR="00EE1CC8">
        <w:rPr>
          <w:rFonts w:cs="Times New Roman"/>
          <w:szCs w:val="24"/>
        </w:rPr>
        <w:t>18,9</w:t>
      </w:r>
      <w:r w:rsidRPr="001451E5">
        <w:rPr>
          <w:rFonts w:cs="Times New Roman"/>
          <w:szCs w:val="24"/>
        </w:rPr>
        <w:t xml:space="preserve"> milj. </w:t>
      </w:r>
      <w:r w:rsidRPr="001451E5">
        <w:rPr>
          <w:rFonts w:cs="Times New Roman"/>
          <w:i/>
          <w:szCs w:val="24"/>
        </w:rPr>
        <w:t>euro</w:t>
      </w:r>
      <w:r w:rsidR="008A63E1">
        <w:rPr>
          <w:rFonts w:cs="Times New Roman"/>
          <w:i/>
          <w:szCs w:val="24"/>
        </w:rPr>
        <w:t xml:space="preserve"> </w:t>
      </w:r>
      <w:r w:rsidR="008A63E1" w:rsidRPr="008A63E1">
        <w:rPr>
          <w:rFonts w:cs="Times New Roman"/>
          <w:szCs w:val="24"/>
        </w:rPr>
        <w:t>(</w:t>
      </w:r>
      <w:r w:rsidR="008A63E1" w:rsidRPr="008A63E1">
        <w:rPr>
          <w:rFonts w:cs="Times New Roman"/>
          <w:szCs w:val="24"/>
        </w:rPr>
        <w:fldChar w:fldCharType="begin"/>
      </w:r>
      <w:r w:rsidR="008A63E1" w:rsidRPr="008A63E1">
        <w:rPr>
          <w:rFonts w:cs="Times New Roman"/>
          <w:szCs w:val="24"/>
        </w:rPr>
        <w:instrText xml:space="preserve"> REF _Ref16257997 \h </w:instrText>
      </w:r>
      <w:r w:rsidR="008A63E1">
        <w:rPr>
          <w:rFonts w:cs="Times New Roman"/>
          <w:szCs w:val="24"/>
        </w:rPr>
        <w:instrText xml:space="preserve"> \* MERGEFORMAT </w:instrText>
      </w:r>
      <w:r w:rsidR="008A63E1" w:rsidRPr="008A63E1">
        <w:rPr>
          <w:rFonts w:cs="Times New Roman"/>
          <w:szCs w:val="24"/>
        </w:rPr>
      </w:r>
      <w:r w:rsidR="008A63E1" w:rsidRPr="008A63E1">
        <w:rPr>
          <w:rFonts w:cs="Times New Roman"/>
          <w:szCs w:val="24"/>
        </w:rPr>
        <w:fldChar w:fldCharType="separate"/>
      </w:r>
      <w:r w:rsidR="00961D2F">
        <w:t xml:space="preserve">Attēls Nr. </w:t>
      </w:r>
      <w:r w:rsidR="00961D2F">
        <w:rPr>
          <w:noProof/>
        </w:rPr>
        <w:t>1</w:t>
      </w:r>
      <w:r w:rsidR="008A63E1" w:rsidRPr="008A63E1">
        <w:rPr>
          <w:rFonts w:cs="Times New Roman"/>
          <w:szCs w:val="24"/>
        </w:rPr>
        <w:fldChar w:fldCharType="end"/>
      </w:r>
      <w:r w:rsidR="008A63E1" w:rsidRPr="008A63E1">
        <w:rPr>
          <w:rFonts w:cs="Times New Roman"/>
          <w:szCs w:val="24"/>
        </w:rPr>
        <w:t>)</w:t>
      </w:r>
      <w:r w:rsidRPr="008A63E1">
        <w:rPr>
          <w:rFonts w:cs="Times New Roman"/>
          <w:szCs w:val="24"/>
        </w:rPr>
        <w:t>.</w:t>
      </w:r>
    </w:p>
    <w:p w14:paraId="6FB908AF" w14:textId="615A7ABE" w:rsidR="003B3D1F" w:rsidRPr="001451E5" w:rsidRDefault="003B3D1F" w:rsidP="001F5512">
      <w:pPr>
        <w:tabs>
          <w:tab w:val="left" w:pos="2590"/>
        </w:tabs>
        <w:spacing w:before="60" w:after="0"/>
        <w:ind w:left="0" w:right="74" w:firstLine="885"/>
        <w:rPr>
          <w:rFonts w:cs="Times New Roman"/>
          <w:szCs w:val="24"/>
        </w:rPr>
      </w:pPr>
      <w:r w:rsidRPr="001451E5">
        <w:rPr>
          <w:rFonts w:cs="Times New Roman"/>
          <w:szCs w:val="24"/>
        </w:rPr>
        <w:t xml:space="preserve">Kopā neatkarīgās institūcijas iesniegušas </w:t>
      </w:r>
      <w:r w:rsidR="00EE1CC8">
        <w:rPr>
          <w:rFonts w:cs="Times New Roman"/>
          <w:szCs w:val="24"/>
        </w:rPr>
        <w:t xml:space="preserve">51 pieprasījumu </w:t>
      </w:r>
      <w:r w:rsidR="00F17DAE">
        <w:rPr>
          <w:rFonts w:cs="Times New Roman"/>
          <w:szCs w:val="24"/>
        </w:rPr>
        <w:t>PP</w:t>
      </w:r>
      <w:r w:rsidR="008A63E1">
        <w:rPr>
          <w:rFonts w:cs="Times New Roman"/>
          <w:szCs w:val="24"/>
        </w:rPr>
        <w:t xml:space="preserve"> 2020</w:t>
      </w:r>
      <w:r w:rsidRPr="001451E5">
        <w:rPr>
          <w:rFonts w:cs="Times New Roman"/>
          <w:szCs w:val="24"/>
        </w:rPr>
        <w:t>.</w:t>
      </w:r>
      <w:r w:rsidR="008A63E1">
        <w:rPr>
          <w:rFonts w:cs="Times New Roman"/>
          <w:szCs w:val="24"/>
        </w:rPr>
        <w:t> </w:t>
      </w:r>
      <w:r w:rsidRPr="001451E5">
        <w:rPr>
          <w:rFonts w:cs="Times New Roman"/>
          <w:szCs w:val="24"/>
        </w:rPr>
        <w:t>–</w:t>
      </w:r>
      <w:r w:rsidR="008A63E1">
        <w:rPr>
          <w:rFonts w:cs="Times New Roman"/>
          <w:szCs w:val="24"/>
        </w:rPr>
        <w:t> 2022</w:t>
      </w:r>
      <w:r w:rsidRPr="001451E5">
        <w:rPr>
          <w:rFonts w:cs="Times New Roman"/>
          <w:szCs w:val="24"/>
        </w:rPr>
        <w:t>.</w:t>
      </w:r>
      <w:r w:rsidR="008A63E1">
        <w:rPr>
          <w:rFonts w:cs="Times New Roman"/>
          <w:szCs w:val="24"/>
        </w:rPr>
        <w:t> </w:t>
      </w:r>
      <w:r w:rsidRPr="001451E5">
        <w:rPr>
          <w:rFonts w:cs="Times New Roman"/>
          <w:szCs w:val="24"/>
        </w:rPr>
        <w:t xml:space="preserve">gadam, tai skaitā divus pieprasījumus starpnozaru </w:t>
      </w:r>
      <w:r w:rsidR="00F17DAE">
        <w:rPr>
          <w:rFonts w:cs="Times New Roman"/>
          <w:szCs w:val="24"/>
        </w:rPr>
        <w:t>PP</w:t>
      </w:r>
      <w:r w:rsidRPr="001451E5">
        <w:rPr>
          <w:rFonts w:cs="Times New Roman"/>
          <w:szCs w:val="24"/>
        </w:rPr>
        <w:t>.</w:t>
      </w:r>
    </w:p>
    <w:p w14:paraId="615C67D9" w14:textId="7729C0BE" w:rsidR="008A63E1" w:rsidRDefault="008A63E1" w:rsidP="008A63E1">
      <w:pPr>
        <w:pStyle w:val="Caption"/>
        <w:rPr>
          <w:rFonts w:cs="Times New Roman"/>
          <w:b/>
          <w:szCs w:val="24"/>
        </w:rPr>
      </w:pPr>
      <w:bookmarkStart w:id="0" w:name="_Ref16257997"/>
      <w:r>
        <w:t xml:space="preserve">Attēls Nr. </w:t>
      </w:r>
      <w:r w:rsidR="00AB5FBC">
        <w:fldChar w:fldCharType="begin"/>
      </w:r>
      <w:r w:rsidR="00AB5FBC">
        <w:instrText xml:space="preserve"> SEQ Attēls_Nr. \* ARABIC </w:instrText>
      </w:r>
      <w:r w:rsidR="00AB5FBC">
        <w:fldChar w:fldCharType="separate"/>
      </w:r>
      <w:r w:rsidR="00961D2F">
        <w:rPr>
          <w:noProof/>
        </w:rPr>
        <w:t>1</w:t>
      </w:r>
      <w:r w:rsidR="00AB5FBC">
        <w:rPr>
          <w:noProof/>
        </w:rPr>
        <w:fldChar w:fldCharType="end"/>
      </w:r>
      <w:bookmarkEnd w:id="0"/>
    </w:p>
    <w:p w14:paraId="122B2FA2" w14:textId="3925272B" w:rsidR="00BC64D7" w:rsidRPr="001451E5" w:rsidRDefault="00BC64D7" w:rsidP="00F14EC4">
      <w:pPr>
        <w:spacing w:before="60"/>
        <w:ind w:left="74" w:right="74"/>
        <w:jc w:val="center"/>
        <w:rPr>
          <w:rFonts w:cs="Times New Roman"/>
          <w:i/>
          <w:szCs w:val="24"/>
        </w:rPr>
      </w:pPr>
      <w:r w:rsidRPr="001451E5">
        <w:rPr>
          <w:rFonts w:cs="Times New Roman"/>
          <w:b/>
          <w:szCs w:val="24"/>
        </w:rPr>
        <w:t>Neatkarīgo institūciju papil</w:t>
      </w:r>
      <w:r w:rsidR="008A63E1">
        <w:rPr>
          <w:rFonts w:cs="Times New Roman"/>
          <w:b/>
          <w:szCs w:val="24"/>
        </w:rPr>
        <w:t>du finansējuma pieprasījumi 2020</w:t>
      </w:r>
      <w:r w:rsidRPr="001451E5">
        <w:rPr>
          <w:rFonts w:cs="Times New Roman"/>
          <w:b/>
          <w:szCs w:val="24"/>
        </w:rPr>
        <w:t>.</w:t>
      </w:r>
      <w:r w:rsidR="008A63E1">
        <w:rPr>
          <w:rFonts w:cs="Times New Roman"/>
          <w:b/>
          <w:szCs w:val="24"/>
        </w:rPr>
        <w:t> </w:t>
      </w:r>
      <w:r w:rsidRPr="001451E5">
        <w:rPr>
          <w:rFonts w:cs="Times New Roman"/>
          <w:b/>
          <w:szCs w:val="24"/>
        </w:rPr>
        <w:t>–</w:t>
      </w:r>
      <w:r w:rsidR="008A63E1">
        <w:rPr>
          <w:rFonts w:cs="Times New Roman"/>
          <w:b/>
          <w:szCs w:val="24"/>
        </w:rPr>
        <w:t> 2022</w:t>
      </w:r>
      <w:r w:rsidRPr="001451E5">
        <w:rPr>
          <w:rFonts w:cs="Times New Roman"/>
          <w:b/>
          <w:szCs w:val="24"/>
        </w:rPr>
        <w:t>.</w:t>
      </w:r>
      <w:r w:rsidR="008A63E1">
        <w:rPr>
          <w:rFonts w:cs="Times New Roman"/>
          <w:b/>
          <w:szCs w:val="24"/>
        </w:rPr>
        <w:t> </w:t>
      </w:r>
      <w:r w:rsidRPr="001451E5">
        <w:rPr>
          <w:rFonts w:cs="Times New Roman"/>
          <w:b/>
          <w:szCs w:val="24"/>
        </w:rPr>
        <w:t xml:space="preserve">gadam sadalījumā pa </w:t>
      </w:r>
      <w:r w:rsidR="0016546E">
        <w:rPr>
          <w:rFonts w:cs="Times New Roman"/>
          <w:b/>
          <w:szCs w:val="24"/>
        </w:rPr>
        <w:t>PP</w:t>
      </w:r>
      <w:r w:rsidRPr="001451E5">
        <w:rPr>
          <w:rFonts w:cs="Times New Roman"/>
          <w:b/>
          <w:szCs w:val="24"/>
        </w:rPr>
        <w:t xml:space="preserve"> veidiem, </w:t>
      </w:r>
      <w:r w:rsidRPr="001451E5">
        <w:rPr>
          <w:rFonts w:cs="Times New Roman"/>
          <w:szCs w:val="24"/>
        </w:rPr>
        <w:t xml:space="preserve">milj. </w:t>
      </w:r>
      <w:r w:rsidRPr="001451E5">
        <w:rPr>
          <w:rFonts w:cs="Times New Roman"/>
          <w:i/>
          <w:szCs w:val="24"/>
        </w:rPr>
        <w:t>euro</w:t>
      </w:r>
    </w:p>
    <w:p w14:paraId="7714927B" w14:textId="51EB7E46" w:rsidR="008B0BEC" w:rsidRPr="001451E5" w:rsidRDefault="00EE1CC8" w:rsidP="008A63E1">
      <w:pPr>
        <w:ind w:left="74" w:right="74"/>
        <w:jc w:val="center"/>
        <w:rPr>
          <w:rFonts w:cs="Times New Roman"/>
          <w:szCs w:val="24"/>
        </w:rPr>
      </w:pPr>
      <w:r>
        <w:rPr>
          <w:noProof/>
          <w:lang w:eastAsia="lv-LV"/>
        </w:rPr>
        <w:drawing>
          <wp:inline distT="0" distB="0" distL="0" distR="0" wp14:anchorId="525827AF" wp14:editId="57E1B2D9">
            <wp:extent cx="5810250" cy="269557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13DD08" w14:textId="6798D228" w:rsidR="00335774" w:rsidRPr="0091709F" w:rsidRDefault="00F14EC4" w:rsidP="00541DA2">
      <w:pPr>
        <w:spacing w:before="120"/>
        <w:ind w:left="0" w:right="0" w:firstLine="720"/>
        <w:rPr>
          <w:rFonts w:cs="Times New Roman"/>
          <w:bCs/>
          <w:szCs w:val="24"/>
        </w:rPr>
      </w:pPr>
      <w:r w:rsidRPr="001451E5">
        <w:rPr>
          <w:rFonts w:cs="Times New Roman"/>
          <w:bCs/>
          <w:szCs w:val="24"/>
        </w:rPr>
        <w:lastRenderedPageBreak/>
        <w:t xml:space="preserve">Neatkarīgo institūciju pieprasītais finansējums </w:t>
      </w:r>
      <w:r>
        <w:rPr>
          <w:rFonts w:cs="Times New Roman"/>
          <w:bCs/>
          <w:szCs w:val="24"/>
        </w:rPr>
        <w:t>PP</w:t>
      </w:r>
      <w:r w:rsidRPr="001451E5">
        <w:rPr>
          <w:rFonts w:cs="Times New Roman"/>
          <w:bCs/>
          <w:szCs w:val="24"/>
        </w:rPr>
        <w:t xml:space="preserve"> īstenošanai atspoguļots </w:t>
      </w:r>
      <w:r w:rsidR="004F7BA2">
        <w:rPr>
          <w:rFonts w:cs="Times New Roman"/>
          <w:bCs/>
          <w:szCs w:val="24"/>
        </w:rPr>
        <w:t>zemāk (</w:t>
      </w:r>
      <w:r w:rsidR="0091709F">
        <w:rPr>
          <w:rFonts w:cs="Times New Roman"/>
          <w:bCs/>
          <w:szCs w:val="24"/>
        </w:rPr>
        <w:t>Attēls Nr.7</w:t>
      </w:r>
      <w:r w:rsidR="004F7BA2">
        <w:rPr>
          <w:rFonts w:cs="Times New Roman"/>
          <w:bCs/>
          <w:szCs w:val="24"/>
        </w:rPr>
        <w:t>)</w:t>
      </w:r>
      <w:r w:rsidRPr="001451E5">
        <w:rPr>
          <w:rFonts w:cs="Times New Roman"/>
          <w:bCs/>
          <w:szCs w:val="24"/>
        </w:rPr>
        <w:t xml:space="preserve">. </w:t>
      </w:r>
      <w:r w:rsidRPr="001451E5">
        <w:rPr>
          <w:rFonts w:cs="Times New Roman"/>
          <w:szCs w:val="24"/>
        </w:rPr>
        <w:t xml:space="preserve">Attēls parāda, ka lielāko finansējumu </w:t>
      </w:r>
      <w:r>
        <w:rPr>
          <w:rFonts w:cs="Times New Roman"/>
          <w:szCs w:val="24"/>
        </w:rPr>
        <w:t>PP</w:t>
      </w:r>
      <w:r w:rsidRPr="001451E5">
        <w:rPr>
          <w:rFonts w:cs="Times New Roman"/>
          <w:szCs w:val="24"/>
        </w:rPr>
        <w:t xml:space="preserve"> īstenošanai pieprasījusi Tieslietu ministrija (Zemesgrāmatu nodaļas, rajonu (pilsētu) tiesas un apgabaltiesas), attiecīgi 20</w:t>
      </w:r>
      <w:r w:rsidR="004F7BA2">
        <w:rPr>
          <w:rFonts w:cs="Times New Roman"/>
          <w:szCs w:val="24"/>
        </w:rPr>
        <w:t>20</w:t>
      </w:r>
      <w:r w:rsidRPr="001451E5">
        <w:rPr>
          <w:rFonts w:cs="Times New Roman"/>
          <w:szCs w:val="24"/>
        </w:rPr>
        <w:t>.</w:t>
      </w:r>
      <w:r w:rsidR="004F7BA2">
        <w:rPr>
          <w:rFonts w:cs="Times New Roman"/>
          <w:szCs w:val="24"/>
        </w:rPr>
        <w:t> </w:t>
      </w:r>
      <w:r w:rsidRPr="001451E5">
        <w:rPr>
          <w:rFonts w:cs="Times New Roman"/>
          <w:szCs w:val="24"/>
        </w:rPr>
        <w:t xml:space="preserve">gadam – </w:t>
      </w:r>
      <w:r w:rsidR="004F7BA2">
        <w:rPr>
          <w:rFonts w:cs="Times New Roman"/>
          <w:szCs w:val="24"/>
        </w:rPr>
        <w:t>10,4 </w:t>
      </w:r>
      <w:r w:rsidRPr="001451E5">
        <w:rPr>
          <w:rFonts w:cs="Times New Roman"/>
          <w:szCs w:val="24"/>
        </w:rPr>
        <w:t xml:space="preserve">milj. </w:t>
      </w:r>
      <w:r w:rsidRPr="001451E5">
        <w:rPr>
          <w:rFonts w:cs="Times New Roman"/>
          <w:i/>
          <w:szCs w:val="24"/>
        </w:rPr>
        <w:t>euro</w:t>
      </w:r>
      <w:r w:rsidR="004F7BA2">
        <w:rPr>
          <w:rFonts w:cs="Times New Roman"/>
          <w:szCs w:val="24"/>
        </w:rPr>
        <w:t>, 2021</w:t>
      </w:r>
      <w:r w:rsidRPr="001451E5">
        <w:rPr>
          <w:rFonts w:cs="Times New Roman"/>
          <w:szCs w:val="24"/>
        </w:rPr>
        <w:t>.</w:t>
      </w:r>
      <w:r w:rsidR="004F7BA2">
        <w:rPr>
          <w:rFonts w:cs="Times New Roman"/>
          <w:szCs w:val="24"/>
        </w:rPr>
        <w:t> </w:t>
      </w:r>
      <w:r w:rsidRPr="001451E5">
        <w:rPr>
          <w:rFonts w:cs="Times New Roman"/>
          <w:szCs w:val="24"/>
        </w:rPr>
        <w:t xml:space="preserve">gadam – </w:t>
      </w:r>
      <w:r w:rsidR="004F7BA2">
        <w:rPr>
          <w:rFonts w:cs="Times New Roman"/>
          <w:szCs w:val="24"/>
        </w:rPr>
        <w:t>9,9</w:t>
      </w:r>
      <w:r w:rsidRPr="001451E5">
        <w:rPr>
          <w:rFonts w:cs="Times New Roman"/>
          <w:szCs w:val="24"/>
        </w:rPr>
        <w:t xml:space="preserve"> milj. </w:t>
      </w:r>
      <w:r w:rsidRPr="001451E5">
        <w:rPr>
          <w:rFonts w:cs="Times New Roman"/>
          <w:i/>
          <w:szCs w:val="24"/>
        </w:rPr>
        <w:t>euro</w:t>
      </w:r>
      <w:r w:rsidR="004F7BA2">
        <w:rPr>
          <w:rFonts w:cs="Times New Roman"/>
          <w:szCs w:val="24"/>
        </w:rPr>
        <w:t xml:space="preserve"> un 2022</w:t>
      </w:r>
      <w:r w:rsidRPr="001451E5">
        <w:rPr>
          <w:rFonts w:cs="Times New Roman"/>
          <w:szCs w:val="24"/>
        </w:rPr>
        <w:t>.</w:t>
      </w:r>
      <w:r w:rsidR="007565B0">
        <w:rPr>
          <w:rFonts w:cs="Times New Roman"/>
          <w:szCs w:val="24"/>
        </w:rPr>
        <w:t> </w:t>
      </w:r>
      <w:r w:rsidRPr="001451E5">
        <w:rPr>
          <w:rFonts w:cs="Times New Roman"/>
          <w:szCs w:val="24"/>
        </w:rPr>
        <w:t xml:space="preserve">gadam – </w:t>
      </w:r>
      <w:r w:rsidR="004F7BA2">
        <w:rPr>
          <w:rFonts w:cs="Times New Roman"/>
          <w:szCs w:val="24"/>
        </w:rPr>
        <w:t>9,8</w:t>
      </w:r>
      <w:r w:rsidRPr="001451E5">
        <w:rPr>
          <w:rFonts w:cs="Times New Roman"/>
          <w:szCs w:val="24"/>
        </w:rPr>
        <w:t xml:space="preserve"> milj. </w:t>
      </w:r>
      <w:r w:rsidRPr="001451E5">
        <w:rPr>
          <w:rFonts w:cs="Times New Roman"/>
          <w:i/>
          <w:szCs w:val="24"/>
        </w:rPr>
        <w:t>euro</w:t>
      </w:r>
      <w:r w:rsidR="004F7BA2">
        <w:rPr>
          <w:rFonts w:cs="Times New Roman"/>
          <w:szCs w:val="24"/>
        </w:rPr>
        <w:t>, Radio un Televīzija</w:t>
      </w:r>
      <w:r w:rsidR="000F0D81">
        <w:rPr>
          <w:rFonts w:cs="Times New Roman"/>
          <w:szCs w:val="24"/>
        </w:rPr>
        <w:t xml:space="preserve"> 2020</w:t>
      </w:r>
      <w:r w:rsidRPr="001451E5">
        <w:rPr>
          <w:rFonts w:cs="Times New Roman"/>
          <w:szCs w:val="24"/>
        </w:rPr>
        <w:t>.</w:t>
      </w:r>
      <w:r w:rsidR="000F0D81">
        <w:rPr>
          <w:rFonts w:cs="Times New Roman"/>
          <w:szCs w:val="24"/>
        </w:rPr>
        <w:t> </w:t>
      </w:r>
      <w:r w:rsidRPr="001451E5">
        <w:rPr>
          <w:rFonts w:cs="Times New Roman"/>
          <w:szCs w:val="24"/>
        </w:rPr>
        <w:t xml:space="preserve">gadam – </w:t>
      </w:r>
      <w:r w:rsidR="000F0D81">
        <w:rPr>
          <w:rFonts w:cs="Times New Roman"/>
          <w:szCs w:val="24"/>
        </w:rPr>
        <w:t>6,0</w:t>
      </w:r>
      <w:r w:rsidRPr="001451E5">
        <w:rPr>
          <w:rFonts w:cs="Times New Roman"/>
          <w:szCs w:val="24"/>
        </w:rPr>
        <w:t xml:space="preserve"> milj. </w:t>
      </w:r>
      <w:r w:rsidRPr="001451E5">
        <w:rPr>
          <w:rFonts w:cs="Times New Roman"/>
          <w:i/>
          <w:szCs w:val="24"/>
        </w:rPr>
        <w:t>euro</w:t>
      </w:r>
      <w:r w:rsidRPr="001451E5">
        <w:rPr>
          <w:rFonts w:cs="Times New Roman"/>
          <w:szCs w:val="24"/>
        </w:rPr>
        <w:t>, 202</w:t>
      </w:r>
      <w:r w:rsidR="000F0D81">
        <w:rPr>
          <w:rFonts w:cs="Times New Roman"/>
          <w:szCs w:val="24"/>
        </w:rPr>
        <w:t>1</w:t>
      </w:r>
      <w:r w:rsidRPr="001451E5">
        <w:rPr>
          <w:rFonts w:cs="Times New Roman"/>
          <w:szCs w:val="24"/>
        </w:rPr>
        <w:t>.</w:t>
      </w:r>
      <w:r w:rsidR="000F0D81">
        <w:rPr>
          <w:rFonts w:cs="Times New Roman"/>
          <w:szCs w:val="24"/>
        </w:rPr>
        <w:t> </w:t>
      </w:r>
      <w:r w:rsidRPr="001451E5">
        <w:rPr>
          <w:rFonts w:cs="Times New Roman"/>
          <w:szCs w:val="24"/>
        </w:rPr>
        <w:t xml:space="preserve">gadam – </w:t>
      </w:r>
      <w:r w:rsidR="000F0D81">
        <w:rPr>
          <w:rFonts w:cs="Times New Roman"/>
          <w:szCs w:val="24"/>
        </w:rPr>
        <w:t>3,3</w:t>
      </w:r>
      <w:r w:rsidRPr="001451E5">
        <w:rPr>
          <w:rFonts w:cs="Times New Roman"/>
          <w:szCs w:val="24"/>
        </w:rPr>
        <w:t xml:space="preserve"> milj. </w:t>
      </w:r>
      <w:r w:rsidRPr="001451E5">
        <w:rPr>
          <w:rFonts w:cs="Times New Roman"/>
          <w:i/>
          <w:szCs w:val="24"/>
        </w:rPr>
        <w:t>euro</w:t>
      </w:r>
      <w:r w:rsidR="000F0D81">
        <w:rPr>
          <w:rFonts w:cs="Times New Roman"/>
          <w:szCs w:val="24"/>
        </w:rPr>
        <w:t xml:space="preserve"> un 2022</w:t>
      </w:r>
      <w:r w:rsidRPr="001451E5">
        <w:rPr>
          <w:rFonts w:cs="Times New Roman"/>
          <w:szCs w:val="24"/>
        </w:rPr>
        <w:t>.</w:t>
      </w:r>
      <w:r w:rsidR="000F0D81">
        <w:rPr>
          <w:rFonts w:cs="Times New Roman"/>
          <w:szCs w:val="24"/>
        </w:rPr>
        <w:t> gadam – 2,7</w:t>
      </w:r>
      <w:r w:rsidRPr="001451E5">
        <w:rPr>
          <w:rFonts w:cs="Times New Roman"/>
          <w:szCs w:val="24"/>
        </w:rPr>
        <w:t xml:space="preserve"> milj. </w:t>
      </w:r>
      <w:r w:rsidRPr="001451E5">
        <w:rPr>
          <w:rFonts w:cs="Times New Roman"/>
          <w:i/>
          <w:szCs w:val="24"/>
        </w:rPr>
        <w:t>euro</w:t>
      </w:r>
      <w:r w:rsidRPr="001451E5">
        <w:rPr>
          <w:rFonts w:cs="Times New Roman"/>
          <w:szCs w:val="24"/>
        </w:rPr>
        <w:t xml:space="preserve"> un Tieslietu ministrija (</w:t>
      </w:r>
      <w:r w:rsidR="000357E2">
        <w:rPr>
          <w:rFonts w:cs="Times New Roman"/>
          <w:szCs w:val="24"/>
        </w:rPr>
        <w:t>Datu valsts inspekcija</w:t>
      </w:r>
      <w:r w:rsidRPr="001451E5">
        <w:rPr>
          <w:rFonts w:cs="Times New Roman"/>
          <w:szCs w:val="24"/>
        </w:rPr>
        <w:t>) 20</w:t>
      </w:r>
      <w:r w:rsidR="000F0D81">
        <w:rPr>
          <w:rFonts w:cs="Times New Roman"/>
          <w:szCs w:val="24"/>
        </w:rPr>
        <w:t>20</w:t>
      </w:r>
      <w:r w:rsidRPr="001451E5">
        <w:rPr>
          <w:rFonts w:cs="Times New Roman"/>
          <w:szCs w:val="24"/>
        </w:rPr>
        <w:t>.</w:t>
      </w:r>
      <w:r w:rsidR="000F0D81">
        <w:rPr>
          <w:rFonts w:cs="Times New Roman"/>
          <w:szCs w:val="24"/>
        </w:rPr>
        <w:t> </w:t>
      </w:r>
      <w:r w:rsidRPr="001451E5">
        <w:rPr>
          <w:rFonts w:cs="Times New Roman"/>
          <w:szCs w:val="24"/>
        </w:rPr>
        <w:t>gadam – 1,</w:t>
      </w:r>
      <w:r w:rsidR="000F0D81">
        <w:rPr>
          <w:rFonts w:cs="Times New Roman"/>
          <w:szCs w:val="24"/>
        </w:rPr>
        <w:t>7</w:t>
      </w:r>
      <w:r w:rsidRPr="001451E5">
        <w:rPr>
          <w:rFonts w:cs="Times New Roman"/>
          <w:szCs w:val="24"/>
        </w:rPr>
        <w:t xml:space="preserve"> milj. </w:t>
      </w:r>
      <w:r w:rsidRPr="001451E5">
        <w:rPr>
          <w:rFonts w:cs="Times New Roman"/>
          <w:i/>
          <w:szCs w:val="24"/>
        </w:rPr>
        <w:t>euro</w:t>
      </w:r>
      <w:r w:rsidRPr="001451E5">
        <w:rPr>
          <w:rFonts w:cs="Times New Roman"/>
          <w:szCs w:val="24"/>
        </w:rPr>
        <w:t>, 202</w:t>
      </w:r>
      <w:r w:rsidR="000F0D81">
        <w:rPr>
          <w:rFonts w:cs="Times New Roman"/>
          <w:szCs w:val="24"/>
        </w:rPr>
        <w:t>1</w:t>
      </w:r>
      <w:r w:rsidRPr="001451E5">
        <w:rPr>
          <w:rFonts w:cs="Times New Roman"/>
          <w:szCs w:val="24"/>
        </w:rPr>
        <w:t>. un 202</w:t>
      </w:r>
      <w:r w:rsidR="000F0D81">
        <w:rPr>
          <w:rFonts w:cs="Times New Roman"/>
          <w:szCs w:val="24"/>
        </w:rPr>
        <w:t>2</w:t>
      </w:r>
      <w:r w:rsidRPr="001451E5">
        <w:rPr>
          <w:rFonts w:cs="Times New Roman"/>
          <w:szCs w:val="24"/>
        </w:rPr>
        <w:t>.</w:t>
      </w:r>
      <w:r w:rsidR="000F0D81">
        <w:rPr>
          <w:rFonts w:cs="Times New Roman"/>
          <w:szCs w:val="24"/>
        </w:rPr>
        <w:t> </w:t>
      </w:r>
      <w:r w:rsidRPr="001451E5">
        <w:rPr>
          <w:rFonts w:cs="Times New Roman"/>
          <w:szCs w:val="24"/>
        </w:rPr>
        <w:t xml:space="preserve">gadam – </w:t>
      </w:r>
      <w:r w:rsidR="000F0D81">
        <w:rPr>
          <w:rFonts w:cs="Times New Roman"/>
          <w:szCs w:val="24"/>
        </w:rPr>
        <w:t>1,8</w:t>
      </w:r>
      <w:r w:rsidRPr="001451E5">
        <w:rPr>
          <w:rFonts w:cs="Times New Roman"/>
          <w:szCs w:val="24"/>
        </w:rPr>
        <w:t xml:space="preserve"> milj. </w:t>
      </w:r>
      <w:r w:rsidRPr="001451E5">
        <w:rPr>
          <w:rFonts w:cs="Times New Roman"/>
          <w:i/>
          <w:szCs w:val="24"/>
        </w:rPr>
        <w:t>euro</w:t>
      </w:r>
      <w:r w:rsidRPr="001451E5">
        <w:rPr>
          <w:rFonts w:cs="Times New Roman"/>
          <w:szCs w:val="24"/>
        </w:rPr>
        <w:t xml:space="preserve"> ik gadu</w:t>
      </w:r>
      <w:r w:rsidR="00676E52">
        <w:rPr>
          <w:rFonts w:cs="Times New Roman"/>
          <w:szCs w:val="24"/>
        </w:rPr>
        <w:t xml:space="preserve"> (</w:t>
      </w:r>
      <w:r w:rsidR="00541DA2">
        <w:rPr>
          <w:rFonts w:cs="Times New Roman"/>
          <w:szCs w:val="24"/>
        </w:rPr>
        <w:t>Attēls Nr.2</w:t>
      </w:r>
      <w:r w:rsidR="00676E52">
        <w:rPr>
          <w:rFonts w:cs="Times New Roman"/>
          <w:szCs w:val="24"/>
        </w:rPr>
        <w:t>)</w:t>
      </w:r>
      <w:r w:rsidRPr="001451E5">
        <w:rPr>
          <w:rFonts w:cs="Times New Roman"/>
          <w:szCs w:val="24"/>
        </w:rPr>
        <w:t>.</w:t>
      </w:r>
    </w:p>
    <w:p w14:paraId="2DB4A4DE" w14:textId="3D46A6D6" w:rsidR="003B3D1F" w:rsidRPr="001451E5" w:rsidRDefault="004F7BA2" w:rsidP="00541DA2">
      <w:pPr>
        <w:spacing w:before="120"/>
        <w:ind w:left="0" w:right="0"/>
        <w:jc w:val="right"/>
        <w:rPr>
          <w:rFonts w:cs="Times New Roman"/>
          <w:szCs w:val="24"/>
        </w:rPr>
      </w:pPr>
      <w:bookmarkStart w:id="1" w:name="_Ref16524585"/>
      <w:bookmarkStart w:id="2" w:name="_Ref17109137"/>
      <w:r>
        <w:t xml:space="preserve">Attēls Nr. </w:t>
      </w:r>
      <w:r w:rsidR="00AB5FBC">
        <w:fldChar w:fldCharType="begin"/>
      </w:r>
      <w:r w:rsidR="00AB5FBC">
        <w:instrText xml:space="preserve"> SEQ Attēls_Nr. \* ARABIC </w:instrText>
      </w:r>
      <w:r w:rsidR="00AB5FBC">
        <w:fldChar w:fldCharType="separate"/>
      </w:r>
      <w:r w:rsidR="00961D2F">
        <w:rPr>
          <w:noProof/>
        </w:rPr>
        <w:t>2</w:t>
      </w:r>
      <w:r w:rsidR="00AB5FBC">
        <w:rPr>
          <w:noProof/>
        </w:rPr>
        <w:fldChar w:fldCharType="end"/>
      </w:r>
      <w:bookmarkEnd w:id="1"/>
      <w:bookmarkEnd w:id="2"/>
    </w:p>
    <w:p w14:paraId="06259DE3" w14:textId="77F6783A" w:rsidR="00684C00" w:rsidRPr="001451E5" w:rsidRDefault="00157DAD" w:rsidP="005F4CC4">
      <w:pPr>
        <w:tabs>
          <w:tab w:val="left" w:pos="2590"/>
        </w:tabs>
        <w:ind w:left="74" w:right="74"/>
        <w:jc w:val="center"/>
        <w:rPr>
          <w:rFonts w:cs="Times New Roman"/>
          <w:i/>
          <w:szCs w:val="24"/>
        </w:rPr>
      </w:pPr>
      <w:r w:rsidRPr="001451E5">
        <w:rPr>
          <w:rFonts w:cs="Times New Roman"/>
          <w:b/>
          <w:szCs w:val="24"/>
        </w:rPr>
        <w:t xml:space="preserve">Neatkarīgo institūciju pieprasījumi </w:t>
      </w:r>
      <w:r w:rsidR="0016546E">
        <w:rPr>
          <w:rFonts w:cs="Times New Roman"/>
          <w:b/>
          <w:szCs w:val="24"/>
        </w:rPr>
        <w:t xml:space="preserve">PP </w:t>
      </w:r>
      <w:r w:rsidRPr="001451E5">
        <w:rPr>
          <w:rFonts w:cs="Times New Roman"/>
          <w:b/>
          <w:szCs w:val="24"/>
        </w:rPr>
        <w:t>20</w:t>
      </w:r>
      <w:r w:rsidR="007565B0">
        <w:rPr>
          <w:rFonts w:cs="Times New Roman"/>
          <w:b/>
          <w:szCs w:val="24"/>
        </w:rPr>
        <w:t>20. - 2022</w:t>
      </w:r>
      <w:r w:rsidRPr="001451E5">
        <w:rPr>
          <w:rFonts w:cs="Times New Roman"/>
          <w:b/>
          <w:szCs w:val="24"/>
        </w:rPr>
        <w:t>.</w:t>
      </w:r>
      <w:r w:rsidR="007565B0">
        <w:rPr>
          <w:rFonts w:cs="Times New Roman"/>
          <w:b/>
          <w:szCs w:val="24"/>
        </w:rPr>
        <w:t xml:space="preserve"> </w:t>
      </w:r>
      <w:r w:rsidRPr="001451E5">
        <w:rPr>
          <w:rFonts w:cs="Times New Roman"/>
          <w:b/>
          <w:szCs w:val="24"/>
        </w:rPr>
        <w:t>gadam,</w:t>
      </w:r>
      <w:r w:rsidRPr="001451E5">
        <w:rPr>
          <w:rFonts w:cs="Times New Roman"/>
          <w:szCs w:val="24"/>
        </w:rPr>
        <w:t xml:space="preserve"> milj. </w:t>
      </w:r>
      <w:r w:rsidRPr="001451E5">
        <w:rPr>
          <w:rFonts w:cs="Times New Roman"/>
          <w:i/>
          <w:szCs w:val="24"/>
        </w:rPr>
        <w:t>euro</w:t>
      </w:r>
    </w:p>
    <w:p w14:paraId="6C26BAA5" w14:textId="764249FA" w:rsidR="00157E28" w:rsidRPr="001451E5" w:rsidRDefault="006647CB" w:rsidP="00B33183">
      <w:pPr>
        <w:tabs>
          <w:tab w:val="left" w:pos="2590"/>
        </w:tabs>
        <w:ind w:right="74"/>
        <w:jc w:val="center"/>
        <w:rPr>
          <w:rFonts w:cs="Times New Roman"/>
          <w:szCs w:val="24"/>
        </w:rPr>
      </w:pPr>
      <w:r>
        <w:rPr>
          <w:noProof/>
          <w:lang w:eastAsia="lv-LV"/>
        </w:rPr>
        <w:drawing>
          <wp:inline distT="0" distB="0" distL="0" distR="0" wp14:anchorId="681CE970" wp14:editId="4B8ACCC4">
            <wp:extent cx="5891917" cy="3248025"/>
            <wp:effectExtent l="0" t="0" r="1397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2F4223" w14:textId="77777777" w:rsidR="001C622E" w:rsidRPr="001451E5" w:rsidRDefault="001C622E" w:rsidP="001C622E">
      <w:pPr>
        <w:spacing w:before="120" w:after="0"/>
        <w:ind w:left="0" w:right="74"/>
      </w:pPr>
      <w:r w:rsidRPr="001451E5">
        <w:rPr>
          <w:rFonts w:cs="Times New Roman"/>
          <w:i/>
          <w:szCs w:val="24"/>
        </w:rPr>
        <w:t>Tieslietu ministrija (Zemesgrāmatu nodaļas, rajonu (pilsētu) tiesas un apgabaltiesas)</w:t>
      </w:r>
      <w:r w:rsidRPr="001451E5">
        <w:t xml:space="preserve"> prioritāro pasākumu sarakstā kā svarīgākie (pirmie trīs) norādīti šādi pasākumi:</w:t>
      </w:r>
    </w:p>
    <w:p w14:paraId="7D091373" w14:textId="77777777" w:rsidR="001C622E" w:rsidRPr="001451E5" w:rsidRDefault="001C622E" w:rsidP="001C622E">
      <w:pPr>
        <w:pStyle w:val="ListParagraph"/>
        <w:numPr>
          <w:ilvl w:val="0"/>
          <w:numId w:val="17"/>
        </w:numPr>
        <w:spacing w:after="0"/>
        <w:ind w:right="0"/>
        <w:contextualSpacing w:val="0"/>
      </w:pPr>
      <w:r w:rsidRPr="006B7E5B">
        <w:t>Ekonomisko lietu tiesas izveide</w:t>
      </w:r>
      <w:r w:rsidRPr="001451E5">
        <w:t xml:space="preserve"> (19_01_P_N). Pasākumam nepieciešamais finansējums 2020. gadam 0,</w:t>
      </w:r>
      <w:r>
        <w:t>1</w:t>
      </w:r>
      <w:r w:rsidRPr="001451E5">
        <w:t xml:space="preserve"> milj. </w:t>
      </w:r>
      <w:r w:rsidRPr="001451E5">
        <w:rPr>
          <w:i/>
        </w:rPr>
        <w:t>euro</w:t>
      </w:r>
      <w:r w:rsidRPr="001451E5">
        <w:t>;</w:t>
      </w:r>
    </w:p>
    <w:p w14:paraId="603C21B4" w14:textId="77777777" w:rsidR="001C622E" w:rsidRPr="001451E5" w:rsidRDefault="001C622E" w:rsidP="001C622E">
      <w:pPr>
        <w:pStyle w:val="ListParagraph"/>
        <w:numPr>
          <w:ilvl w:val="0"/>
          <w:numId w:val="17"/>
        </w:numPr>
        <w:spacing w:after="0"/>
        <w:ind w:right="0"/>
        <w:contextualSpacing w:val="0"/>
      </w:pPr>
      <w:r w:rsidRPr="006B7E5B">
        <w:t xml:space="preserve">Tiesu infrastruktūras attīstība </w:t>
      </w:r>
      <w:r w:rsidRPr="001451E5">
        <w:t>(19_02_P_N). Pasākumam</w:t>
      </w:r>
      <w:r>
        <w:t xml:space="preserve"> nepieciešamais finansējums 2020</w:t>
      </w:r>
      <w:r w:rsidRPr="001451E5">
        <w:t>.</w:t>
      </w:r>
      <w:r>
        <w:t>, 2021. un 2022. </w:t>
      </w:r>
      <w:r w:rsidRPr="001451E5">
        <w:t xml:space="preserve">gadam </w:t>
      </w:r>
      <w:r>
        <w:t xml:space="preserve">0,4 </w:t>
      </w:r>
      <w:r w:rsidRPr="001451E5">
        <w:t xml:space="preserve">milj. </w:t>
      </w:r>
      <w:r w:rsidRPr="001451E5">
        <w:rPr>
          <w:i/>
        </w:rPr>
        <w:t>euro</w:t>
      </w:r>
      <w:r>
        <w:rPr>
          <w:i/>
        </w:rPr>
        <w:t xml:space="preserve"> </w:t>
      </w:r>
      <w:r w:rsidRPr="001451E5">
        <w:t>ik gadu;</w:t>
      </w:r>
    </w:p>
    <w:p w14:paraId="7DE5EB33" w14:textId="77777777" w:rsidR="001C622E" w:rsidRPr="001451E5" w:rsidRDefault="001C622E" w:rsidP="001C622E">
      <w:pPr>
        <w:pStyle w:val="ListParagraph"/>
        <w:numPr>
          <w:ilvl w:val="0"/>
          <w:numId w:val="17"/>
        </w:numPr>
        <w:spacing w:after="0"/>
        <w:ind w:right="0"/>
        <w:contextualSpacing w:val="0"/>
      </w:pPr>
      <w:r w:rsidRPr="006B7E5B">
        <w:t>Mākoņpakalpojumu licenču atjaunošana un uzturēšana</w:t>
      </w:r>
      <w:r w:rsidRPr="001451E5">
        <w:t xml:space="preserve"> (19_03_P_N). Pasākumam</w:t>
      </w:r>
      <w:r>
        <w:t xml:space="preserve"> nepieciešamais finansējums 2020., 2021. un 2022</w:t>
      </w:r>
      <w:r w:rsidRPr="001451E5">
        <w:t>.</w:t>
      </w:r>
      <w:r>
        <w:t> gadam 0,3</w:t>
      </w:r>
      <w:r w:rsidRPr="001451E5">
        <w:t xml:space="preserve"> milj. </w:t>
      </w:r>
      <w:r w:rsidRPr="001451E5">
        <w:rPr>
          <w:i/>
        </w:rPr>
        <w:t>euro</w:t>
      </w:r>
      <w:r w:rsidRPr="001451E5">
        <w:t xml:space="preserve"> ik gadu.</w:t>
      </w:r>
    </w:p>
    <w:p w14:paraId="787D0A8C" w14:textId="77777777" w:rsidR="001C622E" w:rsidRPr="001451E5" w:rsidRDefault="001C622E" w:rsidP="001C622E">
      <w:pPr>
        <w:spacing w:before="60" w:after="0"/>
        <w:ind w:left="0" w:right="0"/>
      </w:pPr>
      <w:r w:rsidRPr="001451E5">
        <w:rPr>
          <w:i/>
        </w:rPr>
        <w:t>Radio un Televīzija (Nacionālo elektronisko plašsaziņas līdzekļu padome)</w:t>
      </w:r>
      <w:r w:rsidRPr="001451E5">
        <w:t xml:space="preserve"> prioritāro pasākumu sarakstā kā svarīgākie (pirmie trīs) norādīti šādi pasākumi:</w:t>
      </w:r>
    </w:p>
    <w:p w14:paraId="700A82FC" w14:textId="77777777" w:rsidR="001C622E" w:rsidRPr="001451E5" w:rsidRDefault="001C622E" w:rsidP="001C622E">
      <w:pPr>
        <w:pStyle w:val="ListParagraph"/>
        <w:numPr>
          <w:ilvl w:val="0"/>
          <w:numId w:val="17"/>
        </w:numPr>
        <w:spacing w:after="0"/>
        <w:ind w:right="0"/>
        <w:contextualSpacing w:val="0"/>
      </w:pPr>
      <w:r w:rsidRPr="00A2556E">
        <w:t xml:space="preserve">Latvijas Radio kapacitātes stiprināšana </w:t>
      </w:r>
      <w:r w:rsidRPr="001451E5">
        <w:t>(47_01_P_N). Pasākumam nepieciešamais finansējums 20</w:t>
      </w:r>
      <w:r>
        <w:t>20</w:t>
      </w:r>
      <w:r w:rsidRPr="001451E5">
        <w:t>.</w:t>
      </w:r>
      <w:r>
        <w:t> gadam 1,0</w:t>
      </w:r>
      <w:r w:rsidRPr="001451E5">
        <w:t xml:space="preserve"> milj. </w:t>
      </w:r>
      <w:r w:rsidRPr="001451E5">
        <w:rPr>
          <w:i/>
        </w:rPr>
        <w:t>euro</w:t>
      </w:r>
      <w:r>
        <w:t xml:space="preserve">, </w:t>
      </w:r>
      <w:r w:rsidRPr="001451E5">
        <w:t>2021.</w:t>
      </w:r>
      <w:r>
        <w:t> gadam 1</w:t>
      </w:r>
      <w:r w:rsidRPr="001451E5">
        <w:t xml:space="preserve">,1 milj. </w:t>
      </w:r>
      <w:r w:rsidRPr="001451E5">
        <w:rPr>
          <w:i/>
        </w:rPr>
        <w:t>euro</w:t>
      </w:r>
      <w:r>
        <w:rPr>
          <w:i/>
        </w:rPr>
        <w:t xml:space="preserve"> </w:t>
      </w:r>
      <w:r w:rsidRPr="00A2556E">
        <w:t xml:space="preserve">un </w:t>
      </w:r>
      <w:r>
        <w:t xml:space="preserve">2022. gadam 1,2 milj. </w:t>
      </w:r>
      <w:r w:rsidRPr="00A2556E">
        <w:rPr>
          <w:i/>
        </w:rPr>
        <w:t>euro</w:t>
      </w:r>
      <w:r w:rsidRPr="00A2556E">
        <w:t>;</w:t>
      </w:r>
    </w:p>
    <w:p w14:paraId="5E4FED90" w14:textId="77777777" w:rsidR="001C622E" w:rsidRPr="001451E5" w:rsidRDefault="001C622E" w:rsidP="001C622E">
      <w:pPr>
        <w:pStyle w:val="ListParagraph"/>
        <w:numPr>
          <w:ilvl w:val="0"/>
          <w:numId w:val="17"/>
        </w:numPr>
        <w:spacing w:after="0"/>
        <w:ind w:right="0"/>
        <w:contextualSpacing w:val="0"/>
      </w:pPr>
      <w:r w:rsidRPr="00A2556E">
        <w:t>LTV atalgojuma konkurētspējas atpalicības mazināšana</w:t>
      </w:r>
      <w:r w:rsidRPr="001451E5">
        <w:t xml:space="preserve"> (47_02_P_N). Pasākumam</w:t>
      </w:r>
      <w:r>
        <w:t xml:space="preserve"> nepieciešamais finansējums 2020., 2021</w:t>
      </w:r>
      <w:r w:rsidRPr="001451E5">
        <w:t>.</w:t>
      </w:r>
      <w:r>
        <w:t xml:space="preserve"> un 2022</w:t>
      </w:r>
      <w:r w:rsidRPr="001451E5">
        <w:t>.</w:t>
      </w:r>
      <w:r>
        <w:t> gadam 0,5</w:t>
      </w:r>
      <w:r w:rsidRPr="001451E5">
        <w:t xml:space="preserve"> milj. </w:t>
      </w:r>
      <w:r w:rsidRPr="001451E5">
        <w:rPr>
          <w:i/>
        </w:rPr>
        <w:t>euro</w:t>
      </w:r>
      <w:r w:rsidRPr="001451E5">
        <w:t xml:space="preserve"> ik gadu;</w:t>
      </w:r>
    </w:p>
    <w:p w14:paraId="3B599C6F" w14:textId="77777777" w:rsidR="001C622E" w:rsidRPr="001451E5" w:rsidRDefault="001C622E" w:rsidP="001C622E">
      <w:pPr>
        <w:pStyle w:val="ListParagraph"/>
        <w:numPr>
          <w:ilvl w:val="0"/>
          <w:numId w:val="17"/>
        </w:numPr>
        <w:spacing w:after="0"/>
        <w:ind w:right="0"/>
        <w:contextualSpacing w:val="0"/>
      </w:pPr>
      <w:r w:rsidRPr="00A2556E">
        <w:t>Programmu izlaides kompleksa (PIK) nomaiņa, nodrošinot LTV apraidi HD formātā</w:t>
      </w:r>
      <w:r>
        <w:t xml:space="preserve"> </w:t>
      </w:r>
      <w:r w:rsidRPr="001451E5">
        <w:t xml:space="preserve">(47_03_P_N). Pasākumam nepieciešamais finansējums 2020. gadam </w:t>
      </w:r>
      <w:r>
        <w:t>1,6</w:t>
      </w:r>
      <w:r w:rsidRPr="001451E5">
        <w:t xml:space="preserve"> milj. </w:t>
      </w:r>
      <w:r w:rsidRPr="001451E5">
        <w:rPr>
          <w:i/>
        </w:rPr>
        <w:t>euro</w:t>
      </w:r>
      <w:r w:rsidRPr="001451E5">
        <w:t>.</w:t>
      </w:r>
    </w:p>
    <w:p w14:paraId="77D3101C" w14:textId="77777777" w:rsidR="001C622E" w:rsidRPr="001451E5" w:rsidRDefault="001C622E" w:rsidP="001C622E">
      <w:pPr>
        <w:spacing w:before="60" w:after="0"/>
        <w:ind w:left="0" w:right="0"/>
      </w:pPr>
      <w:r w:rsidRPr="001451E5">
        <w:rPr>
          <w:rFonts w:cs="Times New Roman"/>
          <w:i/>
          <w:szCs w:val="24"/>
        </w:rPr>
        <w:lastRenderedPageBreak/>
        <w:t>Tieslietu ministrija (</w:t>
      </w:r>
      <w:r>
        <w:rPr>
          <w:rFonts w:cs="Times New Roman"/>
          <w:i/>
          <w:szCs w:val="24"/>
        </w:rPr>
        <w:t>Datu valsts inspekcija</w:t>
      </w:r>
      <w:r w:rsidRPr="001451E5">
        <w:rPr>
          <w:rFonts w:cs="Times New Roman"/>
          <w:i/>
          <w:szCs w:val="24"/>
        </w:rPr>
        <w:t xml:space="preserve">) </w:t>
      </w:r>
      <w:r w:rsidRPr="001451E5">
        <w:t xml:space="preserve">prioritāro </w:t>
      </w:r>
      <w:r>
        <w:t>pasākumu sarakstā kā svarīgākā un vienīgā prioritāte norādīta</w:t>
      </w:r>
      <w:r w:rsidRPr="001451E5">
        <w:t>:</w:t>
      </w:r>
    </w:p>
    <w:p w14:paraId="771DEE71" w14:textId="77777777" w:rsidR="001C622E" w:rsidRPr="001451E5" w:rsidRDefault="001C622E" w:rsidP="001C622E">
      <w:pPr>
        <w:pStyle w:val="ListParagraph"/>
        <w:numPr>
          <w:ilvl w:val="0"/>
          <w:numId w:val="22"/>
        </w:numPr>
        <w:spacing w:after="0"/>
        <w:ind w:right="0"/>
        <w:contextualSpacing w:val="0"/>
      </w:pPr>
      <w:r w:rsidRPr="00A2556E">
        <w:t>Vispārīgās datu aizsardzības regulas piemērošana un tās uzlikto funkciju nodrošināšana</w:t>
      </w:r>
      <w:r w:rsidRPr="001451E5">
        <w:t xml:space="preserve"> (19_01_P_</w:t>
      </w:r>
      <w:r>
        <w:t>DVI</w:t>
      </w:r>
      <w:r w:rsidRPr="001451E5">
        <w:t>). Pasākumam nepieciešamais finansējums 20</w:t>
      </w:r>
      <w:r>
        <w:t>20</w:t>
      </w:r>
      <w:r w:rsidRPr="001451E5">
        <w:t>.</w:t>
      </w:r>
      <w:r>
        <w:t> </w:t>
      </w:r>
      <w:r w:rsidRPr="001451E5">
        <w:t>gadam 1,</w:t>
      </w:r>
      <w:r>
        <w:t>7</w:t>
      </w:r>
      <w:r w:rsidRPr="001451E5">
        <w:t xml:space="preserve"> milj. </w:t>
      </w:r>
      <w:r w:rsidRPr="001451E5">
        <w:rPr>
          <w:i/>
        </w:rPr>
        <w:t>euro</w:t>
      </w:r>
      <w:r>
        <w:t>, 2021</w:t>
      </w:r>
      <w:r w:rsidRPr="001451E5">
        <w:t>.</w:t>
      </w:r>
      <w:r>
        <w:t xml:space="preserve"> un 2022</w:t>
      </w:r>
      <w:r w:rsidRPr="001451E5">
        <w:t>.</w:t>
      </w:r>
      <w:r>
        <w:t> </w:t>
      </w:r>
      <w:r w:rsidRPr="001451E5">
        <w:t xml:space="preserve">gadam </w:t>
      </w:r>
      <w:r>
        <w:t>1,8</w:t>
      </w:r>
      <w:r w:rsidRPr="001451E5">
        <w:t xml:space="preserve"> milj. </w:t>
      </w:r>
      <w:r w:rsidRPr="001451E5">
        <w:rPr>
          <w:i/>
        </w:rPr>
        <w:t>euro</w:t>
      </w:r>
      <w:r>
        <w:rPr>
          <w:i/>
        </w:rPr>
        <w:t xml:space="preserve"> </w:t>
      </w:r>
      <w:r>
        <w:t>ik gadu.</w:t>
      </w:r>
    </w:p>
    <w:p w14:paraId="52515106" w14:textId="56AF43C3" w:rsidR="001C622E" w:rsidRPr="001451E5" w:rsidRDefault="001C622E" w:rsidP="001C622E">
      <w:pPr>
        <w:tabs>
          <w:tab w:val="left" w:pos="0"/>
          <w:tab w:val="left" w:pos="993"/>
        </w:tabs>
        <w:spacing w:before="120" w:after="0"/>
        <w:ind w:left="0" w:right="74" w:firstLine="709"/>
        <w:rPr>
          <w:rFonts w:cs="Times New Roman"/>
          <w:szCs w:val="24"/>
        </w:rPr>
      </w:pPr>
      <w:r w:rsidRPr="001451E5">
        <w:rPr>
          <w:rFonts w:cs="Times New Roman"/>
          <w:szCs w:val="24"/>
        </w:rPr>
        <w:t xml:space="preserve">Atsevišķi jāpiemin </w:t>
      </w:r>
      <w:r>
        <w:rPr>
          <w:rFonts w:cs="Times New Roman"/>
          <w:szCs w:val="24"/>
        </w:rPr>
        <w:t xml:space="preserve">neatkarīgo institūciju </w:t>
      </w:r>
      <w:r w:rsidRPr="001451E5">
        <w:rPr>
          <w:rFonts w:cs="Times New Roman"/>
          <w:szCs w:val="24"/>
        </w:rPr>
        <w:t>starpnozaru</w:t>
      </w:r>
      <w:r>
        <w:rPr>
          <w:rFonts w:cs="Times New Roman"/>
          <w:szCs w:val="24"/>
        </w:rPr>
        <w:t xml:space="preserve"> prioritārie pasākumi, kas propor</w:t>
      </w:r>
      <w:r w:rsidRPr="001451E5">
        <w:rPr>
          <w:rFonts w:cs="Times New Roman"/>
          <w:szCs w:val="24"/>
        </w:rPr>
        <w:t xml:space="preserve">cionāli </w:t>
      </w:r>
      <w:r>
        <w:rPr>
          <w:rFonts w:cs="Times New Roman"/>
          <w:szCs w:val="24"/>
        </w:rPr>
        <w:t>veido</w:t>
      </w:r>
      <w:r w:rsidRPr="001451E5">
        <w:rPr>
          <w:rFonts w:cs="Times New Roman"/>
          <w:szCs w:val="24"/>
        </w:rPr>
        <w:t xml:space="preserve"> </w:t>
      </w:r>
      <w:r>
        <w:rPr>
          <w:rFonts w:cs="Times New Roman"/>
          <w:szCs w:val="24"/>
        </w:rPr>
        <w:t>ap</w:t>
      </w:r>
      <w:r w:rsidRPr="001451E5">
        <w:rPr>
          <w:rFonts w:cs="Times New Roman"/>
          <w:szCs w:val="24"/>
        </w:rPr>
        <w:t xml:space="preserve"> </w:t>
      </w:r>
      <w:r>
        <w:rPr>
          <w:rFonts w:cs="Times New Roman"/>
          <w:szCs w:val="24"/>
        </w:rPr>
        <w:t>40%</w:t>
      </w:r>
      <w:r w:rsidRPr="001451E5">
        <w:rPr>
          <w:rFonts w:cs="Times New Roman"/>
          <w:szCs w:val="24"/>
        </w:rPr>
        <w:t xml:space="preserve"> no neatkarīgo institūciju </w:t>
      </w:r>
      <w:r>
        <w:rPr>
          <w:rFonts w:cs="Times New Roman"/>
          <w:szCs w:val="24"/>
        </w:rPr>
        <w:t>PP pieprasījumiem (</w:t>
      </w:r>
      <w:r>
        <w:rPr>
          <w:rFonts w:cs="Times New Roman"/>
          <w:szCs w:val="24"/>
        </w:rPr>
        <w:fldChar w:fldCharType="begin"/>
      </w:r>
      <w:r>
        <w:rPr>
          <w:rFonts w:cs="Times New Roman"/>
          <w:szCs w:val="24"/>
        </w:rPr>
        <w:instrText xml:space="preserve"> REF _Ref16257997 \h </w:instrText>
      </w:r>
      <w:r>
        <w:rPr>
          <w:rFonts w:cs="Times New Roman"/>
          <w:szCs w:val="24"/>
        </w:rPr>
      </w:r>
      <w:r>
        <w:rPr>
          <w:rFonts w:cs="Times New Roman"/>
          <w:szCs w:val="24"/>
        </w:rPr>
        <w:fldChar w:fldCharType="separate"/>
      </w:r>
      <w:r w:rsidR="00961D2F">
        <w:t xml:space="preserve">Attēls Nr. </w:t>
      </w:r>
      <w:r w:rsidR="00961D2F">
        <w:rPr>
          <w:noProof/>
        </w:rPr>
        <w:t>1</w:t>
      </w:r>
      <w:r>
        <w:rPr>
          <w:rFonts w:cs="Times New Roman"/>
          <w:szCs w:val="24"/>
        </w:rPr>
        <w:fldChar w:fldCharType="end"/>
      </w:r>
      <w:r>
        <w:rPr>
          <w:rFonts w:cs="Times New Roman"/>
          <w:szCs w:val="24"/>
        </w:rPr>
        <w:t>)</w:t>
      </w:r>
      <w:r w:rsidRPr="001451E5">
        <w:rPr>
          <w:rFonts w:cs="Times New Roman"/>
          <w:szCs w:val="24"/>
        </w:rPr>
        <w:t>.</w:t>
      </w:r>
    </w:p>
    <w:p w14:paraId="149E2348" w14:textId="77777777" w:rsidR="001C622E" w:rsidRDefault="001C622E" w:rsidP="001C622E">
      <w:pPr>
        <w:pStyle w:val="ListParagraph"/>
        <w:numPr>
          <w:ilvl w:val="0"/>
          <w:numId w:val="23"/>
        </w:numPr>
        <w:tabs>
          <w:tab w:val="left" w:pos="0"/>
          <w:tab w:val="left" w:pos="993"/>
        </w:tabs>
        <w:spacing w:before="120" w:after="0"/>
        <w:ind w:left="794" w:right="0" w:hanging="357"/>
        <w:contextualSpacing w:val="0"/>
        <w:rPr>
          <w:rFonts w:cs="Times New Roman"/>
          <w:szCs w:val="24"/>
        </w:rPr>
      </w:pPr>
      <w:r w:rsidRPr="00A2556E">
        <w:rPr>
          <w:rFonts w:cs="Times New Roman"/>
          <w:szCs w:val="24"/>
        </w:rPr>
        <w:t>Tiesu sistēmas darbinieku mēnešalgu paaugstināšana</w:t>
      </w:r>
      <w:r w:rsidRPr="001451E5">
        <w:rPr>
          <w:rFonts w:cs="Times New Roman"/>
          <w:szCs w:val="24"/>
        </w:rPr>
        <w:t xml:space="preserve"> (19_01_H_N)</w:t>
      </w:r>
      <w:r>
        <w:rPr>
          <w:rFonts w:cs="Times New Roman"/>
          <w:szCs w:val="24"/>
        </w:rPr>
        <w:t>.</w:t>
      </w:r>
      <w:r w:rsidRPr="001451E5">
        <w:rPr>
          <w:rFonts w:cs="Times New Roman"/>
          <w:szCs w:val="24"/>
        </w:rPr>
        <w:t xml:space="preserve"> Tieslietu ministrija, </w:t>
      </w:r>
      <w:r>
        <w:rPr>
          <w:rFonts w:cs="Times New Roman"/>
          <w:szCs w:val="24"/>
        </w:rPr>
        <w:t xml:space="preserve">Augstākā tiesa, </w:t>
      </w:r>
      <w:r w:rsidRPr="001451E5">
        <w:rPr>
          <w:rFonts w:cs="Times New Roman"/>
          <w:szCs w:val="24"/>
        </w:rPr>
        <w:t xml:space="preserve">Satversmes tiesa </w:t>
      </w:r>
      <w:r>
        <w:rPr>
          <w:rFonts w:cs="Times New Roman"/>
          <w:szCs w:val="24"/>
        </w:rPr>
        <w:t xml:space="preserve">un </w:t>
      </w:r>
      <w:r w:rsidRPr="001451E5">
        <w:rPr>
          <w:rFonts w:cs="Times New Roman"/>
          <w:szCs w:val="24"/>
        </w:rPr>
        <w:t>Prokuratūra, kā pasākumam nepieciešamo finansējumu norāda 20</w:t>
      </w:r>
      <w:r>
        <w:rPr>
          <w:rFonts w:cs="Times New Roman"/>
          <w:szCs w:val="24"/>
        </w:rPr>
        <w:t>20</w:t>
      </w:r>
      <w:r w:rsidRPr="001451E5">
        <w:rPr>
          <w:rFonts w:cs="Times New Roman"/>
          <w:szCs w:val="24"/>
        </w:rPr>
        <w:t>.</w:t>
      </w:r>
      <w:r>
        <w:rPr>
          <w:rFonts w:cs="Times New Roman"/>
          <w:szCs w:val="24"/>
        </w:rPr>
        <w:t xml:space="preserve">, 2021. un 2022. </w:t>
      </w:r>
      <w:r w:rsidRPr="001451E5">
        <w:rPr>
          <w:rFonts w:cs="Times New Roman"/>
          <w:szCs w:val="24"/>
        </w:rPr>
        <w:t xml:space="preserve">gadam </w:t>
      </w:r>
      <w:r>
        <w:rPr>
          <w:rFonts w:cs="Times New Roman"/>
          <w:szCs w:val="24"/>
        </w:rPr>
        <w:t>7,6</w:t>
      </w:r>
      <w:r w:rsidRPr="001451E5">
        <w:rPr>
          <w:rFonts w:cs="Times New Roman"/>
          <w:szCs w:val="24"/>
        </w:rPr>
        <w:t xml:space="preserve"> milj. </w:t>
      </w:r>
      <w:r w:rsidRPr="001451E5">
        <w:rPr>
          <w:rFonts w:cs="Times New Roman"/>
          <w:i/>
          <w:szCs w:val="24"/>
        </w:rPr>
        <w:t>euro</w:t>
      </w:r>
      <w:r>
        <w:rPr>
          <w:rFonts w:cs="Times New Roman"/>
          <w:i/>
          <w:szCs w:val="24"/>
        </w:rPr>
        <w:t xml:space="preserve"> </w:t>
      </w:r>
      <w:r w:rsidRPr="00A2556E">
        <w:rPr>
          <w:rFonts w:cs="Times New Roman"/>
          <w:szCs w:val="24"/>
        </w:rPr>
        <w:t>ik gadu</w:t>
      </w:r>
      <w:r>
        <w:rPr>
          <w:rFonts w:cs="Times New Roman"/>
          <w:szCs w:val="24"/>
        </w:rPr>
        <w:t>.</w:t>
      </w:r>
    </w:p>
    <w:p w14:paraId="11BC3B4E" w14:textId="77777777" w:rsidR="001C622E" w:rsidRPr="00EF40EF" w:rsidRDefault="001C622E" w:rsidP="001C622E">
      <w:pPr>
        <w:tabs>
          <w:tab w:val="left" w:pos="0"/>
          <w:tab w:val="left" w:pos="993"/>
        </w:tabs>
        <w:spacing w:after="0"/>
        <w:ind w:left="0" w:right="74" w:firstLine="709"/>
        <w:rPr>
          <w:rFonts w:cs="Times New Roman"/>
          <w:szCs w:val="24"/>
        </w:rPr>
      </w:pPr>
      <w:r w:rsidRPr="00EF40EF">
        <w:rPr>
          <w:rFonts w:cs="Times New Roman"/>
          <w:szCs w:val="24"/>
        </w:rPr>
        <w:t xml:space="preserve">Jāatzīmē, ka </w:t>
      </w:r>
      <w:r w:rsidRPr="000000EC">
        <w:rPr>
          <w:rFonts w:cs="Times New Roman"/>
          <w:szCs w:val="24"/>
        </w:rPr>
        <w:t>Augstākā tiesa iesniedza PP “</w:t>
      </w:r>
      <w:r w:rsidRPr="00EF40EF">
        <w:rPr>
          <w:rFonts w:cs="Times New Roman"/>
          <w:szCs w:val="24"/>
        </w:rPr>
        <w:t>Latvijas Republikas Augstākās tiesas darbinieku atalgojuma palielināšana</w:t>
      </w:r>
      <w:r w:rsidRPr="000000EC">
        <w:rPr>
          <w:rFonts w:cs="Times New Roman"/>
          <w:szCs w:val="24"/>
        </w:rPr>
        <w:t>” un Satversmes tiesa iesniedza PP “</w:t>
      </w:r>
      <w:r w:rsidRPr="00EF40EF">
        <w:rPr>
          <w:rFonts w:cs="Times New Roman"/>
          <w:szCs w:val="24"/>
        </w:rPr>
        <w:t>Satversmes tiesas darbinieku atlīdzības palielināšana</w:t>
      </w:r>
      <w:r w:rsidRPr="000000EC">
        <w:rPr>
          <w:rFonts w:cs="Times New Roman"/>
          <w:szCs w:val="24"/>
        </w:rPr>
        <w:t>” tiesas darbinieku atalgojuma palielināšanai. Šie pieprasījumi ir daļēji iekļauti Tieslietu ministrijas</w:t>
      </w:r>
      <w:r w:rsidRPr="00EF40EF">
        <w:rPr>
          <w:rFonts w:cs="Times New Roman"/>
          <w:szCs w:val="24"/>
        </w:rPr>
        <w:t xml:space="preserve"> </w:t>
      </w:r>
      <w:r w:rsidRPr="000000EC">
        <w:rPr>
          <w:rFonts w:cs="Times New Roman"/>
          <w:szCs w:val="24"/>
        </w:rPr>
        <w:t>(Zemesgrāmatu nodaļas, rajonu (pilsētu) tiesas un apgabaltiesas) starpnozaru PP “</w:t>
      </w:r>
      <w:r w:rsidRPr="00A2556E">
        <w:rPr>
          <w:rFonts w:cs="Times New Roman"/>
          <w:szCs w:val="24"/>
        </w:rPr>
        <w:t>Tiesu sistēmas darbinieku mēnešalgu paaugstināšana</w:t>
      </w:r>
      <w:r w:rsidRPr="000000EC">
        <w:rPr>
          <w:rFonts w:cs="Times New Roman"/>
          <w:szCs w:val="24"/>
        </w:rPr>
        <w:t>”.</w:t>
      </w:r>
    </w:p>
    <w:p w14:paraId="3759149D" w14:textId="100DCDC0" w:rsidR="001C622E" w:rsidRPr="00C05277" w:rsidRDefault="001C622E" w:rsidP="00C05277">
      <w:pPr>
        <w:pStyle w:val="ListParagraph"/>
        <w:numPr>
          <w:ilvl w:val="0"/>
          <w:numId w:val="23"/>
        </w:numPr>
        <w:tabs>
          <w:tab w:val="left" w:pos="0"/>
          <w:tab w:val="left" w:pos="993"/>
        </w:tabs>
        <w:spacing w:before="120" w:after="0"/>
        <w:ind w:left="794" w:right="0" w:hanging="357"/>
        <w:contextualSpacing w:val="0"/>
        <w:rPr>
          <w:rFonts w:cs="Times New Roman"/>
          <w:szCs w:val="24"/>
        </w:rPr>
      </w:pPr>
      <w:r w:rsidRPr="00A2556E">
        <w:rPr>
          <w:rFonts w:cs="Times New Roman"/>
          <w:szCs w:val="24"/>
        </w:rPr>
        <w:t xml:space="preserve">Tieslietu nozares administratīvā centra izveide Jēkabpilī </w:t>
      </w:r>
      <w:r w:rsidRPr="001451E5">
        <w:rPr>
          <w:rFonts w:cs="Times New Roman"/>
          <w:szCs w:val="24"/>
        </w:rPr>
        <w:t>(19_02_H_N)</w:t>
      </w:r>
      <w:r>
        <w:rPr>
          <w:rFonts w:cs="Times New Roman"/>
          <w:szCs w:val="24"/>
        </w:rPr>
        <w:t>.</w:t>
      </w:r>
      <w:r w:rsidRPr="001451E5">
        <w:rPr>
          <w:rFonts w:cs="Times New Roman"/>
          <w:szCs w:val="24"/>
        </w:rPr>
        <w:t xml:space="preserve"> Ti</w:t>
      </w:r>
      <w:r>
        <w:rPr>
          <w:rFonts w:cs="Times New Roman"/>
          <w:szCs w:val="24"/>
        </w:rPr>
        <w:t>eslietu ministrija un Prokuratūra</w:t>
      </w:r>
      <w:r w:rsidRPr="001451E5">
        <w:rPr>
          <w:rFonts w:cs="Times New Roman"/>
          <w:szCs w:val="24"/>
        </w:rPr>
        <w:t xml:space="preserve"> kā pasākumam nepieciešamo finansējumu norāda </w:t>
      </w:r>
      <w:r>
        <w:rPr>
          <w:rFonts w:cs="Times New Roman"/>
          <w:szCs w:val="24"/>
        </w:rPr>
        <w:t>2020. gadam 0,6 </w:t>
      </w:r>
      <w:r w:rsidRPr="001451E5">
        <w:rPr>
          <w:rFonts w:cs="Times New Roman"/>
          <w:szCs w:val="24"/>
        </w:rPr>
        <w:t>milj.</w:t>
      </w:r>
      <w:r>
        <w:rPr>
          <w:rFonts w:cs="Times New Roman"/>
          <w:szCs w:val="24"/>
        </w:rPr>
        <w:t> </w:t>
      </w:r>
      <w:r w:rsidRPr="001451E5">
        <w:rPr>
          <w:rFonts w:cs="Times New Roman"/>
          <w:i/>
          <w:szCs w:val="24"/>
        </w:rPr>
        <w:t>euro</w:t>
      </w:r>
      <w:r w:rsidRPr="00854F8A">
        <w:rPr>
          <w:rFonts w:cs="Times New Roman"/>
          <w:szCs w:val="24"/>
        </w:rPr>
        <w:t>,</w:t>
      </w:r>
      <w:r w:rsidRPr="001451E5">
        <w:rPr>
          <w:rFonts w:cs="Times New Roman"/>
          <w:szCs w:val="24"/>
        </w:rPr>
        <w:t xml:space="preserve"> </w:t>
      </w:r>
      <w:r>
        <w:rPr>
          <w:rFonts w:cs="Times New Roman"/>
          <w:szCs w:val="24"/>
        </w:rPr>
        <w:t>2021. un 2022</w:t>
      </w:r>
      <w:r w:rsidRPr="001451E5">
        <w:rPr>
          <w:rFonts w:cs="Times New Roman"/>
          <w:szCs w:val="24"/>
        </w:rPr>
        <w:t>.</w:t>
      </w:r>
      <w:r>
        <w:rPr>
          <w:rFonts w:cs="Times New Roman"/>
          <w:szCs w:val="24"/>
        </w:rPr>
        <w:t> </w:t>
      </w:r>
      <w:r w:rsidRPr="001451E5">
        <w:rPr>
          <w:rFonts w:cs="Times New Roman"/>
          <w:szCs w:val="24"/>
        </w:rPr>
        <w:t xml:space="preserve">gadam </w:t>
      </w:r>
      <w:r>
        <w:rPr>
          <w:rFonts w:cs="Times New Roman"/>
          <w:szCs w:val="24"/>
        </w:rPr>
        <w:t xml:space="preserve">0,5 milj. </w:t>
      </w:r>
      <w:r w:rsidRPr="00854F8A">
        <w:rPr>
          <w:rFonts w:cs="Times New Roman"/>
          <w:i/>
          <w:szCs w:val="24"/>
        </w:rPr>
        <w:t>euro</w:t>
      </w:r>
      <w:r>
        <w:rPr>
          <w:rFonts w:cs="Times New Roman"/>
          <w:szCs w:val="24"/>
        </w:rPr>
        <w:t xml:space="preserve"> </w:t>
      </w:r>
      <w:r w:rsidRPr="001451E5">
        <w:rPr>
          <w:rFonts w:cs="Times New Roman"/>
          <w:szCs w:val="24"/>
        </w:rPr>
        <w:t>ik gadu.</w:t>
      </w:r>
    </w:p>
    <w:p w14:paraId="2EFF531E" w14:textId="77777777" w:rsidR="00563232" w:rsidRPr="009E1D44" w:rsidRDefault="00563232" w:rsidP="00FF606C">
      <w:pPr>
        <w:tabs>
          <w:tab w:val="left" w:pos="0"/>
          <w:tab w:val="left" w:pos="567"/>
        </w:tabs>
        <w:spacing w:before="120" w:after="0"/>
        <w:ind w:left="0" w:right="0" w:firstLine="720"/>
        <w:rPr>
          <w:szCs w:val="24"/>
        </w:rPr>
      </w:pPr>
      <w:r>
        <w:rPr>
          <w:szCs w:val="24"/>
        </w:rPr>
        <w:t xml:space="preserve">Jāatzīmē, ka </w:t>
      </w:r>
      <w:r w:rsidRPr="009E1D44">
        <w:rPr>
          <w:szCs w:val="24"/>
        </w:rPr>
        <w:t>FM ir saņemta Ministru prezidenta 2019. gada 17. jūlija r</w:t>
      </w:r>
      <w:r>
        <w:rPr>
          <w:szCs w:val="24"/>
        </w:rPr>
        <w:t>ezolūcija Nr. </w:t>
      </w:r>
      <w:r w:rsidRPr="009E1D44">
        <w:rPr>
          <w:szCs w:val="24"/>
        </w:rPr>
        <w:t xml:space="preserve">90/SAN-131/3408, kurā finanšu ministram un kultūras ministram dots uzdevums izvērtēt SIA “Latvijas Radio” valdes atklāto vēstuli un jautājumu par finansējuma palielināšanu iesniegt izskatīšanai MK sēdē valsts budžeta projekta 2020. gadam sagatavošanas procesā. SIA “Latvijas Radio” valdes atklātajā vēstulē par finanšu un cilvēkresursu krīzi sabiedriskajā medijā pausts, ka šobrīd finansējuma trūkuma dēļ kritiski apdraudēta iespēja nodrošināt sabiedrību ar kvalitatīvu, objektīvu un daudzveidīgu informāciju pietiekamā apjomā, no kā cieš sabiedriskā medija profesionalitāte. Tādējādi, ja visdrīzākajā laikā netiks piešķirti adekvāti resursi Latvijas Radio satura veidošanai un programmu izplatībai, būtiski pasliktināsies Latvijas informatīvās telpas drošība un sabiedrības iespējas saņemt neatkarīgu, profesionālu un objektīvu informāciju par valstī un pasaulē notiekošo. Lai stabilizētu situāciju Latvijas Radio vēstulē ietverts pieprasījums nodrošināt budžeta pieaugumu atlīdzībai un kapacitātes stiprināšanai </w:t>
      </w:r>
      <w:r w:rsidRPr="00AB70C1">
        <w:rPr>
          <w:szCs w:val="24"/>
        </w:rPr>
        <w:t xml:space="preserve">2019. gadā – </w:t>
      </w:r>
      <w:r>
        <w:rPr>
          <w:szCs w:val="24"/>
        </w:rPr>
        <w:t>0,</w:t>
      </w:r>
      <w:r w:rsidRPr="00AB70C1">
        <w:rPr>
          <w:szCs w:val="24"/>
        </w:rPr>
        <w:t>1</w:t>
      </w:r>
      <w:r>
        <w:rPr>
          <w:szCs w:val="24"/>
        </w:rPr>
        <w:t xml:space="preserve"> milj</w:t>
      </w:r>
      <w:r w:rsidRPr="00AB70C1">
        <w:rPr>
          <w:szCs w:val="24"/>
        </w:rPr>
        <w:t xml:space="preserve">. </w:t>
      </w:r>
      <w:r w:rsidRPr="00AB70C1">
        <w:rPr>
          <w:i/>
          <w:szCs w:val="24"/>
        </w:rPr>
        <w:t>euro</w:t>
      </w:r>
      <w:r w:rsidRPr="00AB70C1">
        <w:rPr>
          <w:szCs w:val="24"/>
        </w:rPr>
        <w:t xml:space="preserve"> apmērā</w:t>
      </w:r>
      <w:r w:rsidRPr="009E1D44">
        <w:rPr>
          <w:szCs w:val="24"/>
        </w:rPr>
        <w:t xml:space="preserve">, 2020. gadā – </w:t>
      </w:r>
      <w:r>
        <w:rPr>
          <w:szCs w:val="24"/>
        </w:rPr>
        <w:t>1,0 milj</w:t>
      </w:r>
      <w:r w:rsidRPr="009E1D44">
        <w:rPr>
          <w:szCs w:val="24"/>
        </w:rPr>
        <w:t xml:space="preserve">. </w:t>
      </w:r>
      <w:r w:rsidRPr="009E1D44">
        <w:rPr>
          <w:i/>
          <w:szCs w:val="24"/>
        </w:rPr>
        <w:t>euro</w:t>
      </w:r>
      <w:r w:rsidRPr="009E1D44">
        <w:rPr>
          <w:szCs w:val="24"/>
        </w:rPr>
        <w:t xml:space="preserve"> apmērā un turpmākajos gados – 1,1 milj. </w:t>
      </w:r>
      <w:r w:rsidRPr="009E1D44">
        <w:rPr>
          <w:i/>
          <w:szCs w:val="24"/>
        </w:rPr>
        <w:t>euro</w:t>
      </w:r>
      <w:r w:rsidRPr="009E1D44">
        <w:rPr>
          <w:szCs w:val="24"/>
        </w:rPr>
        <w:t xml:space="preserve"> apmērā, kā arī kompensēt iziešanu no reklāmas tirgus, lai nodrošinātu raidlaika aizstāšanu ar kvalitatīvu saturu un nodrošinātu pamatdarbību, kas līdz šim finansēta no reklāma</w:t>
      </w:r>
      <w:r>
        <w:rPr>
          <w:szCs w:val="24"/>
        </w:rPr>
        <w:t>s ieņēmumiem, 2020. gadā – 1,79 </w:t>
      </w:r>
      <w:r w:rsidRPr="009E1D44">
        <w:rPr>
          <w:szCs w:val="24"/>
        </w:rPr>
        <w:t xml:space="preserve">milj. </w:t>
      </w:r>
      <w:r w:rsidRPr="009E1D44">
        <w:rPr>
          <w:i/>
          <w:szCs w:val="24"/>
        </w:rPr>
        <w:t>euro</w:t>
      </w:r>
      <w:r w:rsidRPr="009E1D44">
        <w:rPr>
          <w:szCs w:val="24"/>
        </w:rPr>
        <w:t xml:space="preserve"> apmērā un turpmākajos gados – 3,57 milj. </w:t>
      </w:r>
      <w:r w:rsidRPr="009E1D44">
        <w:rPr>
          <w:i/>
          <w:szCs w:val="24"/>
        </w:rPr>
        <w:t>euro</w:t>
      </w:r>
      <w:r w:rsidRPr="009E1D44">
        <w:rPr>
          <w:szCs w:val="24"/>
        </w:rPr>
        <w:t xml:space="preserve"> apmērā. </w:t>
      </w:r>
    </w:p>
    <w:p w14:paraId="14247BFE" w14:textId="77777777" w:rsidR="00563232" w:rsidRPr="009E1D44" w:rsidRDefault="00563232" w:rsidP="00FF606C">
      <w:pPr>
        <w:tabs>
          <w:tab w:val="left" w:pos="0"/>
          <w:tab w:val="left" w:pos="567"/>
        </w:tabs>
        <w:spacing w:before="120" w:after="0"/>
        <w:ind w:left="0" w:right="0" w:firstLine="720"/>
        <w:rPr>
          <w:szCs w:val="24"/>
        </w:rPr>
      </w:pPr>
      <w:r w:rsidRPr="009E1D44">
        <w:rPr>
          <w:szCs w:val="24"/>
        </w:rPr>
        <w:t>Vienlaikus jāatzīmē, ka SIA “Latvijas Radio” nav valsts budžeta iestāde, kura pilnā apmērā tiek finansēta no valsts budžeta līdzekļiem, bet gan kapitālsabiedrība. Kapitālsabiedrības valsts budžeta finansējumu var saņemt tikai konkrēta valsts pasūtījuma īstenošanai.</w:t>
      </w:r>
    </w:p>
    <w:p w14:paraId="56B58DCC" w14:textId="77777777" w:rsidR="00563232" w:rsidRDefault="00563232" w:rsidP="00FF606C">
      <w:pPr>
        <w:tabs>
          <w:tab w:val="left" w:pos="0"/>
          <w:tab w:val="left" w:pos="567"/>
        </w:tabs>
        <w:spacing w:before="120" w:after="0"/>
        <w:ind w:left="0" w:right="0" w:firstLine="720"/>
        <w:rPr>
          <w:szCs w:val="24"/>
        </w:rPr>
      </w:pPr>
      <w:r w:rsidRPr="009E1D44">
        <w:rPr>
          <w:szCs w:val="24"/>
        </w:rPr>
        <w:t>Izpildot Ministru prezidenta 2019. gada 17. jūlija rezolūcijā Nr. 90/SAN-131/3408 doto uzdevumu, vēlamies informēt, ka SIA “Latvijas Radio” valdes atklātajā vēstulē minēto jautājumu risināšanai papildu finansējuma pieprasījums ir iekļauts budžeta resora “47. Radio un televīzija” PP Nr. 47_01_P_N “Latvijas Radi</w:t>
      </w:r>
      <w:r>
        <w:rPr>
          <w:szCs w:val="24"/>
        </w:rPr>
        <w:t>o kapacitātes stiprināšana” un KM</w:t>
      </w:r>
      <w:r w:rsidRPr="009E1D44">
        <w:rPr>
          <w:szCs w:val="24"/>
        </w:rPr>
        <w:t xml:space="preserve"> starpnozaru PP Nr. 22_03_H “Sabiedrisko mediju iziešana no reklāmas tirgus”.</w:t>
      </w:r>
    </w:p>
    <w:p w14:paraId="0E0DB2BD" w14:textId="77777777" w:rsidR="00563232" w:rsidRPr="00E34452" w:rsidRDefault="00563232" w:rsidP="00FF606C">
      <w:pPr>
        <w:spacing w:before="120" w:after="0"/>
        <w:ind w:left="0" w:right="0" w:firstLine="720"/>
        <w:rPr>
          <w:szCs w:val="24"/>
          <w:lang w:eastAsia="lv-LV"/>
        </w:rPr>
      </w:pPr>
      <w:r w:rsidRPr="00E34452">
        <w:rPr>
          <w:szCs w:val="24"/>
        </w:rPr>
        <w:t xml:space="preserve">FM ir saņemta Ministru prezidenta 2019. gada 23. jūlija rezolūcija Nr. 90/TA-1372, kurā finanšu ministram un tieslietu ministram dots uzdevums izvērtēt Valsts kontroles 2019. gada 15. jūlija vēstulē Nr. 8-3.5.4.1e/148 minēto un kopīgi iesniegt attiecīgus priekšlikumus izskatīšanai </w:t>
      </w:r>
      <w:r w:rsidRPr="00E34452">
        <w:rPr>
          <w:szCs w:val="24"/>
        </w:rPr>
        <w:lastRenderedPageBreak/>
        <w:t xml:space="preserve">MK valsts budžeta projekta sagatavošanas procesā. Valsts kontrole minētajā vēstulē informē, ka Valsts kontroles padomes 2019. gada 9. jūlija sēdē (protokola Nr. 35, 1.§) iekļaušanai Valsts kontroles darba plānā ir apstiprināta lietderības revīzijas tēma “Noziedzīgu nodarījumu ekonomikas un finanšu jomās izmeklēšanas un iztiesāšanas efektivitāte”. Vienlaikus Valsts kontrole norāda, ka, lai novērtētu Valsts kontroles identificēto faktoru ietekmi uz kriminālprocesu virzību un salīdzinātu Latvijas institūciju praksi ar citu Eiropas Savienības valstu praksi, revīzijā būtu nepieciešams piesaistīt kvalificētus ekspertus, kam attiecīgi </w:t>
      </w:r>
      <w:r w:rsidRPr="00E34452">
        <w:t xml:space="preserve">VKo 2020. gada budžetā jāparedz papildu finansējums 0,2 milj. </w:t>
      </w:r>
      <w:r w:rsidRPr="00E34452">
        <w:rPr>
          <w:i/>
        </w:rPr>
        <w:t>euro</w:t>
      </w:r>
      <w:r w:rsidRPr="00E34452">
        <w:t xml:space="preserve"> apmērā.</w:t>
      </w:r>
    </w:p>
    <w:p w14:paraId="3E8EB827" w14:textId="77777777" w:rsidR="00563232" w:rsidRPr="00E34452" w:rsidRDefault="00563232" w:rsidP="00E32115">
      <w:pPr>
        <w:spacing w:before="120"/>
        <w:ind w:left="0" w:right="0" w:firstLine="720"/>
        <w:rPr>
          <w:szCs w:val="24"/>
        </w:rPr>
      </w:pPr>
      <w:r w:rsidRPr="00E34452">
        <w:rPr>
          <w:szCs w:val="24"/>
        </w:rPr>
        <w:t>Valsts kontrole</w:t>
      </w:r>
      <w:r w:rsidRPr="00E34452">
        <w:t xml:space="preserve"> ar 2019. gada 5. augusta vēstuli Nr. 5-3.5.4.1e/165 ir iesniegusi prioritārā pasākuma pieteikumu 24_02_P_N “Starptautiskas ekspertīzes nodrošināšana Valsts kontroles (VK) revīzijā noziedzīgu nodarījumu ekonomisko un finanšu jomās izmeklēšanas</w:t>
      </w:r>
      <w:r w:rsidRPr="00E34452">
        <w:rPr>
          <w:szCs w:val="24"/>
        </w:rPr>
        <w:t xml:space="preserve"> un iztiesāšanas efektivitātes izvērtēšanai”.</w:t>
      </w:r>
    </w:p>
    <w:p w14:paraId="6F789D4E" w14:textId="3C1CECA8" w:rsidR="001C622E" w:rsidRDefault="00E32115" w:rsidP="00E32115">
      <w:pPr>
        <w:spacing w:before="120"/>
        <w:rPr>
          <w:rFonts w:eastAsia="Calibri" w:cs="Times New Roman"/>
          <w:sz w:val="14"/>
          <w:szCs w:val="14"/>
        </w:rPr>
      </w:pPr>
      <w:r>
        <w:rPr>
          <w:rFonts w:eastAsia="Calibri" w:cs="Times New Roman"/>
          <w:sz w:val="14"/>
          <w:szCs w:val="14"/>
        </w:rPr>
        <w:tab/>
      </w:r>
      <w:r>
        <w:rPr>
          <w:rFonts w:cs="Times New Roman"/>
          <w:szCs w:val="24"/>
        </w:rPr>
        <w:t xml:space="preserve">Jāatzīmē, ka </w:t>
      </w:r>
      <w:r w:rsidRPr="00870394">
        <w:rPr>
          <w:rFonts w:cs="Times New Roman"/>
          <w:szCs w:val="24"/>
        </w:rPr>
        <w:t xml:space="preserve">neatkarīgo institūciju iesniegtajos PP ir pieprasītas </w:t>
      </w:r>
      <w:r>
        <w:rPr>
          <w:rFonts w:cs="Times New Roman"/>
          <w:szCs w:val="24"/>
        </w:rPr>
        <w:t xml:space="preserve">arī </w:t>
      </w:r>
      <w:r w:rsidRPr="00870394">
        <w:rPr>
          <w:rFonts w:cs="Times New Roman"/>
          <w:szCs w:val="24"/>
        </w:rPr>
        <w:t xml:space="preserve">papildu </w:t>
      </w:r>
      <w:r>
        <w:rPr>
          <w:rFonts w:cs="Times New Roman"/>
          <w:szCs w:val="24"/>
        </w:rPr>
        <w:t>amata vietas. N</w:t>
      </w:r>
      <w:r w:rsidRPr="00C401DD">
        <w:rPr>
          <w:rFonts w:cs="Times New Roman"/>
          <w:szCs w:val="24"/>
        </w:rPr>
        <w:t>eatkarīgās inst</w:t>
      </w:r>
      <w:r>
        <w:rPr>
          <w:rFonts w:cs="Times New Roman"/>
          <w:szCs w:val="24"/>
        </w:rPr>
        <w:t>itūcijas kopumā pieprasījušas 17</w:t>
      </w:r>
      <w:r w:rsidRPr="00C401DD">
        <w:rPr>
          <w:rFonts w:cs="Times New Roman"/>
          <w:szCs w:val="24"/>
        </w:rPr>
        <w:t xml:space="preserve"> papildu amata vietas</w:t>
      </w:r>
      <w:r>
        <w:rPr>
          <w:rFonts w:cs="Times New Roman"/>
          <w:szCs w:val="24"/>
        </w:rPr>
        <w:t xml:space="preserve"> </w:t>
      </w:r>
      <w:r w:rsidRPr="001451E5">
        <w:rPr>
          <w:rFonts w:cs="Times New Roman"/>
          <w:szCs w:val="24"/>
        </w:rPr>
        <w:t>20</w:t>
      </w:r>
      <w:r>
        <w:rPr>
          <w:rFonts w:cs="Times New Roman"/>
          <w:szCs w:val="24"/>
        </w:rPr>
        <w:t>20</w:t>
      </w:r>
      <w:r w:rsidRPr="001451E5">
        <w:rPr>
          <w:rFonts w:cs="Times New Roman"/>
          <w:szCs w:val="24"/>
        </w:rPr>
        <w:t>., 202</w:t>
      </w:r>
      <w:r>
        <w:rPr>
          <w:rFonts w:cs="Times New Roman"/>
          <w:szCs w:val="24"/>
        </w:rPr>
        <w:t>1</w:t>
      </w:r>
      <w:r w:rsidRPr="001451E5">
        <w:rPr>
          <w:rFonts w:cs="Times New Roman"/>
          <w:szCs w:val="24"/>
        </w:rPr>
        <w:t>. un 202</w:t>
      </w:r>
      <w:r>
        <w:rPr>
          <w:rFonts w:cs="Times New Roman"/>
          <w:szCs w:val="24"/>
        </w:rPr>
        <w:t>2</w:t>
      </w:r>
      <w:r w:rsidRPr="001451E5">
        <w:rPr>
          <w:rFonts w:cs="Times New Roman"/>
          <w:szCs w:val="24"/>
        </w:rPr>
        <w:t>.gadam ik gadu</w:t>
      </w:r>
      <w:r>
        <w:rPr>
          <w:rFonts w:cs="Times New Roman"/>
          <w:szCs w:val="24"/>
        </w:rPr>
        <w:t xml:space="preserve">. Attiecīgi papildu amata vietas pieprasījusi </w:t>
      </w:r>
      <w:r w:rsidRPr="003E7E8A">
        <w:rPr>
          <w:rFonts w:cs="Times New Roman"/>
          <w:szCs w:val="24"/>
        </w:rPr>
        <w:t>Radio un Televīzija (Nacionālo elektronisko plašsaziņas līdzekļu padome)</w:t>
      </w:r>
      <w:r>
        <w:rPr>
          <w:rFonts w:cs="Times New Roman"/>
          <w:szCs w:val="24"/>
        </w:rPr>
        <w:t xml:space="preserve"> – 2020., 2021. un 2022.gadam 14 amata vietas ik gadu, Valsts prezidenta kanceleja – 2020., 2021., 2022.gadam 3 amata vietas ik gadu. </w:t>
      </w:r>
    </w:p>
    <w:p w14:paraId="3DCFCDCA" w14:textId="508428D7" w:rsidR="002D0BE0" w:rsidRDefault="002D0BE0" w:rsidP="001C622E">
      <w:pPr>
        <w:rPr>
          <w:rFonts w:eastAsia="Calibri" w:cs="Times New Roman"/>
          <w:sz w:val="14"/>
          <w:szCs w:val="14"/>
        </w:rPr>
      </w:pPr>
    </w:p>
    <w:p w14:paraId="144520B0" w14:textId="1C22776B" w:rsidR="002D0BE0" w:rsidRDefault="002D0BE0" w:rsidP="001C622E">
      <w:pPr>
        <w:rPr>
          <w:rFonts w:eastAsia="Calibri" w:cs="Times New Roman"/>
          <w:sz w:val="14"/>
          <w:szCs w:val="14"/>
        </w:rPr>
      </w:pPr>
    </w:p>
    <w:p w14:paraId="1D262BAA" w14:textId="4023D418" w:rsidR="002D0BE0" w:rsidRDefault="002D0BE0" w:rsidP="001C622E">
      <w:pPr>
        <w:rPr>
          <w:rFonts w:eastAsia="Calibri" w:cs="Times New Roman"/>
          <w:sz w:val="14"/>
          <w:szCs w:val="14"/>
        </w:rPr>
      </w:pPr>
    </w:p>
    <w:p w14:paraId="398C822C" w14:textId="5A6922AF" w:rsidR="00E32115" w:rsidRDefault="00E32115" w:rsidP="001C622E">
      <w:pPr>
        <w:rPr>
          <w:rFonts w:eastAsia="Calibri" w:cs="Times New Roman"/>
          <w:sz w:val="14"/>
          <w:szCs w:val="14"/>
        </w:rPr>
      </w:pPr>
    </w:p>
    <w:p w14:paraId="0E64816C" w14:textId="5CE1AAC0" w:rsidR="00E32115" w:rsidRDefault="00E32115" w:rsidP="001C622E">
      <w:pPr>
        <w:rPr>
          <w:rFonts w:eastAsia="Calibri" w:cs="Times New Roman"/>
          <w:sz w:val="14"/>
          <w:szCs w:val="14"/>
        </w:rPr>
      </w:pPr>
    </w:p>
    <w:p w14:paraId="586062B6" w14:textId="77777777" w:rsidR="00C05277" w:rsidRDefault="00C05277" w:rsidP="001C622E">
      <w:pPr>
        <w:rPr>
          <w:rFonts w:eastAsia="Calibri" w:cs="Times New Roman"/>
          <w:sz w:val="14"/>
          <w:szCs w:val="14"/>
        </w:rPr>
      </w:pPr>
    </w:p>
    <w:p w14:paraId="76665178" w14:textId="10B36E5D" w:rsidR="002D0BE0" w:rsidRDefault="002D0BE0" w:rsidP="00E32115">
      <w:pPr>
        <w:ind w:left="0"/>
        <w:rPr>
          <w:rFonts w:eastAsia="Calibri" w:cs="Times New Roman"/>
          <w:sz w:val="14"/>
          <w:szCs w:val="14"/>
        </w:rPr>
      </w:pPr>
    </w:p>
    <w:p w14:paraId="3255097D" w14:textId="77777777" w:rsidR="002D0BE0" w:rsidRPr="00C86623" w:rsidRDefault="002D0BE0" w:rsidP="001C622E">
      <w:pPr>
        <w:rPr>
          <w:rFonts w:eastAsia="Calibri" w:cs="Times New Roman"/>
          <w:sz w:val="14"/>
          <w:szCs w:val="14"/>
        </w:rPr>
      </w:pPr>
      <w:bookmarkStart w:id="3" w:name="_GoBack"/>
      <w:bookmarkEnd w:id="3"/>
    </w:p>
    <w:sectPr w:rsidR="002D0BE0" w:rsidRPr="00C86623" w:rsidSect="00882470">
      <w:headerReference w:type="default" r:id="rId11"/>
      <w:footerReference w:type="default" r:id="rId12"/>
      <w:headerReference w:type="first" r:id="rId13"/>
      <w:footerReference w:type="first" r:id="rId14"/>
      <w:pgSz w:w="12240" w:h="15840"/>
      <w:pgMar w:top="1418"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21730" w14:textId="77777777" w:rsidR="003921B8" w:rsidRDefault="003921B8">
      <w:r>
        <w:separator/>
      </w:r>
    </w:p>
    <w:p w14:paraId="311087B2" w14:textId="77777777" w:rsidR="003921B8" w:rsidRDefault="003921B8"/>
  </w:endnote>
  <w:endnote w:type="continuationSeparator" w:id="0">
    <w:p w14:paraId="47DCC0DB" w14:textId="77777777" w:rsidR="003921B8" w:rsidRDefault="003921B8">
      <w:r>
        <w:continuationSeparator/>
      </w:r>
    </w:p>
    <w:p w14:paraId="7ADF6D6B" w14:textId="77777777" w:rsidR="003921B8" w:rsidRDefault="00392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1DD96" w14:textId="18926473" w:rsidR="0049308C" w:rsidRPr="00E71FFF" w:rsidRDefault="0049308C" w:rsidP="00E71FFF">
    <w:pPr>
      <w:pStyle w:val="Footer"/>
      <w:ind w:left="0"/>
      <w:rPr>
        <w:rFonts w:cs="Times New Roman"/>
        <w:sz w:val="20"/>
        <w:szCs w:val="20"/>
      </w:rPr>
    </w:pPr>
    <w:r>
      <w:rPr>
        <w:rFonts w:cs="Times New Roman"/>
        <w:sz w:val="20"/>
        <w:szCs w:val="20"/>
      </w:rPr>
      <w:t>FMzin_</w:t>
    </w:r>
    <w:r w:rsidR="00E32115">
      <w:rPr>
        <w:rFonts w:cs="Times New Roman"/>
        <w:sz w:val="20"/>
        <w:szCs w:val="20"/>
      </w:rPr>
      <w:t>27</w:t>
    </w:r>
    <w:r w:rsidR="002D0BE0">
      <w:rPr>
        <w:rFonts w:cs="Times New Roman"/>
        <w:sz w:val="20"/>
        <w:szCs w:val="20"/>
      </w:rPr>
      <w:t>08</w:t>
    </w:r>
    <w:r w:rsidR="008B4FD0">
      <w:rPr>
        <w:rFonts w:cs="Times New Roman"/>
        <w:sz w:val="20"/>
        <w:szCs w:val="20"/>
      </w:rPr>
      <w:t>19</w:t>
    </w:r>
    <w:r w:rsidRPr="00E71FFF">
      <w:rPr>
        <w:rFonts w:cs="Times New Roman"/>
        <w:sz w:val="20"/>
        <w:szCs w:val="20"/>
      </w:rPr>
      <w:t>_PP.docx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1D011" w14:textId="77777777" w:rsidR="0049308C" w:rsidRDefault="0049308C">
    <w:pPr>
      <w:pStyle w:val="Footer"/>
    </w:pPr>
  </w:p>
  <w:p w14:paraId="26A7F21F" w14:textId="77777777" w:rsidR="0049308C" w:rsidRDefault="00493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C3820" w14:textId="77777777" w:rsidR="003921B8" w:rsidRDefault="003921B8">
      <w:r>
        <w:separator/>
      </w:r>
    </w:p>
    <w:p w14:paraId="308204A9" w14:textId="77777777" w:rsidR="003921B8" w:rsidRDefault="003921B8"/>
  </w:footnote>
  <w:footnote w:type="continuationSeparator" w:id="0">
    <w:p w14:paraId="2D361FD0" w14:textId="77777777" w:rsidR="003921B8" w:rsidRDefault="003921B8">
      <w:r>
        <w:continuationSeparator/>
      </w:r>
    </w:p>
    <w:p w14:paraId="106F3A65" w14:textId="77777777" w:rsidR="003921B8" w:rsidRDefault="003921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183573"/>
      <w:docPartObj>
        <w:docPartGallery w:val="Page Numbers (Top of Page)"/>
        <w:docPartUnique/>
      </w:docPartObj>
    </w:sdtPr>
    <w:sdtEndPr>
      <w:rPr>
        <w:rFonts w:cs="Times New Roman"/>
        <w:noProof/>
        <w:szCs w:val="24"/>
      </w:rPr>
    </w:sdtEndPr>
    <w:sdtContent>
      <w:p w14:paraId="6E3C1E66" w14:textId="3262F56B" w:rsidR="0049308C" w:rsidRPr="00AB33B0" w:rsidRDefault="0049308C">
        <w:pPr>
          <w:pStyle w:val="Header"/>
          <w:rPr>
            <w:rFonts w:cs="Times New Roman"/>
            <w:szCs w:val="24"/>
          </w:rPr>
        </w:pPr>
        <w:r w:rsidRPr="00AB33B0">
          <w:rPr>
            <w:rFonts w:cs="Times New Roman"/>
            <w:szCs w:val="24"/>
          </w:rPr>
          <w:fldChar w:fldCharType="begin"/>
        </w:r>
        <w:r w:rsidRPr="00AB33B0">
          <w:rPr>
            <w:rFonts w:cs="Times New Roman"/>
            <w:szCs w:val="24"/>
          </w:rPr>
          <w:instrText xml:space="preserve"> PAGE   \* MERGEFORMAT </w:instrText>
        </w:r>
        <w:r w:rsidRPr="00AB33B0">
          <w:rPr>
            <w:rFonts w:cs="Times New Roman"/>
            <w:szCs w:val="24"/>
          </w:rPr>
          <w:fldChar w:fldCharType="separate"/>
        </w:r>
        <w:r w:rsidR="001013A0">
          <w:rPr>
            <w:rFonts w:cs="Times New Roman"/>
            <w:noProof/>
            <w:szCs w:val="24"/>
          </w:rPr>
          <w:t>4</w:t>
        </w:r>
        <w:r w:rsidRPr="00AB33B0">
          <w:rPr>
            <w:rFonts w:cs="Times New Roman"/>
            <w:noProof/>
            <w:szCs w:val="24"/>
          </w:rPr>
          <w:fldChar w:fldCharType="end"/>
        </w:r>
      </w:p>
    </w:sdtContent>
  </w:sdt>
  <w:p w14:paraId="136713D6" w14:textId="77777777" w:rsidR="0049308C" w:rsidRDefault="00493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D8BB" w14:textId="77777777" w:rsidR="0049308C" w:rsidRDefault="0049308C">
    <w:pPr>
      <w:pStyle w:val="Header"/>
    </w:pPr>
    <w:r>
      <w:rPr>
        <w:noProof/>
        <w:lang w:eastAsia="lv-LV"/>
      </w:rPr>
      <mc:AlternateContent>
        <mc:Choice Requires="wpg">
          <w:drawing>
            <wp:anchor distT="0" distB="0" distL="114300" distR="114300" simplePos="0" relativeHeight="251659264" behindDoc="1" locked="0" layoutInCell="1" allowOverlap="1" wp14:anchorId="1973DF23" wp14:editId="0D4404C7">
              <wp:simplePos x="0" y="0"/>
              <wp:positionH relativeFrom="page">
                <wp:posOffset>352425</wp:posOffset>
              </wp:positionH>
              <wp:positionV relativeFrom="page">
                <wp:posOffset>457200</wp:posOffset>
              </wp:positionV>
              <wp:extent cx="228600" cy="9144000"/>
              <wp:effectExtent l="0" t="0" r="3175" b="635"/>
              <wp:wrapNone/>
              <wp:docPr id="2" name="Group 2" descr="Decorative sidebar for cover page "/>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6" name="Rectangle 3" descr="Decorative sidebar"/>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5" descr="Decorative sidebar"/>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EF04B9C" id="Group 2" o:spid="_x0000_s1026" alt="Decorative sidebar for cover page " style="position:absolute;margin-left:27.75pt;margin-top:36pt;width:18pt;height:10in;z-index:-251657216;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">
              <v:rect id="Rectangle 3" o:spid="_x0000_s1027" alt="Decorative sidebar"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" fillcolor="#dd8047 [3205]" stroked="f" strokeweight="1pt"/>
              <v:rect id="Rectangle 5" o:spid="_x0000_s1028" alt="Decorative sidebar"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" fillcolor="#94b6d2 [3204]" stroked="f" strokeweight="1pt">
                <v:path arrowok="t"/>
                <o:lock v:ext="edit" aspectratio="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1AAEF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CA5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E6C5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8F4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289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DE6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8607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F88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309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A8B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A7D9D"/>
    <w:multiLevelType w:val="hybridMultilevel"/>
    <w:tmpl w:val="8B1E9700"/>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1" w15:restartNumberingAfterBreak="0">
    <w:nsid w:val="0C4E3F85"/>
    <w:multiLevelType w:val="hybridMultilevel"/>
    <w:tmpl w:val="B2444AFA"/>
    <w:lvl w:ilvl="0" w:tplc="C00ABE58">
      <w:start w:val="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2" w15:restartNumberingAfterBreak="0">
    <w:nsid w:val="0DB45A1C"/>
    <w:multiLevelType w:val="hybridMultilevel"/>
    <w:tmpl w:val="5F9A253A"/>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3" w15:restartNumberingAfterBreak="0">
    <w:nsid w:val="0FE3238C"/>
    <w:multiLevelType w:val="hybridMultilevel"/>
    <w:tmpl w:val="D9C600A6"/>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12534107"/>
    <w:multiLevelType w:val="hybridMultilevel"/>
    <w:tmpl w:val="D6B09B3A"/>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15" w15:restartNumberingAfterBreak="0">
    <w:nsid w:val="18082084"/>
    <w:multiLevelType w:val="hybridMultilevel"/>
    <w:tmpl w:val="1CC62F4A"/>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20E4134B"/>
    <w:multiLevelType w:val="hybridMultilevel"/>
    <w:tmpl w:val="C3647DEE"/>
    <w:lvl w:ilvl="0" w:tplc="04260005">
      <w:start w:val="1"/>
      <w:numFmt w:val="bullet"/>
      <w:lvlText w:val=""/>
      <w:lvlJc w:val="left"/>
      <w:pPr>
        <w:ind w:left="794" w:hanging="360"/>
      </w:pPr>
      <w:rPr>
        <w:rFonts w:ascii="Wingdings" w:hAnsi="Wingdings" w:hint="default"/>
      </w:rPr>
    </w:lvl>
    <w:lvl w:ilvl="1" w:tplc="04260003" w:tentative="1">
      <w:start w:val="1"/>
      <w:numFmt w:val="bullet"/>
      <w:lvlText w:val="o"/>
      <w:lvlJc w:val="left"/>
      <w:pPr>
        <w:ind w:left="1514" w:hanging="360"/>
      </w:pPr>
      <w:rPr>
        <w:rFonts w:ascii="Courier New" w:hAnsi="Courier New" w:cs="Courier New" w:hint="default"/>
      </w:rPr>
    </w:lvl>
    <w:lvl w:ilvl="2" w:tplc="04260005" w:tentative="1">
      <w:start w:val="1"/>
      <w:numFmt w:val="bullet"/>
      <w:lvlText w:val=""/>
      <w:lvlJc w:val="left"/>
      <w:pPr>
        <w:ind w:left="2234" w:hanging="360"/>
      </w:pPr>
      <w:rPr>
        <w:rFonts w:ascii="Wingdings" w:hAnsi="Wingdings" w:hint="default"/>
      </w:rPr>
    </w:lvl>
    <w:lvl w:ilvl="3" w:tplc="04260001" w:tentative="1">
      <w:start w:val="1"/>
      <w:numFmt w:val="bullet"/>
      <w:lvlText w:val=""/>
      <w:lvlJc w:val="left"/>
      <w:pPr>
        <w:ind w:left="2954" w:hanging="360"/>
      </w:pPr>
      <w:rPr>
        <w:rFonts w:ascii="Symbol" w:hAnsi="Symbol" w:hint="default"/>
      </w:rPr>
    </w:lvl>
    <w:lvl w:ilvl="4" w:tplc="04260003" w:tentative="1">
      <w:start w:val="1"/>
      <w:numFmt w:val="bullet"/>
      <w:lvlText w:val="o"/>
      <w:lvlJc w:val="left"/>
      <w:pPr>
        <w:ind w:left="3674" w:hanging="360"/>
      </w:pPr>
      <w:rPr>
        <w:rFonts w:ascii="Courier New" w:hAnsi="Courier New" w:cs="Courier New" w:hint="default"/>
      </w:rPr>
    </w:lvl>
    <w:lvl w:ilvl="5" w:tplc="04260005" w:tentative="1">
      <w:start w:val="1"/>
      <w:numFmt w:val="bullet"/>
      <w:lvlText w:val=""/>
      <w:lvlJc w:val="left"/>
      <w:pPr>
        <w:ind w:left="4394" w:hanging="360"/>
      </w:pPr>
      <w:rPr>
        <w:rFonts w:ascii="Wingdings" w:hAnsi="Wingdings" w:hint="default"/>
      </w:rPr>
    </w:lvl>
    <w:lvl w:ilvl="6" w:tplc="04260001" w:tentative="1">
      <w:start w:val="1"/>
      <w:numFmt w:val="bullet"/>
      <w:lvlText w:val=""/>
      <w:lvlJc w:val="left"/>
      <w:pPr>
        <w:ind w:left="5114" w:hanging="360"/>
      </w:pPr>
      <w:rPr>
        <w:rFonts w:ascii="Symbol" w:hAnsi="Symbol" w:hint="default"/>
      </w:rPr>
    </w:lvl>
    <w:lvl w:ilvl="7" w:tplc="04260003" w:tentative="1">
      <w:start w:val="1"/>
      <w:numFmt w:val="bullet"/>
      <w:lvlText w:val="o"/>
      <w:lvlJc w:val="left"/>
      <w:pPr>
        <w:ind w:left="5834" w:hanging="360"/>
      </w:pPr>
      <w:rPr>
        <w:rFonts w:ascii="Courier New" w:hAnsi="Courier New" w:cs="Courier New" w:hint="default"/>
      </w:rPr>
    </w:lvl>
    <w:lvl w:ilvl="8" w:tplc="04260005" w:tentative="1">
      <w:start w:val="1"/>
      <w:numFmt w:val="bullet"/>
      <w:lvlText w:val=""/>
      <w:lvlJc w:val="left"/>
      <w:pPr>
        <w:ind w:left="6554" w:hanging="360"/>
      </w:pPr>
      <w:rPr>
        <w:rFonts w:ascii="Wingdings" w:hAnsi="Wingdings" w:hint="default"/>
      </w:rPr>
    </w:lvl>
  </w:abstractNum>
  <w:abstractNum w:abstractNumId="17" w15:restartNumberingAfterBreak="0">
    <w:nsid w:val="256D6D20"/>
    <w:multiLevelType w:val="hybridMultilevel"/>
    <w:tmpl w:val="B4DE4594"/>
    <w:lvl w:ilvl="0" w:tplc="A8B0EC6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BE2DE1"/>
    <w:multiLevelType w:val="hybridMultilevel"/>
    <w:tmpl w:val="76DAE638"/>
    <w:lvl w:ilvl="0" w:tplc="2E46A954">
      <w:start w:val="2"/>
      <w:numFmt w:val="bullet"/>
      <w:lvlText w:val="-"/>
      <w:lvlJc w:val="left"/>
      <w:pPr>
        <w:ind w:left="720" w:hanging="360"/>
      </w:pPr>
      <w:rPr>
        <w:rFonts w:ascii="Calibri" w:eastAsia="Calibri" w:hAnsi="Calibri" w:cs="Calibri" w:hint="default"/>
        <w:color w:val="1F497D"/>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3D517EA2"/>
    <w:multiLevelType w:val="hybridMultilevel"/>
    <w:tmpl w:val="6ED20354"/>
    <w:lvl w:ilvl="0" w:tplc="1C66E40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0" w15:restartNumberingAfterBreak="0">
    <w:nsid w:val="494116E3"/>
    <w:multiLevelType w:val="hybridMultilevel"/>
    <w:tmpl w:val="9240278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8145AB"/>
    <w:multiLevelType w:val="hybridMultilevel"/>
    <w:tmpl w:val="E4A2AB8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4F790843"/>
    <w:multiLevelType w:val="hybridMultilevel"/>
    <w:tmpl w:val="3930374E"/>
    <w:lvl w:ilvl="0" w:tplc="04260005">
      <w:start w:val="1"/>
      <w:numFmt w:val="bullet"/>
      <w:lvlText w:val=""/>
      <w:lvlJc w:val="left"/>
      <w:pPr>
        <w:ind w:left="794" w:hanging="360"/>
      </w:pPr>
      <w:rPr>
        <w:rFonts w:ascii="Wingdings" w:hAnsi="Wingdings" w:hint="default"/>
      </w:rPr>
    </w:lvl>
    <w:lvl w:ilvl="1" w:tplc="04260003" w:tentative="1">
      <w:start w:val="1"/>
      <w:numFmt w:val="bullet"/>
      <w:lvlText w:val="o"/>
      <w:lvlJc w:val="left"/>
      <w:pPr>
        <w:ind w:left="1514" w:hanging="360"/>
      </w:pPr>
      <w:rPr>
        <w:rFonts w:ascii="Courier New" w:hAnsi="Courier New" w:cs="Courier New" w:hint="default"/>
      </w:rPr>
    </w:lvl>
    <w:lvl w:ilvl="2" w:tplc="04260005" w:tentative="1">
      <w:start w:val="1"/>
      <w:numFmt w:val="bullet"/>
      <w:lvlText w:val=""/>
      <w:lvlJc w:val="left"/>
      <w:pPr>
        <w:ind w:left="2234" w:hanging="360"/>
      </w:pPr>
      <w:rPr>
        <w:rFonts w:ascii="Wingdings" w:hAnsi="Wingdings" w:hint="default"/>
      </w:rPr>
    </w:lvl>
    <w:lvl w:ilvl="3" w:tplc="04260001" w:tentative="1">
      <w:start w:val="1"/>
      <w:numFmt w:val="bullet"/>
      <w:lvlText w:val=""/>
      <w:lvlJc w:val="left"/>
      <w:pPr>
        <w:ind w:left="2954" w:hanging="360"/>
      </w:pPr>
      <w:rPr>
        <w:rFonts w:ascii="Symbol" w:hAnsi="Symbol" w:hint="default"/>
      </w:rPr>
    </w:lvl>
    <w:lvl w:ilvl="4" w:tplc="04260003" w:tentative="1">
      <w:start w:val="1"/>
      <w:numFmt w:val="bullet"/>
      <w:lvlText w:val="o"/>
      <w:lvlJc w:val="left"/>
      <w:pPr>
        <w:ind w:left="3674" w:hanging="360"/>
      </w:pPr>
      <w:rPr>
        <w:rFonts w:ascii="Courier New" w:hAnsi="Courier New" w:cs="Courier New" w:hint="default"/>
      </w:rPr>
    </w:lvl>
    <w:lvl w:ilvl="5" w:tplc="04260005" w:tentative="1">
      <w:start w:val="1"/>
      <w:numFmt w:val="bullet"/>
      <w:lvlText w:val=""/>
      <w:lvlJc w:val="left"/>
      <w:pPr>
        <w:ind w:left="4394" w:hanging="360"/>
      </w:pPr>
      <w:rPr>
        <w:rFonts w:ascii="Wingdings" w:hAnsi="Wingdings" w:hint="default"/>
      </w:rPr>
    </w:lvl>
    <w:lvl w:ilvl="6" w:tplc="04260001" w:tentative="1">
      <w:start w:val="1"/>
      <w:numFmt w:val="bullet"/>
      <w:lvlText w:val=""/>
      <w:lvlJc w:val="left"/>
      <w:pPr>
        <w:ind w:left="5114" w:hanging="360"/>
      </w:pPr>
      <w:rPr>
        <w:rFonts w:ascii="Symbol" w:hAnsi="Symbol" w:hint="default"/>
      </w:rPr>
    </w:lvl>
    <w:lvl w:ilvl="7" w:tplc="04260003" w:tentative="1">
      <w:start w:val="1"/>
      <w:numFmt w:val="bullet"/>
      <w:lvlText w:val="o"/>
      <w:lvlJc w:val="left"/>
      <w:pPr>
        <w:ind w:left="5834" w:hanging="360"/>
      </w:pPr>
      <w:rPr>
        <w:rFonts w:ascii="Courier New" w:hAnsi="Courier New" w:cs="Courier New" w:hint="default"/>
      </w:rPr>
    </w:lvl>
    <w:lvl w:ilvl="8" w:tplc="04260005" w:tentative="1">
      <w:start w:val="1"/>
      <w:numFmt w:val="bullet"/>
      <w:lvlText w:val=""/>
      <w:lvlJc w:val="left"/>
      <w:pPr>
        <w:ind w:left="6554" w:hanging="360"/>
      </w:pPr>
      <w:rPr>
        <w:rFonts w:ascii="Wingdings" w:hAnsi="Wingdings" w:hint="default"/>
      </w:rPr>
    </w:lvl>
  </w:abstractNum>
  <w:abstractNum w:abstractNumId="23" w15:restartNumberingAfterBreak="0">
    <w:nsid w:val="65DE5300"/>
    <w:multiLevelType w:val="hybridMultilevel"/>
    <w:tmpl w:val="E1B6BAC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111DC3"/>
    <w:multiLevelType w:val="hybridMultilevel"/>
    <w:tmpl w:val="E2A46824"/>
    <w:lvl w:ilvl="0" w:tplc="04260005">
      <w:start w:val="1"/>
      <w:numFmt w:val="bullet"/>
      <w:lvlText w:val=""/>
      <w:lvlJc w:val="left"/>
      <w:pPr>
        <w:ind w:left="792" w:hanging="360"/>
      </w:pPr>
      <w:rPr>
        <w:rFonts w:ascii="Wingdings" w:hAnsi="Wingdings"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25" w15:restartNumberingAfterBreak="0">
    <w:nsid w:val="76877437"/>
    <w:multiLevelType w:val="hybridMultilevel"/>
    <w:tmpl w:val="7CFA0726"/>
    <w:lvl w:ilvl="0" w:tplc="0EA2AEEE">
      <w:start w:val="1"/>
      <w:numFmt w:val="decimal"/>
      <w:lvlText w:val="%1."/>
      <w:lvlJc w:val="left"/>
      <w:pPr>
        <w:ind w:left="432" w:hanging="360"/>
      </w:pPr>
      <w:rPr>
        <w:rFonts w:hint="default"/>
      </w:rPr>
    </w:lvl>
    <w:lvl w:ilvl="1" w:tplc="04260019" w:tentative="1">
      <w:start w:val="1"/>
      <w:numFmt w:val="lowerLetter"/>
      <w:lvlText w:val="%2."/>
      <w:lvlJc w:val="left"/>
      <w:pPr>
        <w:ind w:left="1152" w:hanging="360"/>
      </w:pPr>
    </w:lvl>
    <w:lvl w:ilvl="2" w:tplc="0426001B" w:tentative="1">
      <w:start w:val="1"/>
      <w:numFmt w:val="lowerRoman"/>
      <w:lvlText w:val="%3."/>
      <w:lvlJc w:val="right"/>
      <w:pPr>
        <w:ind w:left="1872" w:hanging="180"/>
      </w:pPr>
    </w:lvl>
    <w:lvl w:ilvl="3" w:tplc="0426000F" w:tentative="1">
      <w:start w:val="1"/>
      <w:numFmt w:val="decimal"/>
      <w:lvlText w:val="%4."/>
      <w:lvlJc w:val="left"/>
      <w:pPr>
        <w:ind w:left="2592" w:hanging="360"/>
      </w:pPr>
    </w:lvl>
    <w:lvl w:ilvl="4" w:tplc="04260019" w:tentative="1">
      <w:start w:val="1"/>
      <w:numFmt w:val="lowerLetter"/>
      <w:lvlText w:val="%5."/>
      <w:lvlJc w:val="left"/>
      <w:pPr>
        <w:ind w:left="3312" w:hanging="360"/>
      </w:pPr>
    </w:lvl>
    <w:lvl w:ilvl="5" w:tplc="0426001B" w:tentative="1">
      <w:start w:val="1"/>
      <w:numFmt w:val="lowerRoman"/>
      <w:lvlText w:val="%6."/>
      <w:lvlJc w:val="right"/>
      <w:pPr>
        <w:ind w:left="4032" w:hanging="180"/>
      </w:pPr>
    </w:lvl>
    <w:lvl w:ilvl="6" w:tplc="0426000F" w:tentative="1">
      <w:start w:val="1"/>
      <w:numFmt w:val="decimal"/>
      <w:lvlText w:val="%7."/>
      <w:lvlJc w:val="left"/>
      <w:pPr>
        <w:ind w:left="4752" w:hanging="360"/>
      </w:pPr>
    </w:lvl>
    <w:lvl w:ilvl="7" w:tplc="04260019" w:tentative="1">
      <w:start w:val="1"/>
      <w:numFmt w:val="lowerLetter"/>
      <w:lvlText w:val="%8."/>
      <w:lvlJc w:val="left"/>
      <w:pPr>
        <w:ind w:left="5472" w:hanging="360"/>
      </w:pPr>
    </w:lvl>
    <w:lvl w:ilvl="8" w:tplc="0426001B" w:tentative="1">
      <w:start w:val="1"/>
      <w:numFmt w:val="lowerRoman"/>
      <w:lvlText w:val="%9."/>
      <w:lvlJc w:val="right"/>
      <w:pPr>
        <w:ind w:left="6192" w:hanging="180"/>
      </w:pPr>
    </w:lvl>
  </w:abstractNum>
  <w:num w:numId="1">
    <w:abstractNumId w:val="9"/>
  </w:num>
  <w:num w:numId="2">
    <w:abstractNumId w:val="17"/>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25"/>
  </w:num>
  <w:num w:numId="14">
    <w:abstractNumId w:val="19"/>
  </w:num>
  <w:num w:numId="15">
    <w:abstractNumId w:val="12"/>
  </w:num>
  <w:num w:numId="16">
    <w:abstractNumId w:val="11"/>
  </w:num>
  <w:num w:numId="17">
    <w:abstractNumId w:val="23"/>
  </w:num>
  <w:num w:numId="18">
    <w:abstractNumId w:val="10"/>
  </w:num>
  <w:num w:numId="19">
    <w:abstractNumId w:val="24"/>
  </w:num>
  <w:num w:numId="20">
    <w:abstractNumId w:val="14"/>
  </w:num>
  <w:num w:numId="21">
    <w:abstractNumId w:val="16"/>
  </w:num>
  <w:num w:numId="22">
    <w:abstractNumId w:val="22"/>
  </w:num>
  <w:num w:numId="23">
    <w:abstractNumId w:val="13"/>
  </w:num>
  <w:num w:numId="24">
    <w:abstractNumId w:val="15"/>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20"/>
    <w:rsid w:val="000000EC"/>
    <w:rsid w:val="00020A3F"/>
    <w:rsid w:val="00023E6D"/>
    <w:rsid w:val="000339CA"/>
    <w:rsid w:val="000357E2"/>
    <w:rsid w:val="000410E0"/>
    <w:rsid w:val="00043856"/>
    <w:rsid w:val="00060701"/>
    <w:rsid w:val="00067E02"/>
    <w:rsid w:val="00070E18"/>
    <w:rsid w:val="0007116C"/>
    <w:rsid w:val="00072FE0"/>
    <w:rsid w:val="0008286C"/>
    <w:rsid w:val="00086BAE"/>
    <w:rsid w:val="00090693"/>
    <w:rsid w:val="00096268"/>
    <w:rsid w:val="000A70CE"/>
    <w:rsid w:val="000B615F"/>
    <w:rsid w:val="000C3839"/>
    <w:rsid w:val="000C443E"/>
    <w:rsid w:val="000E43FB"/>
    <w:rsid w:val="000E54C1"/>
    <w:rsid w:val="000E5F1C"/>
    <w:rsid w:val="000F0D81"/>
    <w:rsid w:val="000F3F9F"/>
    <w:rsid w:val="00100AE6"/>
    <w:rsid w:val="001013A0"/>
    <w:rsid w:val="00103DF3"/>
    <w:rsid w:val="00107CB6"/>
    <w:rsid w:val="001119A7"/>
    <w:rsid w:val="00113C6A"/>
    <w:rsid w:val="001225DD"/>
    <w:rsid w:val="00123290"/>
    <w:rsid w:val="001235F0"/>
    <w:rsid w:val="00132602"/>
    <w:rsid w:val="0013333F"/>
    <w:rsid w:val="001451E5"/>
    <w:rsid w:val="001531B1"/>
    <w:rsid w:val="0015369D"/>
    <w:rsid w:val="00157DAD"/>
    <w:rsid w:val="00157E28"/>
    <w:rsid w:val="00165024"/>
    <w:rsid w:val="0016546E"/>
    <w:rsid w:val="00174BFB"/>
    <w:rsid w:val="00176864"/>
    <w:rsid w:val="00182954"/>
    <w:rsid w:val="001912D4"/>
    <w:rsid w:val="00192677"/>
    <w:rsid w:val="00193898"/>
    <w:rsid w:val="001A25D8"/>
    <w:rsid w:val="001A296A"/>
    <w:rsid w:val="001A5775"/>
    <w:rsid w:val="001C3E1A"/>
    <w:rsid w:val="001C622E"/>
    <w:rsid w:val="001C64C4"/>
    <w:rsid w:val="001C799D"/>
    <w:rsid w:val="001D3E9B"/>
    <w:rsid w:val="001D5715"/>
    <w:rsid w:val="001E0572"/>
    <w:rsid w:val="001E21B2"/>
    <w:rsid w:val="001E5B5F"/>
    <w:rsid w:val="001E69D0"/>
    <w:rsid w:val="001F5512"/>
    <w:rsid w:val="001F77B5"/>
    <w:rsid w:val="00203A7D"/>
    <w:rsid w:val="002272ED"/>
    <w:rsid w:val="002276A0"/>
    <w:rsid w:val="00243400"/>
    <w:rsid w:val="00250B56"/>
    <w:rsid w:val="00250E05"/>
    <w:rsid w:val="00263E41"/>
    <w:rsid w:val="0027286D"/>
    <w:rsid w:val="002740A4"/>
    <w:rsid w:val="00275017"/>
    <w:rsid w:val="00276211"/>
    <w:rsid w:val="00286E5E"/>
    <w:rsid w:val="0028752A"/>
    <w:rsid w:val="002B02B6"/>
    <w:rsid w:val="002B21AE"/>
    <w:rsid w:val="002D0BE0"/>
    <w:rsid w:val="002D349F"/>
    <w:rsid w:val="002D5411"/>
    <w:rsid w:val="002D55D8"/>
    <w:rsid w:val="002E7B64"/>
    <w:rsid w:val="002F0055"/>
    <w:rsid w:val="002F72C2"/>
    <w:rsid w:val="00305280"/>
    <w:rsid w:val="00312DD5"/>
    <w:rsid w:val="00320B00"/>
    <w:rsid w:val="00334E8F"/>
    <w:rsid w:val="00335774"/>
    <w:rsid w:val="0033593E"/>
    <w:rsid w:val="00336FB0"/>
    <w:rsid w:val="0035124E"/>
    <w:rsid w:val="003544BD"/>
    <w:rsid w:val="00374675"/>
    <w:rsid w:val="00381D48"/>
    <w:rsid w:val="00385E96"/>
    <w:rsid w:val="003861F1"/>
    <w:rsid w:val="00387BC9"/>
    <w:rsid w:val="00391E32"/>
    <w:rsid w:val="003921B8"/>
    <w:rsid w:val="00397C21"/>
    <w:rsid w:val="00397D91"/>
    <w:rsid w:val="003A08BB"/>
    <w:rsid w:val="003B237D"/>
    <w:rsid w:val="003B3D1F"/>
    <w:rsid w:val="003B3ED1"/>
    <w:rsid w:val="003F69E9"/>
    <w:rsid w:val="004061BE"/>
    <w:rsid w:val="00407A5A"/>
    <w:rsid w:val="00407CA0"/>
    <w:rsid w:val="004105E6"/>
    <w:rsid w:val="004129F8"/>
    <w:rsid w:val="00421C41"/>
    <w:rsid w:val="004270FD"/>
    <w:rsid w:val="00441063"/>
    <w:rsid w:val="004526A1"/>
    <w:rsid w:val="004534A5"/>
    <w:rsid w:val="004566FA"/>
    <w:rsid w:val="00456814"/>
    <w:rsid w:val="00461656"/>
    <w:rsid w:val="00480EB7"/>
    <w:rsid w:val="00484865"/>
    <w:rsid w:val="00492A99"/>
    <w:rsid w:val="0049308C"/>
    <w:rsid w:val="00493BCF"/>
    <w:rsid w:val="00495232"/>
    <w:rsid w:val="004A2D0E"/>
    <w:rsid w:val="004A47D4"/>
    <w:rsid w:val="004A4EC4"/>
    <w:rsid w:val="004B6B8A"/>
    <w:rsid w:val="004C070A"/>
    <w:rsid w:val="004C6DEC"/>
    <w:rsid w:val="004D1823"/>
    <w:rsid w:val="004D676D"/>
    <w:rsid w:val="004E362E"/>
    <w:rsid w:val="004E7A19"/>
    <w:rsid w:val="004F7BA2"/>
    <w:rsid w:val="00527EEC"/>
    <w:rsid w:val="005331CA"/>
    <w:rsid w:val="00541DA2"/>
    <w:rsid w:val="00543A28"/>
    <w:rsid w:val="0054490D"/>
    <w:rsid w:val="00544F2F"/>
    <w:rsid w:val="005504AE"/>
    <w:rsid w:val="00550D02"/>
    <w:rsid w:val="005530F4"/>
    <w:rsid w:val="00553BC6"/>
    <w:rsid w:val="00556D10"/>
    <w:rsid w:val="005618CD"/>
    <w:rsid w:val="00563232"/>
    <w:rsid w:val="00571070"/>
    <w:rsid w:val="00571A1C"/>
    <w:rsid w:val="005730E7"/>
    <w:rsid w:val="0057444E"/>
    <w:rsid w:val="00574C78"/>
    <w:rsid w:val="0058644B"/>
    <w:rsid w:val="00587289"/>
    <w:rsid w:val="00590E62"/>
    <w:rsid w:val="00596885"/>
    <w:rsid w:val="005A101D"/>
    <w:rsid w:val="005A3738"/>
    <w:rsid w:val="005B3339"/>
    <w:rsid w:val="005B4947"/>
    <w:rsid w:val="005C70E1"/>
    <w:rsid w:val="005D43B7"/>
    <w:rsid w:val="005F0867"/>
    <w:rsid w:val="005F4CC4"/>
    <w:rsid w:val="005F4CF5"/>
    <w:rsid w:val="005F50F7"/>
    <w:rsid w:val="005F64F8"/>
    <w:rsid w:val="005F7F38"/>
    <w:rsid w:val="006003DA"/>
    <w:rsid w:val="00603C46"/>
    <w:rsid w:val="006070DF"/>
    <w:rsid w:val="00610BAD"/>
    <w:rsid w:val="006135B3"/>
    <w:rsid w:val="0062084D"/>
    <w:rsid w:val="006247CA"/>
    <w:rsid w:val="0063030A"/>
    <w:rsid w:val="00636C3A"/>
    <w:rsid w:val="00647D7A"/>
    <w:rsid w:val="00652CD0"/>
    <w:rsid w:val="006537E5"/>
    <w:rsid w:val="00653EB5"/>
    <w:rsid w:val="0065694F"/>
    <w:rsid w:val="00660B21"/>
    <w:rsid w:val="006616B4"/>
    <w:rsid w:val="006647CB"/>
    <w:rsid w:val="00671DB0"/>
    <w:rsid w:val="00676E52"/>
    <w:rsid w:val="00684C00"/>
    <w:rsid w:val="00690A27"/>
    <w:rsid w:val="00694336"/>
    <w:rsid w:val="006A2407"/>
    <w:rsid w:val="006A27A6"/>
    <w:rsid w:val="006B04E1"/>
    <w:rsid w:val="006B3D0F"/>
    <w:rsid w:val="006C2782"/>
    <w:rsid w:val="006D383A"/>
    <w:rsid w:val="006E515D"/>
    <w:rsid w:val="006E60F3"/>
    <w:rsid w:val="006E7FDB"/>
    <w:rsid w:val="006F1602"/>
    <w:rsid w:val="006F1719"/>
    <w:rsid w:val="00700112"/>
    <w:rsid w:val="00700717"/>
    <w:rsid w:val="00702478"/>
    <w:rsid w:val="00707770"/>
    <w:rsid w:val="00714CE5"/>
    <w:rsid w:val="0072570B"/>
    <w:rsid w:val="00726B86"/>
    <w:rsid w:val="007321A3"/>
    <w:rsid w:val="00736E05"/>
    <w:rsid w:val="007374A3"/>
    <w:rsid w:val="0073799C"/>
    <w:rsid w:val="007437E3"/>
    <w:rsid w:val="007503E0"/>
    <w:rsid w:val="00752277"/>
    <w:rsid w:val="007526F3"/>
    <w:rsid w:val="00753A32"/>
    <w:rsid w:val="007565B0"/>
    <w:rsid w:val="00765FBA"/>
    <w:rsid w:val="00765FD9"/>
    <w:rsid w:val="00773971"/>
    <w:rsid w:val="007801C5"/>
    <w:rsid w:val="00781BD8"/>
    <w:rsid w:val="00792244"/>
    <w:rsid w:val="007937AC"/>
    <w:rsid w:val="00793FB6"/>
    <w:rsid w:val="00797A67"/>
    <w:rsid w:val="007A39BD"/>
    <w:rsid w:val="007A43F2"/>
    <w:rsid w:val="007B0BE8"/>
    <w:rsid w:val="007B3984"/>
    <w:rsid w:val="007B771B"/>
    <w:rsid w:val="007B7ABD"/>
    <w:rsid w:val="007C0E0B"/>
    <w:rsid w:val="007C5C40"/>
    <w:rsid w:val="007D7486"/>
    <w:rsid w:val="007D7AC3"/>
    <w:rsid w:val="007E3C04"/>
    <w:rsid w:val="007F0642"/>
    <w:rsid w:val="0080671D"/>
    <w:rsid w:val="00811760"/>
    <w:rsid w:val="008141A3"/>
    <w:rsid w:val="00822A8D"/>
    <w:rsid w:val="0082356D"/>
    <w:rsid w:val="0082519D"/>
    <w:rsid w:val="00825831"/>
    <w:rsid w:val="00826D5C"/>
    <w:rsid w:val="00831731"/>
    <w:rsid w:val="00835D0A"/>
    <w:rsid w:val="00845B7F"/>
    <w:rsid w:val="00847241"/>
    <w:rsid w:val="00851B81"/>
    <w:rsid w:val="00852FE0"/>
    <w:rsid w:val="00854B46"/>
    <w:rsid w:val="00864623"/>
    <w:rsid w:val="008722A5"/>
    <w:rsid w:val="00874542"/>
    <w:rsid w:val="0087475E"/>
    <w:rsid w:val="00877BC3"/>
    <w:rsid w:val="00882470"/>
    <w:rsid w:val="00884518"/>
    <w:rsid w:val="00892C37"/>
    <w:rsid w:val="00897FF7"/>
    <w:rsid w:val="008A63E1"/>
    <w:rsid w:val="008B0BEC"/>
    <w:rsid w:val="008B3161"/>
    <w:rsid w:val="008B446A"/>
    <w:rsid w:val="008B4FD0"/>
    <w:rsid w:val="008D0F40"/>
    <w:rsid w:val="008D6590"/>
    <w:rsid w:val="008E102D"/>
    <w:rsid w:val="008F5AF5"/>
    <w:rsid w:val="00907CBB"/>
    <w:rsid w:val="00913AE4"/>
    <w:rsid w:val="0091709F"/>
    <w:rsid w:val="009222BE"/>
    <w:rsid w:val="00925D31"/>
    <w:rsid w:val="00932EDC"/>
    <w:rsid w:val="0093388C"/>
    <w:rsid w:val="0093775B"/>
    <w:rsid w:val="00952C84"/>
    <w:rsid w:val="009573EE"/>
    <w:rsid w:val="00961D2F"/>
    <w:rsid w:val="009705F8"/>
    <w:rsid w:val="00976A9B"/>
    <w:rsid w:val="00983F57"/>
    <w:rsid w:val="009846E0"/>
    <w:rsid w:val="00986487"/>
    <w:rsid w:val="009927DA"/>
    <w:rsid w:val="00993753"/>
    <w:rsid w:val="0099384F"/>
    <w:rsid w:val="0099385A"/>
    <w:rsid w:val="00997E28"/>
    <w:rsid w:val="009A1773"/>
    <w:rsid w:val="009A32A1"/>
    <w:rsid w:val="009A47A7"/>
    <w:rsid w:val="009B235D"/>
    <w:rsid w:val="009B3A71"/>
    <w:rsid w:val="009B5F95"/>
    <w:rsid w:val="009D2873"/>
    <w:rsid w:val="009D624E"/>
    <w:rsid w:val="009F195E"/>
    <w:rsid w:val="009F2691"/>
    <w:rsid w:val="009F6F78"/>
    <w:rsid w:val="00A04BB5"/>
    <w:rsid w:val="00A11634"/>
    <w:rsid w:val="00A14364"/>
    <w:rsid w:val="00A2548A"/>
    <w:rsid w:val="00A26A30"/>
    <w:rsid w:val="00A31CAE"/>
    <w:rsid w:val="00A378C4"/>
    <w:rsid w:val="00A37C40"/>
    <w:rsid w:val="00A43F02"/>
    <w:rsid w:val="00A57539"/>
    <w:rsid w:val="00A600C5"/>
    <w:rsid w:val="00A61D18"/>
    <w:rsid w:val="00A65B77"/>
    <w:rsid w:val="00A70B3E"/>
    <w:rsid w:val="00A72CC5"/>
    <w:rsid w:val="00A76DA9"/>
    <w:rsid w:val="00A84613"/>
    <w:rsid w:val="00AA3EB6"/>
    <w:rsid w:val="00AB33B0"/>
    <w:rsid w:val="00AB5FBC"/>
    <w:rsid w:val="00AB7C5F"/>
    <w:rsid w:val="00AC6C4E"/>
    <w:rsid w:val="00AD3D56"/>
    <w:rsid w:val="00AF640D"/>
    <w:rsid w:val="00AF776D"/>
    <w:rsid w:val="00B01671"/>
    <w:rsid w:val="00B03F75"/>
    <w:rsid w:val="00B10ACC"/>
    <w:rsid w:val="00B135C3"/>
    <w:rsid w:val="00B16031"/>
    <w:rsid w:val="00B20633"/>
    <w:rsid w:val="00B20CFA"/>
    <w:rsid w:val="00B2137B"/>
    <w:rsid w:val="00B33183"/>
    <w:rsid w:val="00B42545"/>
    <w:rsid w:val="00B475C2"/>
    <w:rsid w:val="00B53621"/>
    <w:rsid w:val="00B55F12"/>
    <w:rsid w:val="00B579DE"/>
    <w:rsid w:val="00B67252"/>
    <w:rsid w:val="00B71957"/>
    <w:rsid w:val="00B74F91"/>
    <w:rsid w:val="00B800C1"/>
    <w:rsid w:val="00B83213"/>
    <w:rsid w:val="00B84D9A"/>
    <w:rsid w:val="00B85877"/>
    <w:rsid w:val="00B862E7"/>
    <w:rsid w:val="00B87079"/>
    <w:rsid w:val="00B87B4C"/>
    <w:rsid w:val="00B90B2B"/>
    <w:rsid w:val="00B91665"/>
    <w:rsid w:val="00BB1767"/>
    <w:rsid w:val="00BB5188"/>
    <w:rsid w:val="00BC1D72"/>
    <w:rsid w:val="00BC64D7"/>
    <w:rsid w:val="00BD15A8"/>
    <w:rsid w:val="00BD3DC5"/>
    <w:rsid w:val="00BF020C"/>
    <w:rsid w:val="00C033DF"/>
    <w:rsid w:val="00C05277"/>
    <w:rsid w:val="00C07551"/>
    <w:rsid w:val="00C20051"/>
    <w:rsid w:val="00C20C02"/>
    <w:rsid w:val="00C21871"/>
    <w:rsid w:val="00C21BA8"/>
    <w:rsid w:val="00C22066"/>
    <w:rsid w:val="00C34E0D"/>
    <w:rsid w:val="00C416BE"/>
    <w:rsid w:val="00C41938"/>
    <w:rsid w:val="00C4372C"/>
    <w:rsid w:val="00C4717D"/>
    <w:rsid w:val="00C54BE5"/>
    <w:rsid w:val="00C61E9C"/>
    <w:rsid w:val="00C62564"/>
    <w:rsid w:val="00C62CE3"/>
    <w:rsid w:val="00C647F6"/>
    <w:rsid w:val="00C64B77"/>
    <w:rsid w:val="00C6525E"/>
    <w:rsid w:val="00C80D53"/>
    <w:rsid w:val="00C86623"/>
    <w:rsid w:val="00C9612D"/>
    <w:rsid w:val="00CA3DFC"/>
    <w:rsid w:val="00CB51E9"/>
    <w:rsid w:val="00CB5473"/>
    <w:rsid w:val="00CB75AA"/>
    <w:rsid w:val="00CC344E"/>
    <w:rsid w:val="00CC5AAF"/>
    <w:rsid w:val="00CC6923"/>
    <w:rsid w:val="00CD4A6E"/>
    <w:rsid w:val="00CD6F04"/>
    <w:rsid w:val="00CF0AF5"/>
    <w:rsid w:val="00CF2A52"/>
    <w:rsid w:val="00D06BFE"/>
    <w:rsid w:val="00D12F63"/>
    <w:rsid w:val="00D16BDB"/>
    <w:rsid w:val="00D3264C"/>
    <w:rsid w:val="00D343AE"/>
    <w:rsid w:val="00D405ED"/>
    <w:rsid w:val="00D44398"/>
    <w:rsid w:val="00D448FA"/>
    <w:rsid w:val="00D47840"/>
    <w:rsid w:val="00D50AB2"/>
    <w:rsid w:val="00D50F67"/>
    <w:rsid w:val="00D5390D"/>
    <w:rsid w:val="00D622FE"/>
    <w:rsid w:val="00D63FBB"/>
    <w:rsid w:val="00D657AC"/>
    <w:rsid w:val="00D74994"/>
    <w:rsid w:val="00D835D5"/>
    <w:rsid w:val="00D915DA"/>
    <w:rsid w:val="00D9403F"/>
    <w:rsid w:val="00D95A23"/>
    <w:rsid w:val="00DA0B66"/>
    <w:rsid w:val="00DA2793"/>
    <w:rsid w:val="00DA2819"/>
    <w:rsid w:val="00DC2E40"/>
    <w:rsid w:val="00DC308D"/>
    <w:rsid w:val="00DC3A00"/>
    <w:rsid w:val="00DC67DF"/>
    <w:rsid w:val="00DC7220"/>
    <w:rsid w:val="00DE1DAC"/>
    <w:rsid w:val="00DE64FD"/>
    <w:rsid w:val="00DE6929"/>
    <w:rsid w:val="00DF58CC"/>
    <w:rsid w:val="00E01155"/>
    <w:rsid w:val="00E11D78"/>
    <w:rsid w:val="00E17598"/>
    <w:rsid w:val="00E236F8"/>
    <w:rsid w:val="00E2372F"/>
    <w:rsid w:val="00E279B8"/>
    <w:rsid w:val="00E309EA"/>
    <w:rsid w:val="00E30EE8"/>
    <w:rsid w:val="00E32115"/>
    <w:rsid w:val="00E35CA0"/>
    <w:rsid w:val="00E423E0"/>
    <w:rsid w:val="00E45A28"/>
    <w:rsid w:val="00E527CB"/>
    <w:rsid w:val="00E65FA0"/>
    <w:rsid w:val="00E704EC"/>
    <w:rsid w:val="00E71FFF"/>
    <w:rsid w:val="00E756E6"/>
    <w:rsid w:val="00E80555"/>
    <w:rsid w:val="00E87A51"/>
    <w:rsid w:val="00EA05B8"/>
    <w:rsid w:val="00EA5C2E"/>
    <w:rsid w:val="00EA70A9"/>
    <w:rsid w:val="00EB203B"/>
    <w:rsid w:val="00EB2A3D"/>
    <w:rsid w:val="00EC020E"/>
    <w:rsid w:val="00EC5937"/>
    <w:rsid w:val="00ED4069"/>
    <w:rsid w:val="00ED61AA"/>
    <w:rsid w:val="00ED7C39"/>
    <w:rsid w:val="00EE1CC8"/>
    <w:rsid w:val="00EF0945"/>
    <w:rsid w:val="00F029C5"/>
    <w:rsid w:val="00F04DEC"/>
    <w:rsid w:val="00F060B0"/>
    <w:rsid w:val="00F0772A"/>
    <w:rsid w:val="00F109FB"/>
    <w:rsid w:val="00F10CFB"/>
    <w:rsid w:val="00F14EC4"/>
    <w:rsid w:val="00F17DAE"/>
    <w:rsid w:val="00F225FE"/>
    <w:rsid w:val="00F23978"/>
    <w:rsid w:val="00F248B0"/>
    <w:rsid w:val="00F2495D"/>
    <w:rsid w:val="00F32421"/>
    <w:rsid w:val="00F379B5"/>
    <w:rsid w:val="00F42A2A"/>
    <w:rsid w:val="00F518D8"/>
    <w:rsid w:val="00F562FD"/>
    <w:rsid w:val="00F639F0"/>
    <w:rsid w:val="00F65D03"/>
    <w:rsid w:val="00F6635A"/>
    <w:rsid w:val="00F70096"/>
    <w:rsid w:val="00F744BD"/>
    <w:rsid w:val="00F84010"/>
    <w:rsid w:val="00F852B6"/>
    <w:rsid w:val="00F85D42"/>
    <w:rsid w:val="00F91E50"/>
    <w:rsid w:val="00F95FEF"/>
    <w:rsid w:val="00FA443D"/>
    <w:rsid w:val="00FA7B12"/>
    <w:rsid w:val="00FB42A0"/>
    <w:rsid w:val="00FC3E92"/>
    <w:rsid w:val="00FC41E3"/>
    <w:rsid w:val="00FC5014"/>
    <w:rsid w:val="00FD46D4"/>
    <w:rsid w:val="00FD592F"/>
    <w:rsid w:val="00FE092F"/>
    <w:rsid w:val="00FF224C"/>
    <w:rsid w:val="00FF59D5"/>
    <w:rsid w:val="00FF606C"/>
    <w:rsid w:val="00FF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6A01D67"/>
  <w15:chartTrackingRefBased/>
  <w15:docId w15:val="{FFE20EFD-891A-4C7A-8005-0E0A83BB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9D5"/>
    <w:pPr>
      <w:spacing w:after="120" w:line="240" w:lineRule="auto"/>
      <w:ind w:left="72" w:right="72"/>
      <w:jc w:val="both"/>
    </w:pPr>
    <w:rPr>
      <w:rFonts w:ascii="Times New Roman" w:hAnsi="Times New Roman"/>
      <w:sz w:val="24"/>
      <w:lang w:val="lv-LV"/>
    </w:rPr>
  </w:style>
  <w:style w:type="paragraph" w:styleId="Heading1">
    <w:name w:val="heading 1"/>
    <w:basedOn w:val="Normal"/>
    <w:next w:val="Normal"/>
    <w:link w:val="Heading1Char"/>
    <w:uiPriority w:val="1"/>
    <w:qFormat/>
    <w:rsid w:val="0013333F"/>
    <w:pPr>
      <w:keepNext/>
      <w:keepLines/>
      <w:spacing w:after="40"/>
      <w:outlineLvl w:val="0"/>
    </w:pPr>
    <w:rPr>
      <w:rFonts w:asciiTheme="majorHAnsi" w:eastAsiaTheme="majorEastAsia" w:hAnsiTheme="majorHAnsi" w:cstheme="majorBidi"/>
      <w:caps/>
      <w:color w:val="355D7E" w:themeColor="accent1" w:themeShade="80"/>
      <w:sz w:val="28"/>
      <w:szCs w:val="28"/>
    </w:rPr>
  </w:style>
  <w:style w:type="paragraph" w:styleId="Heading2">
    <w:name w:val="heading 2"/>
    <w:basedOn w:val="Normal"/>
    <w:next w:val="Normal"/>
    <w:link w:val="Heading2Char"/>
    <w:uiPriority w:val="1"/>
    <w:qFormat/>
    <w:rsid w:val="0013333F"/>
    <w:pPr>
      <w:keepNext/>
      <w:keepLines/>
      <w:spacing w:before="120"/>
      <w:outlineLvl w:val="1"/>
    </w:pPr>
    <w:rPr>
      <w:rFonts w:asciiTheme="majorHAnsi" w:eastAsiaTheme="majorEastAsia" w:hAnsiTheme="majorHAnsi" w:cstheme="majorBidi"/>
      <w:caps/>
      <w:color w:val="B85A22" w:themeColor="accent2" w:themeShade="BF"/>
      <w:szCs w:val="24"/>
    </w:rPr>
  </w:style>
  <w:style w:type="paragraph" w:styleId="Heading3">
    <w:name w:val="heading 3"/>
    <w:basedOn w:val="Normal"/>
    <w:next w:val="Normal"/>
    <w:link w:val="Heading3Char"/>
    <w:uiPriority w:val="1"/>
    <w:qFormat/>
    <w:rsid w:val="0013333F"/>
    <w:pPr>
      <w:keepNext/>
      <w:keepLines/>
      <w:spacing w:before="120"/>
      <w:outlineLvl w:val="2"/>
    </w:pPr>
    <w:rPr>
      <w:rFonts w:asciiTheme="majorHAnsi" w:eastAsiaTheme="majorEastAsia" w:hAnsiTheme="majorHAnsi" w:cstheme="majorBidi"/>
      <w:caps/>
      <w:color w:val="555A3C" w:themeColor="accent3" w:themeShade="80"/>
    </w:rPr>
  </w:style>
  <w:style w:type="paragraph" w:styleId="Heading4">
    <w:name w:val="heading 4"/>
    <w:basedOn w:val="Normal"/>
    <w:next w:val="Normal"/>
    <w:link w:val="Heading4Char"/>
    <w:uiPriority w:val="9"/>
    <w:semiHidden/>
    <w:unhideWhenUsed/>
    <w:pPr>
      <w:keepNext/>
      <w:keepLines/>
      <w:spacing w:before="120" w:after="0"/>
      <w:outlineLvl w:val="3"/>
    </w:pPr>
    <w:rPr>
      <w:rFonts w:asciiTheme="majorHAnsi" w:eastAsiaTheme="majorEastAsia" w:hAnsiTheme="majorHAnsi" w:cstheme="majorBidi"/>
      <w:caps/>
      <w:szCs w:val="24"/>
    </w:rPr>
  </w:style>
  <w:style w:type="paragraph" w:styleId="Heading5">
    <w:name w:val="heading 5"/>
    <w:basedOn w:val="Normal"/>
    <w:next w:val="Normal"/>
    <w:link w:val="Heading5Char"/>
    <w:uiPriority w:val="9"/>
    <w:semiHidden/>
    <w:unhideWhenUsed/>
    <w:qFormat/>
    <w:pPr>
      <w:keepNext/>
      <w:keepLines/>
      <w:spacing w:before="120" w:after="0"/>
      <w:outlineLvl w:val="4"/>
    </w:pPr>
    <w:rPr>
      <w:rFonts w:asciiTheme="majorHAnsi" w:eastAsiaTheme="majorEastAsia" w:hAnsiTheme="majorHAnsi" w:cstheme="majorBidi"/>
      <w:i/>
      <w:iCs/>
      <w:caps/>
      <w:szCs w:val="24"/>
    </w:rPr>
  </w:style>
  <w:style w:type="paragraph" w:styleId="Heading6">
    <w:name w:val="heading 6"/>
    <w:basedOn w:val="Normal"/>
    <w:next w:val="Normal"/>
    <w:link w:val="Heading6Char"/>
    <w:uiPriority w:val="9"/>
    <w:semiHidden/>
    <w:unhideWhenUsed/>
    <w:qFormat/>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3333F"/>
    <w:pPr>
      <w:keepNext/>
      <w:keepLines/>
      <w:spacing w:before="120" w:after="0"/>
      <w:outlineLvl w:val="7"/>
    </w:pPr>
    <w:rPr>
      <w:rFonts w:asciiTheme="majorHAnsi" w:eastAsiaTheme="majorEastAsia" w:hAnsiTheme="majorHAnsi" w:cstheme="majorBidi"/>
      <w:b/>
      <w:bCs/>
      <w:caps/>
      <w:color w:val="595959" w:themeColor="text1" w:themeTint="A6"/>
      <w:sz w:val="20"/>
      <w:szCs w:val="20"/>
    </w:rPr>
  </w:style>
  <w:style w:type="paragraph" w:styleId="Heading9">
    <w:name w:val="heading 9"/>
    <w:basedOn w:val="Normal"/>
    <w:next w:val="Normal"/>
    <w:link w:val="Heading9Char"/>
    <w:uiPriority w:val="9"/>
    <w:semiHidden/>
    <w:unhideWhenUsed/>
    <w:qFormat/>
    <w:rsid w:val="0013333F"/>
    <w:pPr>
      <w:keepNext/>
      <w:keepLines/>
      <w:spacing w:before="120" w:after="0"/>
      <w:outlineLvl w:val="8"/>
    </w:pPr>
    <w:rPr>
      <w:rFonts w:asciiTheme="majorHAnsi" w:eastAsiaTheme="majorEastAsia" w:hAnsiTheme="majorHAnsi" w:cstheme="majorBidi"/>
      <w:b/>
      <w:bCs/>
      <w:i/>
      <w:iCs/>
      <w:cap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333F"/>
    <w:rPr>
      <w:rFonts w:asciiTheme="majorHAnsi" w:eastAsiaTheme="majorEastAsia" w:hAnsiTheme="majorHAnsi" w:cstheme="majorBidi"/>
      <w:caps/>
      <w:color w:val="355D7E" w:themeColor="accent1" w:themeShade="80"/>
      <w:sz w:val="28"/>
      <w:szCs w:val="28"/>
    </w:rPr>
  </w:style>
  <w:style w:type="character" w:customStyle="1" w:styleId="Heading2Char">
    <w:name w:val="Heading 2 Char"/>
    <w:basedOn w:val="DefaultParagraphFont"/>
    <w:link w:val="Heading2"/>
    <w:uiPriority w:val="1"/>
    <w:rsid w:val="0013333F"/>
    <w:rPr>
      <w:rFonts w:asciiTheme="majorHAnsi" w:eastAsiaTheme="majorEastAsia" w:hAnsiTheme="majorHAnsi" w:cstheme="majorBidi"/>
      <w:caps/>
      <w:color w:val="B85A22" w:themeColor="accent2" w:themeShade="BF"/>
      <w:sz w:val="24"/>
      <w:szCs w:val="24"/>
    </w:rPr>
  </w:style>
  <w:style w:type="character" w:customStyle="1" w:styleId="Heading3Char">
    <w:name w:val="Heading 3 Char"/>
    <w:basedOn w:val="DefaultParagraphFont"/>
    <w:link w:val="Heading3"/>
    <w:uiPriority w:val="1"/>
    <w:rsid w:val="0013333F"/>
    <w:rPr>
      <w:rFonts w:asciiTheme="majorHAnsi" w:eastAsiaTheme="majorEastAsia" w:hAnsiTheme="majorHAnsi" w:cstheme="majorBidi"/>
      <w:caps/>
      <w:color w:val="555A3C" w:themeColor="accent3" w:themeShade="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ap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3333F"/>
    <w:rPr>
      <w:rFonts w:asciiTheme="majorHAnsi" w:eastAsiaTheme="majorEastAsia" w:hAnsiTheme="majorHAnsi" w:cstheme="majorBidi"/>
      <w:b/>
      <w:bCs/>
      <w:caps/>
      <w:color w:val="595959" w:themeColor="text1" w:themeTint="A6"/>
      <w:sz w:val="20"/>
      <w:szCs w:val="20"/>
    </w:rPr>
  </w:style>
  <w:style w:type="character" w:customStyle="1" w:styleId="Heading9Char">
    <w:name w:val="Heading 9 Char"/>
    <w:basedOn w:val="DefaultParagraphFont"/>
    <w:link w:val="Heading9"/>
    <w:uiPriority w:val="9"/>
    <w:semiHidden/>
    <w:rsid w:val="0013333F"/>
    <w:rPr>
      <w:rFonts w:asciiTheme="majorHAnsi" w:eastAsiaTheme="majorEastAsia" w:hAnsiTheme="majorHAnsi" w:cstheme="majorBidi"/>
      <w:b/>
      <w:bCs/>
      <w:i/>
      <w:iCs/>
      <w:caps/>
      <w:color w:val="595959" w:themeColor="text1" w:themeTint="A6"/>
      <w:sz w:val="20"/>
      <w:szCs w:val="20"/>
    </w:rPr>
  </w:style>
  <w:style w:type="paragraph" w:styleId="Caption">
    <w:name w:val="caption"/>
    <w:basedOn w:val="Normal"/>
    <w:next w:val="Normal"/>
    <w:uiPriority w:val="35"/>
    <w:unhideWhenUsed/>
    <w:qFormat/>
    <w:rsid w:val="00D657AC"/>
    <w:pPr>
      <w:jc w:val="right"/>
    </w:pPr>
    <w:rPr>
      <w:bCs/>
    </w:rPr>
  </w:style>
  <w:style w:type="paragraph" w:styleId="Title">
    <w:name w:val="Title"/>
    <w:basedOn w:val="Normal"/>
    <w:next w:val="Normal"/>
    <w:link w:val="TitleChar"/>
    <w:uiPriority w:val="1"/>
    <w:qFormat/>
    <w:rsid w:val="0013333F"/>
    <w:pPr>
      <w:spacing w:after="0"/>
      <w:jc w:val="right"/>
    </w:pPr>
    <w:rPr>
      <w:rFonts w:asciiTheme="majorHAnsi" w:eastAsiaTheme="majorEastAsia" w:hAnsiTheme="majorHAnsi" w:cstheme="majorBidi"/>
      <w:caps/>
      <w:color w:val="B85A22" w:themeColor="accent2" w:themeShade="BF"/>
      <w:sz w:val="52"/>
      <w:szCs w:val="52"/>
    </w:rPr>
  </w:style>
  <w:style w:type="character" w:customStyle="1" w:styleId="TitleChar">
    <w:name w:val="Title Char"/>
    <w:basedOn w:val="DefaultParagraphFont"/>
    <w:link w:val="Title"/>
    <w:uiPriority w:val="1"/>
    <w:rsid w:val="0013333F"/>
    <w:rPr>
      <w:rFonts w:asciiTheme="majorHAnsi" w:eastAsiaTheme="majorEastAsia" w:hAnsiTheme="majorHAnsi" w:cstheme="majorBidi"/>
      <w:caps/>
      <w:color w:val="B85A22" w:themeColor="accent2" w:themeShade="BF"/>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ListTable7Colorful-Accent1">
    <w:name w:val="List Table 7 Colorful Accent 1"/>
    <w:basedOn w:val="TableNormal"/>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99"/>
    <w:semiHidden/>
    <w:rsid w:val="0013333F"/>
    <w:rPr>
      <w:color w:val="595959" w:themeColor="text1" w:themeTint="A6"/>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PlainTable4">
    <w:name w:val="Plain Table 4"/>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Header">
    <w:name w:val="header"/>
    <w:basedOn w:val="Normal"/>
    <w:link w:val="HeaderChar"/>
    <w:uiPriority w:val="99"/>
    <w:unhideWhenUsed/>
    <w:pPr>
      <w:spacing w:after="0"/>
      <w:jc w:val="right"/>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style>
  <w:style w:type="character" w:customStyle="1" w:styleId="FooterChar">
    <w:name w:val="Footer Char"/>
    <w:basedOn w:val="DefaultParagraphFont"/>
    <w:link w:val="Footer"/>
    <w:uiPriority w:val="99"/>
  </w:style>
  <w:style w:type="table" w:customStyle="1" w:styleId="Noborders">
    <w:name w:val="No borders"/>
    <w:basedOn w:val="TableNormal"/>
    <w:uiPriority w:val="99"/>
    <w:pPr>
      <w:spacing w:after="0" w:line="240" w:lineRule="auto"/>
    </w:pPr>
    <w:tblPr/>
  </w:style>
  <w:style w:type="table" w:styleId="GridTable1Light-Accent1">
    <w:name w:val="Grid Table 1 Light Accent 1"/>
    <w:aliases w:val="Sample questionnaires table"/>
    <w:basedOn w:val="TableNormal"/>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uiPriority w:val="1"/>
    <w:qFormat/>
    <w:rsid w:val="00E279B8"/>
    <w:pPr>
      <w:spacing w:before="5160" w:after="1440" w:line="720" w:lineRule="auto"/>
      <w:jc w:val="right"/>
    </w:pPr>
    <w:rPr>
      <w:noProof/>
      <w:color w:val="59473F"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pPr>
      <w:spacing w:after="0"/>
      <w:jc w:val="right"/>
    </w:pPr>
    <w:rPr>
      <w:caps/>
    </w:r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character" w:styleId="Strong">
    <w:name w:val="Strong"/>
    <w:basedOn w:val="DefaultParagraphFont"/>
    <w:uiPriority w:val="1"/>
    <w:qFormat/>
    <w:rPr>
      <w:b/>
      <w:bCs/>
    </w:rPr>
  </w:style>
  <w:style w:type="paragraph" w:customStyle="1" w:styleId="Tabletext">
    <w:name w:val="Table text"/>
    <w:basedOn w:val="Normal"/>
    <w:uiPriority w:val="1"/>
    <w:qFormat/>
    <w:pPr>
      <w:spacing w:before="120" w:after="0"/>
    </w:pPr>
  </w:style>
  <w:style w:type="table" w:styleId="ListTable6Colorful-Accent2">
    <w:name w:val="List Table 6 Colorful Accent 2"/>
    <w:basedOn w:val="TableNormal"/>
    <w:uiPriority w:val="51"/>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pPr>
      <w:numPr>
        <w:numId w:val="2"/>
      </w:numPr>
    </w:pPr>
  </w:style>
  <w:style w:type="paragraph" w:customStyle="1" w:styleId="Image">
    <w:name w:val="Image"/>
    <w:basedOn w:val="Normal"/>
    <w:qFormat/>
    <w:rsid w:val="00E279B8"/>
    <w:pPr>
      <w:spacing w:before="5760" w:after="0" w:line="720" w:lineRule="auto"/>
      <w:jc w:val="right"/>
    </w:pPr>
  </w:style>
  <w:style w:type="character" w:styleId="IntenseEmphasis">
    <w:name w:val="Intense Emphasis"/>
    <w:basedOn w:val="DefaultParagraphFont"/>
    <w:uiPriority w:val="21"/>
    <w:semiHidden/>
    <w:unhideWhenUsed/>
    <w:rsid w:val="0013333F"/>
    <w:rPr>
      <w:i/>
      <w:iCs/>
      <w:color w:val="355D7E" w:themeColor="accent1" w:themeShade="80"/>
    </w:rPr>
  </w:style>
  <w:style w:type="paragraph" w:styleId="IntenseQuote">
    <w:name w:val="Intense Quote"/>
    <w:basedOn w:val="Normal"/>
    <w:next w:val="Normal"/>
    <w:link w:val="IntenseQuoteChar"/>
    <w:uiPriority w:val="30"/>
    <w:semiHidden/>
    <w:unhideWhenUsed/>
    <w:rsid w:val="0013333F"/>
    <w:pPr>
      <w:pBdr>
        <w:top w:val="single" w:sz="4" w:space="10" w:color="94B6D2" w:themeColor="accent1"/>
        <w:bottom w:val="single" w:sz="4" w:space="10" w:color="94B6D2" w:themeColor="accent1"/>
      </w:pBdr>
      <w:spacing w:before="360" w:after="360"/>
      <w:ind w:left="864" w:right="864"/>
      <w:jc w:val="center"/>
    </w:pPr>
    <w:rPr>
      <w:i/>
      <w:iCs/>
      <w:color w:val="355D7E" w:themeColor="accent1" w:themeShade="80"/>
    </w:rPr>
  </w:style>
  <w:style w:type="character" w:customStyle="1" w:styleId="IntenseQuoteChar">
    <w:name w:val="Intense Quote Char"/>
    <w:basedOn w:val="DefaultParagraphFont"/>
    <w:link w:val="IntenseQuote"/>
    <w:uiPriority w:val="30"/>
    <w:semiHidden/>
    <w:rsid w:val="0013333F"/>
    <w:rPr>
      <w:i/>
      <w:iCs/>
      <w:color w:val="355D7E" w:themeColor="accent1" w:themeShade="80"/>
    </w:rPr>
  </w:style>
  <w:style w:type="character" w:styleId="IntenseReference">
    <w:name w:val="Intense Reference"/>
    <w:basedOn w:val="DefaultParagraphFont"/>
    <w:uiPriority w:val="32"/>
    <w:semiHidden/>
    <w:unhideWhenUsed/>
    <w:rsid w:val="0013333F"/>
    <w:rPr>
      <w:b/>
      <w:bCs/>
      <w:caps w:val="0"/>
      <w:smallCaps/>
      <w:color w:val="355D7E" w:themeColor="accent1" w:themeShade="80"/>
      <w:spacing w:val="5"/>
    </w:rPr>
  </w:style>
  <w:style w:type="paragraph" w:styleId="BlockText">
    <w:name w:val="Block Text"/>
    <w:basedOn w:val="Normal"/>
    <w:uiPriority w:val="99"/>
    <w:semiHidden/>
    <w:unhideWhenUsed/>
    <w:rsid w:val="0013333F"/>
    <w:pPr>
      <w:pBdr>
        <w:top w:val="single" w:sz="2" w:space="10" w:color="355D7E" w:themeColor="accent1" w:themeShade="80" w:shadow="1"/>
        <w:left w:val="single" w:sz="2" w:space="10" w:color="355D7E" w:themeColor="accent1" w:themeShade="80" w:shadow="1"/>
        <w:bottom w:val="single" w:sz="2" w:space="10" w:color="355D7E" w:themeColor="accent1" w:themeShade="80" w:shadow="1"/>
        <w:right w:val="single" w:sz="2" w:space="10" w:color="355D7E" w:themeColor="accent1" w:themeShade="80" w:shadow="1"/>
      </w:pBdr>
      <w:ind w:left="1152" w:right="1152"/>
    </w:pPr>
    <w:rPr>
      <w:i/>
      <w:iCs/>
      <w:color w:val="355D7E" w:themeColor="accent1" w:themeShade="80"/>
    </w:rPr>
  </w:style>
  <w:style w:type="character" w:styleId="Hyperlink">
    <w:name w:val="Hyperlink"/>
    <w:basedOn w:val="DefaultParagraphFont"/>
    <w:uiPriority w:val="99"/>
    <w:unhideWhenUsed/>
    <w:rsid w:val="0013333F"/>
    <w:rPr>
      <w:color w:val="7C5F1D" w:themeColor="accent4" w:themeShade="80"/>
      <w:u w:val="single"/>
    </w:rPr>
  </w:style>
  <w:style w:type="character" w:customStyle="1" w:styleId="UnresolvedMention">
    <w:name w:val="Unresolved Mention"/>
    <w:basedOn w:val="DefaultParagraphFont"/>
    <w:uiPriority w:val="99"/>
    <w:semiHidden/>
    <w:unhideWhenUsed/>
    <w:rsid w:val="0013333F"/>
    <w:rPr>
      <w:color w:val="595959" w:themeColor="text1" w:themeTint="A6"/>
      <w:shd w:val="clear" w:color="auto" w:fill="E6E6E6"/>
    </w:r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
    <w:basedOn w:val="Normal"/>
    <w:link w:val="ListParagraphChar"/>
    <w:uiPriority w:val="34"/>
    <w:unhideWhenUsed/>
    <w:qFormat/>
    <w:rsid w:val="00F6635A"/>
    <w:pPr>
      <w:ind w:left="720"/>
      <w:contextualSpacing/>
    </w:p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ED61AA"/>
  </w:style>
  <w:style w:type="table" w:customStyle="1" w:styleId="GridTable1Light-Accent21">
    <w:name w:val="Grid Table 1 Light - Accent 21"/>
    <w:basedOn w:val="TableNormal"/>
    <w:next w:val="GridTable1Light-Accent2"/>
    <w:uiPriority w:val="46"/>
    <w:rsid w:val="0063030A"/>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1451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1E5"/>
    <w:rPr>
      <w:rFonts w:ascii="Segoe UI" w:hAnsi="Segoe UI" w:cs="Segoe UI"/>
      <w:sz w:val="18"/>
      <w:szCs w:val="18"/>
    </w:rPr>
  </w:style>
  <w:style w:type="character" w:styleId="CommentReference">
    <w:name w:val="annotation reference"/>
    <w:basedOn w:val="DefaultParagraphFont"/>
    <w:uiPriority w:val="99"/>
    <w:semiHidden/>
    <w:unhideWhenUsed/>
    <w:rsid w:val="00D47840"/>
    <w:rPr>
      <w:sz w:val="16"/>
      <w:szCs w:val="16"/>
    </w:rPr>
  </w:style>
  <w:style w:type="paragraph" w:styleId="CommentText">
    <w:name w:val="annotation text"/>
    <w:basedOn w:val="Normal"/>
    <w:link w:val="CommentTextChar"/>
    <w:uiPriority w:val="99"/>
    <w:semiHidden/>
    <w:unhideWhenUsed/>
    <w:rsid w:val="00D47840"/>
    <w:rPr>
      <w:sz w:val="20"/>
      <w:szCs w:val="20"/>
    </w:rPr>
  </w:style>
  <w:style w:type="character" w:customStyle="1" w:styleId="CommentTextChar">
    <w:name w:val="Comment Text Char"/>
    <w:basedOn w:val="DefaultParagraphFont"/>
    <w:link w:val="CommentText"/>
    <w:uiPriority w:val="99"/>
    <w:semiHidden/>
    <w:rsid w:val="00D47840"/>
    <w:rPr>
      <w:sz w:val="20"/>
      <w:szCs w:val="20"/>
    </w:rPr>
  </w:style>
  <w:style w:type="paragraph" w:styleId="CommentSubject">
    <w:name w:val="annotation subject"/>
    <w:basedOn w:val="CommentText"/>
    <w:next w:val="CommentText"/>
    <w:link w:val="CommentSubjectChar"/>
    <w:uiPriority w:val="99"/>
    <w:semiHidden/>
    <w:unhideWhenUsed/>
    <w:rsid w:val="00D47840"/>
    <w:rPr>
      <w:b/>
      <w:bCs/>
    </w:rPr>
  </w:style>
  <w:style w:type="character" w:customStyle="1" w:styleId="CommentSubjectChar">
    <w:name w:val="Comment Subject Char"/>
    <w:basedOn w:val="CommentTextChar"/>
    <w:link w:val="CommentSubject"/>
    <w:uiPriority w:val="99"/>
    <w:semiHidden/>
    <w:rsid w:val="00D47840"/>
    <w:rPr>
      <w:b/>
      <w:bCs/>
      <w:sz w:val="20"/>
      <w:szCs w:val="20"/>
    </w:rPr>
  </w:style>
  <w:style w:type="paragraph" w:styleId="Revision">
    <w:name w:val="Revision"/>
    <w:hidden/>
    <w:uiPriority w:val="99"/>
    <w:semiHidden/>
    <w:rsid w:val="00793FB6"/>
    <w:pPr>
      <w:spacing w:after="0" w:line="240" w:lineRule="auto"/>
    </w:pPr>
  </w:style>
  <w:style w:type="paragraph" w:styleId="NormalWeb">
    <w:name w:val="Normal (Web)"/>
    <w:basedOn w:val="Normal"/>
    <w:uiPriority w:val="99"/>
    <w:semiHidden/>
    <w:unhideWhenUsed/>
    <w:rsid w:val="00603C46"/>
    <w:pPr>
      <w:spacing w:before="100" w:beforeAutospacing="1" w:after="100" w:afterAutospacing="1"/>
      <w:ind w:left="0" w:right="0"/>
    </w:pPr>
    <w:rPr>
      <w:rFonts w:cs="Times New Roman"/>
      <w:kern w:val="0"/>
      <w:szCs w:val="24"/>
      <w:lang w:eastAsia="lv-LV"/>
      <w14:ligatures w14:val="none"/>
    </w:rPr>
  </w:style>
  <w:style w:type="paragraph" w:styleId="FootnoteText">
    <w:name w:val="footnote text"/>
    <w:basedOn w:val="Normal"/>
    <w:link w:val="FootnoteTextChar"/>
    <w:uiPriority w:val="99"/>
    <w:semiHidden/>
    <w:unhideWhenUsed/>
    <w:rsid w:val="004C070A"/>
    <w:pPr>
      <w:spacing w:after="0"/>
    </w:pPr>
    <w:rPr>
      <w:sz w:val="20"/>
      <w:szCs w:val="20"/>
    </w:rPr>
  </w:style>
  <w:style w:type="character" w:customStyle="1" w:styleId="FootnoteTextChar">
    <w:name w:val="Footnote Text Char"/>
    <w:basedOn w:val="DefaultParagraphFont"/>
    <w:link w:val="FootnoteText"/>
    <w:uiPriority w:val="99"/>
    <w:semiHidden/>
    <w:rsid w:val="004C070A"/>
    <w:rPr>
      <w:sz w:val="20"/>
      <w:szCs w:val="20"/>
    </w:rPr>
  </w:style>
  <w:style w:type="character" w:styleId="FootnoteReference">
    <w:name w:val="footnote reference"/>
    <w:basedOn w:val="DefaultParagraphFont"/>
    <w:uiPriority w:val="99"/>
    <w:semiHidden/>
    <w:unhideWhenUsed/>
    <w:rsid w:val="004C07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7627">
      <w:bodyDiv w:val="1"/>
      <w:marLeft w:val="0"/>
      <w:marRight w:val="0"/>
      <w:marTop w:val="0"/>
      <w:marBottom w:val="0"/>
      <w:divBdr>
        <w:top w:val="none" w:sz="0" w:space="0" w:color="auto"/>
        <w:left w:val="none" w:sz="0" w:space="0" w:color="auto"/>
        <w:bottom w:val="none" w:sz="0" w:space="0" w:color="auto"/>
        <w:right w:val="none" w:sz="0" w:space="0" w:color="auto"/>
      </w:divBdr>
    </w:div>
    <w:div w:id="105852736">
      <w:bodyDiv w:val="1"/>
      <w:marLeft w:val="0"/>
      <w:marRight w:val="0"/>
      <w:marTop w:val="0"/>
      <w:marBottom w:val="0"/>
      <w:divBdr>
        <w:top w:val="none" w:sz="0" w:space="0" w:color="auto"/>
        <w:left w:val="none" w:sz="0" w:space="0" w:color="auto"/>
        <w:bottom w:val="none" w:sz="0" w:space="0" w:color="auto"/>
        <w:right w:val="none" w:sz="0" w:space="0" w:color="auto"/>
      </w:divBdr>
      <w:divsChild>
        <w:div w:id="1054306512">
          <w:marLeft w:val="547"/>
          <w:marRight w:val="0"/>
          <w:marTop w:val="0"/>
          <w:marBottom w:val="0"/>
          <w:divBdr>
            <w:top w:val="none" w:sz="0" w:space="0" w:color="auto"/>
            <w:left w:val="none" w:sz="0" w:space="0" w:color="auto"/>
            <w:bottom w:val="none" w:sz="0" w:space="0" w:color="auto"/>
            <w:right w:val="none" w:sz="0" w:space="0" w:color="auto"/>
          </w:divBdr>
        </w:div>
      </w:divsChild>
    </w:div>
    <w:div w:id="152181573">
      <w:bodyDiv w:val="1"/>
      <w:marLeft w:val="0"/>
      <w:marRight w:val="0"/>
      <w:marTop w:val="0"/>
      <w:marBottom w:val="0"/>
      <w:divBdr>
        <w:top w:val="none" w:sz="0" w:space="0" w:color="auto"/>
        <w:left w:val="none" w:sz="0" w:space="0" w:color="auto"/>
        <w:bottom w:val="none" w:sz="0" w:space="0" w:color="auto"/>
        <w:right w:val="none" w:sz="0" w:space="0" w:color="auto"/>
      </w:divBdr>
    </w:div>
    <w:div w:id="236282327">
      <w:bodyDiv w:val="1"/>
      <w:marLeft w:val="0"/>
      <w:marRight w:val="0"/>
      <w:marTop w:val="0"/>
      <w:marBottom w:val="0"/>
      <w:divBdr>
        <w:top w:val="none" w:sz="0" w:space="0" w:color="auto"/>
        <w:left w:val="none" w:sz="0" w:space="0" w:color="auto"/>
        <w:bottom w:val="none" w:sz="0" w:space="0" w:color="auto"/>
        <w:right w:val="none" w:sz="0" w:space="0" w:color="auto"/>
      </w:divBdr>
    </w:div>
    <w:div w:id="296640673">
      <w:bodyDiv w:val="1"/>
      <w:marLeft w:val="0"/>
      <w:marRight w:val="0"/>
      <w:marTop w:val="0"/>
      <w:marBottom w:val="0"/>
      <w:divBdr>
        <w:top w:val="none" w:sz="0" w:space="0" w:color="auto"/>
        <w:left w:val="none" w:sz="0" w:space="0" w:color="auto"/>
        <w:bottom w:val="none" w:sz="0" w:space="0" w:color="auto"/>
        <w:right w:val="none" w:sz="0" w:space="0" w:color="auto"/>
      </w:divBdr>
    </w:div>
    <w:div w:id="365297854">
      <w:bodyDiv w:val="1"/>
      <w:marLeft w:val="0"/>
      <w:marRight w:val="0"/>
      <w:marTop w:val="0"/>
      <w:marBottom w:val="0"/>
      <w:divBdr>
        <w:top w:val="none" w:sz="0" w:space="0" w:color="auto"/>
        <w:left w:val="none" w:sz="0" w:space="0" w:color="auto"/>
        <w:bottom w:val="none" w:sz="0" w:space="0" w:color="auto"/>
        <w:right w:val="none" w:sz="0" w:space="0" w:color="auto"/>
      </w:divBdr>
    </w:div>
    <w:div w:id="549536016">
      <w:bodyDiv w:val="1"/>
      <w:marLeft w:val="0"/>
      <w:marRight w:val="0"/>
      <w:marTop w:val="0"/>
      <w:marBottom w:val="0"/>
      <w:divBdr>
        <w:top w:val="none" w:sz="0" w:space="0" w:color="auto"/>
        <w:left w:val="none" w:sz="0" w:space="0" w:color="auto"/>
        <w:bottom w:val="none" w:sz="0" w:space="0" w:color="auto"/>
        <w:right w:val="none" w:sz="0" w:space="0" w:color="auto"/>
      </w:divBdr>
    </w:div>
    <w:div w:id="834027531">
      <w:bodyDiv w:val="1"/>
      <w:marLeft w:val="0"/>
      <w:marRight w:val="0"/>
      <w:marTop w:val="0"/>
      <w:marBottom w:val="0"/>
      <w:divBdr>
        <w:top w:val="none" w:sz="0" w:space="0" w:color="auto"/>
        <w:left w:val="none" w:sz="0" w:space="0" w:color="auto"/>
        <w:bottom w:val="none" w:sz="0" w:space="0" w:color="auto"/>
        <w:right w:val="none" w:sz="0" w:space="0" w:color="auto"/>
      </w:divBdr>
    </w:div>
    <w:div w:id="933367897">
      <w:bodyDiv w:val="1"/>
      <w:marLeft w:val="0"/>
      <w:marRight w:val="0"/>
      <w:marTop w:val="0"/>
      <w:marBottom w:val="0"/>
      <w:divBdr>
        <w:top w:val="none" w:sz="0" w:space="0" w:color="auto"/>
        <w:left w:val="none" w:sz="0" w:space="0" w:color="auto"/>
        <w:bottom w:val="none" w:sz="0" w:space="0" w:color="auto"/>
        <w:right w:val="none" w:sz="0" w:space="0" w:color="auto"/>
      </w:divBdr>
    </w:div>
    <w:div w:id="1314946095">
      <w:bodyDiv w:val="1"/>
      <w:marLeft w:val="0"/>
      <w:marRight w:val="0"/>
      <w:marTop w:val="0"/>
      <w:marBottom w:val="0"/>
      <w:divBdr>
        <w:top w:val="none" w:sz="0" w:space="0" w:color="auto"/>
        <w:left w:val="none" w:sz="0" w:space="0" w:color="auto"/>
        <w:bottom w:val="none" w:sz="0" w:space="0" w:color="auto"/>
        <w:right w:val="none" w:sz="0" w:space="0" w:color="auto"/>
      </w:divBdr>
    </w:div>
    <w:div w:id="1518542260">
      <w:bodyDiv w:val="1"/>
      <w:marLeft w:val="0"/>
      <w:marRight w:val="0"/>
      <w:marTop w:val="0"/>
      <w:marBottom w:val="0"/>
      <w:divBdr>
        <w:top w:val="none" w:sz="0" w:space="0" w:color="auto"/>
        <w:left w:val="none" w:sz="0" w:space="0" w:color="auto"/>
        <w:bottom w:val="none" w:sz="0" w:space="0" w:color="auto"/>
        <w:right w:val="none" w:sz="0" w:space="0" w:color="auto"/>
      </w:divBdr>
    </w:div>
    <w:div w:id="1603999982">
      <w:bodyDiv w:val="1"/>
      <w:marLeft w:val="0"/>
      <w:marRight w:val="0"/>
      <w:marTop w:val="0"/>
      <w:marBottom w:val="0"/>
      <w:divBdr>
        <w:top w:val="none" w:sz="0" w:space="0" w:color="auto"/>
        <w:left w:val="none" w:sz="0" w:space="0" w:color="auto"/>
        <w:bottom w:val="none" w:sz="0" w:space="0" w:color="auto"/>
        <w:right w:val="none" w:sz="0" w:space="0" w:color="auto"/>
      </w:divBdr>
      <w:divsChild>
        <w:div w:id="1648509625">
          <w:marLeft w:val="547"/>
          <w:marRight w:val="0"/>
          <w:marTop w:val="0"/>
          <w:marBottom w:val="0"/>
          <w:divBdr>
            <w:top w:val="none" w:sz="0" w:space="0" w:color="auto"/>
            <w:left w:val="none" w:sz="0" w:space="0" w:color="auto"/>
            <w:bottom w:val="none" w:sz="0" w:space="0" w:color="auto"/>
            <w:right w:val="none" w:sz="0" w:space="0" w:color="auto"/>
          </w:divBdr>
        </w:div>
      </w:divsChild>
    </w:div>
    <w:div w:id="1649631280">
      <w:bodyDiv w:val="1"/>
      <w:marLeft w:val="0"/>
      <w:marRight w:val="0"/>
      <w:marTop w:val="0"/>
      <w:marBottom w:val="0"/>
      <w:divBdr>
        <w:top w:val="none" w:sz="0" w:space="0" w:color="auto"/>
        <w:left w:val="none" w:sz="0" w:space="0" w:color="auto"/>
        <w:bottom w:val="none" w:sz="0" w:space="0" w:color="auto"/>
        <w:right w:val="none" w:sz="0" w:space="0" w:color="auto"/>
      </w:divBdr>
    </w:div>
    <w:div w:id="1826236178">
      <w:bodyDiv w:val="1"/>
      <w:marLeft w:val="0"/>
      <w:marRight w:val="0"/>
      <w:marTop w:val="0"/>
      <w:marBottom w:val="0"/>
      <w:divBdr>
        <w:top w:val="none" w:sz="0" w:space="0" w:color="auto"/>
        <w:left w:val="none" w:sz="0" w:space="0" w:color="auto"/>
        <w:bottom w:val="none" w:sz="0" w:space="0" w:color="auto"/>
        <w:right w:val="none" w:sz="0" w:space="0" w:color="auto"/>
      </w:divBdr>
    </w:div>
    <w:div w:id="1887833566">
      <w:bodyDiv w:val="1"/>
      <w:marLeft w:val="0"/>
      <w:marRight w:val="0"/>
      <w:marTop w:val="0"/>
      <w:marBottom w:val="0"/>
      <w:divBdr>
        <w:top w:val="none" w:sz="0" w:space="0" w:color="auto"/>
        <w:left w:val="none" w:sz="0" w:space="0" w:color="auto"/>
        <w:bottom w:val="none" w:sz="0" w:space="0" w:color="auto"/>
        <w:right w:val="none" w:sz="0" w:space="0" w:color="auto"/>
      </w:divBdr>
    </w:div>
    <w:div w:id="1968243046">
      <w:bodyDiv w:val="1"/>
      <w:marLeft w:val="0"/>
      <w:marRight w:val="0"/>
      <w:marTop w:val="0"/>
      <w:marBottom w:val="0"/>
      <w:divBdr>
        <w:top w:val="none" w:sz="0" w:space="0" w:color="auto"/>
        <w:left w:val="none" w:sz="0" w:space="0" w:color="auto"/>
        <w:bottom w:val="none" w:sz="0" w:space="0" w:color="auto"/>
        <w:right w:val="none" w:sz="0" w:space="0" w:color="auto"/>
      </w:divBdr>
    </w:div>
    <w:div w:id="2019573796">
      <w:bodyDiv w:val="1"/>
      <w:marLeft w:val="0"/>
      <w:marRight w:val="0"/>
      <w:marTop w:val="0"/>
      <w:marBottom w:val="0"/>
      <w:divBdr>
        <w:top w:val="none" w:sz="0" w:space="0" w:color="auto"/>
        <w:left w:val="none" w:sz="0" w:space="0" w:color="auto"/>
        <w:bottom w:val="none" w:sz="0" w:space="0" w:color="auto"/>
        <w:right w:val="none" w:sz="0" w:space="0" w:color="auto"/>
      </w:divBdr>
    </w:div>
    <w:div w:id="20419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d-allen\Downloads\tf03992044.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k\bpad\Bud&#382;eta_att&#299;st&#299;bas_noda&#316;a\BUDZETI\BUDZETS_2020\Priorit&#257;rie%20pas&#257;kumi\Dati_arh&#299;vs\kop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Sheet1!$H$47</c:f>
              <c:strCache>
                <c:ptCount val="1"/>
                <c:pt idx="0">
                  <c:v>Starpnozaru prioritārie pasākumi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Sheet1!$I$45:$K$45</c:f>
              <c:numCache>
                <c:formatCode>General</c:formatCode>
                <c:ptCount val="3"/>
                <c:pt idx="0">
                  <c:v>2020</c:v>
                </c:pt>
                <c:pt idx="1">
                  <c:v>2021</c:v>
                </c:pt>
                <c:pt idx="2">
                  <c:v>2022</c:v>
                </c:pt>
              </c:numCache>
            </c:numRef>
          </c:cat>
          <c:val>
            <c:numRef>
              <c:f>Sheet1!$I$47:$K$47</c:f>
              <c:numCache>
                <c:formatCode>General</c:formatCode>
                <c:ptCount val="3"/>
                <c:pt idx="0">
                  <c:v>8.3000000000000007</c:v>
                </c:pt>
                <c:pt idx="1">
                  <c:v>8.1</c:v>
                </c:pt>
                <c:pt idx="2">
                  <c:v>8.1</c:v>
                </c:pt>
              </c:numCache>
            </c:numRef>
          </c:val>
          <c:extLst>
            <c:ext xmlns:c16="http://schemas.microsoft.com/office/drawing/2014/chart" uri="{C3380CC4-5D6E-409C-BE32-E72D297353CC}">
              <c16:uniqueId val="{00000000-69A3-4523-A93C-328768495282}"/>
            </c:ext>
          </c:extLst>
        </c:ser>
        <c:ser>
          <c:idx val="0"/>
          <c:order val="1"/>
          <c:tx>
            <c:strRef>
              <c:f>Sheet1!$H$46</c:f>
              <c:strCache>
                <c:ptCount val="1"/>
                <c:pt idx="0">
                  <c:v>Vienas ministrijas ietvaros īstenots prioritārais pasākums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Sheet1!$I$45:$K$45</c:f>
              <c:numCache>
                <c:formatCode>General</c:formatCode>
                <c:ptCount val="3"/>
                <c:pt idx="0">
                  <c:v>2020</c:v>
                </c:pt>
                <c:pt idx="1">
                  <c:v>2021</c:v>
                </c:pt>
                <c:pt idx="2">
                  <c:v>2022</c:v>
                </c:pt>
              </c:numCache>
            </c:numRef>
          </c:cat>
          <c:val>
            <c:numRef>
              <c:f>Sheet1!$I$46:$K$46</c:f>
              <c:numCache>
                <c:formatCode>General</c:formatCode>
                <c:ptCount val="3"/>
                <c:pt idx="0">
                  <c:v>15.1</c:v>
                </c:pt>
                <c:pt idx="1">
                  <c:v>11.2</c:v>
                </c:pt>
                <c:pt idx="2">
                  <c:v>10.8</c:v>
                </c:pt>
              </c:numCache>
            </c:numRef>
          </c:val>
          <c:extLst>
            <c:ext xmlns:c16="http://schemas.microsoft.com/office/drawing/2014/chart" uri="{C3380CC4-5D6E-409C-BE32-E72D297353CC}">
              <c16:uniqueId val="{00000001-69A3-4523-A93C-328768495282}"/>
            </c:ext>
          </c:extLst>
        </c:ser>
        <c:dLbls>
          <c:showLegendKey val="0"/>
          <c:showVal val="0"/>
          <c:showCatName val="0"/>
          <c:showSerName val="0"/>
          <c:showPercent val="0"/>
          <c:showBubbleSize val="0"/>
        </c:dLbls>
        <c:gapWidth val="150"/>
        <c:overlap val="100"/>
        <c:axId val="1586768671"/>
        <c:axId val="1586774079"/>
      </c:barChart>
      <c:catAx>
        <c:axId val="1586768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586774079"/>
        <c:crosses val="autoZero"/>
        <c:auto val="1"/>
        <c:lblAlgn val="ctr"/>
        <c:lblOffset val="100"/>
        <c:noMultiLvlLbl val="0"/>
      </c:catAx>
      <c:valAx>
        <c:axId val="15867740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58676867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'TOP3 un ministrijas'!$G$4</c:f>
              <c:strCache>
                <c:ptCount val="1"/>
                <c:pt idx="0">
                  <c:v>2020</c:v>
                </c:pt>
              </c:strCache>
            </c:strRef>
          </c:tx>
          <c:spPr>
            <a:solidFill>
              <a:schemeClr val="accent1"/>
            </a:solidFill>
            <a:ln>
              <a:noFill/>
            </a:ln>
            <a:effectLst/>
          </c:spPr>
          <c:invertIfNegative val="0"/>
          <c:dLbls>
            <c:dLbl>
              <c:idx val="0"/>
              <c:layout>
                <c:manualLayout>
                  <c:x val="-1.046572302653547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B32-4DBA-9C2B-EFEF90303AF5}"/>
                </c:ext>
              </c:extLst>
            </c:dLbl>
            <c:dLbl>
              <c:idx val="2"/>
              <c:layout>
                <c:manualLayout>
                  <c:x val="-5.6417481067566819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B32-4DBA-9C2B-EFEF90303AF5}"/>
                </c:ext>
              </c:extLst>
            </c:dLbl>
            <c:dLbl>
              <c:idx val="4"/>
              <c:layout>
                <c:manualLayout>
                  <c:x val="-4.2530568846358323E-3"/>
                  <c:y val="-7.1683759716710806E-1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EB32-4DBA-9C2B-EFEF90303AF5}"/>
                </c:ext>
              </c:extLst>
            </c:dLbl>
            <c:dLbl>
              <c:idx val="5"/>
              <c:layout>
                <c:manualLayout>
                  <c:x val="-6.3795853269538261E-3"/>
                  <c:y val="1.173020527859237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EB32-4DBA-9C2B-EFEF90303AF5}"/>
                </c:ext>
              </c:extLst>
            </c:dLbl>
            <c:dLbl>
              <c:idx val="7"/>
              <c:layout>
                <c:manualLayout>
                  <c:x val="0"/>
                  <c:y val="1.173020527859237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EB32-4DBA-9C2B-EFEF90303AF5}"/>
                </c:ext>
              </c:extLst>
            </c:dLbl>
            <c:dLbl>
              <c:idx val="8"/>
              <c:layout>
                <c:manualLayout>
                  <c:x val="-1.1427997337653368E-3"/>
                  <c:y val="1.5640273704789834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B32-4DBA-9C2B-EFEF90303AF5}"/>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'TOP3 un ministrijas'!$F$5:$F$14</c:f>
              <c:strCache>
                <c:ptCount val="10"/>
                <c:pt idx="0">
                  <c:v>TM (Tiesas)</c:v>
                </c:pt>
                <c:pt idx="1">
                  <c:v>RunTV</c:v>
                </c:pt>
                <c:pt idx="2">
                  <c:v>TM (DVI)</c:v>
                </c:pt>
                <c:pt idx="3">
                  <c:v>ST</c:v>
                </c:pt>
                <c:pt idx="4">
                  <c:v>TM (SAB)</c:v>
                </c:pt>
                <c:pt idx="5">
                  <c:v>Prokuratūra</c:v>
                </c:pt>
                <c:pt idx="6">
                  <c:v>VPK</c:v>
                </c:pt>
                <c:pt idx="7">
                  <c:v>Vko</c:v>
                </c:pt>
                <c:pt idx="8">
                  <c:v>AT</c:v>
                </c:pt>
                <c:pt idx="9">
                  <c:v>TB</c:v>
                </c:pt>
              </c:strCache>
            </c:strRef>
          </c:cat>
          <c:val>
            <c:numRef>
              <c:f>'TOP3 un ministrijas'!$G$5:$G$14</c:f>
              <c:numCache>
                <c:formatCode>0.0</c:formatCode>
                <c:ptCount val="10"/>
                <c:pt idx="0">
                  <c:v>10.361541000000001</c:v>
                </c:pt>
                <c:pt idx="1">
                  <c:v>5.9609183990000005</c:v>
                </c:pt>
                <c:pt idx="2">
                  <c:v>1.7351030000000001</c:v>
                </c:pt>
                <c:pt idx="3">
                  <c:v>1.392026</c:v>
                </c:pt>
                <c:pt idx="4">
                  <c:v>0.96457800000000005</c:v>
                </c:pt>
                <c:pt idx="5">
                  <c:v>0.86035700000000004</c:v>
                </c:pt>
                <c:pt idx="6">
                  <c:v>0.7</c:v>
                </c:pt>
                <c:pt idx="7">
                  <c:v>0.62896799999999997</c:v>
                </c:pt>
                <c:pt idx="8">
                  <c:v>0.59604599999999996</c:v>
                </c:pt>
                <c:pt idx="9">
                  <c:v>0.142652</c:v>
                </c:pt>
              </c:numCache>
            </c:numRef>
          </c:val>
          <c:extLst>
            <c:ext xmlns:c16="http://schemas.microsoft.com/office/drawing/2014/chart" uri="{C3380CC4-5D6E-409C-BE32-E72D297353CC}">
              <c16:uniqueId val="{00000003-EB32-4DBA-9C2B-EFEF90303AF5}"/>
            </c:ext>
          </c:extLst>
        </c:ser>
        <c:ser>
          <c:idx val="1"/>
          <c:order val="1"/>
          <c:tx>
            <c:strRef>
              <c:f>'TOP3 un ministrijas'!$H$4</c:f>
              <c:strCache>
                <c:ptCount val="1"/>
                <c:pt idx="0">
                  <c:v>2021</c:v>
                </c:pt>
              </c:strCache>
            </c:strRef>
          </c:tx>
          <c:spPr>
            <a:solidFill>
              <a:schemeClr val="accent2"/>
            </a:solidFill>
            <a:ln>
              <a:noFill/>
            </a:ln>
            <a:effectLst/>
          </c:spPr>
          <c:invertIfNegative val="0"/>
          <c:dLbls>
            <c:dLbl>
              <c:idx val="4"/>
              <c:layout>
                <c:manualLayout>
                  <c:x val="2.1265284423179162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EB32-4DBA-9C2B-EFEF90303AF5}"/>
                </c:ext>
              </c:extLst>
            </c:dLbl>
            <c:dLbl>
              <c:idx val="6"/>
              <c:layout>
                <c:manualLayout>
                  <c:x val="0"/>
                  <c:y val="3.9100684261974585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EB32-4DBA-9C2B-EFEF90303AF5}"/>
                </c:ext>
              </c:extLst>
            </c:dLbl>
            <c:dLbl>
              <c:idx val="7"/>
              <c:layout>
                <c:manualLayout>
                  <c:x val="4.2530568846356762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EB32-4DBA-9C2B-EFEF90303AF5}"/>
                </c:ext>
              </c:extLst>
            </c:dLbl>
            <c:dLbl>
              <c:idx val="8"/>
              <c:layout>
                <c:manualLayout>
                  <c:x val="4.2530568846356762E-3"/>
                  <c:y val="1.1730205278592231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EB32-4DBA-9C2B-EFEF90303AF5}"/>
                </c:ext>
              </c:extLst>
            </c:dLbl>
            <c:dLbl>
              <c:idx val="9"/>
              <c:layout>
                <c:manualLayout>
                  <c:x val="4.2530568846358323E-3"/>
                  <c:y val="-7.1683759716710806E-1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EB32-4DBA-9C2B-EFEF90303AF5}"/>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'TOP3 un ministrijas'!$F$5:$F$14</c:f>
              <c:strCache>
                <c:ptCount val="10"/>
                <c:pt idx="0">
                  <c:v>TM (Tiesas)</c:v>
                </c:pt>
                <c:pt idx="1">
                  <c:v>RunTV</c:v>
                </c:pt>
                <c:pt idx="2">
                  <c:v>TM (DVI)</c:v>
                </c:pt>
                <c:pt idx="3">
                  <c:v>ST</c:v>
                </c:pt>
                <c:pt idx="4">
                  <c:v>TM (SAB)</c:v>
                </c:pt>
                <c:pt idx="5">
                  <c:v>Prokuratūra</c:v>
                </c:pt>
                <c:pt idx="6">
                  <c:v>VPK</c:v>
                </c:pt>
                <c:pt idx="7">
                  <c:v>Vko</c:v>
                </c:pt>
                <c:pt idx="8">
                  <c:v>AT</c:v>
                </c:pt>
                <c:pt idx="9">
                  <c:v>TB</c:v>
                </c:pt>
              </c:strCache>
            </c:strRef>
          </c:cat>
          <c:val>
            <c:numRef>
              <c:f>'TOP3 un ministrijas'!$H$5:$H$14</c:f>
              <c:numCache>
                <c:formatCode>0.0</c:formatCode>
                <c:ptCount val="10"/>
                <c:pt idx="0">
                  <c:v>9.9115280000000006</c:v>
                </c:pt>
                <c:pt idx="1">
                  <c:v>3.28891</c:v>
                </c:pt>
                <c:pt idx="2">
                  <c:v>1.760958</c:v>
                </c:pt>
                <c:pt idx="3">
                  <c:v>0.81300399999999995</c:v>
                </c:pt>
                <c:pt idx="4">
                  <c:v>0.88273500000000005</c:v>
                </c:pt>
                <c:pt idx="5">
                  <c:v>0.74525799999999998</c:v>
                </c:pt>
                <c:pt idx="6">
                  <c:v>0.5</c:v>
                </c:pt>
                <c:pt idx="7">
                  <c:v>0.42896800000000002</c:v>
                </c:pt>
                <c:pt idx="8">
                  <c:v>0.64724599999999999</c:v>
                </c:pt>
                <c:pt idx="9">
                  <c:v>0.27887600000000001</c:v>
                </c:pt>
              </c:numCache>
            </c:numRef>
          </c:val>
          <c:extLst>
            <c:ext xmlns:c16="http://schemas.microsoft.com/office/drawing/2014/chart" uri="{C3380CC4-5D6E-409C-BE32-E72D297353CC}">
              <c16:uniqueId val="{00000004-EB32-4DBA-9C2B-EFEF90303AF5}"/>
            </c:ext>
          </c:extLst>
        </c:ser>
        <c:ser>
          <c:idx val="2"/>
          <c:order val="2"/>
          <c:tx>
            <c:strRef>
              <c:f>'TOP3 un ministrijas'!$I$4</c:f>
              <c:strCache>
                <c:ptCount val="1"/>
                <c:pt idx="0">
                  <c:v>2022</c:v>
                </c:pt>
              </c:strCache>
            </c:strRef>
          </c:tx>
          <c:spPr>
            <a:solidFill>
              <a:schemeClr val="accent3"/>
            </a:solidFill>
            <a:ln>
              <a:noFill/>
            </a:ln>
            <a:effectLst/>
          </c:spPr>
          <c:invertIfNegative val="0"/>
          <c:dLbls>
            <c:dLbl>
              <c:idx val="0"/>
              <c:layout>
                <c:manualLayout>
                  <c:x val="6.279433815921282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EB32-4DBA-9C2B-EFEF90303AF5}"/>
                </c:ext>
              </c:extLst>
            </c:dLbl>
            <c:dLbl>
              <c:idx val="2"/>
              <c:layout>
                <c:manualLayout>
                  <c:x val="8.5061137692717028E-3"/>
                  <c:y val="-7.1683759716710806E-1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EB32-4DBA-9C2B-EFEF90303AF5}"/>
                </c:ext>
              </c:extLst>
            </c:dLbl>
            <c:dLbl>
              <c:idx val="3"/>
              <c:layout>
                <c:manualLayout>
                  <c:x val="6.379585326953748E-3"/>
                  <c:y val="7.1683759716710806E-1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EB32-4DBA-9C2B-EFEF90303AF5}"/>
                </c:ext>
              </c:extLst>
            </c:dLbl>
            <c:dLbl>
              <c:idx val="4"/>
              <c:layout>
                <c:manualLayout>
                  <c:x val="6.379585326953748E-3"/>
                  <c:y val="7.1683759716710806E-1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EB32-4DBA-9C2B-EFEF90303AF5}"/>
                </c:ext>
              </c:extLst>
            </c:dLbl>
            <c:dLbl>
              <c:idx val="5"/>
              <c:layout>
                <c:manualLayout>
                  <c:x val="4.2530568846357543E-3"/>
                  <c:y val="3.9100684261974585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EB32-4DBA-9C2B-EFEF90303AF5}"/>
                </c:ext>
              </c:extLst>
            </c:dLbl>
            <c:dLbl>
              <c:idx val="6"/>
              <c:layout>
                <c:manualLayout>
                  <c:x val="6.37958532695367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EB32-4DBA-9C2B-EFEF90303AF5}"/>
                </c:ext>
              </c:extLst>
            </c:dLbl>
            <c:dLbl>
              <c:idx val="7"/>
              <c:layout>
                <c:manualLayout>
                  <c:x val="6.379585326953748E-3"/>
                  <c:y val="1.955034213098729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EB32-4DBA-9C2B-EFEF90303AF5}"/>
                </c:ext>
              </c:extLst>
            </c:dLbl>
            <c:dLbl>
              <c:idx val="8"/>
              <c:layout>
                <c:manualLayout>
                  <c:x val="1.0632642211589424E-2"/>
                  <c:y val="1.173020527859237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EB32-4DBA-9C2B-EFEF90303AF5}"/>
                </c:ext>
              </c:extLst>
            </c:dLbl>
            <c:dLbl>
              <c:idx val="9"/>
              <c:layout>
                <c:manualLayout>
                  <c:x val="1.063264221158958E-2"/>
                  <c:y val="7.8201368523948458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EB32-4DBA-9C2B-EFEF90303AF5}"/>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'TOP3 un ministrijas'!$F$5:$F$14</c:f>
              <c:strCache>
                <c:ptCount val="10"/>
                <c:pt idx="0">
                  <c:v>TM (Tiesas)</c:v>
                </c:pt>
                <c:pt idx="1">
                  <c:v>RunTV</c:v>
                </c:pt>
                <c:pt idx="2">
                  <c:v>TM (DVI)</c:v>
                </c:pt>
                <c:pt idx="3">
                  <c:v>ST</c:v>
                </c:pt>
                <c:pt idx="4">
                  <c:v>TM (SAB)</c:v>
                </c:pt>
                <c:pt idx="5">
                  <c:v>Prokuratūra</c:v>
                </c:pt>
                <c:pt idx="6">
                  <c:v>VPK</c:v>
                </c:pt>
                <c:pt idx="7">
                  <c:v>Vko</c:v>
                </c:pt>
                <c:pt idx="8">
                  <c:v>AT</c:v>
                </c:pt>
                <c:pt idx="9">
                  <c:v>TB</c:v>
                </c:pt>
              </c:strCache>
            </c:strRef>
          </c:cat>
          <c:val>
            <c:numRef>
              <c:f>'TOP3 un ministrijas'!$I$5:$I$14</c:f>
              <c:numCache>
                <c:formatCode>0.0</c:formatCode>
                <c:ptCount val="10"/>
                <c:pt idx="0">
                  <c:v>9.8418569999999992</c:v>
                </c:pt>
                <c:pt idx="1">
                  <c:v>2.7342599999999999</c:v>
                </c:pt>
                <c:pt idx="2">
                  <c:v>1.760958</c:v>
                </c:pt>
                <c:pt idx="3">
                  <c:v>0.832098</c:v>
                </c:pt>
                <c:pt idx="4">
                  <c:v>0.89187099999999997</c:v>
                </c:pt>
                <c:pt idx="5">
                  <c:v>0.74862200000000001</c:v>
                </c:pt>
                <c:pt idx="6">
                  <c:v>0.5</c:v>
                </c:pt>
                <c:pt idx="7">
                  <c:v>0.43296800000000002</c:v>
                </c:pt>
                <c:pt idx="8">
                  <c:v>0.65964599999999995</c:v>
                </c:pt>
                <c:pt idx="9">
                  <c:v>0.44522899999999999</c:v>
                </c:pt>
              </c:numCache>
            </c:numRef>
          </c:val>
          <c:extLst>
            <c:ext xmlns:c16="http://schemas.microsoft.com/office/drawing/2014/chart" uri="{C3380CC4-5D6E-409C-BE32-E72D297353CC}">
              <c16:uniqueId val="{00000006-EB32-4DBA-9C2B-EFEF90303AF5}"/>
            </c:ext>
          </c:extLst>
        </c:ser>
        <c:dLbls>
          <c:dLblPos val="outEnd"/>
          <c:showLegendKey val="0"/>
          <c:showVal val="1"/>
          <c:showCatName val="0"/>
          <c:showSerName val="0"/>
          <c:showPercent val="0"/>
          <c:showBubbleSize val="0"/>
        </c:dLbls>
        <c:gapWidth val="101"/>
        <c:overlap val="-27"/>
        <c:axId val="341648320"/>
        <c:axId val="341649568"/>
      </c:barChart>
      <c:catAx>
        <c:axId val="34164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41649568"/>
        <c:crosses val="autoZero"/>
        <c:auto val="1"/>
        <c:lblAlgn val="ctr"/>
        <c:lblOffset val="100"/>
        <c:noMultiLvlLbl val="0"/>
      </c:catAx>
      <c:valAx>
        <c:axId val="3416495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41648320"/>
        <c:crosses val="autoZero"/>
        <c:crossBetween val="between"/>
      </c:valAx>
      <c:spPr>
        <a:noFill/>
        <a:ln>
          <a:noFill/>
        </a:ln>
        <a:effectLst/>
      </c:spPr>
    </c:plotArea>
    <c:legend>
      <c:legendPos val="b"/>
      <c:layout>
        <c:manualLayout>
          <c:xMode val="edge"/>
          <c:yMode val="edge"/>
          <c:x val="0.39134569901250382"/>
          <c:y val="0.90641974738494935"/>
          <c:w val="0.20288274078196109"/>
          <c:h val="5.683138610865717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0.44088</cdr:x>
      <cdr:y>0.09838</cdr:y>
    </cdr:from>
    <cdr:to>
      <cdr:x>0.59079</cdr:x>
      <cdr:y>0.20015</cdr:y>
    </cdr:to>
    <cdr:sp macro="" textlink="">
      <cdr:nvSpPr>
        <cdr:cNvPr id="2" name="TextBox 1"/>
        <cdr:cNvSpPr txBox="1"/>
      </cdr:nvSpPr>
      <cdr:spPr>
        <a:xfrm xmlns:a="http://schemas.openxmlformats.org/drawingml/2006/main">
          <a:off x="2557445" y="320478"/>
          <a:ext cx="869568" cy="33152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l-GR" sz="1400" b="1">
              <a:latin typeface="Times New Roman" panose="02020603050405020304" pitchFamily="18" charset="0"/>
              <a:cs typeface="Times New Roman" panose="02020603050405020304" pitchFamily="18" charset="0"/>
            </a:rPr>
            <a:t>Σ</a:t>
          </a:r>
          <a:r>
            <a:rPr lang="lv-LV" sz="1400" b="1">
              <a:latin typeface="Times New Roman" panose="02020603050405020304" pitchFamily="18" charset="0"/>
              <a:cs typeface="Times New Roman" panose="02020603050405020304" pitchFamily="18" charset="0"/>
            </a:rPr>
            <a:t> = 19,3</a:t>
          </a:r>
          <a:endParaRPr lang="lv-LV" sz="1400" b="1"/>
        </a:p>
      </cdr:txBody>
    </cdr:sp>
  </cdr:relSizeAnchor>
  <cdr:relSizeAnchor xmlns:cdr="http://schemas.openxmlformats.org/drawingml/2006/chartDrawing">
    <cdr:from>
      <cdr:x>0.12986</cdr:x>
      <cdr:y>0.01157</cdr:y>
    </cdr:from>
    <cdr:to>
      <cdr:x>0.27278</cdr:x>
      <cdr:y>0.1074</cdr:y>
    </cdr:to>
    <cdr:sp macro="" textlink="">
      <cdr:nvSpPr>
        <cdr:cNvPr id="3" name="TextBox 1"/>
        <cdr:cNvSpPr txBox="1"/>
      </cdr:nvSpPr>
      <cdr:spPr>
        <a:xfrm xmlns:a="http://schemas.openxmlformats.org/drawingml/2006/main">
          <a:off x="753283" y="37691"/>
          <a:ext cx="829028" cy="3121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l-GR" sz="1400" b="1">
              <a:latin typeface="Times New Roman" panose="02020603050405020304" pitchFamily="18" charset="0"/>
              <a:cs typeface="Times New Roman" panose="02020603050405020304" pitchFamily="18" charset="0"/>
            </a:rPr>
            <a:t>Σ</a:t>
          </a:r>
          <a:r>
            <a:rPr lang="lv-LV" sz="1400" b="1">
              <a:latin typeface="Times New Roman" panose="02020603050405020304" pitchFamily="18" charset="0"/>
              <a:cs typeface="Times New Roman" panose="02020603050405020304" pitchFamily="18" charset="0"/>
            </a:rPr>
            <a:t> = 23,4</a:t>
          </a:r>
          <a:endParaRPr lang="lv-LV" sz="1400" b="1"/>
        </a:p>
      </cdr:txBody>
    </cdr:sp>
  </cdr:relSizeAnchor>
  <cdr:relSizeAnchor xmlns:cdr="http://schemas.openxmlformats.org/drawingml/2006/chartDrawing">
    <cdr:from>
      <cdr:x>0.74028</cdr:x>
      <cdr:y>0.11921</cdr:y>
    </cdr:from>
    <cdr:to>
      <cdr:x>0.89098</cdr:x>
      <cdr:y>0.22212</cdr:y>
    </cdr:to>
    <cdr:sp macro="" textlink="">
      <cdr:nvSpPr>
        <cdr:cNvPr id="4" name="TextBox 1"/>
        <cdr:cNvSpPr txBox="1"/>
      </cdr:nvSpPr>
      <cdr:spPr>
        <a:xfrm xmlns:a="http://schemas.openxmlformats.org/drawingml/2006/main">
          <a:off x="4294161" y="388333"/>
          <a:ext cx="874187" cy="3352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l-GR" sz="1400" b="1">
              <a:latin typeface="Times New Roman" panose="02020603050405020304" pitchFamily="18" charset="0"/>
              <a:cs typeface="Times New Roman" panose="02020603050405020304" pitchFamily="18" charset="0"/>
            </a:rPr>
            <a:t>Σ</a:t>
          </a:r>
          <a:r>
            <a:rPr lang="lv-LV" sz="1400" b="1">
              <a:latin typeface="Times New Roman" panose="02020603050405020304" pitchFamily="18" charset="0"/>
              <a:cs typeface="Times New Roman" panose="02020603050405020304" pitchFamily="18" charset="0"/>
            </a:rPr>
            <a:t> = 18,9</a:t>
          </a:r>
          <a:endParaRPr lang="lv-LV" sz="1400" b="1"/>
        </a:p>
      </cdr:txBody>
    </cdr:sp>
  </cdr:relSizeAnchor>
</c:userShape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oject communication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34405-1F60-4C8D-A2B9-D03845356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tf03992044.dotx</Template>
  <TotalTime>419</TotalTime>
  <Pages>5</Pages>
  <Words>6230</Words>
  <Characters>3552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Informatīvais ziņojums par neatkarīgo institūciju prioritārajiem pasākumiem 2020., 2021. un 2022. gadam</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neatkarīgo institūciju prioritārajiem pasākumiem 2020., 2021. un 2022. gadam</dc:title>
  <dc:creator/>
  <cp:keywords/>
  <dc:description/>
  <cp:lastModifiedBy>Krista Belija</cp:lastModifiedBy>
  <cp:revision>54</cp:revision>
  <cp:lastPrinted>2019-08-23T11:34:00Z</cp:lastPrinted>
  <dcterms:created xsi:type="dcterms:W3CDTF">2019-08-19T07:05:00Z</dcterms:created>
  <dcterms:modified xsi:type="dcterms:W3CDTF">2019-09-06T06:39:00Z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v-shbahu@microsoft.com</vt:lpwstr>
  </property>
  <property fmtid="{D5CDD505-2E9C-101B-9397-08002B2CF9AE}" pid="11" name="MSIP_Label_f42aa342-8706-4288-bd11-ebb85995028c_SetDate">
    <vt:lpwstr>2018-04-07T12:27:56.5276527Z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