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8A990" w14:textId="212019D9" w:rsidR="00BE052F" w:rsidRDefault="00324414" w:rsidP="00324414">
      <w:pPr>
        <w:jc w:val="center"/>
        <w:rPr>
          <w:rFonts w:ascii="Times New Roman" w:hAnsi="Times New Roman" w:cs="Times New Roman"/>
          <w:b/>
          <w:sz w:val="28"/>
          <w:szCs w:val="28"/>
        </w:rPr>
      </w:pPr>
      <w:r w:rsidRPr="004347A4">
        <w:rPr>
          <w:rFonts w:ascii="Times New Roman" w:hAnsi="Times New Roman" w:cs="Times New Roman"/>
          <w:b/>
          <w:sz w:val="28"/>
          <w:szCs w:val="28"/>
        </w:rPr>
        <w:t xml:space="preserve">Informatīvais </w:t>
      </w:r>
      <w:r w:rsidRPr="004347A4">
        <w:rPr>
          <w:rFonts w:ascii="Times New Roman" w:hAnsi="Times New Roman" w:cs="Times New Roman"/>
          <w:b/>
          <w:color w:val="000000" w:themeColor="text1"/>
          <w:sz w:val="28"/>
          <w:szCs w:val="28"/>
        </w:rPr>
        <w:t>ziņojums “</w:t>
      </w:r>
      <w:r w:rsidR="00FD55C1" w:rsidRPr="004347A4">
        <w:rPr>
          <w:rFonts w:ascii="Times New Roman" w:hAnsi="Times New Roman" w:cs="Times New Roman"/>
          <w:b/>
          <w:color w:val="000000" w:themeColor="text1"/>
          <w:sz w:val="28"/>
          <w:szCs w:val="28"/>
        </w:rPr>
        <w:t xml:space="preserve">Par fiskālās telpas pasākumiem un izdevumiem </w:t>
      </w:r>
      <w:r w:rsidR="00FD55C1" w:rsidRPr="004347A4">
        <w:rPr>
          <w:rFonts w:ascii="Times New Roman" w:hAnsi="Times New Roman" w:cs="Times New Roman"/>
          <w:b/>
          <w:sz w:val="28"/>
          <w:szCs w:val="28"/>
        </w:rPr>
        <w:t>prioritārajiem pasākumiem valsts budžetam 20</w:t>
      </w:r>
      <w:r w:rsidR="0037629F" w:rsidRPr="004347A4">
        <w:rPr>
          <w:rFonts w:ascii="Times New Roman" w:hAnsi="Times New Roman" w:cs="Times New Roman"/>
          <w:b/>
          <w:sz w:val="28"/>
          <w:szCs w:val="28"/>
        </w:rPr>
        <w:t>20</w:t>
      </w:r>
      <w:r w:rsidR="00FD55C1" w:rsidRPr="004347A4">
        <w:rPr>
          <w:rFonts w:ascii="Times New Roman" w:hAnsi="Times New Roman" w:cs="Times New Roman"/>
          <w:b/>
          <w:sz w:val="28"/>
          <w:szCs w:val="28"/>
        </w:rPr>
        <w:t>.gadam un ietvaram 20</w:t>
      </w:r>
      <w:r w:rsidR="0037629F" w:rsidRPr="004347A4">
        <w:rPr>
          <w:rFonts w:ascii="Times New Roman" w:hAnsi="Times New Roman" w:cs="Times New Roman"/>
          <w:b/>
          <w:sz w:val="28"/>
          <w:szCs w:val="28"/>
        </w:rPr>
        <w:t>20.–2022</w:t>
      </w:r>
      <w:r w:rsidR="00FD55C1" w:rsidRPr="004347A4">
        <w:rPr>
          <w:rFonts w:ascii="Times New Roman" w:hAnsi="Times New Roman" w:cs="Times New Roman"/>
          <w:b/>
          <w:sz w:val="28"/>
          <w:szCs w:val="28"/>
        </w:rPr>
        <w:t>.gadam”</w:t>
      </w:r>
    </w:p>
    <w:p w14:paraId="2D7D4BAB" w14:textId="77777777" w:rsidR="00677C78" w:rsidRDefault="001E4A6C" w:rsidP="00815D06">
      <w:pPr>
        <w:spacing w:after="120" w:line="240" w:lineRule="auto"/>
        <w:ind w:firstLine="709"/>
        <w:jc w:val="both"/>
        <w:rPr>
          <w:rFonts w:ascii="Times New Roman" w:hAnsi="Times New Roman" w:cs="Times New Roman"/>
          <w:color w:val="000000"/>
          <w:sz w:val="24"/>
          <w:szCs w:val="24"/>
        </w:rPr>
      </w:pPr>
      <w:r w:rsidRPr="00815D06">
        <w:rPr>
          <w:rFonts w:ascii="Times New Roman" w:hAnsi="Times New Roman" w:cs="Times New Roman"/>
          <w:sz w:val="24"/>
          <w:szCs w:val="24"/>
        </w:rPr>
        <w:t xml:space="preserve">Pamatojoties uz Ministru kabineta (turpmāk – MK) </w:t>
      </w:r>
      <w:r w:rsidR="00780F38" w:rsidRPr="00815D06">
        <w:rPr>
          <w:rFonts w:ascii="Times New Roman" w:hAnsi="Times New Roman" w:cs="Times New Roman"/>
          <w:sz w:val="24"/>
          <w:szCs w:val="24"/>
        </w:rPr>
        <w:t>2019.gada 20.marta rīkojum</w:t>
      </w:r>
      <w:r w:rsidR="00E00C48" w:rsidRPr="00815D06">
        <w:rPr>
          <w:rFonts w:ascii="Times New Roman" w:hAnsi="Times New Roman" w:cs="Times New Roman"/>
          <w:sz w:val="24"/>
          <w:szCs w:val="24"/>
        </w:rPr>
        <w:t>u</w:t>
      </w:r>
      <w:r w:rsidR="00780F38" w:rsidRPr="00815D06">
        <w:rPr>
          <w:rFonts w:ascii="Times New Roman" w:hAnsi="Times New Roman" w:cs="Times New Roman"/>
          <w:sz w:val="24"/>
          <w:szCs w:val="24"/>
        </w:rPr>
        <w:t xml:space="preserve"> Nr.116 “Par likumprojekta “Par vidēja termiņa budžeta ietvaru 2020., 2021. un 2022.gadam” un likumprojekta “Par valsts budžetu 2020.gadam” sagatavošanas grafiku” </w:t>
      </w:r>
      <w:r w:rsidR="00997136" w:rsidRPr="00815D06">
        <w:rPr>
          <w:rFonts w:ascii="Times New Roman" w:hAnsi="Times New Roman" w:cs="Times New Roman"/>
          <w:sz w:val="24"/>
          <w:szCs w:val="24"/>
        </w:rPr>
        <w:t>un 201</w:t>
      </w:r>
      <w:r w:rsidR="00780F38" w:rsidRPr="00815D06">
        <w:rPr>
          <w:rFonts w:ascii="Times New Roman" w:hAnsi="Times New Roman" w:cs="Times New Roman"/>
          <w:sz w:val="24"/>
          <w:szCs w:val="24"/>
        </w:rPr>
        <w:t>9</w:t>
      </w:r>
      <w:r w:rsidR="00997136" w:rsidRPr="00815D06">
        <w:rPr>
          <w:rFonts w:ascii="Times New Roman" w:hAnsi="Times New Roman" w:cs="Times New Roman"/>
          <w:sz w:val="24"/>
          <w:szCs w:val="24"/>
        </w:rPr>
        <w:t xml:space="preserve">.gada </w:t>
      </w:r>
      <w:r w:rsidR="00780F38" w:rsidRPr="00815D06">
        <w:rPr>
          <w:rFonts w:ascii="Times New Roman" w:hAnsi="Times New Roman" w:cs="Times New Roman"/>
          <w:sz w:val="24"/>
          <w:szCs w:val="24"/>
        </w:rPr>
        <w:t>20.augusta</w:t>
      </w:r>
      <w:r w:rsidR="00997136" w:rsidRPr="00815D06">
        <w:rPr>
          <w:rFonts w:ascii="Times New Roman" w:hAnsi="Times New Roman" w:cs="Times New Roman"/>
          <w:sz w:val="24"/>
          <w:szCs w:val="24"/>
        </w:rPr>
        <w:t xml:space="preserve"> MK sēdē nolemto, </w:t>
      </w:r>
      <w:r w:rsidR="00B07E38" w:rsidRPr="00815D06">
        <w:rPr>
          <w:rFonts w:ascii="Times New Roman" w:hAnsi="Times New Roman" w:cs="Times New Roman"/>
          <w:sz w:val="24"/>
          <w:szCs w:val="24"/>
        </w:rPr>
        <w:t>F</w:t>
      </w:r>
      <w:r w:rsidRPr="00815D06">
        <w:rPr>
          <w:rFonts w:ascii="Times New Roman" w:hAnsi="Times New Roman" w:cs="Times New Roman"/>
          <w:sz w:val="24"/>
          <w:szCs w:val="24"/>
        </w:rPr>
        <w:t xml:space="preserve">inanšu ministrija ir sagatavojusi informatīvo ziņojumu </w:t>
      </w:r>
      <w:r w:rsidR="00677C78" w:rsidRPr="00815D06">
        <w:rPr>
          <w:rFonts w:ascii="Times New Roman" w:hAnsi="Times New Roman" w:cs="Times New Roman"/>
          <w:sz w:val="24"/>
          <w:szCs w:val="24"/>
        </w:rPr>
        <w:t>“Par fiskālās telpas pasākumiem un izdevumiem prioritārajiem pasākumiem valsts budžetam 2020.gadam un ietvaram 2020.–2022.gadam” (turpmāk – informatīvais ziņojums)</w:t>
      </w:r>
      <w:r w:rsidR="00677C78" w:rsidRPr="00815D06">
        <w:rPr>
          <w:rFonts w:ascii="Times New Roman" w:hAnsi="Times New Roman" w:cs="Times New Roman"/>
          <w:color w:val="000000"/>
          <w:sz w:val="24"/>
          <w:szCs w:val="24"/>
        </w:rPr>
        <w:t>.</w:t>
      </w:r>
    </w:p>
    <w:p w14:paraId="3ACCAD1F" w14:textId="77777777" w:rsidR="00EC5231" w:rsidRPr="00815D06" w:rsidRDefault="00EC5231" w:rsidP="00815D06">
      <w:pPr>
        <w:spacing w:after="120" w:line="240" w:lineRule="auto"/>
        <w:ind w:firstLine="709"/>
        <w:jc w:val="both"/>
        <w:rPr>
          <w:rFonts w:ascii="Times New Roman" w:hAnsi="Times New Roman" w:cs="Times New Roman"/>
          <w:color w:val="000000"/>
          <w:sz w:val="24"/>
          <w:szCs w:val="24"/>
        </w:rPr>
      </w:pPr>
    </w:p>
    <w:p w14:paraId="591A5B79" w14:textId="77777777" w:rsidR="00A175F4" w:rsidRPr="00B74A37" w:rsidRDefault="00A175F4" w:rsidP="00815D06">
      <w:pPr>
        <w:pStyle w:val="ListParagraph"/>
        <w:numPr>
          <w:ilvl w:val="0"/>
          <w:numId w:val="17"/>
        </w:numPr>
        <w:shd w:val="clear" w:color="auto" w:fill="FFD966" w:themeFill="accent4" w:themeFillTint="99"/>
        <w:tabs>
          <w:tab w:val="left" w:pos="0"/>
          <w:tab w:val="left" w:pos="993"/>
        </w:tabs>
        <w:spacing w:after="120" w:line="240" w:lineRule="auto"/>
        <w:contextualSpacing w:val="0"/>
        <w:jc w:val="both"/>
        <w:rPr>
          <w:rFonts w:ascii="Times New Roman" w:hAnsi="Times New Roman" w:cs="Times New Roman"/>
          <w:b/>
          <w:sz w:val="28"/>
          <w:szCs w:val="28"/>
        </w:rPr>
      </w:pPr>
      <w:r w:rsidRPr="00B74A37">
        <w:rPr>
          <w:rFonts w:ascii="Times New Roman" w:hAnsi="Times New Roman" w:cs="Times New Roman"/>
          <w:b/>
          <w:sz w:val="28"/>
          <w:szCs w:val="28"/>
        </w:rPr>
        <w:t xml:space="preserve">Fiskālās telpas </w:t>
      </w:r>
      <w:r w:rsidR="009E0B58" w:rsidRPr="00B74A37">
        <w:rPr>
          <w:rFonts w:ascii="Times New Roman" w:hAnsi="Times New Roman" w:cs="Times New Roman"/>
          <w:b/>
          <w:sz w:val="28"/>
          <w:szCs w:val="28"/>
        </w:rPr>
        <w:t xml:space="preserve">palielināšanas </w:t>
      </w:r>
      <w:r w:rsidRPr="00B74A37">
        <w:rPr>
          <w:rFonts w:ascii="Times New Roman" w:hAnsi="Times New Roman" w:cs="Times New Roman"/>
          <w:b/>
          <w:sz w:val="28"/>
          <w:szCs w:val="28"/>
        </w:rPr>
        <w:t>pasākumi</w:t>
      </w:r>
      <w:r w:rsidR="00116D68" w:rsidRPr="00B74A37">
        <w:rPr>
          <w:rFonts w:ascii="Times New Roman" w:hAnsi="Times New Roman" w:cs="Times New Roman"/>
          <w:b/>
          <w:sz w:val="28"/>
          <w:szCs w:val="28"/>
        </w:rPr>
        <w:t xml:space="preserve"> </w:t>
      </w:r>
    </w:p>
    <w:p w14:paraId="6334094C" w14:textId="77777777" w:rsidR="002B59B3" w:rsidRDefault="006C6594" w:rsidP="00815D06">
      <w:pPr>
        <w:spacing w:after="120" w:line="240" w:lineRule="auto"/>
        <w:ind w:firstLine="720"/>
        <w:jc w:val="both"/>
        <w:rPr>
          <w:rFonts w:ascii="Times New Roman" w:hAnsi="Times New Roman" w:cs="Times New Roman"/>
          <w:noProof/>
          <w:sz w:val="24"/>
          <w:szCs w:val="24"/>
        </w:rPr>
      </w:pPr>
      <w:r w:rsidRPr="00815D06">
        <w:rPr>
          <w:rFonts w:ascii="Times New Roman" w:hAnsi="Times New Roman" w:cs="Times New Roman"/>
          <w:sz w:val="24"/>
          <w:szCs w:val="24"/>
        </w:rPr>
        <w:t>MK 2019</w:t>
      </w:r>
      <w:r w:rsidR="0084432B" w:rsidRPr="00815D06">
        <w:rPr>
          <w:rFonts w:ascii="Times New Roman" w:hAnsi="Times New Roman" w:cs="Times New Roman"/>
          <w:sz w:val="24"/>
          <w:szCs w:val="24"/>
        </w:rPr>
        <w:t>.gada 2</w:t>
      </w:r>
      <w:r w:rsidRPr="00815D06">
        <w:rPr>
          <w:rFonts w:ascii="Times New Roman" w:hAnsi="Times New Roman" w:cs="Times New Roman"/>
          <w:sz w:val="24"/>
          <w:szCs w:val="24"/>
        </w:rPr>
        <w:t>0</w:t>
      </w:r>
      <w:r w:rsidR="0084432B" w:rsidRPr="00815D06">
        <w:rPr>
          <w:rFonts w:ascii="Times New Roman" w:hAnsi="Times New Roman" w:cs="Times New Roman"/>
          <w:sz w:val="24"/>
          <w:szCs w:val="24"/>
        </w:rPr>
        <w:t>.augusta sēdē</w:t>
      </w:r>
      <w:r w:rsidR="002B59B3" w:rsidRPr="00815D06">
        <w:rPr>
          <w:rFonts w:ascii="Times New Roman" w:hAnsi="Times New Roman" w:cs="Times New Roman"/>
          <w:sz w:val="24"/>
          <w:szCs w:val="24"/>
        </w:rPr>
        <w:t>,</w:t>
      </w:r>
      <w:r w:rsidR="00C13E5C" w:rsidRPr="00815D06">
        <w:rPr>
          <w:rFonts w:ascii="Times New Roman" w:hAnsi="Times New Roman" w:cs="Times New Roman"/>
          <w:sz w:val="24"/>
          <w:szCs w:val="24"/>
        </w:rPr>
        <w:t xml:space="preserve"> izskat</w:t>
      </w:r>
      <w:r w:rsidR="002B59B3" w:rsidRPr="00815D06">
        <w:rPr>
          <w:rFonts w:ascii="Times New Roman" w:hAnsi="Times New Roman" w:cs="Times New Roman"/>
          <w:sz w:val="24"/>
          <w:szCs w:val="24"/>
        </w:rPr>
        <w:t>ot</w:t>
      </w:r>
      <w:r w:rsidR="0084432B" w:rsidRPr="00815D06">
        <w:rPr>
          <w:rFonts w:ascii="Times New Roman" w:hAnsi="Times New Roman" w:cs="Times New Roman"/>
          <w:sz w:val="24"/>
          <w:szCs w:val="24"/>
        </w:rPr>
        <w:t xml:space="preserve"> Finanšu ministrijas sagatavot</w:t>
      </w:r>
      <w:r w:rsidR="002B59B3" w:rsidRPr="00815D06">
        <w:rPr>
          <w:rFonts w:ascii="Times New Roman" w:hAnsi="Times New Roman" w:cs="Times New Roman"/>
          <w:sz w:val="24"/>
          <w:szCs w:val="24"/>
        </w:rPr>
        <w:t>o</w:t>
      </w:r>
      <w:r w:rsidR="0084432B" w:rsidRPr="00815D06">
        <w:rPr>
          <w:rFonts w:ascii="Times New Roman" w:hAnsi="Times New Roman" w:cs="Times New Roman"/>
          <w:sz w:val="24"/>
          <w:szCs w:val="24"/>
        </w:rPr>
        <w:t xml:space="preserve"> informatīv</w:t>
      </w:r>
      <w:r w:rsidR="002B59B3" w:rsidRPr="00815D06">
        <w:rPr>
          <w:rFonts w:ascii="Times New Roman" w:hAnsi="Times New Roman" w:cs="Times New Roman"/>
          <w:sz w:val="24"/>
          <w:szCs w:val="24"/>
        </w:rPr>
        <w:t>o</w:t>
      </w:r>
      <w:r w:rsidR="00C13E5C" w:rsidRPr="00815D06">
        <w:rPr>
          <w:rFonts w:ascii="Times New Roman" w:hAnsi="Times New Roman" w:cs="Times New Roman"/>
          <w:sz w:val="24"/>
          <w:szCs w:val="24"/>
        </w:rPr>
        <w:t xml:space="preserve"> </w:t>
      </w:r>
      <w:r w:rsidR="0084432B" w:rsidRPr="00815D06">
        <w:rPr>
          <w:rFonts w:ascii="Times New Roman" w:hAnsi="Times New Roman" w:cs="Times New Roman"/>
          <w:sz w:val="24"/>
          <w:szCs w:val="24"/>
        </w:rPr>
        <w:t>ziņojum</w:t>
      </w:r>
      <w:r w:rsidR="002B59B3" w:rsidRPr="00815D06">
        <w:rPr>
          <w:rFonts w:ascii="Times New Roman" w:hAnsi="Times New Roman" w:cs="Times New Roman"/>
          <w:sz w:val="24"/>
          <w:szCs w:val="24"/>
        </w:rPr>
        <w:t>u</w:t>
      </w:r>
      <w:r w:rsidR="0084432B" w:rsidRPr="00815D06">
        <w:rPr>
          <w:rFonts w:ascii="Times New Roman" w:hAnsi="Times New Roman" w:cs="Times New Roman"/>
          <w:sz w:val="24"/>
          <w:szCs w:val="24"/>
        </w:rPr>
        <w:t xml:space="preserve"> </w:t>
      </w:r>
      <w:r w:rsidR="002B59B3" w:rsidRPr="00815D06">
        <w:rPr>
          <w:rFonts w:ascii="Times New Roman" w:hAnsi="Times New Roman" w:cs="Times New Roman"/>
          <w:sz w:val="24"/>
          <w:szCs w:val="24"/>
        </w:rPr>
        <w:t xml:space="preserve">„Par makroekonomisko rādītāju, ieņēmumu un vispārējās valdības budžeta bilances prognozēm 2020.-2022.gadā”, tika noteikts, ka ņemot vērā </w:t>
      </w:r>
      <w:r w:rsidR="002B59B3" w:rsidRPr="00815D06">
        <w:rPr>
          <w:rFonts w:ascii="Times New Roman" w:hAnsi="Times New Roman" w:cs="Times New Roman"/>
          <w:noProof/>
          <w:sz w:val="24"/>
          <w:szCs w:val="24"/>
        </w:rPr>
        <w:t>ietekmi uz vispārējās valdības budžeta bilanci no Rīgas pašvaldības sabiedrības ar ierobežotu atbildību “Rīgas satiksme”</w:t>
      </w:r>
      <w:r w:rsidR="002B59B3" w:rsidRPr="00815D06">
        <w:rPr>
          <w:rFonts w:ascii="Times New Roman" w:hAnsi="Times New Roman" w:cs="Times New Roman"/>
          <w:sz w:val="24"/>
          <w:szCs w:val="24"/>
        </w:rPr>
        <w:t xml:space="preserve">, indikatīvais fiskālās telpas apjoms </w:t>
      </w:r>
      <w:r w:rsidR="002B59B3" w:rsidRPr="00815D06">
        <w:rPr>
          <w:rFonts w:ascii="Times New Roman" w:hAnsi="Times New Roman" w:cs="Times New Roman"/>
          <w:noProof/>
          <w:sz w:val="24"/>
          <w:szCs w:val="24"/>
        </w:rPr>
        <w:t xml:space="preserve">2020. gadā ir -25,0 milj. </w:t>
      </w:r>
      <w:r w:rsidR="002B59B3" w:rsidRPr="00815D06">
        <w:rPr>
          <w:rFonts w:ascii="Times New Roman" w:hAnsi="Times New Roman" w:cs="Times New Roman"/>
          <w:i/>
          <w:noProof/>
          <w:sz w:val="24"/>
          <w:szCs w:val="24"/>
        </w:rPr>
        <w:t>euro</w:t>
      </w:r>
      <w:r w:rsidR="002B59B3" w:rsidRPr="00815D06">
        <w:rPr>
          <w:rFonts w:ascii="Times New Roman" w:hAnsi="Times New Roman" w:cs="Times New Roman"/>
          <w:noProof/>
          <w:sz w:val="24"/>
          <w:szCs w:val="24"/>
        </w:rPr>
        <w:t xml:space="preserve">, 2021. gadā ir 34,0 milj. </w:t>
      </w:r>
      <w:r w:rsidR="002B59B3" w:rsidRPr="00815D06">
        <w:rPr>
          <w:rFonts w:ascii="Times New Roman" w:hAnsi="Times New Roman" w:cs="Times New Roman"/>
          <w:i/>
          <w:noProof/>
          <w:sz w:val="24"/>
          <w:szCs w:val="24"/>
        </w:rPr>
        <w:t>euro</w:t>
      </w:r>
      <w:r w:rsidR="002B59B3" w:rsidRPr="00815D06">
        <w:rPr>
          <w:rFonts w:ascii="Times New Roman" w:hAnsi="Times New Roman" w:cs="Times New Roman"/>
          <w:noProof/>
          <w:sz w:val="24"/>
          <w:szCs w:val="24"/>
        </w:rPr>
        <w:t xml:space="preserve"> un</w:t>
      </w:r>
      <w:r w:rsidR="002B59B3" w:rsidRPr="00815D06">
        <w:rPr>
          <w:rFonts w:ascii="Times New Roman" w:hAnsi="Times New Roman" w:cs="Times New Roman"/>
          <w:sz w:val="24"/>
          <w:szCs w:val="24"/>
        </w:rPr>
        <w:t xml:space="preserve"> </w:t>
      </w:r>
      <w:r w:rsidR="002B59B3" w:rsidRPr="00815D06">
        <w:rPr>
          <w:rFonts w:ascii="Times New Roman" w:hAnsi="Times New Roman" w:cs="Times New Roman"/>
          <w:noProof/>
          <w:sz w:val="24"/>
          <w:szCs w:val="24"/>
        </w:rPr>
        <w:t xml:space="preserve">2022. gadā ir 132,5 milj. </w:t>
      </w:r>
      <w:r w:rsidR="002B59B3" w:rsidRPr="00815D06">
        <w:rPr>
          <w:rFonts w:ascii="Times New Roman" w:hAnsi="Times New Roman" w:cs="Times New Roman"/>
          <w:i/>
          <w:noProof/>
          <w:sz w:val="24"/>
          <w:szCs w:val="24"/>
        </w:rPr>
        <w:t>euro</w:t>
      </w:r>
      <w:r w:rsidR="002B59B3" w:rsidRPr="00815D06">
        <w:rPr>
          <w:rFonts w:ascii="Times New Roman" w:hAnsi="Times New Roman" w:cs="Times New Roman"/>
          <w:noProof/>
          <w:sz w:val="24"/>
          <w:szCs w:val="24"/>
        </w:rPr>
        <w:t>.</w:t>
      </w:r>
    </w:p>
    <w:p w14:paraId="5E55885E" w14:textId="0B95E7FE" w:rsidR="005A1C63" w:rsidRDefault="00F85AFD" w:rsidP="005A1C63">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507105">
        <w:rPr>
          <w:rFonts w:ascii="Times New Roman" w:hAnsi="Times New Roman" w:cs="Times New Roman"/>
          <w:sz w:val="24"/>
          <w:szCs w:val="24"/>
        </w:rPr>
        <w:t>MK</w:t>
      </w:r>
      <w:r w:rsidR="00D4270C" w:rsidRPr="006339B1">
        <w:rPr>
          <w:rFonts w:ascii="Times New Roman" w:hAnsi="Times New Roman" w:cs="Times New Roman"/>
          <w:sz w:val="24"/>
          <w:szCs w:val="24"/>
        </w:rPr>
        <w:t xml:space="preserve"> 2019.gada 20.augusta sēdē izskatītajam informatīvajam ziņojumam “Par valsts budžeta izdevumu pārskatīšanas rezultātiem un priekšlikumi par šo rezultātu izmantošanu likumprojekta “Par vidēja termiņa budžeta ietvaru 2020., 2021. un 2022.gadam” un likumprojekta “Par valsts budžetu 2020.gadam” izstrādes procesā” (protokols Nr.35 26.§) izdevumu pārskatīšanas rezultātā 48,1 milj. </w:t>
      </w:r>
      <w:proofErr w:type="spellStart"/>
      <w:r w:rsidR="00D4270C" w:rsidRPr="006339B1">
        <w:rPr>
          <w:rFonts w:ascii="Times New Roman" w:hAnsi="Times New Roman" w:cs="Times New Roman"/>
          <w:i/>
          <w:sz w:val="24"/>
          <w:szCs w:val="24"/>
        </w:rPr>
        <w:t>euro</w:t>
      </w:r>
      <w:proofErr w:type="spellEnd"/>
      <w:r w:rsidR="00D4270C" w:rsidRPr="006339B1">
        <w:rPr>
          <w:rFonts w:ascii="Times New Roman" w:hAnsi="Times New Roman" w:cs="Times New Roman"/>
          <w:sz w:val="24"/>
          <w:szCs w:val="24"/>
        </w:rPr>
        <w:t xml:space="preserve"> 2020.gadā; 17,3 milj. </w:t>
      </w:r>
      <w:proofErr w:type="spellStart"/>
      <w:r w:rsidR="00D4270C" w:rsidRPr="006339B1">
        <w:rPr>
          <w:rFonts w:ascii="Times New Roman" w:hAnsi="Times New Roman" w:cs="Times New Roman"/>
          <w:i/>
          <w:sz w:val="24"/>
          <w:szCs w:val="24"/>
        </w:rPr>
        <w:t>euro</w:t>
      </w:r>
      <w:proofErr w:type="spellEnd"/>
      <w:r w:rsidR="00D4270C" w:rsidRPr="006339B1">
        <w:rPr>
          <w:rFonts w:ascii="Times New Roman" w:hAnsi="Times New Roman" w:cs="Times New Roman"/>
          <w:sz w:val="24"/>
          <w:szCs w:val="24"/>
        </w:rPr>
        <w:t xml:space="preserve"> 2021.gadā un 40,5 milj. </w:t>
      </w:r>
      <w:proofErr w:type="spellStart"/>
      <w:r w:rsidR="00D4270C" w:rsidRPr="006339B1">
        <w:rPr>
          <w:rFonts w:ascii="Times New Roman" w:hAnsi="Times New Roman" w:cs="Times New Roman"/>
          <w:i/>
          <w:sz w:val="24"/>
          <w:szCs w:val="24"/>
        </w:rPr>
        <w:t>euro</w:t>
      </w:r>
      <w:proofErr w:type="spellEnd"/>
      <w:r w:rsidR="00D4270C" w:rsidRPr="006339B1">
        <w:rPr>
          <w:rFonts w:ascii="Times New Roman" w:hAnsi="Times New Roman" w:cs="Times New Roman"/>
          <w:sz w:val="24"/>
          <w:szCs w:val="24"/>
        </w:rPr>
        <w:t xml:space="preserve"> 2022.gadā novirzāmi kopējās fiskālās telpas uzlabošanai. Norādītais potenciālais resurss izriet no – iepriekšējo periodu prioritāro pasākumu aktualitātes, sasniedzamo rezultātu un mērķu atbilstības pārskatīšanas; </w:t>
      </w:r>
      <w:r w:rsidR="00D4270C">
        <w:rPr>
          <w:rFonts w:ascii="Times New Roman" w:hAnsi="Times New Roman" w:cs="Times New Roman"/>
          <w:sz w:val="24"/>
          <w:szCs w:val="24"/>
        </w:rPr>
        <w:t>nozaru ministriju politikas</w:t>
      </w:r>
      <w:r w:rsidR="00D4270C" w:rsidRPr="006339B1">
        <w:rPr>
          <w:rFonts w:ascii="Times New Roman" w:hAnsi="Times New Roman" w:cs="Times New Roman"/>
          <w:sz w:val="24"/>
          <w:szCs w:val="24"/>
        </w:rPr>
        <w:t xml:space="preserve"> jomu finansēšanas analīzes; nozaru funkciju </w:t>
      </w:r>
      <w:proofErr w:type="spellStart"/>
      <w:r w:rsidR="00D4270C" w:rsidRPr="006339B1">
        <w:rPr>
          <w:rFonts w:ascii="Times New Roman" w:hAnsi="Times New Roman" w:cs="Times New Roman"/>
          <w:sz w:val="24"/>
          <w:szCs w:val="24"/>
        </w:rPr>
        <w:t>efektivizēšanas</w:t>
      </w:r>
      <w:proofErr w:type="spellEnd"/>
      <w:r w:rsidR="00D4270C" w:rsidRPr="006339B1">
        <w:rPr>
          <w:rFonts w:ascii="Times New Roman" w:hAnsi="Times New Roman" w:cs="Times New Roman"/>
          <w:sz w:val="24"/>
          <w:szCs w:val="24"/>
        </w:rPr>
        <w:t xml:space="preserve"> un zemākās prioritātes administratīvo izdevumu pārskatīšanas, kā arī no nozaru ministriju sagatavotajiem priekšlikumiem, rodot finanšu resursus savas nozares noteikto prioritāro pasākumu finansēšanai.</w:t>
      </w:r>
      <w:r w:rsidR="00D4270C" w:rsidRPr="00815D06">
        <w:rPr>
          <w:rFonts w:ascii="Times New Roman" w:hAnsi="Times New Roman" w:cs="Times New Roman"/>
          <w:sz w:val="24"/>
          <w:szCs w:val="24"/>
        </w:rPr>
        <w:t xml:space="preserve"> </w:t>
      </w:r>
    </w:p>
    <w:p w14:paraId="125D5D3C" w14:textId="77777777" w:rsidR="006F3C27" w:rsidRPr="006339B1" w:rsidRDefault="006F3C27" w:rsidP="005A1C63">
      <w:pPr>
        <w:spacing w:after="120" w:line="240" w:lineRule="auto"/>
        <w:ind w:firstLine="720"/>
        <w:jc w:val="both"/>
        <w:rPr>
          <w:rFonts w:ascii="Times New Roman" w:hAnsi="Times New Roman" w:cs="Times New Roman"/>
          <w:i/>
          <w:sz w:val="24"/>
          <w:szCs w:val="24"/>
          <w:shd w:val="clear" w:color="auto" w:fill="FFFFFF"/>
        </w:rPr>
      </w:pPr>
    </w:p>
    <w:tbl>
      <w:tblPr>
        <w:tblStyle w:val="TableGrid"/>
        <w:tblW w:w="9356" w:type="dxa"/>
        <w:tblBorders>
          <w:left w:val="none" w:sz="0" w:space="0" w:color="auto"/>
          <w:right w:val="none" w:sz="0" w:space="0" w:color="auto"/>
        </w:tblBorders>
        <w:tblLook w:val="04A0" w:firstRow="1" w:lastRow="0" w:firstColumn="1" w:lastColumn="0" w:noHBand="0" w:noVBand="1"/>
      </w:tblPr>
      <w:tblGrid>
        <w:gridCol w:w="4359"/>
        <w:gridCol w:w="1595"/>
        <w:gridCol w:w="1701"/>
        <w:gridCol w:w="1701"/>
      </w:tblGrid>
      <w:tr w:rsidR="005A1C63" w:rsidRPr="006339B1" w14:paraId="415081AE" w14:textId="77777777" w:rsidTr="00592087">
        <w:trPr>
          <w:trHeight w:val="355"/>
        </w:trPr>
        <w:tc>
          <w:tcPr>
            <w:tcW w:w="4359" w:type="dxa"/>
            <w:tcBorders>
              <w:top w:val="double" w:sz="4" w:space="0" w:color="auto"/>
              <w:left w:val="nil"/>
              <w:bottom w:val="double" w:sz="4" w:space="0" w:color="auto"/>
              <w:right w:val="dotted" w:sz="4" w:space="0" w:color="auto"/>
            </w:tcBorders>
            <w:vAlign w:val="bottom"/>
          </w:tcPr>
          <w:p w14:paraId="22CE8D88" w14:textId="77777777" w:rsidR="005A1C63" w:rsidRPr="006339B1" w:rsidRDefault="005A1C63" w:rsidP="00592087">
            <w:pPr>
              <w:tabs>
                <w:tab w:val="left" w:pos="851"/>
              </w:tabs>
              <w:spacing w:after="120"/>
              <w:rPr>
                <w:rFonts w:ascii="Times New Roman" w:hAnsi="Times New Roman" w:cs="Times New Roman"/>
                <w:b/>
                <w:sz w:val="24"/>
                <w:szCs w:val="24"/>
              </w:rPr>
            </w:pPr>
          </w:p>
        </w:tc>
        <w:tc>
          <w:tcPr>
            <w:tcW w:w="1595" w:type="dxa"/>
            <w:tcBorders>
              <w:top w:val="double" w:sz="4" w:space="0" w:color="auto"/>
              <w:left w:val="dotted" w:sz="4" w:space="0" w:color="auto"/>
              <w:bottom w:val="double" w:sz="4" w:space="0" w:color="auto"/>
              <w:right w:val="dotted" w:sz="4" w:space="0" w:color="auto"/>
            </w:tcBorders>
            <w:vAlign w:val="center"/>
          </w:tcPr>
          <w:p w14:paraId="69185FDD" w14:textId="77777777" w:rsidR="005A1C63" w:rsidRPr="006339B1" w:rsidRDefault="005A1C63" w:rsidP="00592087">
            <w:pPr>
              <w:tabs>
                <w:tab w:val="left" w:pos="851"/>
              </w:tabs>
              <w:spacing w:after="120"/>
              <w:jc w:val="center"/>
              <w:rPr>
                <w:rFonts w:ascii="Times New Roman" w:hAnsi="Times New Roman" w:cs="Times New Roman"/>
                <w:b/>
                <w:sz w:val="24"/>
                <w:szCs w:val="24"/>
              </w:rPr>
            </w:pPr>
            <w:r w:rsidRPr="006339B1">
              <w:rPr>
                <w:rFonts w:ascii="Times New Roman" w:hAnsi="Times New Roman" w:cs="Times New Roman"/>
                <w:sz w:val="24"/>
                <w:szCs w:val="24"/>
              </w:rPr>
              <w:t>2020.gadā</w:t>
            </w:r>
          </w:p>
        </w:tc>
        <w:tc>
          <w:tcPr>
            <w:tcW w:w="1701" w:type="dxa"/>
            <w:tcBorders>
              <w:top w:val="double" w:sz="4" w:space="0" w:color="auto"/>
              <w:left w:val="dotted" w:sz="4" w:space="0" w:color="auto"/>
              <w:bottom w:val="double" w:sz="4" w:space="0" w:color="auto"/>
              <w:right w:val="dotted" w:sz="4" w:space="0" w:color="auto"/>
            </w:tcBorders>
            <w:vAlign w:val="center"/>
          </w:tcPr>
          <w:p w14:paraId="672289BC" w14:textId="77777777" w:rsidR="005A1C63" w:rsidRPr="006339B1" w:rsidRDefault="005A1C63" w:rsidP="00592087">
            <w:pPr>
              <w:tabs>
                <w:tab w:val="left" w:pos="851"/>
              </w:tabs>
              <w:spacing w:after="120"/>
              <w:jc w:val="center"/>
              <w:rPr>
                <w:rFonts w:ascii="Times New Roman" w:hAnsi="Times New Roman" w:cs="Times New Roman"/>
                <w:b/>
                <w:sz w:val="24"/>
                <w:szCs w:val="24"/>
              </w:rPr>
            </w:pPr>
            <w:r w:rsidRPr="006339B1">
              <w:rPr>
                <w:rFonts w:ascii="Times New Roman" w:hAnsi="Times New Roman" w:cs="Times New Roman"/>
                <w:sz w:val="24"/>
                <w:szCs w:val="24"/>
              </w:rPr>
              <w:t>2021.gadā</w:t>
            </w:r>
          </w:p>
        </w:tc>
        <w:tc>
          <w:tcPr>
            <w:tcW w:w="1701" w:type="dxa"/>
            <w:tcBorders>
              <w:top w:val="double" w:sz="4" w:space="0" w:color="auto"/>
              <w:left w:val="dotted" w:sz="4" w:space="0" w:color="auto"/>
              <w:bottom w:val="double" w:sz="4" w:space="0" w:color="auto"/>
              <w:right w:val="nil"/>
            </w:tcBorders>
            <w:vAlign w:val="center"/>
          </w:tcPr>
          <w:p w14:paraId="330AD314" w14:textId="77777777" w:rsidR="005A1C63" w:rsidRPr="006339B1" w:rsidRDefault="005A1C63" w:rsidP="00592087">
            <w:pPr>
              <w:tabs>
                <w:tab w:val="left" w:pos="851"/>
              </w:tabs>
              <w:spacing w:after="120"/>
              <w:jc w:val="center"/>
              <w:rPr>
                <w:rFonts w:ascii="Times New Roman" w:hAnsi="Times New Roman" w:cs="Times New Roman"/>
                <w:b/>
                <w:sz w:val="24"/>
                <w:szCs w:val="24"/>
              </w:rPr>
            </w:pPr>
            <w:r w:rsidRPr="006339B1">
              <w:rPr>
                <w:rFonts w:ascii="Times New Roman" w:hAnsi="Times New Roman" w:cs="Times New Roman"/>
                <w:sz w:val="24"/>
                <w:szCs w:val="24"/>
              </w:rPr>
              <w:t>2022.gadā</w:t>
            </w:r>
          </w:p>
        </w:tc>
      </w:tr>
      <w:tr w:rsidR="005A1C63" w:rsidRPr="008C75EE" w14:paraId="50B3DF09" w14:textId="77777777" w:rsidTr="00592087">
        <w:trPr>
          <w:trHeight w:val="355"/>
        </w:trPr>
        <w:tc>
          <w:tcPr>
            <w:tcW w:w="4359" w:type="dxa"/>
            <w:tcBorders>
              <w:top w:val="double" w:sz="4" w:space="0" w:color="auto"/>
              <w:left w:val="nil"/>
              <w:bottom w:val="double" w:sz="4" w:space="0" w:color="auto"/>
              <w:right w:val="dotted" w:sz="4" w:space="0" w:color="auto"/>
            </w:tcBorders>
            <w:vAlign w:val="bottom"/>
            <w:hideMark/>
          </w:tcPr>
          <w:p w14:paraId="488BBAC4" w14:textId="77777777" w:rsidR="005A1C63" w:rsidRPr="006339B1" w:rsidRDefault="00CE630A" w:rsidP="00CE630A">
            <w:pPr>
              <w:tabs>
                <w:tab w:val="left" w:pos="851"/>
              </w:tabs>
              <w:spacing w:after="120"/>
              <w:rPr>
                <w:rFonts w:ascii="Times New Roman" w:hAnsi="Times New Roman" w:cs="Times New Roman"/>
                <w:b/>
                <w:sz w:val="24"/>
                <w:szCs w:val="24"/>
              </w:rPr>
            </w:pPr>
            <w:r>
              <w:rPr>
                <w:rFonts w:ascii="Times New Roman" w:hAnsi="Times New Roman" w:cs="Times New Roman"/>
                <w:b/>
                <w:sz w:val="24"/>
                <w:szCs w:val="24"/>
              </w:rPr>
              <w:t>Precizētā f</w:t>
            </w:r>
            <w:r w:rsidR="005A1C63" w:rsidRPr="006339B1">
              <w:rPr>
                <w:rFonts w:ascii="Times New Roman" w:hAnsi="Times New Roman" w:cs="Times New Roman"/>
                <w:b/>
                <w:sz w:val="24"/>
                <w:szCs w:val="24"/>
              </w:rPr>
              <w:t xml:space="preserve">iskālā </w:t>
            </w:r>
            <w:r w:rsidR="005A1C63">
              <w:rPr>
                <w:rFonts w:ascii="Times New Roman" w:hAnsi="Times New Roman" w:cs="Times New Roman"/>
                <w:b/>
                <w:sz w:val="24"/>
                <w:szCs w:val="24"/>
              </w:rPr>
              <w:t>telpa</w:t>
            </w:r>
            <w:r>
              <w:rPr>
                <w:rFonts w:ascii="Times New Roman" w:hAnsi="Times New Roman" w:cs="Times New Roman"/>
                <w:b/>
                <w:sz w:val="24"/>
                <w:szCs w:val="24"/>
              </w:rPr>
              <w:t xml:space="preserve"> pēc 20.augusta MK sēdes</w:t>
            </w:r>
            <w:r w:rsidR="005A1C63" w:rsidRPr="006339B1">
              <w:rPr>
                <w:rFonts w:ascii="Times New Roman" w:hAnsi="Times New Roman" w:cs="Times New Roman"/>
                <w:sz w:val="24"/>
                <w:szCs w:val="24"/>
              </w:rPr>
              <w:t xml:space="preserve">, milj. </w:t>
            </w:r>
            <w:proofErr w:type="spellStart"/>
            <w:r w:rsidR="005A1C63" w:rsidRPr="006339B1">
              <w:rPr>
                <w:rFonts w:ascii="Times New Roman" w:hAnsi="Times New Roman" w:cs="Times New Roman"/>
                <w:i/>
                <w:sz w:val="24"/>
                <w:szCs w:val="24"/>
              </w:rPr>
              <w:t>euro</w:t>
            </w:r>
            <w:proofErr w:type="spellEnd"/>
          </w:p>
        </w:tc>
        <w:tc>
          <w:tcPr>
            <w:tcW w:w="1595" w:type="dxa"/>
            <w:tcBorders>
              <w:top w:val="double" w:sz="4" w:space="0" w:color="auto"/>
              <w:left w:val="dotted" w:sz="4" w:space="0" w:color="auto"/>
              <w:bottom w:val="double" w:sz="4" w:space="0" w:color="auto"/>
              <w:right w:val="dotted" w:sz="4" w:space="0" w:color="auto"/>
            </w:tcBorders>
            <w:vAlign w:val="center"/>
          </w:tcPr>
          <w:p w14:paraId="3388C0C7" w14:textId="77777777" w:rsidR="005A1C63" w:rsidRPr="006339B1" w:rsidRDefault="005A1C63" w:rsidP="00592087">
            <w:pPr>
              <w:tabs>
                <w:tab w:val="left" w:pos="851"/>
              </w:tabs>
              <w:spacing w:after="120"/>
              <w:jc w:val="center"/>
              <w:rPr>
                <w:rFonts w:ascii="Times New Roman" w:hAnsi="Times New Roman" w:cs="Times New Roman"/>
                <w:b/>
                <w:sz w:val="24"/>
                <w:szCs w:val="24"/>
              </w:rPr>
            </w:pPr>
            <w:r>
              <w:rPr>
                <w:rFonts w:ascii="Times New Roman" w:hAnsi="Times New Roman" w:cs="Times New Roman"/>
                <w:b/>
                <w:sz w:val="24"/>
                <w:szCs w:val="24"/>
              </w:rPr>
              <w:t>23,1</w:t>
            </w:r>
          </w:p>
        </w:tc>
        <w:tc>
          <w:tcPr>
            <w:tcW w:w="1701" w:type="dxa"/>
            <w:tcBorders>
              <w:top w:val="double" w:sz="4" w:space="0" w:color="auto"/>
              <w:left w:val="dotted" w:sz="4" w:space="0" w:color="auto"/>
              <w:bottom w:val="double" w:sz="4" w:space="0" w:color="auto"/>
              <w:right w:val="dotted" w:sz="4" w:space="0" w:color="auto"/>
            </w:tcBorders>
            <w:vAlign w:val="center"/>
          </w:tcPr>
          <w:p w14:paraId="20586863" w14:textId="77777777" w:rsidR="005A1C63" w:rsidRPr="006339B1" w:rsidRDefault="005A1C63" w:rsidP="00592087">
            <w:pPr>
              <w:tabs>
                <w:tab w:val="left" w:pos="851"/>
              </w:tabs>
              <w:spacing w:after="120"/>
              <w:jc w:val="center"/>
              <w:rPr>
                <w:rFonts w:ascii="Times New Roman" w:hAnsi="Times New Roman" w:cs="Times New Roman"/>
                <w:b/>
                <w:sz w:val="24"/>
                <w:szCs w:val="24"/>
              </w:rPr>
            </w:pPr>
            <w:r>
              <w:rPr>
                <w:rFonts w:ascii="Times New Roman" w:hAnsi="Times New Roman" w:cs="Times New Roman"/>
                <w:b/>
                <w:sz w:val="24"/>
                <w:szCs w:val="24"/>
              </w:rPr>
              <w:t>51,3</w:t>
            </w:r>
          </w:p>
        </w:tc>
        <w:tc>
          <w:tcPr>
            <w:tcW w:w="1701" w:type="dxa"/>
            <w:tcBorders>
              <w:top w:val="double" w:sz="4" w:space="0" w:color="auto"/>
              <w:left w:val="dotted" w:sz="4" w:space="0" w:color="auto"/>
              <w:bottom w:val="double" w:sz="4" w:space="0" w:color="auto"/>
              <w:right w:val="nil"/>
            </w:tcBorders>
            <w:vAlign w:val="center"/>
          </w:tcPr>
          <w:p w14:paraId="7AA96C7D" w14:textId="77777777" w:rsidR="005A1C63" w:rsidRPr="008C75EE" w:rsidRDefault="005A1C63" w:rsidP="00592087">
            <w:pPr>
              <w:tabs>
                <w:tab w:val="left" w:pos="851"/>
              </w:tabs>
              <w:spacing w:after="120"/>
              <w:jc w:val="center"/>
              <w:rPr>
                <w:rFonts w:ascii="Times New Roman" w:hAnsi="Times New Roman" w:cs="Times New Roman"/>
                <w:b/>
                <w:sz w:val="24"/>
                <w:szCs w:val="24"/>
              </w:rPr>
            </w:pPr>
            <w:r>
              <w:rPr>
                <w:rFonts w:ascii="Times New Roman" w:hAnsi="Times New Roman" w:cs="Times New Roman"/>
                <w:b/>
                <w:sz w:val="24"/>
                <w:szCs w:val="24"/>
              </w:rPr>
              <w:t>173,0</w:t>
            </w:r>
          </w:p>
        </w:tc>
      </w:tr>
    </w:tbl>
    <w:p w14:paraId="1F803E34" w14:textId="77777777" w:rsidR="00D4270C" w:rsidRPr="00815D06" w:rsidRDefault="00D4270C" w:rsidP="00815D06">
      <w:pPr>
        <w:spacing w:after="120" w:line="240" w:lineRule="auto"/>
        <w:ind w:firstLine="720"/>
        <w:jc w:val="both"/>
        <w:rPr>
          <w:rFonts w:ascii="Times New Roman" w:hAnsi="Times New Roman" w:cs="Times New Roman"/>
          <w:noProof/>
          <w:sz w:val="24"/>
          <w:szCs w:val="24"/>
        </w:rPr>
      </w:pPr>
    </w:p>
    <w:p w14:paraId="15DF13E1" w14:textId="4B67A654" w:rsidR="00B603D2" w:rsidRDefault="00B603D2" w:rsidP="00815D06">
      <w:pPr>
        <w:spacing w:after="120" w:line="240" w:lineRule="auto"/>
        <w:ind w:firstLine="720"/>
        <w:jc w:val="both"/>
        <w:rPr>
          <w:rFonts w:ascii="Times New Roman" w:hAnsi="Times New Roman" w:cs="Times New Roman"/>
          <w:sz w:val="24"/>
          <w:szCs w:val="24"/>
        </w:rPr>
      </w:pPr>
      <w:r w:rsidRPr="00815D06">
        <w:rPr>
          <w:rFonts w:ascii="Times New Roman" w:hAnsi="Times New Roman" w:cs="Times New Roman"/>
          <w:noProof/>
          <w:sz w:val="24"/>
          <w:szCs w:val="24"/>
        </w:rPr>
        <w:t xml:space="preserve">Pēc MK </w:t>
      </w:r>
      <w:r w:rsidRPr="00815D06">
        <w:rPr>
          <w:rFonts w:ascii="Times New Roman" w:hAnsi="Times New Roman" w:cs="Times New Roman"/>
          <w:sz w:val="24"/>
          <w:szCs w:val="24"/>
        </w:rPr>
        <w:t xml:space="preserve">2019.gada 20.augusta sēdes, </w:t>
      </w:r>
      <w:r w:rsidR="007B03B8" w:rsidRPr="00AD36DC">
        <w:rPr>
          <w:rFonts w:ascii="Times New Roman" w:hAnsi="Times New Roman"/>
          <w:sz w:val="24"/>
          <w:szCs w:val="24"/>
        </w:rPr>
        <w:t>Valdību veidojošo partiju budžeta veidošanas darba grupa</w:t>
      </w:r>
      <w:r w:rsidR="007B03B8">
        <w:rPr>
          <w:rFonts w:ascii="Times New Roman" w:hAnsi="Times New Roman"/>
          <w:sz w:val="24"/>
          <w:szCs w:val="24"/>
        </w:rPr>
        <w:t>s diskusiju</w:t>
      </w:r>
      <w:r w:rsidRPr="00815D06">
        <w:rPr>
          <w:rFonts w:ascii="Times New Roman" w:hAnsi="Times New Roman" w:cs="Times New Roman"/>
          <w:sz w:val="24"/>
          <w:szCs w:val="24"/>
        </w:rPr>
        <w:t xml:space="preserve"> rezultātā, ir panākta vienošanās par iespējamajiem pasākumiem fiskālās telpas palielināšanai, lai varētu nodrošināt ministriju un citu centrālo valsts iestāžu aktuālākos prioritāros pasākumus (skat. </w:t>
      </w:r>
      <w:r w:rsidR="00782F46" w:rsidRPr="00815D06">
        <w:rPr>
          <w:rFonts w:ascii="Times New Roman" w:hAnsi="Times New Roman" w:cs="Times New Roman"/>
          <w:sz w:val="24"/>
          <w:szCs w:val="24"/>
        </w:rPr>
        <w:t>informatīvā ziņojuma pielikumu</w:t>
      </w:r>
      <w:r w:rsidRPr="00815D06">
        <w:rPr>
          <w:rFonts w:ascii="Times New Roman" w:hAnsi="Times New Roman" w:cs="Times New Roman"/>
          <w:sz w:val="24"/>
          <w:szCs w:val="24"/>
        </w:rPr>
        <w:t>).</w:t>
      </w:r>
    </w:p>
    <w:p w14:paraId="2A0A610D" w14:textId="77777777" w:rsidR="003150E7" w:rsidRDefault="003150E7" w:rsidP="00815D06">
      <w:pPr>
        <w:spacing w:after="120" w:line="240" w:lineRule="auto"/>
        <w:ind w:firstLine="720"/>
        <w:jc w:val="both"/>
        <w:rPr>
          <w:rFonts w:ascii="Times New Roman" w:hAnsi="Times New Roman" w:cs="Times New Roman"/>
          <w:sz w:val="24"/>
          <w:szCs w:val="24"/>
        </w:rPr>
      </w:pPr>
    </w:p>
    <w:p w14:paraId="6B3A000B" w14:textId="77777777" w:rsidR="002925F3" w:rsidRPr="00436179" w:rsidRDefault="003150E7" w:rsidP="002925F3">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2925F3">
        <w:rPr>
          <w:rFonts w:ascii="Times New Roman" w:hAnsi="Times New Roman" w:cs="Times New Roman"/>
          <w:b/>
          <w:sz w:val="24"/>
          <w:szCs w:val="24"/>
        </w:rPr>
        <w:t>ES f</w:t>
      </w:r>
      <w:r w:rsidR="002925F3" w:rsidRPr="00436179">
        <w:rPr>
          <w:rFonts w:ascii="Times New Roman" w:hAnsi="Times New Roman" w:cs="Times New Roman"/>
          <w:b/>
          <w:sz w:val="24"/>
          <w:szCs w:val="24"/>
        </w:rPr>
        <w:t>ondu</w:t>
      </w:r>
      <w:r w:rsidR="002925F3">
        <w:rPr>
          <w:rFonts w:ascii="Times New Roman" w:hAnsi="Times New Roman" w:cs="Times New Roman"/>
          <w:b/>
          <w:sz w:val="24"/>
          <w:szCs w:val="24"/>
        </w:rPr>
        <w:t xml:space="preserve"> finansējuma</w:t>
      </w:r>
      <w:r w:rsidR="002925F3" w:rsidRPr="00436179">
        <w:rPr>
          <w:rFonts w:ascii="Times New Roman" w:hAnsi="Times New Roman" w:cs="Times New Roman"/>
          <w:b/>
          <w:sz w:val="24"/>
          <w:szCs w:val="24"/>
        </w:rPr>
        <w:t xml:space="preserve"> pārdales</w:t>
      </w:r>
    </w:p>
    <w:p w14:paraId="2B209B69" w14:textId="67506357" w:rsidR="002925F3" w:rsidRPr="00475A32" w:rsidRDefault="002925F3" w:rsidP="002925F3">
      <w:pPr>
        <w:spacing w:after="120" w:line="240" w:lineRule="auto"/>
        <w:ind w:firstLine="720"/>
        <w:jc w:val="both"/>
        <w:rPr>
          <w:rFonts w:ascii="Times New Roman" w:hAnsi="Times New Roman" w:cs="Times New Roman"/>
          <w:sz w:val="24"/>
          <w:szCs w:val="24"/>
        </w:rPr>
      </w:pPr>
      <w:r w:rsidRPr="00475A32">
        <w:rPr>
          <w:rFonts w:ascii="Times New Roman" w:hAnsi="Times New Roman" w:cs="Times New Roman"/>
          <w:sz w:val="24"/>
          <w:szCs w:val="24"/>
        </w:rPr>
        <w:t xml:space="preserve">Finanšu ministrija, izvērtējot iespējas atbrīvot līdzekļus prioritāro pasākumu īstenošanai, attiecīgi palielinot fiskālo telpu, ir apzinājusi Eiropas Savienības struktūrfondu un Kohēzijas fonda (turpmāk – ES fondi) snieguma rezerves finansējuma un citu neizmantoto finansējuma atlikumu novirzīšanas iespējas valsts budžeta līdzfinansējuma daļas aizstāšanai plānotajos un uzsāktajos ES fondu projektos. Ņemot vērā iespējamās ES fondu atlikumu un snieguma rezerves pārdales, ES </w:t>
      </w:r>
      <w:r w:rsidRPr="00475A32">
        <w:rPr>
          <w:rFonts w:ascii="Times New Roman" w:hAnsi="Times New Roman" w:cs="Times New Roman"/>
          <w:sz w:val="24"/>
          <w:szCs w:val="24"/>
        </w:rPr>
        <w:lastRenderedPageBreak/>
        <w:t>fondu līdzfinansējumu varētu novirzīt:</w:t>
      </w:r>
      <w:r w:rsidRPr="00475A32">
        <w:rPr>
          <w:rFonts w:ascii="Times New Roman" w:hAnsi="Times New Roman" w:cs="Times New Roman"/>
          <w:color w:val="000000"/>
          <w:sz w:val="24"/>
          <w:szCs w:val="24"/>
        </w:rPr>
        <w:t xml:space="preserve"> </w:t>
      </w:r>
      <w:r>
        <w:rPr>
          <w:rFonts w:ascii="Times New Roman" w:hAnsi="Times New Roman" w:cs="Times New Roman"/>
          <w:sz w:val="24"/>
          <w:szCs w:val="24"/>
        </w:rPr>
        <w:t>113,</w:t>
      </w:r>
      <w:r w:rsidRPr="00475A32">
        <w:rPr>
          <w:rFonts w:ascii="Times New Roman" w:hAnsi="Times New Roman" w:cs="Times New Roman"/>
          <w:sz w:val="24"/>
          <w:szCs w:val="24"/>
        </w:rPr>
        <w:t>6</w:t>
      </w:r>
      <w:r>
        <w:rPr>
          <w:rFonts w:ascii="Times New Roman" w:hAnsi="Times New Roman" w:cs="Times New Roman"/>
          <w:sz w:val="24"/>
          <w:szCs w:val="24"/>
        </w:rPr>
        <w:t xml:space="preserve"> milj. </w:t>
      </w:r>
      <w:proofErr w:type="spellStart"/>
      <w:r w:rsidRPr="00475A32">
        <w:rPr>
          <w:rFonts w:ascii="Times New Roman" w:hAnsi="Times New Roman" w:cs="Times New Roman"/>
          <w:i/>
          <w:sz w:val="24"/>
          <w:szCs w:val="24"/>
        </w:rPr>
        <w:t>euro</w:t>
      </w:r>
      <w:proofErr w:type="spellEnd"/>
      <w:r w:rsidRPr="00475A32">
        <w:rPr>
          <w:rStyle w:val="FootnoteReference"/>
          <w:rFonts w:ascii="Times New Roman" w:hAnsi="Times New Roman" w:cs="Times New Roman"/>
          <w:i/>
          <w:sz w:val="24"/>
          <w:szCs w:val="24"/>
        </w:rPr>
        <w:footnoteReference w:id="1"/>
      </w:r>
      <w:r w:rsidRPr="00475A32">
        <w:rPr>
          <w:rFonts w:ascii="Times New Roman" w:hAnsi="Times New Roman" w:cs="Times New Roman"/>
          <w:i/>
          <w:sz w:val="24"/>
          <w:szCs w:val="24"/>
        </w:rPr>
        <w:t xml:space="preserve"> </w:t>
      </w:r>
      <w:r w:rsidRPr="00475A32">
        <w:rPr>
          <w:rFonts w:ascii="Times New Roman" w:hAnsi="Times New Roman" w:cs="Times New Roman"/>
          <w:color w:val="000000"/>
          <w:sz w:val="24"/>
          <w:szCs w:val="24"/>
        </w:rPr>
        <w:t xml:space="preserve">VAS “Pasažieru vilciens” </w:t>
      </w:r>
      <w:r w:rsidRPr="00475A32">
        <w:rPr>
          <w:rFonts w:ascii="Times New Roman" w:hAnsi="Times New Roman" w:cs="Times New Roman"/>
          <w:sz w:val="24"/>
          <w:szCs w:val="24"/>
        </w:rPr>
        <w:t>elektrovilcienu iegādes projekta</w:t>
      </w:r>
      <w:r w:rsidRPr="00475A32">
        <w:rPr>
          <w:rStyle w:val="FootnoteReference"/>
          <w:rFonts w:ascii="Times New Roman" w:hAnsi="Times New Roman" w:cs="Times New Roman"/>
          <w:sz w:val="24"/>
          <w:szCs w:val="24"/>
        </w:rPr>
        <w:footnoteReference w:id="2"/>
      </w:r>
      <w:r w:rsidRPr="00475A32">
        <w:rPr>
          <w:rFonts w:ascii="Times New Roman" w:hAnsi="Times New Roman" w:cs="Times New Roman"/>
          <w:sz w:val="24"/>
          <w:szCs w:val="24"/>
        </w:rPr>
        <w:t xml:space="preserve"> īstenošanai, 29</w:t>
      </w:r>
      <w:r>
        <w:rPr>
          <w:rFonts w:ascii="Times New Roman" w:hAnsi="Times New Roman" w:cs="Times New Roman"/>
          <w:sz w:val="24"/>
          <w:szCs w:val="24"/>
        </w:rPr>
        <w:t>,4 milj.</w:t>
      </w:r>
      <w:r w:rsidRPr="00475A32">
        <w:rPr>
          <w:rFonts w:ascii="Times New Roman" w:hAnsi="Times New Roman" w:cs="Times New Roman"/>
          <w:sz w:val="24"/>
          <w:szCs w:val="24"/>
        </w:rPr>
        <w:t xml:space="preserve"> </w:t>
      </w:r>
      <w:proofErr w:type="spellStart"/>
      <w:r w:rsidRPr="00475A32">
        <w:rPr>
          <w:rFonts w:ascii="Times New Roman" w:hAnsi="Times New Roman" w:cs="Times New Roman"/>
          <w:i/>
          <w:sz w:val="24"/>
          <w:szCs w:val="24"/>
        </w:rPr>
        <w:t>euro</w:t>
      </w:r>
      <w:proofErr w:type="spellEnd"/>
      <w:r w:rsidRPr="00475A32">
        <w:rPr>
          <w:rFonts w:ascii="Times New Roman" w:hAnsi="Times New Roman" w:cs="Times New Roman"/>
          <w:sz w:val="24"/>
          <w:szCs w:val="24"/>
        </w:rPr>
        <w:t xml:space="preserve"> VSIA “Paula Stradiņa klīniskās universitātes slimnīca” projekta</w:t>
      </w:r>
      <w:r w:rsidRPr="00475A32">
        <w:rPr>
          <w:rStyle w:val="FootnoteReference"/>
          <w:rFonts w:ascii="Times New Roman" w:hAnsi="Times New Roman" w:cs="Times New Roman"/>
          <w:sz w:val="24"/>
          <w:szCs w:val="24"/>
        </w:rPr>
        <w:footnoteReference w:id="3"/>
      </w:r>
      <w:r w:rsidRPr="00475A32">
        <w:rPr>
          <w:rFonts w:ascii="Times New Roman" w:hAnsi="Times New Roman" w:cs="Times New Roman"/>
          <w:sz w:val="24"/>
          <w:szCs w:val="24"/>
        </w:rPr>
        <w:t xml:space="preserve"> īstenošanai, gadījumā, ja nepieciešams un saskaņā ar Ministru kabinetā pieņemtu atsevišķu lēmumu, izskatot Veselības ministrijas informatīvo ziņojumu pēc</w:t>
      </w:r>
      <w:r w:rsidRPr="00475A32">
        <w:rPr>
          <w:rFonts w:ascii="Times New Roman" w:eastAsia="Times New Roman" w:hAnsi="Times New Roman" w:cs="Times New Roman"/>
          <w:sz w:val="24"/>
          <w:szCs w:val="24"/>
          <w:lang w:eastAsia="lv-LV"/>
        </w:rPr>
        <w:t xml:space="preserve"> projekta būvniecības iepirkuma līguma rezultātu saņemšanas</w:t>
      </w:r>
      <w:r w:rsidRPr="00475A32">
        <w:rPr>
          <w:rStyle w:val="FootnoteReference"/>
          <w:rFonts w:ascii="Times New Roman" w:hAnsi="Times New Roman" w:cs="Times New Roman"/>
          <w:sz w:val="24"/>
          <w:szCs w:val="24"/>
        </w:rPr>
        <w:footnoteReference w:id="4"/>
      </w:r>
      <w:r w:rsidRPr="00475A32">
        <w:rPr>
          <w:rFonts w:ascii="Times New Roman" w:hAnsi="Times New Roman" w:cs="Times New Roman"/>
          <w:sz w:val="24"/>
          <w:szCs w:val="24"/>
        </w:rPr>
        <w:t xml:space="preserve"> un </w:t>
      </w:r>
      <w:r>
        <w:rPr>
          <w:rFonts w:ascii="Times New Roman" w:hAnsi="Times New Roman" w:cs="Times New Roman"/>
          <w:sz w:val="24"/>
          <w:szCs w:val="24"/>
        </w:rPr>
        <w:t>8,5 milj.</w:t>
      </w:r>
      <w:r w:rsidRPr="00475A32">
        <w:rPr>
          <w:rFonts w:ascii="Times New Roman" w:hAnsi="Times New Roman" w:cs="Times New Roman"/>
          <w:sz w:val="24"/>
          <w:szCs w:val="24"/>
        </w:rPr>
        <w:t xml:space="preserve"> </w:t>
      </w:r>
      <w:proofErr w:type="spellStart"/>
      <w:r w:rsidRPr="00475A32">
        <w:rPr>
          <w:rFonts w:ascii="Times New Roman" w:hAnsi="Times New Roman" w:cs="Times New Roman"/>
          <w:i/>
          <w:sz w:val="24"/>
          <w:szCs w:val="24"/>
        </w:rPr>
        <w:t>euro</w:t>
      </w:r>
      <w:proofErr w:type="spellEnd"/>
      <w:r w:rsidRPr="00475A32">
        <w:rPr>
          <w:rFonts w:ascii="Times New Roman" w:hAnsi="Times New Roman" w:cs="Times New Roman"/>
          <w:sz w:val="24"/>
          <w:szCs w:val="24"/>
        </w:rPr>
        <w:t xml:space="preserve"> “Sēnītes” posma valsts autoceļu projekta īstenošanai . Pārdalāmais ES fondu finansējums paredzēts šo minēto trīs projektu valsts budžeta līdzfinansējuma atbrīvošanai, tādējādi pēc Finanšu ministrijas aplēsēm, kas izriet no pieņēmumiem par šo projektu indikatīvo izdevumu apmēru 2020.-2022.gados, iespējama fiskālās telpas atbrīvošana vismaz 13 milj. </w:t>
      </w:r>
      <w:proofErr w:type="spellStart"/>
      <w:r w:rsidRPr="00475A32">
        <w:rPr>
          <w:rFonts w:ascii="Times New Roman" w:hAnsi="Times New Roman" w:cs="Times New Roman"/>
          <w:i/>
          <w:sz w:val="24"/>
          <w:szCs w:val="24"/>
        </w:rPr>
        <w:t>euro</w:t>
      </w:r>
      <w:proofErr w:type="spellEnd"/>
      <w:r w:rsidRPr="00475A32">
        <w:rPr>
          <w:rFonts w:ascii="Times New Roman" w:hAnsi="Times New Roman" w:cs="Times New Roman"/>
          <w:sz w:val="24"/>
          <w:szCs w:val="24"/>
        </w:rPr>
        <w:t xml:space="preserve"> 2020.gadā, 16,7 milj. </w:t>
      </w:r>
      <w:proofErr w:type="spellStart"/>
      <w:r w:rsidRPr="00475A32">
        <w:rPr>
          <w:rFonts w:ascii="Times New Roman" w:hAnsi="Times New Roman" w:cs="Times New Roman"/>
          <w:i/>
          <w:sz w:val="24"/>
          <w:szCs w:val="24"/>
        </w:rPr>
        <w:t>euro</w:t>
      </w:r>
      <w:proofErr w:type="spellEnd"/>
      <w:r w:rsidR="00A12119">
        <w:rPr>
          <w:rFonts w:ascii="Times New Roman" w:hAnsi="Times New Roman" w:cs="Times New Roman"/>
          <w:sz w:val="24"/>
          <w:szCs w:val="24"/>
        </w:rPr>
        <w:t xml:space="preserve"> 2021.gadā un 116,2</w:t>
      </w:r>
      <w:r w:rsidRPr="00475A32">
        <w:rPr>
          <w:rFonts w:ascii="Times New Roman" w:hAnsi="Times New Roman" w:cs="Times New Roman"/>
          <w:sz w:val="24"/>
          <w:szCs w:val="24"/>
        </w:rPr>
        <w:t xml:space="preserve"> milj. </w:t>
      </w:r>
      <w:proofErr w:type="spellStart"/>
      <w:r w:rsidRPr="00475A32">
        <w:rPr>
          <w:rFonts w:ascii="Times New Roman" w:hAnsi="Times New Roman" w:cs="Times New Roman"/>
          <w:i/>
          <w:sz w:val="24"/>
          <w:szCs w:val="24"/>
        </w:rPr>
        <w:t>euro</w:t>
      </w:r>
      <w:proofErr w:type="spellEnd"/>
      <w:r w:rsidRPr="00475A32">
        <w:rPr>
          <w:rFonts w:ascii="Times New Roman" w:hAnsi="Times New Roman" w:cs="Times New Roman"/>
          <w:sz w:val="24"/>
          <w:szCs w:val="24"/>
        </w:rPr>
        <w:t xml:space="preserve"> 2022.gadā.</w:t>
      </w:r>
    </w:p>
    <w:p w14:paraId="1CF6D6E6" w14:textId="77777777" w:rsidR="002925F3" w:rsidRPr="00436179" w:rsidRDefault="002925F3" w:rsidP="002925F3">
      <w:pPr>
        <w:spacing w:after="120" w:line="240" w:lineRule="auto"/>
        <w:ind w:firstLine="720"/>
        <w:jc w:val="both"/>
        <w:rPr>
          <w:rFonts w:ascii="Times New Roman" w:hAnsi="Times New Roman" w:cs="Times New Roman"/>
          <w:sz w:val="24"/>
          <w:szCs w:val="24"/>
        </w:rPr>
      </w:pPr>
      <w:r w:rsidRPr="00436179">
        <w:rPr>
          <w:rFonts w:ascii="Times New Roman" w:hAnsi="Times New Roman" w:cs="Times New Roman"/>
          <w:sz w:val="24"/>
          <w:szCs w:val="24"/>
        </w:rPr>
        <w:t>Elektrovilcienu iegādes darījuma ietekme un nosacījumi tika skatīti Ministru kabineta 2019.gada 17.jūlija sēdē. Tostarp tika nolemts nepieciešamā finansējuma apmērs, kas valsts budžeta ilgtermiņa saistībām paredzams Satiksmes ministrijas budžeta apakšprogrammā 31.09.00 “Dotācija jauno elektrovilcienu projektam”. Līdz ar ES fondu finansējuma piesaistīšanu šim mērķim 113</w:t>
      </w:r>
      <w:r>
        <w:rPr>
          <w:rFonts w:ascii="Times New Roman" w:hAnsi="Times New Roman" w:cs="Times New Roman"/>
          <w:sz w:val="24"/>
          <w:szCs w:val="24"/>
        </w:rPr>
        <w:t>,6 milj.</w:t>
      </w:r>
      <w:r w:rsidRPr="00436179">
        <w:rPr>
          <w:rFonts w:ascii="Times New Roman" w:hAnsi="Times New Roman" w:cs="Times New Roman"/>
          <w:sz w:val="24"/>
          <w:szCs w:val="24"/>
        </w:rPr>
        <w:t xml:space="preserve"> </w:t>
      </w:r>
      <w:proofErr w:type="spellStart"/>
      <w:r w:rsidRPr="00436179">
        <w:rPr>
          <w:rFonts w:ascii="Times New Roman" w:hAnsi="Times New Roman" w:cs="Times New Roman"/>
          <w:i/>
          <w:sz w:val="24"/>
          <w:szCs w:val="24"/>
        </w:rPr>
        <w:t>euro</w:t>
      </w:r>
      <w:proofErr w:type="spellEnd"/>
      <w:r w:rsidRPr="00436179">
        <w:rPr>
          <w:rFonts w:ascii="Times New Roman" w:hAnsi="Times New Roman" w:cs="Times New Roman"/>
          <w:i/>
          <w:sz w:val="24"/>
          <w:szCs w:val="24"/>
        </w:rPr>
        <w:t xml:space="preserve"> </w:t>
      </w:r>
      <w:r w:rsidRPr="00436179">
        <w:rPr>
          <w:rFonts w:ascii="Times New Roman" w:hAnsi="Times New Roman" w:cs="Times New Roman"/>
          <w:sz w:val="24"/>
          <w:szCs w:val="24"/>
        </w:rPr>
        <w:t xml:space="preserve">apmērā, ir samazināms apakšprogrammā 31.09.00 “Dotācija jauno elektrovilcienu projektam” ilgtermiņa saistību finansējums pēc naudas plūsmas  pēc attiecīgā projekta apstiprināšanas, tostarp no Eiropas Komisijas puses, un attiecīgi projekta īstenošanai finansējums nodrošināms no 74.resora budžeta programmas 80.00.00 “Nesadalītais finansējums Eiropas Savienības politiku instrumentu un pārējās ārvalstu finanšu palīdzības līdzfinansēto projektu un pasākumu īstenošanai” (80.00.00 programma) finansējuma. </w:t>
      </w:r>
      <w:proofErr w:type="spellStart"/>
      <w:r w:rsidRPr="00436179">
        <w:rPr>
          <w:rFonts w:ascii="Times New Roman" w:hAnsi="Times New Roman" w:cs="Times New Roman"/>
          <w:sz w:val="24"/>
          <w:szCs w:val="24"/>
        </w:rPr>
        <w:t>Protokollēmums</w:t>
      </w:r>
      <w:proofErr w:type="spellEnd"/>
      <w:r w:rsidRPr="00436179">
        <w:rPr>
          <w:rFonts w:ascii="Times New Roman" w:hAnsi="Times New Roman" w:cs="Times New Roman"/>
          <w:sz w:val="24"/>
          <w:szCs w:val="24"/>
        </w:rPr>
        <w:t xml:space="preserve"> paredz līdz projekta apstiprināšanai Eiropas Komisijā valsts budžeta ilgtermiņa saistību finansējumu nemainīt, bet pēc Eiropas Komisijas lēmuma attiecīgi samazināt.</w:t>
      </w:r>
    </w:p>
    <w:p w14:paraId="449F0188" w14:textId="77777777" w:rsidR="002925F3" w:rsidRPr="00436179" w:rsidRDefault="002925F3" w:rsidP="002925F3">
      <w:pPr>
        <w:spacing w:after="120" w:line="240" w:lineRule="auto"/>
        <w:ind w:firstLine="720"/>
        <w:jc w:val="both"/>
        <w:rPr>
          <w:rFonts w:ascii="Times New Roman" w:hAnsi="Times New Roman" w:cs="Times New Roman"/>
          <w:sz w:val="24"/>
          <w:szCs w:val="24"/>
        </w:rPr>
      </w:pPr>
      <w:r w:rsidRPr="001F60CF">
        <w:rPr>
          <w:rFonts w:ascii="Times New Roman" w:hAnsi="Times New Roman" w:cs="Times New Roman"/>
          <w:sz w:val="24"/>
          <w:szCs w:val="24"/>
        </w:rPr>
        <w:t xml:space="preserve">Ņemot vērā </w:t>
      </w:r>
      <w:r w:rsidRPr="0022763C">
        <w:rPr>
          <w:rFonts w:ascii="Times New Roman" w:hAnsi="Times New Roman" w:cs="Times New Roman"/>
          <w:sz w:val="24"/>
          <w:szCs w:val="24"/>
        </w:rPr>
        <w:t>sagaidāmo izdevumu pieaugumu/pieņemtos Ministru kabineta lēmumus</w:t>
      </w:r>
      <w:r w:rsidRPr="001F60CF">
        <w:rPr>
          <w:rFonts w:ascii="Times New Roman" w:hAnsi="Times New Roman" w:cs="Times New Roman"/>
          <w:sz w:val="24"/>
          <w:szCs w:val="24"/>
        </w:rPr>
        <w:t xml:space="preserve"> </w:t>
      </w:r>
      <w:r w:rsidRPr="00436179">
        <w:rPr>
          <w:rFonts w:ascii="Times New Roman" w:hAnsi="Times New Roman" w:cs="Times New Roman"/>
          <w:sz w:val="24"/>
          <w:szCs w:val="24"/>
        </w:rPr>
        <w:t xml:space="preserve">VSIA “Paula Stradiņa klīniskās universitātes slimnīca” projekta īstenošanai, tā finansēšana atbilstoši virzītajam </w:t>
      </w:r>
      <w:proofErr w:type="spellStart"/>
      <w:r w:rsidRPr="00436179">
        <w:rPr>
          <w:rFonts w:ascii="Times New Roman" w:hAnsi="Times New Roman" w:cs="Times New Roman"/>
          <w:sz w:val="24"/>
          <w:szCs w:val="24"/>
        </w:rPr>
        <w:t>protokollēmumam</w:t>
      </w:r>
      <w:proofErr w:type="spellEnd"/>
      <w:r w:rsidRPr="00436179">
        <w:rPr>
          <w:rFonts w:ascii="Times New Roman" w:hAnsi="Times New Roman" w:cs="Times New Roman"/>
          <w:sz w:val="24"/>
          <w:szCs w:val="24"/>
        </w:rPr>
        <w:t xml:space="preserve"> tiek paredzēta no pārdalāmā ES fondu finansējuma apjoma un neradīs papildus izdevumus valsts budžetam. </w:t>
      </w:r>
    </w:p>
    <w:p w14:paraId="230A9F4A" w14:textId="77777777" w:rsidR="002925F3" w:rsidRDefault="002925F3" w:rsidP="002925F3">
      <w:pPr>
        <w:spacing w:after="120" w:line="240" w:lineRule="auto"/>
        <w:ind w:firstLine="720"/>
        <w:jc w:val="both"/>
        <w:rPr>
          <w:rFonts w:ascii="Times New Roman" w:hAnsi="Times New Roman" w:cs="Times New Roman"/>
          <w:sz w:val="24"/>
          <w:szCs w:val="24"/>
        </w:rPr>
      </w:pPr>
      <w:r w:rsidRPr="00436179">
        <w:rPr>
          <w:rFonts w:ascii="Times New Roman" w:hAnsi="Times New Roman" w:cs="Times New Roman"/>
          <w:sz w:val="24"/>
          <w:szCs w:val="24"/>
        </w:rPr>
        <w:t>“Sēnītes” posma valsts autoceļu projekta finansēšana atbilstoši Ministru kabineta 2018.gada 19.jūnija lēmumam tika atļauta arī no Satiksmes ministrijas valsts autoceļu fonda finansējuma (Satiksmes ministrijas budžeta apakšprogramma 23.06.00 “Valsts autoceļu uzturēšana un atjaunošana”). Pēc finansējuma atbrīvošanas ES fondu neizmantotajās rezervēs, tiek samazināta nepieciešamība projekta finansēšanai no Satiksmes ministrijas pamatfunkciju apakšprogrammas, par 8</w:t>
      </w:r>
      <w:r>
        <w:rPr>
          <w:rFonts w:ascii="Times New Roman" w:hAnsi="Times New Roman" w:cs="Times New Roman"/>
          <w:sz w:val="24"/>
          <w:szCs w:val="24"/>
        </w:rPr>
        <w:t>,5 milj.</w:t>
      </w:r>
      <w:r w:rsidRPr="00436179">
        <w:rPr>
          <w:rFonts w:ascii="Times New Roman" w:hAnsi="Times New Roman" w:cs="Times New Roman"/>
          <w:sz w:val="24"/>
          <w:szCs w:val="24"/>
        </w:rPr>
        <w:t xml:space="preserve"> </w:t>
      </w:r>
      <w:proofErr w:type="spellStart"/>
      <w:r w:rsidRPr="00436179">
        <w:rPr>
          <w:rFonts w:ascii="Times New Roman" w:hAnsi="Times New Roman" w:cs="Times New Roman"/>
          <w:i/>
          <w:sz w:val="24"/>
          <w:szCs w:val="24"/>
        </w:rPr>
        <w:t>euro</w:t>
      </w:r>
      <w:proofErr w:type="spellEnd"/>
      <w:r w:rsidRPr="00436179">
        <w:rPr>
          <w:rFonts w:ascii="Times New Roman" w:hAnsi="Times New Roman" w:cs="Times New Roman"/>
          <w:i/>
          <w:sz w:val="24"/>
          <w:szCs w:val="24"/>
        </w:rPr>
        <w:t xml:space="preserve"> </w:t>
      </w:r>
      <w:r w:rsidRPr="00436179">
        <w:rPr>
          <w:rFonts w:ascii="Times New Roman" w:hAnsi="Times New Roman" w:cs="Times New Roman"/>
          <w:sz w:val="24"/>
          <w:szCs w:val="24"/>
        </w:rPr>
        <w:t>palielinot ES līdzfinansējuma daļu attiecīgajam projektam 80.00.00 programmā.</w:t>
      </w:r>
    </w:p>
    <w:p w14:paraId="698DAE66" w14:textId="77777777" w:rsidR="003A4510" w:rsidRPr="003A4510" w:rsidRDefault="003A4510" w:rsidP="002925F3">
      <w:pPr>
        <w:spacing w:after="120" w:line="240" w:lineRule="auto"/>
        <w:ind w:firstLine="720"/>
        <w:jc w:val="both"/>
        <w:rPr>
          <w:rFonts w:ascii="Times New Roman" w:hAnsi="Times New Roman" w:cs="Times New Roman"/>
          <w:sz w:val="24"/>
          <w:szCs w:val="24"/>
        </w:rPr>
      </w:pPr>
      <w:r w:rsidRPr="003A4510">
        <w:rPr>
          <w:rFonts w:ascii="Times New Roman" w:hAnsi="Times New Roman" w:cs="Times New Roman"/>
          <w:sz w:val="24"/>
          <w:szCs w:val="24"/>
        </w:rPr>
        <w:t>Veicot brīvā jeb ES fondu projektu līgumos nenokontraktētā ES līdzfinansējuma pārcelšanu uz vidējo termiņu, lai tādējādi samazinātu valsts budžeta līdzfinansējuma daļu, faktiski atbrīvotā līdzfinansējuma apmērā tiek palielināta valsts budžeta daļa citos neapstiprinātos projektos 2014.-2020.gada plānošanas perioda noslēgumā (2023.-2024.gados).</w:t>
      </w:r>
    </w:p>
    <w:p w14:paraId="7B687B0F" w14:textId="77777777" w:rsidR="003150E7" w:rsidRDefault="003150E7" w:rsidP="002925F3">
      <w:pPr>
        <w:spacing w:after="120" w:line="240" w:lineRule="auto"/>
        <w:ind w:firstLine="720"/>
        <w:jc w:val="both"/>
        <w:rPr>
          <w:rFonts w:ascii="Times New Roman" w:hAnsi="Times New Roman" w:cs="Times New Roman"/>
          <w:sz w:val="24"/>
          <w:szCs w:val="24"/>
        </w:rPr>
      </w:pPr>
    </w:p>
    <w:p w14:paraId="7245DFE3" w14:textId="77777777" w:rsidR="002925F3" w:rsidRPr="006339B1" w:rsidRDefault="00882466" w:rsidP="002925F3">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2925F3" w:rsidRPr="006339B1">
        <w:rPr>
          <w:rFonts w:ascii="Times New Roman" w:hAnsi="Times New Roman" w:cs="Times New Roman"/>
          <w:b/>
          <w:sz w:val="24"/>
          <w:szCs w:val="24"/>
        </w:rPr>
        <w:t xml:space="preserve">Ēnu ekonomikas </w:t>
      </w:r>
      <w:r w:rsidR="002925F3">
        <w:rPr>
          <w:rFonts w:ascii="Times New Roman" w:hAnsi="Times New Roman" w:cs="Times New Roman"/>
          <w:b/>
          <w:sz w:val="24"/>
          <w:szCs w:val="24"/>
        </w:rPr>
        <w:t xml:space="preserve">ierobežošanas </w:t>
      </w:r>
      <w:r w:rsidR="002925F3" w:rsidRPr="006339B1">
        <w:rPr>
          <w:rFonts w:ascii="Times New Roman" w:hAnsi="Times New Roman" w:cs="Times New Roman"/>
          <w:b/>
          <w:sz w:val="24"/>
          <w:szCs w:val="24"/>
        </w:rPr>
        <w:t>pasākumi</w:t>
      </w:r>
    </w:p>
    <w:p w14:paraId="7DAB07F7" w14:textId="77777777" w:rsidR="002925F3" w:rsidRPr="006339B1" w:rsidRDefault="002925F3" w:rsidP="002925F3">
      <w:pPr>
        <w:pStyle w:val="ListParagraph"/>
        <w:numPr>
          <w:ilvl w:val="2"/>
          <w:numId w:val="17"/>
        </w:numPr>
        <w:spacing w:after="120" w:line="240" w:lineRule="auto"/>
        <w:contextualSpacing w:val="0"/>
        <w:rPr>
          <w:rFonts w:ascii="Times New Roman" w:hAnsi="Times New Roman" w:cs="Times New Roman"/>
          <w:b/>
          <w:i/>
          <w:sz w:val="24"/>
          <w:szCs w:val="24"/>
        </w:rPr>
      </w:pPr>
      <w:r w:rsidRPr="006339B1">
        <w:rPr>
          <w:rFonts w:ascii="Times New Roman" w:hAnsi="Times New Roman" w:cs="Times New Roman"/>
          <w:b/>
          <w:i/>
          <w:sz w:val="24"/>
          <w:szCs w:val="24"/>
        </w:rPr>
        <w:t>Tiesību noteikšana Valsts ieņēmumu dienestam sniegt informāciju par riskantajiem darījuma partneriem</w:t>
      </w:r>
    </w:p>
    <w:p w14:paraId="255D7C5A" w14:textId="77777777" w:rsidR="002925F3" w:rsidRPr="006339B1" w:rsidRDefault="002925F3" w:rsidP="002925F3">
      <w:pPr>
        <w:spacing w:after="120" w:line="240" w:lineRule="auto"/>
        <w:ind w:firstLine="720"/>
        <w:jc w:val="both"/>
        <w:rPr>
          <w:rFonts w:ascii="Times New Roman" w:eastAsia="Times New Roman" w:hAnsi="Times New Roman" w:cs="Times New Roman"/>
          <w:sz w:val="24"/>
          <w:szCs w:val="24"/>
          <w:lang w:eastAsia="lv-LV"/>
        </w:rPr>
      </w:pPr>
      <w:r w:rsidRPr="006339B1">
        <w:rPr>
          <w:rFonts w:ascii="Times New Roman" w:hAnsi="Times New Roman" w:cs="Times New Roman"/>
          <w:sz w:val="24"/>
          <w:szCs w:val="24"/>
        </w:rPr>
        <w:t>Atbilstoši Eiropas Savienības Tiesas paustajām atziņām cīņa pret krāpšanu nodokļu jomā, izvairīšanos no nodokļu maksāšanas un iespējamo ļaunprātīgo rīcību ir Padomes 2006. gada 28. novembra direktīvā 2006/112/EK par kopējo pievienotās vērtības nodokļa sistēmu atzīts un ar to iedrošināts mērķis. Ievērojot minēto mērķi</w:t>
      </w:r>
      <w:r w:rsidRPr="006339B1">
        <w:rPr>
          <w:rFonts w:ascii="Times New Roman" w:eastAsia="Times New Roman" w:hAnsi="Times New Roman" w:cs="Times New Roman"/>
          <w:sz w:val="24"/>
          <w:szCs w:val="24"/>
          <w:lang w:eastAsia="lv-LV"/>
        </w:rPr>
        <w:t>, Valsts ieņēmumu dienests, lai konstatētu, vai nodokļu maksātājam ir tiesības uz priekšnodokļa atskaitīšanu, veic pārbaudes, lai pārliecinātos par deklarācijā norādīto darījumu patiesumu un gadījumā, ja tā rīcībā ir pierādījumi par to, ka darījums reāli nav noticis, nodokļu revīzijas (audita) ietvaros papildus aprēķina nodokļu maksājumus un uzliek soda naudu. Tādējādi likumdevējs Valsts ieņēmumu dienestam ir devis tiesības, pamatojoties uz pierādījumiem, apšaubīt reģistrētā pievienotās vērtības nodokļa (turpmāk - PVN) maksātāja norādītos darījumus pat tad, ja ar darījuma partneri ir noslēgts līgums, darījuma partneris ir reģistrēts PVN maksātājs, PVN rēķini ir</w:t>
      </w:r>
      <w:r w:rsidRPr="006339B1">
        <w:rPr>
          <w:rFonts w:ascii="Times New Roman" w:eastAsia="Times New Roman" w:hAnsi="Times New Roman" w:cs="Times New Roman"/>
          <w:sz w:val="24"/>
          <w:szCs w:val="24"/>
          <w:vertAlign w:val="superscript"/>
          <w:lang w:eastAsia="lv-LV"/>
        </w:rPr>
        <w:t xml:space="preserve"> </w:t>
      </w:r>
      <w:r w:rsidRPr="006339B1">
        <w:rPr>
          <w:rFonts w:ascii="Times New Roman" w:eastAsia="Times New Roman" w:hAnsi="Times New Roman" w:cs="Times New Roman"/>
          <w:sz w:val="24"/>
          <w:szCs w:val="24"/>
          <w:lang w:eastAsia="lv-LV"/>
        </w:rPr>
        <w:t>izsniegti darījuma partnerim un par darījumu ir samaksāti nodokļi.</w:t>
      </w:r>
    </w:p>
    <w:p w14:paraId="0E7858A6" w14:textId="77777777" w:rsidR="002925F3" w:rsidRPr="006339B1" w:rsidRDefault="002925F3" w:rsidP="002925F3">
      <w:pPr>
        <w:spacing w:after="120" w:line="240" w:lineRule="auto"/>
        <w:ind w:firstLine="720"/>
        <w:jc w:val="both"/>
        <w:rPr>
          <w:rFonts w:ascii="Times New Roman" w:eastAsia="Times New Roman" w:hAnsi="Times New Roman" w:cs="Times New Roman"/>
          <w:sz w:val="24"/>
          <w:szCs w:val="24"/>
          <w:lang w:eastAsia="lv-LV"/>
        </w:rPr>
      </w:pPr>
      <w:r w:rsidRPr="006339B1">
        <w:rPr>
          <w:rFonts w:ascii="Times New Roman" w:eastAsia="Times New Roman" w:hAnsi="Times New Roman" w:cs="Times New Roman"/>
          <w:sz w:val="24"/>
          <w:szCs w:val="24"/>
          <w:lang w:eastAsia="lv-LV"/>
        </w:rPr>
        <w:t>Eiropas Savienības Tiesas judikatūrā ir atzīts, ka pasākumu, kuri konkrētā gadījumā var tikt saprātīgi prasīti no PVN maksātāja, kurš vēlas izmantot tiesības uz PVN atskaitīšanu, lai pārliecinātos, ka viņa darījumi neietilpst kāda augšupējās ķēdes tirgus dalībnieka izdarītā krāpšanā, noteikšana ir atkarīga galvenokārt no šī konkrētā gadījuma apstākļiem. Ja ir norādes, kas pieļauj aizdomas par nelikumību vai krāpšanas esamību, informētam tirgus dalībniekam varētu atbilstoši lietas apstākļiem tikt noteikts pienākums noskaidrot informāciju par citu tirgus dalībnieku, no kura viņš ir iecerējis pirkt preces vai pakalpojumus, lai pārliecinātos par viņa uzticamību (</w:t>
      </w:r>
      <w:r w:rsidRPr="006339B1">
        <w:rPr>
          <w:rFonts w:ascii="Times New Roman" w:eastAsia="Times New Roman" w:hAnsi="Times New Roman" w:cs="Times New Roman"/>
          <w:i/>
          <w:iCs/>
          <w:sz w:val="24"/>
          <w:szCs w:val="24"/>
          <w:lang w:eastAsia="lv-LV"/>
        </w:rPr>
        <w:t xml:space="preserve">sk. Eiropas Savienības Tiesas 2012. gada 21. jūnija sprieduma apvienotajā lietā Nr. C-80/11 un C-142/11 </w:t>
      </w:r>
      <w:proofErr w:type="spellStart"/>
      <w:r w:rsidRPr="006339B1">
        <w:rPr>
          <w:rFonts w:ascii="Times New Roman" w:eastAsia="Times New Roman" w:hAnsi="Times New Roman" w:cs="Times New Roman"/>
          <w:i/>
          <w:iCs/>
          <w:sz w:val="24"/>
          <w:szCs w:val="24"/>
          <w:lang w:eastAsia="lv-LV"/>
        </w:rPr>
        <w:t>Mahageben</w:t>
      </w:r>
      <w:proofErr w:type="spellEnd"/>
      <w:r w:rsidRPr="006339B1">
        <w:rPr>
          <w:rFonts w:ascii="Times New Roman" w:eastAsia="Times New Roman" w:hAnsi="Times New Roman" w:cs="Times New Roman"/>
          <w:i/>
          <w:iCs/>
          <w:sz w:val="24"/>
          <w:szCs w:val="24"/>
          <w:lang w:eastAsia="lv-LV"/>
        </w:rPr>
        <w:t xml:space="preserve"> </w:t>
      </w:r>
      <w:r w:rsidRPr="006339B1">
        <w:rPr>
          <w:rFonts w:ascii="Times New Roman" w:eastAsia="Times New Roman" w:hAnsi="Times New Roman" w:cs="Times New Roman"/>
          <w:i/>
          <w:sz w:val="24"/>
          <w:szCs w:val="24"/>
          <w:lang w:eastAsia="lv-LV"/>
        </w:rPr>
        <w:t xml:space="preserve">un </w:t>
      </w:r>
      <w:proofErr w:type="spellStart"/>
      <w:r w:rsidRPr="006339B1">
        <w:rPr>
          <w:rFonts w:ascii="Times New Roman" w:eastAsia="Times New Roman" w:hAnsi="Times New Roman" w:cs="Times New Roman"/>
          <w:i/>
          <w:iCs/>
          <w:sz w:val="24"/>
          <w:szCs w:val="24"/>
          <w:lang w:eastAsia="lv-LV"/>
        </w:rPr>
        <w:t>Dávid</w:t>
      </w:r>
      <w:proofErr w:type="spellEnd"/>
      <w:r w:rsidRPr="006339B1">
        <w:rPr>
          <w:rFonts w:ascii="Times New Roman" w:eastAsia="Times New Roman" w:hAnsi="Times New Roman" w:cs="Times New Roman"/>
          <w:i/>
          <w:sz w:val="24"/>
          <w:szCs w:val="24"/>
          <w:lang w:eastAsia="lv-LV"/>
        </w:rPr>
        <w:t xml:space="preserve"> 59. un 60. punktu</w:t>
      </w:r>
      <w:r w:rsidRPr="006339B1">
        <w:rPr>
          <w:rFonts w:ascii="Times New Roman" w:eastAsia="Times New Roman" w:hAnsi="Times New Roman" w:cs="Times New Roman"/>
          <w:sz w:val="24"/>
          <w:szCs w:val="24"/>
          <w:lang w:eastAsia="lv-LV"/>
        </w:rPr>
        <w:t>).</w:t>
      </w:r>
    </w:p>
    <w:p w14:paraId="39ED8483" w14:textId="77777777" w:rsidR="002925F3" w:rsidRPr="006339B1" w:rsidRDefault="002925F3" w:rsidP="002925F3">
      <w:pPr>
        <w:spacing w:after="120" w:line="240" w:lineRule="auto"/>
        <w:ind w:firstLine="720"/>
        <w:jc w:val="both"/>
        <w:rPr>
          <w:rFonts w:ascii="Times New Roman" w:eastAsia="Times New Roman" w:hAnsi="Times New Roman" w:cs="Times New Roman"/>
          <w:sz w:val="24"/>
          <w:szCs w:val="24"/>
          <w:lang w:eastAsia="lv-LV"/>
        </w:rPr>
      </w:pPr>
      <w:r w:rsidRPr="006339B1">
        <w:rPr>
          <w:rFonts w:ascii="Times New Roman" w:eastAsia="Times New Roman" w:hAnsi="Times New Roman" w:cs="Times New Roman"/>
          <w:sz w:val="24"/>
          <w:szCs w:val="24"/>
          <w:lang w:eastAsia="lv-LV"/>
        </w:rPr>
        <w:t>Tādējādi gadījumā, ja Valsts ieņēmumu dienests pamatoti apšauba, vai darījums faktiski ir noticis, reģistrētam PVN maksātājam, kurš izmanto tiesības atskaitīt priekšnodokli, ir jāpierāda Pievienotās vērtības nodokļa likumā noteikto priekšnoteikumu esība, tajā skaitā tam jāspēj pierādīt, ka konkrētās preces vai pakalpojumi ir saņemti un izmantoti apliekamo darījumu nodrošināšanai.</w:t>
      </w:r>
    </w:p>
    <w:p w14:paraId="680175DF" w14:textId="77777777" w:rsidR="002925F3" w:rsidRPr="006339B1" w:rsidRDefault="002925F3" w:rsidP="002925F3">
      <w:pPr>
        <w:spacing w:after="120" w:line="240" w:lineRule="auto"/>
        <w:ind w:firstLine="720"/>
        <w:jc w:val="both"/>
        <w:rPr>
          <w:rFonts w:ascii="Times New Roman" w:eastAsia="Times New Roman" w:hAnsi="Times New Roman" w:cs="Times New Roman"/>
          <w:sz w:val="24"/>
          <w:szCs w:val="24"/>
        </w:rPr>
      </w:pPr>
      <w:r w:rsidRPr="006339B1">
        <w:rPr>
          <w:rFonts w:ascii="Times New Roman" w:eastAsia="Times New Roman" w:hAnsi="Times New Roman" w:cs="Times New Roman"/>
          <w:sz w:val="24"/>
          <w:szCs w:val="24"/>
          <w:lang w:eastAsia="lv-LV"/>
        </w:rPr>
        <w:t>Līdz ar to, l</w:t>
      </w:r>
      <w:r w:rsidRPr="006339B1">
        <w:rPr>
          <w:rFonts w:ascii="Times New Roman" w:hAnsi="Times New Roman" w:cs="Times New Roman"/>
          <w:sz w:val="24"/>
          <w:szCs w:val="24"/>
        </w:rPr>
        <w:t xml:space="preserve">ai palīdzētu nodokļu maksātājiem izvairīties no negodprātīgiem darījumu partneriem un minimizētu risku tikt iesaistītiem krāpnieciskajos darījumos, kā arī </w:t>
      </w:r>
      <w:r w:rsidRPr="006339B1">
        <w:rPr>
          <w:rFonts w:ascii="Times New Roman" w:eastAsia="Times New Roman" w:hAnsi="Times New Roman" w:cs="Times New Roman"/>
          <w:iCs/>
          <w:sz w:val="24"/>
          <w:szCs w:val="24"/>
          <w:lang w:eastAsia="lv-LV"/>
        </w:rPr>
        <w:t>l</w:t>
      </w:r>
      <w:r w:rsidRPr="006339B1">
        <w:rPr>
          <w:rFonts w:ascii="Times New Roman" w:eastAsia="Times New Roman" w:hAnsi="Times New Roman" w:cs="Times New Roman"/>
          <w:sz w:val="24"/>
          <w:szCs w:val="24"/>
        </w:rPr>
        <w:t xml:space="preserve">ai veicinātu PVN krāpšanas apkarošanu un īstenotu daudzpusējās agrīnās brīdināšanas mehānismu, ir nepieciešams normatīvajā regulējumā nostiprināt </w:t>
      </w:r>
      <w:r w:rsidRPr="006339B1">
        <w:rPr>
          <w:rFonts w:ascii="Times New Roman" w:eastAsia="Times New Roman" w:hAnsi="Times New Roman" w:cs="Times New Roman"/>
          <w:sz w:val="24"/>
          <w:szCs w:val="24"/>
          <w:lang w:eastAsia="lv-LV"/>
        </w:rPr>
        <w:t xml:space="preserve">Valsts ieņēmumu dienesta </w:t>
      </w:r>
      <w:r w:rsidRPr="006339B1">
        <w:rPr>
          <w:rFonts w:ascii="Times New Roman" w:eastAsia="Times New Roman" w:hAnsi="Times New Roman" w:cs="Times New Roman"/>
          <w:sz w:val="24"/>
          <w:szCs w:val="24"/>
        </w:rPr>
        <w:t xml:space="preserve">tiesības </w:t>
      </w:r>
      <w:r w:rsidRPr="006339B1">
        <w:rPr>
          <w:rFonts w:ascii="Times New Roman" w:hAnsi="Times New Roman" w:cs="Times New Roman"/>
          <w:sz w:val="24"/>
          <w:szCs w:val="24"/>
        </w:rPr>
        <w:t xml:space="preserve">iesaistīties godprātīgas komercdarbības veicināšanā, </w:t>
      </w:r>
      <w:r w:rsidRPr="006339B1">
        <w:rPr>
          <w:rFonts w:ascii="Times New Roman" w:eastAsia="Times New Roman" w:hAnsi="Times New Roman" w:cs="Times New Roman"/>
          <w:sz w:val="24"/>
          <w:szCs w:val="24"/>
        </w:rPr>
        <w:t xml:space="preserve">sniedzot informāciju nodokļu maksātājam par tā darījumu partneri, kurš saskaņā ar </w:t>
      </w:r>
      <w:r w:rsidRPr="006339B1">
        <w:rPr>
          <w:rFonts w:ascii="Times New Roman" w:eastAsia="Times New Roman" w:hAnsi="Times New Roman" w:cs="Times New Roman"/>
          <w:sz w:val="24"/>
          <w:szCs w:val="24"/>
          <w:lang w:eastAsia="lv-LV"/>
        </w:rPr>
        <w:t xml:space="preserve">Valsts ieņēmumu dienesta </w:t>
      </w:r>
      <w:r w:rsidRPr="006339B1">
        <w:rPr>
          <w:rFonts w:ascii="Times New Roman" w:eastAsia="Times New Roman" w:hAnsi="Times New Roman" w:cs="Times New Roman"/>
          <w:sz w:val="24"/>
          <w:szCs w:val="24"/>
        </w:rPr>
        <w:t xml:space="preserve">rīcībā esošo informāciju ir vērtējams kā riskants darījumu partneris. </w:t>
      </w:r>
    </w:p>
    <w:p w14:paraId="1B13D583" w14:textId="77777777" w:rsidR="002925F3" w:rsidRPr="006339B1" w:rsidRDefault="002925F3" w:rsidP="002925F3">
      <w:pPr>
        <w:spacing w:after="120" w:line="240" w:lineRule="auto"/>
        <w:ind w:firstLine="720"/>
        <w:jc w:val="both"/>
        <w:rPr>
          <w:rFonts w:ascii="Times New Roman" w:hAnsi="Times New Roman" w:cs="Times New Roman"/>
          <w:i/>
          <w:sz w:val="24"/>
          <w:szCs w:val="24"/>
        </w:rPr>
      </w:pPr>
      <w:r w:rsidRPr="006339B1">
        <w:rPr>
          <w:rFonts w:ascii="Times New Roman" w:hAnsi="Times New Roman" w:cs="Times New Roman"/>
          <w:i/>
          <w:iCs/>
          <w:sz w:val="24"/>
          <w:szCs w:val="24"/>
        </w:rPr>
        <w:t xml:space="preserve">Nepieciešams grozījums likuma “Par nodokļiem un nodevām” 22.panta pirmajā daļā, nosakot, ka </w:t>
      </w:r>
      <w:r w:rsidRPr="006339B1">
        <w:rPr>
          <w:rFonts w:ascii="Times New Roman" w:hAnsi="Times New Roman" w:cs="Times New Roman"/>
          <w:i/>
          <w:sz w:val="24"/>
          <w:szCs w:val="24"/>
        </w:rPr>
        <w:t xml:space="preserve">gadījumos, kad Valsts ieņēmumu dienests konstatē, ka nodokļu maksātājs pievienotās vērtības nodokļa deklarācijā ir norādījis darījuma partneri (juridisko personu), kura darbībā atbilstoši Valsts ieņēmumu dienesta veiktajam personas datu </w:t>
      </w:r>
      <w:proofErr w:type="spellStart"/>
      <w:r w:rsidRPr="006339B1">
        <w:rPr>
          <w:rFonts w:ascii="Times New Roman" w:hAnsi="Times New Roman" w:cs="Times New Roman"/>
          <w:i/>
          <w:sz w:val="24"/>
          <w:szCs w:val="24"/>
        </w:rPr>
        <w:t>izvērtējumam</w:t>
      </w:r>
      <w:proofErr w:type="spellEnd"/>
      <w:r w:rsidRPr="006339B1">
        <w:rPr>
          <w:rFonts w:ascii="Times New Roman" w:hAnsi="Times New Roman" w:cs="Times New Roman"/>
          <w:i/>
          <w:sz w:val="24"/>
          <w:szCs w:val="24"/>
        </w:rPr>
        <w:t xml:space="preserve"> nodokļu ieņēmumu riska jomā ir konstatēti fakti, kas liecina par izvairīšanos no nodokļu maksāšanas, Valsts ieņēmumu dienestam ir tiesības informēt nodokļu maksātāju par faktiem, kas liecina par darījuma partnera (juridiskās personas) nodokļu riskiem.</w:t>
      </w:r>
    </w:p>
    <w:p w14:paraId="62F2D2D6" w14:textId="77777777" w:rsidR="002925F3" w:rsidRPr="006339B1" w:rsidRDefault="002925F3" w:rsidP="00A90F76">
      <w:pPr>
        <w:pStyle w:val="ListParagraph"/>
        <w:numPr>
          <w:ilvl w:val="2"/>
          <w:numId w:val="17"/>
        </w:numPr>
        <w:spacing w:after="120" w:line="240" w:lineRule="auto"/>
        <w:rPr>
          <w:rFonts w:ascii="Times New Roman" w:hAnsi="Times New Roman" w:cs="Times New Roman"/>
          <w:b/>
          <w:i/>
          <w:sz w:val="24"/>
          <w:szCs w:val="24"/>
        </w:rPr>
      </w:pPr>
      <w:r w:rsidRPr="006339B1">
        <w:rPr>
          <w:rFonts w:ascii="Times New Roman" w:hAnsi="Times New Roman" w:cs="Times New Roman"/>
          <w:b/>
          <w:i/>
          <w:sz w:val="24"/>
          <w:szCs w:val="24"/>
        </w:rPr>
        <w:t>Valdes locekļu atbildības pilnveidošana</w:t>
      </w:r>
    </w:p>
    <w:p w14:paraId="188F4A30" w14:textId="77777777" w:rsidR="002925F3" w:rsidRPr="006339B1" w:rsidRDefault="002925F3" w:rsidP="002925F3">
      <w:pPr>
        <w:tabs>
          <w:tab w:val="left" w:pos="2127"/>
          <w:tab w:val="left" w:pos="6096"/>
        </w:tabs>
        <w:spacing w:after="120" w:line="240" w:lineRule="auto"/>
        <w:ind w:firstLine="720"/>
        <w:jc w:val="both"/>
        <w:rPr>
          <w:rFonts w:ascii="Times New Roman" w:hAnsi="Times New Roman" w:cs="Times New Roman"/>
          <w:sz w:val="24"/>
          <w:szCs w:val="24"/>
          <w:shd w:val="clear" w:color="auto" w:fill="FFFFFF"/>
        </w:rPr>
      </w:pPr>
      <w:r w:rsidRPr="006339B1">
        <w:rPr>
          <w:rFonts w:ascii="Times New Roman" w:hAnsi="Times New Roman" w:cs="Times New Roman"/>
          <w:sz w:val="24"/>
          <w:szCs w:val="24"/>
        </w:rPr>
        <w:t>Šobrīd normatīvais regulējums paredz, ka V</w:t>
      </w:r>
      <w:r w:rsidRPr="006339B1">
        <w:rPr>
          <w:rFonts w:ascii="Times New Roman" w:hAnsi="Times New Roman" w:cs="Times New Roman"/>
          <w:sz w:val="24"/>
          <w:szCs w:val="24"/>
          <w:shd w:val="clear" w:color="auto" w:fill="FFFFFF"/>
        </w:rPr>
        <w:t xml:space="preserve">alsts ieņēmumu dienestam ir tiesības uzsākt procesu par juridiskās personas nokavēto nodokļu maksājumu atlīdzināšanu budžetam no personas, kura ir bijusi šīs juridiskās personas valdes loceklis laikā, kad attiecīgie nokavētie nodokļu maksājumi ir izveidojušies. </w:t>
      </w:r>
    </w:p>
    <w:p w14:paraId="4C1DE33C" w14:textId="77777777" w:rsidR="002925F3" w:rsidRPr="006339B1" w:rsidRDefault="002925F3" w:rsidP="002925F3">
      <w:pPr>
        <w:tabs>
          <w:tab w:val="left" w:pos="2127"/>
          <w:tab w:val="left" w:pos="6096"/>
        </w:tabs>
        <w:spacing w:after="120" w:line="240" w:lineRule="auto"/>
        <w:ind w:firstLine="720"/>
        <w:jc w:val="both"/>
        <w:rPr>
          <w:rFonts w:ascii="Times New Roman" w:eastAsia="Times New Roman" w:hAnsi="Times New Roman" w:cs="Times New Roman"/>
          <w:sz w:val="24"/>
          <w:szCs w:val="24"/>
          <w:lang w:eastAsia="lv-LV"/>
        </w:rPr>
      </w:pPr>
      <w:r w:rsidRPr="006339B1">
        <w:rPr>
          <w:rFonts w:ascii="Times New Roman" w:eastAsia="Times New Roman" w:hAnsi="Times New Roman" w:cs="Times New Roman"/>
          <w:sz w:val="24"/>
          <w:szCs w:val="24"/>
          <w:lang w:eastAsia="lv-LV"/>
        </w:rPr>
        <w:t>Kopš Valsts ieņēmumu dienestam ir dotas tiesības dažādos procesos personām piemērot to darbību ierobežojošus pasākumus (piemēram, personu iekļaušana riska personu sarakstā, valdes locekļu atbildība, administratīvās atbildības piemērošana, atņemot tiesības ieņemt noteiktus amatus), personas, lai izvairītos no šādiem ierobežojumiem, izvēlas saimnieciskās darbības veikšanu organizēt tā, ka komersantam nav oficiālas valdes, bet patiesie valdes locekļi komersanta darbību vada ar pilnvaroto personu un prokūristu starpniecību.</w:t>
      </w:r>
    </w:p>
    <w:p w14:paraId="31A35FCC" w14:textId="77777777" w:rsidR="002925F3" w:rsidRPr="006339B1" w:rsidRDefault="002925F3" w:rsidP="002925F3">
      <w:pPr>
        <w:tabs>
          <w:tab w:val="left" w:pos="2127"/>
          <w:tab w:val="left" w:pos="6096"/>
        </w:tabs>
        <w:spacing w:after="120" w:line="240" w:lineRule="auto"/>
        <w:ind w:firstLine="720"/>
        <w:jc w:val="both"/>
        <w:rPr>
          <w:rFonts w:ascii="Times New Roman" w:eastAsia="Times New Roman" w:hAnsi="Times New Roman" w:cs="Times New Roman"/>
          <w:sz w:val="24"/>
          <w:szCs w:val="24"/>
          <w:lang w:eastAsia="lv-LV"/>
        </w:rPr>
      </w:pPr>
      <w:r w:rsidRPr="006339B1">
        <w:rPr>
          <w:rFonts w:ascii="Times New Roman" w:eastAsia="Times New Roman" w:hAnsi="Times New Roman" w:cs="Times New Roman"/>
          <w:sz w:val="24"/>
          <w:szCs w:val="24"/>
          <w:lang w:eastAsia="lv-LV"/>
        </w:rPr>
        <w:t>Kā ir atzīts tiesību doktrīnā, valdes locekļiem paredzēto atbildību var piemērot arī tām personām, kas formāli komercreģistrā nav ierakstīti kā valdes locekļi, bet faktiski īsteno valdes funkcijas – faktiskais (</w:t>
      </w:r>
      <w:proofErr w:type="spellStart"/>
      <w:r w:rsidRPr="006339B1">
        <w:rPr>
          <w:rFonts w:ascii="Times New Roman" w:eastAsia="Times New Roman" w:hAnsi="Times New Roman" w:cs="Times New Roman"/>
          <w:i/>
          <w:sz w:val="24"/>
          <w:szCs w:val="24"/>
          <w:lang w:eastAsia="lv-LV"/>
        </w:rPr>
        <w:t>de</w:t>
      </w:r>
      <w:proofErr w:type="spellEnd"/>
      <w:r w:rsidRPr="006339B1">
        <w:rPr>
          <w:rFonts w:ascii="Times New Roman" w:eastAsia="Times New Roman" w:hAnsi="Times New Roman" w:cs="Times New Roman"/>
          <w:i/>
          <w:sz w:val="24"/>
          <w:szCs w:val="24"/>
          <w:lang w:eastAsia="lv-LV"/>
        </w:rPr>
        <w:t xml:space="preserve"> </w:t>
      </w:r>
      <w:proofErr w:type="spellStart"/>
      <w:r w:rsidRPr="006339B1">
        <w:rPr>
          <w:rFonts w:ascii="Times New Roman" w:eastAsia="Times New Roman" w:hAnsi="Times New Roman" w:cs="Times New Roman"/>
          <w:i/>
          <w:sz w:val="24"/>
          <w:szCs w:val="24"/>
          <w:lang w:eastAsia="lv-LV"/>
        </w:rPr>
        <w:t>facto</w:t>
      </w:r>
      <w:proofErr w:type="spellEnd"/>
      <w:r w:rsidRPr="006339B1">
        <w:rPr>
          <w:rFonts w:ascii="Times New Roman" w:eastAsia="Times New Roman" w:hAnsi="Times New Roman" w:cs="Times New Roman"/>
          <w:sz w:val="24"/>
          <w:szCs w:val="24"/>
          <w:lang w:eastAsia="lv-LV"/>
        </w:rPr>
        <w:t xml:space="preserve">) valdes loceklis. Tas varētu attiekties arī uz komercpilnvarnieku, prokūristu vai pat dalībnieku (akcionāru). Tomēr arī procesa uzsākšana pret šādām personām nevar pastāvēt uz </w:t>
      </w:r>
      <w:proofErr w:type="spellStart"/>
      <w:r w:rsidRPr="006339B1">
        <w:rPr>
          <w:rFonts w:ascii="Times New Roman" w:eastAsia="Times New Roman" w:hAnsi="Times New Roman" w:cs="Times New Roman"/>
          <w:sz w:val="24"/>
          <w:szCs w:val="24"/>
          <w:lang w:eastAsia="lv-LV"/>
        </w:rPr>
        <w:t>prezumcijas</w:t>
      </w:r>
      <w:proofErr w:type="spellEnd"/>
      <w:r w:rsidRPr="006339B1">
        <w:rPr>
          <w:rFonts w:ascii="Times New Roman" w:eastAsia="Times New Roman" w:hAnsi="Times New Roman" w:cs="Times New Roman"/>
          <w:sz w:val="24"/>
          <w:szCs w:val="24"/>
          <w:lang w:eastAsia="lv-LV"/>
        </w:rPr>
        <w:t xml:space="preserve"> pamata, kā arī papildus ir jāpierāda, ka konkrētā persona ir faktiskais valdes loceklis, kas faktiski rīkojies juridiskās personas vārdā.</w:t>
      </w:r>
    </w:p>
    <w:p w14:paraId="639ED745" w14:textId="77777777" w:rsidR="002925F3" w:rsidRPr="006339B1" w:rsidRDefault="002925F3" w:rsidP="002925F3">
      <w:pPr>
        <w:tabs>
          <w:tab w:val="left" w:pos="2127"/>
          <w:tab w:val="left" w:pos="6096"/>
        </w:tabs>
        <w:spacing w:after="120" w:line="240" w:lineRule="auto"/>
        <w:ind w:firstLine="720"/>
        <w:jc w:val="both"/>
        <w:rPr>
          <w:rFonts w:ascii="Times New Roman" w:hAnsi="Times New Roman" w:cs="Times New Roman"/>
          <w:sz w:val="24"/>
          <w:szCs w:val="24"/>
        </w:rPr>
      </w:pPr>
      <w:r w:rsidRPr="006339B1">
        <w:rPr>
          <w:rFonts w:ascii="Times New Roman" w:hAnsi="Times New Roman" w:cs="Times New Roman"/>
          <w:sz w:val="24"/>
          <w:szCs w:val="24"/>
        </w:rPr>
        <w:t xml:space="preserve">Ņemot vērā, ka </w:t>
      </w:r>
      <w:r w:rsidRPr="006339B1">
        <w:rPr>
          <w:rFonts w:ascii="Times New Roman" w:eastAsia="Times New Roman" w:hAnsi="Times New Roman" w:cs="Times New Roman"/>
          <w:sz w:val="24"/>
          <w:szCs w:val="24"/>
          <w:lang w:eastAsia="lv-LV"/>
        </w:rPr>
        <w:t>Valsts ieņēmumu dienestam ir pietiekoša kompetence un iespējas iegūt pierādījumus, lai nokavēto nodokļu maksājumu piedziņas procesa vajadzībām izvērtētu un konstatētu gan uzņēmuma pārejas gadījumus, gan atsevišķu personu darbību vai bezdarbības ietekmi uz nesamaksāto nodokļu apmēru un pieņemtu lēmumus par to atbildību, normatīvajā regulējumā būtu jānostiprina ne tikai juridisko personu esošo un bijušo amatpersonu atbildība, bet arī faktisko amatpersonu, pārstāvju, dalībnieku u.c. personu atbildība par juridiskās personas nodokļu maksājumu veikšanu valsts un pašvaldību budžetā un neatkarīgi no tās maksātspējas.</w:t>
      </w:r>
    </w:p>
    <w:p w14:paraId="5FB55AD1" w14:textId="77777777" w:rsidR="002925F3" w:rsidRPr="006339B1" w:rsidRDefault="002925F3" w:rsidP="002925F3">
      <w:pPr>
        <w:tabs>
          <w:tab w:val="left" w:pos="2127"/>
          <w:tab w:val="left" w:pos="6096"/>
        </w:tabs>
        <w:spacing w:after="120" w:line="240" w:lineRule="auto"/>
        <w:ind w:firstLine="720"/>
        <w:jc w:val="both"/>
        <w:rPr>
          <w:rFonts w:ascii="Times New Roman" w:hAnsi="Times New Roman" w:cs="Times New Roman"/>
          <w:sz w:val="24"/>
          <w:szCs w:val="24"/>
          <w:shd w:val="clear" w:color="auto" w:fill="FFFFFF"/>
        </w:rPr>
      </w:pPr>
      <w:r w:rsidRPr="006339B1">
        <w:rPr>
          <w:rFonts w:ascii="Times New Roman" w:hAnsi="Times New Roman" w:cs="Times New Roman"/>
          <w:sz w:val="24"/>
          <w:szCs w:val="24"/>
        </w:rPr>
        <w:t>Vienlaikus, ir nepieciešami arī grozījumi j</w:t>
      </w:r>
      <w:r w:rsidRPr="006339B1">
        <w:rPr>
          <w:rFonts w:ascii="Times New Roman" w:hAnsi="Times New Roman" w:cs="Times New Roman"/>
          <w:bCs/>
          <w:sz w:val="24"/>
          <w:szCs w:val="24"/>
          <w:shd w:val="clear" w:color="auto" w:fill="FFFFFF"/>
        </w:rPr>
        <w:t>uridiskās personas nokavēto nodokļu maksājumu atlīdzināšanas regulējumā attiecībā uz likuma “Par nodokļiem un nodevām” 60.panta pirmās daļas 3.punktā ietverto kritēriju, saskaņā ar kuru</w:t>
      </w:r>
      <w:r w:rsidRPr="006339B1">
        <w:rPr>
          <w:rFonts w:ascii="Times New Roman" w:hAnsi="Times New Roman" w:cs="Times New Roman"/>
          <w:sz w:val="24"/>
          <w:szCs w:val="24"/>
        </w:rPr>
        <w:t xml:space="preserve"> </w:t>
      </w:r>
      <w:r w:rsidRPr="006339B1">
        <w:rPr>
          <w:rFonts w:ascii="Times New Roman" w:eastAsia="Times New Roman" w:hAnsi="Times New Roman" w:cs="Times New Roman"/>
          <w:sz w:val="24"/>
          <w:szCs w:val="24"/>
          <w:lang w:eastAsia="lv-LV"/>
        </w:rPr>
        <w:t xml:space="preserve">Valsts ieņēmumu dienests ir tiesīgs uzsākt procesu par juridiskās personas nokavēto nodokļu maksājumu atlīdzināšanu budžetam, ja cita starpā ir </w:t>
      </w:r>
      <w:r w:rsidRPr="006339B1">
        <w:rPr>
          <w:rFonts w:ascii="Times New Roman" w:hAnsi="Times New Roman" w:cs="Times New Roman"/>
          <w:sz w:val="24"/>
          <w:szCs w:val="24"/>
          <w:shd w:val="clear" w:color="auto" w:fill="FFFFFF"/>
        </w:rPr>
        <w:t>konstatēts, ka pēc nokavēto nodokļu maksājumu izveidošanās juridiskā persona ir atsavinājusi aktīvus tādai personai, kura attiecībā pret valdes locekli atbilst ieinteresētās personas jēdzienam Maksātnespējas likuma izpratnē.</w:t>
      </w:r>
    </w:p>
    <w:p w14:paraId="4B69DB38" w14:textId="77777777" w:rsidR="002925F3" w:rsidRPr="006339B1" w:rsidRDefault="002925F3" w:rsidP="002925F3">
      <w:pPr>
        <w:tabs>
          <w:tab w:val="left" w:pos="2127"/>
          <w:tab w:val="left" w:pos="6096"/>
        </w:tabs>
        <w:spacing w:after="120" w:line="240" w:lineRule="auto"/>
        <w:ind w:firstLine="720"/>
        <w:jc w:val="both"/>
        <w:rPr>
          <w:rFonts w:ascii="Times New Roman" w:eastAsia="Times New Roman" w:hAnsi="Times New Roman" w:cs="Times New Roman"/>
          <w:sz w:val="24"/>
          <w:szCs w:val="24"/>
          <w:lang w:eastAsia="lv-LV"/>
        </w:rPr>
      </w:pPr>
      <w:r w:rsidRPr="006339B1">
        <w:rPr>
          <w:rFonts w:ascii="Times New Roman" w:eastAsia="Times New Roman" w:hAnsi="Times New Roman" w:cs="Times New Roman"/>
          <w:sz w:val="24"/>
          <w:szCs w:val="24"/>
          <w:lang w:eastAsia="lv-LV"/>
        </w:rPr>
        <w:t>Ņemot vērā, ka minētais kritērijs ir visbiežākais procesa neuzsākšanas iemesls un ievērojot Valsts ieņēmumu dienesta praksē konstatēto, ka komercsabiedrības aktīvi, ja tādi ir, tiek atsavināti vēl pirms nodokļu samaksas termiņa iestāšanās, kā arī nosacījums, ka aktīvi atsavināti personai,</w:t>
      </w:r>
      <w:r w:rsidRPr="006339B1">
        <w:rPr>
          <w:rFonts w:ascii="Times New Roman" w:hAnsi="Times New Roman" w:cs="Times New Roman"/>
          <w:sz w:val="24"/>
          <w:szCs w:val="24"/>
        </w:rPr>
        <w:t xml:space="preserve"> kura attiecībā pret valdes locekli atbilst ieinteresētās personas jēdzienam Maksātnespējas likuma izpratnē,</w:t>
      </w:r>
      <w:r w:rsidRPr="006339B1">
        <w:rPr>
          <w:rFonts w:ascii="Times New Roman" w:eastAsia="Times New Roman" w:hAnsi="Times New Roman" w:cs="Times New Roman"/>
          <w:sz w:val="24"/>
          <w:szCs w:val="24"/>
          <w:lang w:eastAsia="lv-LV"/>
        </w:rPr>
        <w:t xml:space="preserve"> vēl vairāk samazina šādu gadījumu esību, ir nepieciešams grozīt likuma “Par nodokļiem un nodevām” 60. panta pirmās daļas 3. punktu, nosakot, ka turpmāk viens no kritērijiem procesa uzsākšanai būs fakta konstatācija, ka juridiskā persona </w:t>
      </w:r>
      <w:r w:rsidRPr="006339B1">
        <w:rPr>
          <w:rFonts w:ascii="Times New Roman" w:hAnsi="Times New Roman" w:cs="Times New Roman"/>
          <w:sz w:val="24"/>
          <w:szCs w:val="24"/>
        </w:rPr>
        <w:t xml:space="preserve">pēc lēmuma par nodokļu revīzijas (audita) veikšanu pieņemšanas, paziņojuma par datu atbilstības pārbaudes laikā konstatētajām neatbilstībām starp nodokļu maksātāja iesniegto informāciju un nodokļu administrācijas rīcībā esošo informāciju nosūtīšanas, tematiskās pārbaudes akta noformēšanas, ja tematiskās pārbaudes laikā konstatēti būtiski pārkāpumi, kas liecina par izvairīšanos no nodokļu nomaksas, kā arī pēc nokavēto nodokļu maksājumu izveidošanās, </w:t>
      </w:r>
      <w:r w:rsidRPr="006339B1">
        <w:rPr>
          <w:rFonts w:ascii="Times New Roman" w:eastAsia="Times New Roman" w:hAnsi="Times New Roman" w:cs="Times New Roman"/>
          <w:sz w:val="24"/>
          <w:szCs w:val="24"/>
          <w:lang w:eastAsia="lv-LV"/>
        </w:rPr>
        <w:t xml:space="preserve">ir atsavinājusi sev piederošos aktīvus un valdes locekļa vai faktiskā vadītāja darbības vai bezdarbības rezultātā pilnā apmērā nav samaksāti juridiskās personas nokavētie nodokļu maksājumi. Tādējādi vairs nebūs nozīmes tam, kāds statuss ir personai, kurai ir atsavināti juridiskās personas aktīvi, pret juridiskās personas valdes locekli. Šajā gadījumā būtiski būs konstatēt faktu, ka juridiskās personas </w:t>
      </w:r>
      <w:r w:rsidRPr="006339B1">
        <w:rPr>
          <w:rFonts w:ascii="Times New Roman" w:eastAsia="Calibri" w:hAnsi="Times New Roman" w:cs="Times New Roman"/>
          <w:sz w:val="24"/>
          <w:szCs w:val="24"/>
          <w:lang w:eastAsia="lv-LV"/>
        </w:rPr>
        <w:t xml:space="preserve">(jeb juridiskās personas izpildinstitūcijas (valdes) vai faktiskā vadītāja) </w:t>
      </w:r>
      <w:r w:rsidRPr="006339B1">
        <w:rPr>
          <w:rFonts w:ascii="Times New Roman" w:eastAsia="Times New Roman" w:hAnsi="Times New Roman" w:cs="Times New Roman"/>
          <w:sz w:val="24"/>
          <w:szCs w:val="24"/>
          <w:lang w:eastAsia="lv-LV"/>
        </w:rPr>
        <w:t xml:space="preserve">veiktā darbība vai bezdarbība ir novedusi pie tā, ka nodokļu parāds nav segts. </w:t>
      </w:r>
    </w:p>
    <w:p w14:paraId="370BBE46" w14:textId="77777777" w:rsidR="002925F3" w:rsidRPr="006339B1" w:rsidRDefault="002925F3" w:rsidP="002925F3">
      <w:pPr>
        <w:spacing w:after="120" w:line="240" w:lineRule="auto"/>
        <w:ind w:firstLine="720"/>
        <w:jc w:val="both"/>
        <w:rPr>
          <w:rFonts w:ascii="Times New Roman" w:hAnsi="Times New Roman" w:cs="Times New Roman"/>
          <w:i/>
          <w:sz w:val="24"/>
          <w:szCs w:val="24"/>
          <w:shd w:val="clear" w:color="auto" w:fill="FFFFFF"/>
        </w:rPr>
      </w:pPr>
      <w:r w:rsidRPr="006339B1">
        <w:rPr>
          <w:rFonts w:ascii="Times New Roman" w:hAnsi="Times New Roman" w:cs="Times New Roman"/>
          <w:i/>
          <w:iCs/>
          <w:sz w:val="24"/>
          <w:szCs w:val="24"/>
        </w:rPr>
        <w:t xml:space="preserve">Nepieciešams grozījums likuma “Par nodokļiem un nodevām” XI nodaļā, attiecinot </w:t>
      </w:r>
      <w:r w:rsidRPr="006339B1">
        <w:rPr>
          <w:rFonts w:ascii="Times New Roman" w:hAnsi="Times New Roman" w:cs="Times New Roman"/>
          <w:i/>
          <w:sz w:val="24"/>
          <w:szCs w:val="24"/>
          <w:shd w:val="clear" w:color="auto" w:fill="FFFFFF"/>
        </w:rPr>
        <w:t xml:space="preserve"> juridiskās personas nokavēto nodokļu maksājumu atlīdzināšanas regulējumu arī uz personu, kura faktiski ir rīkojusies juridiskās personas vārdā, kā arī precizējot 60.panta pirmās daļas 3.punktā ietverto kritēriju.   </w:t>
      </w:r>
    </w:p>
    <w:tbl>
      <w:tblPr>
        <w:tblStyle w:val="TableGrid"/>
        <w:tblW w:w="9356" w:type="dxa"/>
        <w:tblBorders>
          <w:left w:val="none" w:sz="0" w:space="0" w:color="auto"/>
          <w:right w:val="none" w:sz="0" w:space="0" w:color="auto"/>
        </w:tblBorders>
        <w:tblLook w:val="04A0" w:firstRow="1" w:lastRow="0" w:firstColumn="1" w:lastColumn="0" w:noHBand="0" w:noVBand="1"/>
      </w:tblPr>
      <w:tblGrid>
        <w:gridCol w:w="4359"/>
        <w:gridCol w:w="1595"/>
        <w:gridCol w:w="1701"/>
        <w:gridCol w:w="1701"/>
      </w:tblGrid>
      <w:tr w:rsidR="002925F3" w:rsidRPr="006339B1" w14:paraId="1B6B6B23" w14:textId="77777777" w:rsidTr="004E1806">
        <w:trPr>
          <w:trHeight w:val="355"/>
        </w:trPr>
        <w:tc>
          <w:tcPr>
            <w:tcW w:w="4359" w:type="dxa"/>
            <w:tcBorders>
              <w:top w:val="double" w:sz="4" w:space="0" w:color="auto"/>
              <w:left w:val="nil"/>
              <w:bottom w:val="double" w:sz="4" w:space="0" w:color="auto"/>
              <w:right w:val="dotted" w:sz="4" w:space="0" w:color="auto"/>
            </w:tcBorders>
            <w:vAlign w:val="bottom"/>
          </w:tcPr>
          <w:p w14:paraId="588F4F7B" w14:textId="77777777" w:rsidR="002925F3" w:rsidRPr="006339B1" w:rsidRDefault="002925F3" w:rsidP="004E1806">
            <w:pPr>
              <w:tabs>
                <w:tab w:val="left" w:pos="851"/>
              </w:tabs>
              <w:spacing w:after="120"/>
              <w:rPr>
                <w:rFonts w:ascii="Times New Roman" w:hAnsi="Times New Roman" w:cs="Times New Roman"/>
                <w:b/>
                <w:sz w:val="24"/>
                <w:szCs w:val="24"/>
              </w:rPr>
            </w:pPr>
          </w:p>
        </w:tc>
        <w:tc>
          <w:tcPr>
            <w:tcW w:w="1595" w:type="dxa"/>
            <w:tcBorders>
              <w:top w:val="double" w:sz="4" w:space="0" w:color="auto"/>
              <w:left w:val="dotted" w:sz="4" w:space="0" w:color="auto"/>
              <w:bottom w:val="double" w:sz="4" w:space="0" w:color="auto"/>
              <w:right w:val="dotted" w:sz="4" w:space="0" w:color="auto"/>
            </w:tcBorders>
            <w:vAlign w:val="center"/>
          </w:tcPr>
          <w:p w14:paraId="0CE9098A" w14:textId="77777777" w:rsidR="002925F3" w:rsidRPr="006339B1" w:rsidRDefault="002925F3" w:rsidP="004E1806">
            <w:pPr>
              <w:tabs>
                <w:tab w:val="left" w:pos="851"/>
              </w:tabs>
              <w:spacing w:after="120"/>
              <w:jc w:val="center"/>
              <w:rPr>
                <w:rFonts w:ascii="Times New Roman" w:hAnsi="Times New Roman" w:cs="Times New Roman"/>
                <w:b/>
                <w:sz w:val="24"/>
                <w:szCs w:val="24"/>
              </w:rPr>
            </w:pPr>
            <w:r w:rsidRPr="006339B1">
              <w:rPr>
                <w:rFonts w:ascii="Times New Roman" w:hAnsi="Times New Roman" w:cs="Times New Roman"/>
                <w:sz w:val="24"/>
                <w:szCs w:val="24"/>
              </w:rPr>
              <w:t>2020.gadā</w:t>
            </w:r>
          </w:p>
        </w:tc>
        <w:tc>
          <w:tcPr>
            <w:tcW w:w="1701" w:type="dxa"/>
            <w:tcBorders>
              <w:top w:val="double" w:sz="4" w:space="0" w:color="auto"/>
              <w:left w:val="dotted" w:sz="4" w:space="0" w:color="auto"/>
              <w:bottom w:val="double" w:sz="4" w:space="0" w:color="auto"/>
              <w:right w:val="dotted" w:sz="4" w:space="0" w:color="auto"/>
            </w:tcBorders>
            <w:vAlign w:val="center"/>
          </w:tcPr>
          <w:p w14:paraId="631F9D2A" w14:textId="77777777" w:rsidR="002925F3" w:rsidRPr="006339B1" w:rsidRDefault="002925F3" w:rsidP="004E1806">
            <w:pPr>
              <w:tabs>
                <w:tab w:val="left" w:pos="851"/>
              </w:tabs>
              <w:spacing w:after="120"/>
              <w:jc w:val="center"/>
              <w:rPr>
                <w:rFonts w:ascii="Times New Roman" w:hAnsi="Times New Roman" w:cs="Times New Roman"/>
                <w:b/>
                <w:sz w:val="24"/>
                <w:szCs w:val="24"/>
              </w:rPr>
            </w:pPr>
            <w:r w:rsidRPr="006339B1">
              <w:rPr>
                <w:rFonts w:ascii="Times New Roman" w:hAnsi="Times New Roman" w:cs="Times New Roman"/>
                <w:sz w:val="24"/>
                <w:szCs w:val="24"/>
              </w:rPr>
              <w:t>2021.gadā</w:t>
            </w:r>
          </w:p>
        </w:tc>
        <w:tc>
          <w:tcPr>
            <w:tcW w:w="1701" w:type="dxa"/>
            <w:tcBorders>
              <w:top w:val="double" w:sz="4" w:space="0" w:color="auto"/>
              <w:left w:val="dotted" w:sz="4" w:space="0" w:color="auto"/>
              <w:bottom w:val="double" w:sz="4" w:space="0" w:color="auto"/>
              <w:right w:val="nil"/>
            </w:tcBorders>
            <w:vAlign w:val="center"/>
          </w:tcPr>
          <w:p w14:paraId="4EDD50A3" w14:textId="77777777" w:rsidR="002925F3" w:rsidRPr="006339B1" w:rsidRDefault="002925F3" w:rsidP="004E1806">
            <w:pPr>
              <w:tabs>
                <w:tab w:val="left" w:pos="851"/>
              </w:tabs>
              <w:spacing w:after="120"/>
              <w:jc w:val="center"/>
              <w:rPr>
                <w:rFonts w:ascii="Times New Roman" w:hAnsi="Times New Roman" w:cs="Times New Roman"/>
                <w:b/>
                <w:sz w:val="24"/>
                <w:szCs w:val="24"/>
              </w:rPr>
            </w:pPr>
            <w:r w:rsidRPr="006339B1">
              <w:rPr>
                <w:rFonts w:ascii="Times New Roman" w:hAnsi="Times New Roman" w:cs="Times New Roman"/>
                <w:sz w:val="24"/>
                <w:szCs w:val="24"/>
              </w:rPr>
              <w:t>2022.gadā</w:t>
            </w:r>
          </w:p>
        </w:tc>
      </w:tr>
      <w:tr w:rsidR="002925F3" w:rsidRPr="008C75EE" w14:paraId="1BAE5831" w14:textId="77777777" w:rsidTr="004E1806">
        <w:trPr>
          <w:trHeight w:val="355"/>
        </w:trPr>
        <w:tc>
          <w:tcPr>
            <w:tcW w:w="4359" w:type="dxa"/>
            <w:tcBorders>
              <w:top w:val="double" w:sz="4" w:space="0" w:color="auto"/>
              <w:left w:val="nil"/>
              <w:bottom w:val="double" w:sz="4" w:space="0" w:color="auto"/>
              <w:right w:val="dotted" w:sz="4" w:space="0" w:color="auto"/>
            </w:tcBorders>
            <w:vAlign w:val="bottom"/>
            <w:hideMark/>
          </w:tcPr>
          <w:p w14:paraId="02F9E31A" w14:textId="77777777" w:rsidR="002925F3" w:rsidRPr="006339B1" w:rsidRDefault="002925F3" w:rsidP="004E1806">
            <w:pPr>
              <w:tabs>
                <w:tab w:val="left" w:pos="851"/>
              </w:tabs>
              <w:spacing w:after="120"/>
              <w:rPr>
                <w:rFonts w:ascii="Times New Roman" w:hAnsi="Times New Roman" w:cs="Times New Roman"/>
                <w:b/>
                <w:sz w:val="24"/>
                <w:szCs w:val="24"/>
              </w:rPr>
            </w:pPr>
            <w:r w:rsidRPr="006339B1">
              <w:rPr>
                <w:rFonts w:ascii="Times New Roman" w:hAnsi="Times New Roman" w:cs="Times New Roman"/>
                <w:b/>
                <w:sz w:val="24"/>
                <w:szCs w:val="24"/>
              </w:rPr>
              <w:t>Provizoriskā fiskālā ietekme</w:t>
            </w:r>
            <w:r w:rsidRPr="006339B1">
              <w:rPr>
                <w:rFonts w:ascii="Times New Roman" w:hAnsi="Times New Roman" w:cs="Times New Roman"/>
                <w:sz w:val="24"/>
                <w:szCs w:val="24"/>
              </w:rPr>
              <w:t xml:space="preserve">, milj. </w:t>
            </w:r>
            <w:proofErr w:type="spellStart"/>
            <w:r w:rsidRPr="006339B1">
              <w:rPr>
                <w:rFonts w:ascii="Times New Roman" w:hAnsi="Times New Roman" w:cs="Times New Roman"/>
                <w:i/>
                <w:sz w:val="24"/>
                <w:szCs w:val="24"/>
              </w:rPr>
              <w:t>euro</w:t>
            </w:r>
            <w:proofErr w:type="spellEnd"/>
          </w:p>
        </w:tc>
        <w:tc>
          <w:tcPr>
            <w:tcW w:w="1595" w:type="dxa"/>
            <w:tcBorders>
              <w:top w:val="double" w:sz="4" w:space="0" w:color="auto"/>
              <w:left w:val="dotted" w:sz="4" w:space="0" w:color="auto"/>
              <w:bottom w:val="double" w:sz="4" w:space="0" w:color="auto"/>
              <w:right w:val="dotted" w:sz="4" w:space="0" w:color="auto"/>
            </w:tcBorders>
            <w:vAlign w:val="center"/>
          </w:tcPr>
          <w:p w14:paraId="478A1790" w14:textId="77777777" w:rsidR="002925F3" w:rsidRPr="006339B1" w:rsidRDefault="002925F3" w:rsidP="004E1806">
            <w:pPr>
              <w:tabs>
                <w:tab w:val="left" w:pos="851"/>
              </w:tabs>
              <w:spacing w:after="120"/>
              <w:jc w:val="center"/>
              <w:rPr>
                <w:rFonts w:ascii="Times New Roman" w:hAnsi="Times New Roman" w:cs="Times New Roman"/>
                <w:b/>
                <w:sz w:val="24"/>
                <w:szCs w:val="24"/>
              </w:rPr>
            </w:pPr>
            <w:r w:rsidRPr="006339B1">
              <w:rPr>
                <w:rFonts w:ascii="Times New Roman" w:hAnsi="Times New Roman" w:cs="Times New Roman"/>
                <w:b/>
                <w:sz w:val="24"/>
                <w:szCs w:val="24"/>
              </w:rPr>
              <w:t>5,0</w:t>
            </w:r>
          </w:p>
        </w:tc>
        <w:tc>
          <w:tcPr>
            <w:tcW w:w="1701" w:type="dxa"/>
            <w:tcBorders>
              <w:top w:val="double" w:sz="4" w:space="0" w:color="auto"/>
              <w:left w:val="dotted" w:sz="4" w:space="0" w:color="auto"/>
              <w:bottom w:val="double" w:sz="4" w:space="0" w:color="auto"/>
              <w:right w:val="dotted" w:sz="4" w:space="0" w:color="auto"/>
            </w:tcBorders>
            <w:vAlign w:val="center"/>
          </w:tcPr>
          <w:p w14:paraId="17B6D538" w14:textId="77777777" w:rsidR="002925F3" w:rsidRPr="006339B1" w:rsidRDefault="002925F3" w:rsidP="004E1806">
            <w:pPr>
              <w:tabs>
                <w:tab w:val="left" w:pos="851"/>
              </w:tabs>
              <w:spacing w:after="120"/>
              <w:jc w:val="center"/>
              <w:rPr>
                <w:rFonts w:ascii="Times New Roman" w:hAnsi="Times New Roman" w:cs="Times New Roman"/>
                <w:b/>
                <w:sz w:val="24"/>
                <w:szCs w:val="24"/>
              </w:rPr>
            </w:pPr>
            <w:r w:rsidRPr="006339B1">
              <w:rPr>
                <w:rFonts w:ascii="Times New Roman" w:hAnsi="Times New Roman" w:cs="Times New Roman"/>
                <w:b/>
                <w:sz w:val="24"/>
                <w:szCs w:val="24"/>
              </w:rPr>
              <w:t>5,0</w:t>
            </w:r>
          </w:p>
        </w:tc>
        <w:tc>
          <w:tcPr>
            <w:tcW w:w="1701" w:type="dxa"/>
            <w:tcBorders>
              <w:top w:val="double" w:sz="4" w:space="0" w:color="auto"/>
              <w:left w:val="dotted" w:sz="4" w:space="0" w:color="auto"/>
              <w:bottom w:val="double" w:sz="4" w:space="0" w:color="auto"/>
              <w:right w:val="nil"/>
            </w:tcBorders>
            <w:vAlign w:val="center"/>
          </w:tcPr>
          <w:p w14:paraId="5C1E9105" w14:textId="77777777" w:rsidR="002925F3" w:rsidRPr="008C75EE" w:rsidRDefault="002925F3" w:rsidP="004E1806">
            <w:pPr>
              <w:tabs>
                <w:tab w:val="left" w:pos="851"/>
              </w:tabs>
              <w:spacing w:after="120"/>
              <w:jc w:val="center"/>
              <w:rPr>
                <w:rFonts w:ascii="Times New Roman" w:hAnsi="Times New Roman" w:cs="Times New Roman"/>
                <w:b/>
                <w:sz w:val="24"/>
                <w:szCs w:val="24"/>
              </w:rPr>
            </w:pPr>
            <w:r w:rsidRPr="006339B1">
              <w:rPr>
                <w:rFonts w:ascii="Times New Roman" w:hAnsi="Times New Roman" w:cs="Times New Roman"/>
                <w:b/>
                <w:sz w:val="24"/>
                <w:szCs w:val="24"/>
              </w:rPr>
              <w:t>5,0</w:t>
            </w:r>
          </w:p>
        </w:tc>
      </w:tr>
    </w:tbl>
    <w:p w14:paraId="0A7A0E72" w14:textId="4543B850" w:rsidR="002925F3" w:rsidRDefault="002925F3" w:rsidP="002925F3">
      <w:pPr>
        <w:spacing w:after="120" w:line="240" w:lineRule="auto"/>
        <w:rPr>
          <w:rFonts w:ascii="Times New Roman" w:hAnsi="Times New Roman" w:cs="Times New Roman"/>
          <w:b/>
          <w:sz w:val="24"/>
          <w:szCs w:val="24"/>
        </w:rPr>
      </w:pPr>
    </w:p>
    <w:p w14:paraId="5202B50B" w14:textId="77777777" w:rsidR="00B806BB" w:rsidRDefault="00B806BB" w:rsidP="002925F3">
      <w:pPr>
        <w:spacing w:after="120" w:line="240" w:lineRule="auto"/>
        <w:rPr>
          <w:rFonts w:ascii="Times New Roman" w:hAnsi="Times New Roman" w:cs="Times New Roman"/>
          <w:b/>
          <w:sz w:val="24"/>
          <w:szCs w:val="24"/>
        </w:rPr>
      </w:pPr>
    </w:p>
    <w:p w14:paraId="0788D933" w14:textId="77777777" w:rsidR="00A709C9" w:rsidRPr="00815D06" w:rsidRDefault="00A709C9" w:rsidP="00A709C9">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P</w:t>
      </w:r>
      <w:r w:rsidRPr="00815D06">
        <w:rPr>
          <w:rFonts w:ascii="Times New Roman" w:hAnsi="Times New Roman" w:cs="Times New Roman"/>
          <w:b/>
          <w:sz w:val="24"/>
          <w:szCs w:val="24"/>
        </w:rPr>
        <w:t>ašvaldību budžetu ieņēmumu korekcija</w:t>
      </w:r>
    </w:p>
    <w:p w14:paraId="28012C55" w14:textId="5ADFA872" w:rsidR="00A709C9" w:rsidRPr="00A709C9" w:rsidRDefault="00A709C9" w:rsidP="00A709C9">
      <w:pPr>
        <w:spacing w:after="120" w:line="240" w:lineRule="auto"/>
        <w:jc w:val="both"/>
        <w:rPr>
          <w:rFonts w:ascii="Times New Roman" w:hAnsi="Times New Roman" w:cs="Times New Roman"/>
          <w:sz w:val="24"/>
          <w:szCs w:val="24"/>
        </w:rPr>
      </w:pPr>
      <w:r w:rsidRPr="00A709C9">
        <w:rPr>
          <w:rFonts w:ascii="Times New Roman" w:hAnsi="Times New Roman" w:cs="Times New Roman"/>
          <w:sz w:val="24"/>
          <w:szCs w:val="24"/>
        </w:rPr>
        <w:tab/>
        <w:t>2020.gad</w:t>
      </w:r>
      <w:r w:rsidR="00EB175E">
        <w:rPr>
          <w:rFonts w:ascii="Times New Roman" w:hAnsi="Times New Roman" w:cs="Times New Roman"/>
          <w:sz w:val="24"/>
          <w:szCs w:val="24"/>
        </w:rPr>
        <w:t>s</w:t>
      </w:r>
      <w:r w:rsidRPr="00A709C9">
        <w:rPr>
          <w:rFonts w:ascii="Times New Roman" w:hAnsi="Times New Roman" w:cs="Times New Roman"/>
          <w:sz w:val="24"/>
          <w:szCs w:val="24"/>
        </w:rPr>
        <w:t xml:space="preserve"> ir pirmais gads, ka</w:t>
      </w:r>
      <w:r w:rsidR="0006535D">
        <w:rPr>
          <w:rFonts w:ascii="Times New Roman" w:hAnsi="Times New Roman" w:cs="Times New Roman"/>
          <w:sz w:val="24"/>
          <w:szCs w:val="24"/>
        </w:rPr>
        <w:t>d</w:t>
      </w:r>
      <w:r w:rsidRPr="00A709C9">
        <w:rPr>
          <w:rFonts w:ascii="Times New Roman" w:hAnsi="Times New Roman" w:cs="Times New Roman"/>
          <w:sz w:val="24"/>
          <w:szCs w:val="24"/>
        </w:rPr>
        <w:t xml:space="preserve"> ir iespējams pilnībā izvērtēt nodokļu</w:t>
      </w:r>
      <w:r w:rsidRPr="00A709C9">
        <w:rPr>
          <w:rFonts w:ascii="Times New Roman" w:hAnsi="Times New Roman" w:cs="Times New Roman"/>
          <w:sz w:val="28"/>
          <w:szCs w:val="24"/>
        </w:rPr>
        <w:t xml:space="preserve"> </w:t>
      </w:r>
      <w:r w:rsidRPr="00A709C9">
        <w:rPr>
          <w:rFonts w:ascii="Times New Roman" w:hAnsi="Times New Roman" w:cs="Times New Roman"/>
          <w:sz w:val="24"/>
          <w:szCs w:val="24"/>
        </w:rPr>
        <w:t>reformas, it īpaši iedzīvotāju ienākuma nodokļa izmaiņu, reālo ietekmi uz sadalījumu starp pašvaldībām reģionālā griezumā. Izvērtējot faktisko situāciju, ir jāsecina, ka ir izveidojušies objektīvi priekšnosacījumi veidot jaunu, reģionāli sabalansētu, stabilu pašvaldību finanšu pietiekamības novērtējumu. Vērā ir jāņem, ka</w:t>
      </w:r>
    </w:p>
    <w:p w14:paraId="500E7233" w14:textId="77777777" w:rsidR="00A709C9" w:rsidRPr="00A709C9" w:rsidRDefault="00A709C9" w:rsidP="00E039FD">
      <w:pPr>
        <w:spacing w:after="120" w:line="240" w:lineRule="auto"/>
        <w:ind w:firstLine="426"/>
        <w:jc w:val="both"/>
        <w:rPr>
          <w:rFonts w:ascii="Times New Roman" w:hAnsi="Times New Roman" w:cs="Times New Roman"/>
          <w:sz w:val="24"/>
          <w:szCs w:val="24"/>
        </w:rPr>
      </w:pPr>
      <w:r w:rsidRPr="00A709C9">
        <w:rPr>
          <w:rFonts w:ascii="Times New Roman" w:hAnsi="Times New Roman" w:cs="Times New Roman"/>
          <w:sz w:val="24"/>
          <w:szCs w:val="24"/>
        </w:rPr>
        <w:t>•</w:t>
      </w:r>
      <w:r w:rsidRPr="00A709C9">
        <w:rPr>
          <w:rFonts w:ascii="Times New Roman" w:hAnsi="Times New Roman" w:cs="Times New Roman"/>
          <w:sz w:val="24"/>
          <w:szCs w:val="24"/>
        </w:rPr>
        <w:tab/>
        <w:t xml:space="preserve">Valsts budžeta izdevumi nav atkarīgi vienīgi no nodokļu ieņēmumiem. Tā izdevumu līmeni lielā mērā nosaka arī uz to attiecināmais pieļaujamais bilances līmenis, kuru nozīmīgi ietekmē arī pašvaldību un to pieklasificēto kapitālsabiedrību darbība (aizņemšanās utt.).  </w:t>
      </w:r>
    </w:p>
    <w:p w14:paraId="553FE6A4" w14:textId="77777777" w:rsidR="00A709C9" w:rsidRPr="00A709C9" w:rsidRDefault="00A709C9" w:rsidP="00E039FD">
      <w:pPr>
        <w:spacing w:after="120" w:line="240" w:lineRule="auto"/>
        <w:ind w:firstLine="426"/>
        <w:jc w:val="both"/>
        <w:rPr>
          <w:rFonts w:ascii="Times New Roman" w:hAnsi="Times New Roman" w:cs="Times New Roman"/>
          <w:sz w:val="24"/>
          <w:szCs w:val="24"/>
        </w:rPr>
      </w:pPr>
      <w:r w:rsidRPr="00A709C9">
        <w:rPr>
          <w:rFonts w:ascii="Times New Roman" w:hAnsi="Times New Roman" w:cs="Times New Roman"/>
          <w:sz w:val="24"/>
          <w:szCs w:val="24"/>
        </w:rPr>
        <w:t>•</w:t>
      </w:r>
      <w:r w:rsidRPr="00A709C9">
        <w:rPr>
          <w:rFonts w:ascii="Times New Roman" w:hAnsi="Times New Roman" w:cs="Times New Roman"/>
          <w:sz w:val="24"/>
          <w:szCs w:val="24"/>
        </w:rPr>
        <w:tab/>
        <w:t>Nozīmīga daļa no valsts budžeta nodokļu ieņēmumiem tiek izlietota dotācijām un mērķdotācijām pašvaldībām.</w:t>
      </w:r>
    </w:p>
    <w:p w14:paraId="0F8012CC" w14:textId="77777777" w:rsidR="00A709C9" w:rsidRPr="00A709C9" w:rsidRDefault="00A709C9" w:rsidP="00E039FD">
      <w:pPr>
        <w:spacing w:after="120" w:line="240" w:lineRule="auto"/>
        <w:ind w:firstLine="426"/>
        <w:jc w:val="both"/>
        <w:rPr>
          <w:rFonts w:ascii="Times New Roman" w:hAnsi="Times New Roman" w:cs="Times New Roman"/>
          <w:sz w:val="24"/>
          <w:szCs w:val="24"/>
        </w:rPr>
      </w:pPr>
      <w:r w:rsidRPr="00A709C9">
        <w:rPr>
          <w:rFonts w:ascii="Times New Roman" w:hAnsi="Times New Roman" w:cs="Times New Roman"/>
          <w:sz w:val="24"/>
          <w:szCs w:val="24"/>
        </w:rPr>
        <w:t>•</w:t>
      </w:r>
      <w:r w:rsidRPr="00A709C9">
        <w:rPr>
          <w:rFonts w:ascii="Times New Roman" w:hAnsi="Times New Roman" w:cs="Times New Roman"/>
          <w:sz w:val="24"/>
          <w:szCs w:val="24"/>
        </w:rPr>
        <w:tab/>
        <w:t xml:space="preserve">Būtiskus valsts budžeta nodokļu ieņēmumus sastāda sociālās apdrošināšanas iemaksas, ar tām saistītie izdevumi ir stingri reglamentēti, izmaksāto pensiju un pabalstu pieaugums atslogo pašvaldību sociālās programmas. </w:t>
      </w:r>
    </w:p>
    <w:p w14:paraId="3F5DE132" w14:textId="7BA729AF" w:rsidR="00A709C9" w:rsidRPr="00637368" w:rsidRDefault="00A709C9" w:rsidP="002959ED">
      <w:pPr>
        <w:spacing w:after="120" w:line="240" w:lineRule="auto"/>
        <w:ind w:firstLine="720"/>
        <w:jc w:val="both"/>
        <w:rPr>
          <w:rFonts w:ascii="Times New Roman" w:hAnsi="Times New Roman" w:cs="Times New Roman"/>
          <w:sz w:val="24"/>
          <w:szCs w:val="24"/>
        </w:rPr>
      </w:pPr>
      <w:r w:rsidRPr="00A709C9">
        <w:rPr>
          <w:rFonts w:ascii="Times New Roman" w:hAnsi="Times New Roman" w:cs="Times New Roman"/>
          <w:sz w:val="24"/>
          <w:szCs w:val="24"/>
        </w:rPr>
        <w:t>Ņemot vērā minēto, lai nodrošinātu pašvaldībām stabilu finansējumu, Finanšu ministrijai sagatavos priekšlikumus sabalansētiem finanšu resursiem reģionālā griezumā, izvērtējot iespējas mainīt iedzīvotāju ienākuma nodokļa sadalījumu starp valsts un pašvaldību budžetiem un izmaiņas speciālajā dotācijā, nodrošinot, ka speciālā do</w:t>
      </w:r>
      <w:r w:rsidR="00E9643A">
        <w:rPr>
          <w:rFonts w:ascii="Times New Roman" w:hAnsi="Times New Roman" w:cs="Times New Roman"/>
          <w:sz w:val="24"/>
          <w:szCs w:val="24"/>
        </w:rPr>
        <w:t xml:space="preserve">tācija nav mazāka kā </w:t>
      </w:r>
      <w:r w:rsidR="00B83985" w:rsidRPr="00A43806">
        <w:rPr>
          <w:rFonts w:ascii="Times New Roman" w:hAnsi="Times New Roman" w:cs="Times New Roman"/>
          <w:sz w:val="24"/>
          <w:szCs w:val="24"/>
        </w:rPr>
        <w:t>148,1</w:t>
      </w:r>
      <w:r w:rsidR="00B83985">
        <w:rPr>
          <w:rFonts w:ascii="Times New Roman" w:hAnsi="Times New Roman" w:cs="Times New Roman"/>
          <w:sz w:val="24"/>
          <w:szCs w:val="24"/>
        </w:rPr>
        <w:t xml:space="preserve"> </w:t>
      </w:r>
      <w:r w:rsidR="00E9643A">
        <w:rPr>
          <w:rFonts w:ascii="Times New Roman" w:hAnsi="Times New Roman" w:cs="Times New Roman"/>
          <w:sz w:val="24"/>
          <w:szCs w:val="24"/>
        </w:rPr>
        <w:t xml:space="preserve">milj. </w:t>
      </w:r>
      <w:proofErr w:type="spellStart"/>
      <w:r w:rsidR="00E9643A" w:rsidRPr="00E9643A">
        <w:rPr>
          <w:rFonts w:ascii="Times New Roman" w:hAnsi="Times New Roman" w:cs="Times New Roman"/>
          <w:i/>
          <w:sz w:val="24"/>
          <w:szCs w:val="24"/>
        </w:rPr>
        <w:t>euro</w:t>
      </w:r>
      <w:proofErr w:type="spellEnd"/>
      <w:r w:rsidRPr="00A709C9">
        <w:rPr>
          <w:rFonts w:ascii="Times New Roman" w:hAnsi="Times New Roman" w:cs="Times New Roman"/>
          <w:sz w:val="24"/>
          <w:szCs w:val="24"/>
        </w:rPr>
        <w:t xml:space="preserve"> un nevienai pašvaldībai pēc pašvaldību finanšu izlīdzināšanas nav mazāki izlīdzinātie ieņēmumi kā 2019.gadā, </w:t>
      </w:r>
      <w:r w:rsidRPr="00637368">
        <w:rPr>
          <w:rFonts w:ascii="Times New Roman" w:hAnsi="Times New Roman" w:cs="Times New Roman"/>
          <w:sz w:val="24"/>
          <w:szCs w:val="24"/>
        </w:rPr>
        <w:t>attiecīgi koriģējot arī 2021.un 2022.gadu.</w:t>
      </w:r>
    </w:p>
    <w:p w14:paraId="0E6DADA4" w14:textId="77777777" w:rsidR="002959ED" w:rsidRDefault="002959ED" w:rsidP="00A709C9">
      <w:pPr>
        <w:spacing w:after="120" w:line="240" w:lineRule="auto"/>
        <w:jc w:val="both"/>
        <w:rPr>
          <w:rFonts w:ascii="Times New Roman" w:hAnsi="Times New Roman" w:cs="Times New Roman"/>
          <w:b/>
          <w:sz w:val="24"/>
          <w:szCs w:val="24"/>
        </w:rPr>
      </w:pPr>
    </w:p>
    <w:p w14:paraId="624B7BF4" w14:textId="77777777" w:rsidR="00A709C9" w:rsidRPr="009E2E8C" w:rsidRDefault="009E2E8C" w:rsidP="009E2E8C">
      <w:pPr>
        <w:pStyle w:val="ListParagraph"/>
        <w:numPr>
          <w:ilvl w:val="1"/>
          <w:numId w:val="17"/>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709C9" w:rsidRPr="009E2E8C">
        <w:rPr>
          <w:rFonts w:ascii="Times New Roman" w:hAnsi="Times New Roman" w:cs="Times New Roman"/>
          <w:b/>
          <w:sz w:val="24"/>
          <w:szCs w:val="24"/>
        </w:rPr>
        <w:t>Rīgas pašvaldības iemaksas saistībā ar "Rīgas satiksme" negatīvo ietekmi</w:t>
      </w:r>
    </w:p>
    <w:p w14:paraId="04DF192F" w14:textId="77777777" w:rsidR="00A709C9" w:rsidRPr="00882466" w:rsidRDefault="0006535D" w:rsidP="00882466">
      <w:pPr>
        <w:spacing w:after="120" w:line="240" w:lineRule="auto"/>
        <w:ind w:firstLine="709"/>
        <w:jc w:val="both"/>
        <w:rPr>
          <w:rFonts w:ascii="Times New Roman" w:hAnsi="Times New Roman" w:cs="Times New Roman"/>
          <w:sz w:val="24"/>
          <w:szCs w:val="24"/>
        </w:rPr>
      </w:pPr>
      <w:r w:rsidRPr="00882466">
        <w:rPr>
          <w:rFonts w:ascii="Times New Roman" w:hAnsi="Times New Roman" w:cs="Times New Roman"/>
          <w:sz w:val="24"/>
          <w:szCs w:val="24"/>
        </w:rPr>
        <w:t>Atbilstoši Eiropas kontu sistēmas (EKS) metodoloģijai, uz kuras pamata tiek apkopota statistika par ES dalībvalstu fiskālajiem radītājiem</w:t>
      </w:r>
      <w:r w:rsidRPr="0006535D">
        <w:rPr>
          <w:rFonts w:ascii="Times New Roman" w:hAnsi="Times New Roman" w:cs="Times New Roman"/>
          <w:sz w:val="24"/>
          <w:szCs w:val="24"/>
        </w:rPr>
        <w:t>,</w:t>
      </w:r>
      <w:r w:rsidRPr="00882466" w:rsidDel="0006535D">
        <w:rPr>
          <w:rFonts w:ascii="Times New Roman" w:hAnsi="Times New Roman" w:cs="Times New Roman"/>
          <w:sz w:val="24"/>
          <w:szCs w:val="24"/>
        </w:rPr>
        <w:t xml:space="preserve"> </w:t>
      </w:r>
      <w:r w:rsidR="00A709C9" w:rsidRPr="00882466">
        <w:rPr>
          <w:rFonts w:ascii="Times New Roman" w:hAnsi="Times New Roman" w:cs="Times New Roman"/>
          <w:sz w:val="24"/>
          <w:szCs w:val="24"/>
        </w:rPr>
        <w:t xml:space="preserve">Rīgas pašvaldības SIA "Rīgas satiksme" ir iekļaujama vispārējā valdības sektorā, tādējādi 2020.gada radot negatīvu ietekmi uz valsts budžeta fiskālo telpu. Lai kompensētu Rīgas pašvaldības kontrolētās kapitālsabiedrības SIA “Rīgas Satiksme”  radīto negatīvo ietekmi uz valsts budžetu, ir izvērtēti iespējamie negatīvās ietekmes mazinošie pasākumi. Lai sasaistītu pašvaldības un tās kontrolētās kapitālsabiedrības atbildību iespējams noteikt, ka kompensācija tiek veikta atbilstoši iedzīvotāju ienākuma nodokļa sadales principiem no Rīgas pašvaldības budžetam piekrītošās iedzīvotāju ienākuma nodokļa ieņēmumu daļas pēc pašvaldību finanšu izlīdzināšanas, nepārsniedzot 38 milj. </w:t>
      </w:r>
      <w:proofErr w:type="spellStart"/>
      <w:r w:rsidR="00A709C9" w:rsidRPr="00882466">
        <w:rPr>
          <w:rFonts w:ascii="Times New Roman" w:hAnsi="Times New Roman" w:cs="Times New Roman"/>
          <w:i/>
          <w:sz w:val="24"/>
          <w:szCs w:val="24"/>
        </w:rPr>
        <w:t>euro</w:t>
      </w:r>
      <w:proofErr w:type="spellEnd"/>
      <w:r w:rsidR="00A709C9" w:rsidRPr="00882466">
        <w:rPr>
          <w:rFonts w:ascii="Times New Roman" w:hAnsi="Times New Roman" w:cs="Times New Roman"/>
          <w:i/>
          <w:sz w:val="24"/>
          <w:szCs w:val="24"/>
        </w:rPr>
        <w:t xml:space="preserve"> </w:t>
      </w:r>
      <w:r w:rsidR="00A709C9" w:rsidRPr="00882466">
        <w:rPr>
          <w:rFonts w:ascii="Times New Roman" w:hAnsi="Times New Roman" w:cs="Times New Roman"/>
          <w:sz w:val="24"/>
          <w:szCs w:val="24"/>
        </w:rPr>
        <w:t xml:space="preserve">2020.gadā un 10,1 milj. </w:t>
      </w:r>
      <w:proofErr w:type="spellStart"/>
      <w:r w:rsidR="00A709C9" w:rsidRPr="00882466">
        <w:rPr>
          <w:rFonts w:ascii="Times New Roman" w:hAnsi="Times New Roman" w:cs="Times New Roman"/>
          <w:i/>
          <w:sz w:val="24"/>
          <w:szCs w:val="24"/>
        </w:rPr>
        <w:t>euro</w:t>
      </w:r>
      <w:proofErr w:type="spellEnd"/>
      <w:r w:rsidR="00A709C9" w:rsidRPr="00882466">
        <w:rPr>
          <w:rFonts w:ascii="Times New Roman" w:hAnsi="Times New Roman" w:cs="Times New Roman"/>
          <w:i/>
          <w:sz w:val="24"/>
          <w:szCs w:val="24"/>
        </w:rPr>
        <w:t xml:space="preserve"> </w:t>
      </w:r>
      <w:r w:rsidR="00A709C9" w:rsidRPr="00882466">
        <w:rPr>
          <w:rFonts w:ascii="Times New Roman" w:hAnsi="Times New Roman" w:cs="Times New Roman"/>
          <w:sz w:val="24"/>
          <w:szCs w:val="24"/>
        </w:rPr>
        <w:t>2021.gadā. Summas var tikt precizētas atbilstoši aktuālākai informācijai.</w:t>
      </w:r>
    </w:p>
    <w:p w14:paraId="7DD5D5DF" w14:textId="77777777" w:rsidR="009E0B58" w:rsidRPr="00815D06" w:rsidRDefault="009E0B58" w:rsidP="00852868">
      <w:pPr>
        <w:pStyle w:val="ListParagraph"/>
        <w:spacing w:after="120" w:line="240" w:lineRule="auto"/>
        <w:contextualSpacing w:val="0"/>
        <w:jc w:val="both"/>
        <w:rPr>
          <w:rFonts w:ascii="Times New Roman" w:hAnsi="Times New Roman" w:cs="Times New Roman"/>
          <w:b/>
          <w:sz w:val="24"/>
          <w:szCs w:val="24"/>
        </w:rPr>
      </w:pPr>
    </w:p>
    <w:p w14:paraId="0F7AB5E4" w14:textId="77777777" w:rsidR="009E0B58" w:rsidRPr="00C53417" w:rsidRDefault="00793674" w:rsidP="00793674">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9E0B58" w:rsidRPr="00C53417">
        <w:rPr>
          <w:rFonts w:ascii="Times New Roman" w:hAnsi="Times New Roman" w:cs="Times New Roman"/>
          <w:b/>
          <w:sz w:val="24"/>
          <w:szCs w:val="24"/>
        </w:rPr>
        <w:t xml:space="preserve">Izdevumu izmaiņas saistībā ar nobīdēm Jaunā </w:t>
      </w:r>
      <w:r w:rsidR="0022763C">
        <w:rPr>
          <w:rFonts w:ascii="Times New Roman" w:hAnsi="Times New Roman" w:cs="Times New Roman"/>
          <w:b/>
          <w:sz w:val="24"/>
          <w:szCs w:val="24"/>
        </w:rPr>
        <w:t>Rīgas t</w:t>
      </w:r>
      <w:r w:rsidR="009E0B58" w:rsidRPr="00C53417">
        <w:rPr>
          <w:rFonts w:ascii="Times New Roman" w:hAnsi="Times New Roman" w:cs="Times New Roman"/>
          <w:b/>
          <w:sz w:val="24"/>
          <w:szCs w:val="24"/>
        </w:rPr>
        <w:t>eātra būvniecībā</w:t>
      </w:r>
    </w:p>
    <w:p w14:paraId="71A09243" w14:textId="77777777" w:rsidR="005675EB" w:rsidRPr="005675EB" w:rsidRDefault="005675EB" w:rsidP="005675EB">
      <w:pPr>
        <w:spacing w:after="120" w:line="240" w:lineRule="auto"/>
        <w:ind w:firstLine="720"/>
        <w:jc w:val="both"/>
        <w:rPr>
          <w:rFonts w:ascii="Times New Roman" w:hAnsi="Times New Roman" w:cs="Times New Roman"/>
          <w:sz w:val="24"/>
          <w:szCs w:val="24"/>
        </w:rPr>
      </w:pPr>
      <w:r w:rsidRPr="005675EB">
        <w:rPr>
          <w:rFonts w:ascii="Times New Roman" w:hAnsi="Times New Roman" w:cs="Times New Roman"/>
          <w:sz w:val="24"/>
          <w:szCs w:val="24"/>
        </w:rPr>
        <w:t xml:space="preserve">Ievērojot </w:t>
      </w:r>
      <w:r>
        <w:rPr>
          <w:rFonts w:ascii="Times New Roman" w:hAnsi="Times New Roman" w:cs="Times New Roman"/>
          <w:sz w:val="24"/>
          <w:szCs w:val="24"/>
        </w:rPr>
        <w:t>Jaunā Rīgas teātra</w:t>
      </w:r>
      <w:r w:rsidRPr="005675EB">
        <w:rPr>
          <w:rFonts w:ascii="Times New Roman" w:hAnsi="Times New Roman" w:cs="Times New Roman"/>
          <w:sz w:val="24"/>
          <w:szCs w:val="24"/>
        </w:rPr>
        <w:t xml:space="preserve"> būvniecības procesā esošo pārtraukumu, darbu izpilde iepriekš plānotajā apjomā nav realizējama. Ņemot vērā minēto, budžeta apguve ir pārplānota, pieņemot to, ka tiks izsludināts jauns iepirkums ar darbu izpildes termiņu līdz 2022.gada pirmajam ceturksnim un attiecīgi ir nepieciešami grozījumi Ministru kabineta 2018.gada 12.jūnija rīkojumā Nr.265 “Par finansējumu Jaunā Rīgas teātra ēku Lāčplēša ielā 25, Rīgā, pārbūves, nomas maksas, pārcelšanās un aprīkojuma iegādes izdevumu segšanai” un  Ministru kabineta 2018. gada 12. jūnija rīkojumā Nr. 267 “Par finansējumu Rīgas pils Konventa Pils laukumā 3, Rīgā, un Muzeju krātuvju kompleksa Pulka ielā 8, Rīgā, būvniecības projekta, nomas maksas, pārcelšanās un aprīkojuma iegādes izdevumu segšanai”,  lai precizētu finansējumu atbilstoši izmaiņām būvdarbu izpildes grafikā.</w:t>
      </w:r>
    </w:p>
    <w:p w14:paraId="38181B83" w14:textId="77777777" w:rsidR="009E0B58" w:rsidRPr="00815D06" w:rsidRDefault="009E0B58" w:rsidP="004A4D52">
      <w:pPr>
        <w:pStyle w:val="ListParagraph"/>
        <w:spacing w:after="120" w:line="240" w:lineRule="auto"/>
        <w:contextualSpacing w:val="0"/>
        <w:rPr>
          <w:rFonts w:ascii="Times New Roman" w:hAnsi="Times New Roman" w:cs="Times New Roman"/>
          <w:b/>
          <w:sz w:val="24"/>
          <w:szCs w:val="24"/>
        </w:rPr>
      </w:pPr>
    </w:p>
    <w:p w14:paraId="0FE43E25" w14:textId="0015657D" w:rsidR="006A11AB" w:rsidRPr="00192E7D" w:rsidRDefault="001F60CF" w:rsidP="008C1BCA">
      <w:pPr>
        <w:pStyle w:val="ListParagraph"/>
        <w:numPr>
          <w:ilvl w:val="1"/>
          <w:numId w:val="17"/>
        </w:numPr>
        <w:spacing w:after="120" w:line="240" w:lineRule="auto"/>
        <w:ind w:left="782" w:hanging="357"/>
        <w:contextualSpacing w:val="0"/>
        <w:jc w:val="both"/>
        <w:rPr>
          <w:rFonts w:ascii="Times New Roman" w:hAnsi="Times New Roman" w:cs="Times New Roman"/>
          <w:b/>
          <w:sz w:val="24"/>
          <w:szCs w:val="24"/>
        </w:rPr>
      </w:pPr>
      <w:r w:rsidRPr="001F60CF">
        <w:rPr>
          <w:rFonts w:ascii="Times New Roman" w:hAnsi="Times New Roman" w:cs="Times New Roman"/>
          <w:b/>
          <w:sz w:val="24"/>
          <w:szCs w:val="24"/>
        </w:rPr>
        <w:t>Azartspēļu nodokļa palielināšana</w:t>
      </w:r>
      <w:r w:rsidR="006422FD">
        <w:rPr>
          <w:rFonts w:ascii="Times New Roman" w:hAnsi="Times New Roman" w:cs="Times New Roman"/>
          <w:b/>
          <w:sz w:val="24"/>
          <w:szCs w:val="24"/>
        </w:rPr>
        <w:t xml:space="preserve"> un pārdale starp valsts un pašvaldību budžetiem</w:t>
      </w:r>
    </w:p>
    <w:p w14:paraId="4230C4D8" w14:textId="77777777" w:rsidR="00033993" w:rsidRPr="00033993" w:rsidRDefault="00033993" w:rsidP="004A4D52">
      <w:pPr>
        <w:spacing w:after="120" w:line="240" w:lineRule="auto"/>
        <w:ind w:firstLine="720"/>
        <w:jc w:val="both"/>
        <w:rPr>
          <w:rFonts w:ascii="Times New Roman" w:hAnsi="Times New Roman" w:cs="Times New Roman"/>
          <w:sz w:val="24"/>
          <w:szCs w:val="24"/>
          <w:shd w:val="clear" w:color="auto" w:fill="FFFFFF"/>
        </w:rPr>
      </w:pPr>
      <w:r w:rsidRPr="00033993">
        <w:rPr>
          <w:rFonts w:ascii="Times New Roman" w:hAnsi="Times New Roman" w:cs="Times New Roman"/>
          <w:sz w:val="24"/>
          <w:szCs w:val="24"/>
          <w:shd w:val="clear" w:color="auto" w:fill="FFFFFF"/>
        </w:rPr>
        <w:t xml:space="preserve">Likuma “Par izložu un azartspēļu nodevu un nodokli” 3.panta pirmajā daļā azartspēļu nodokļa likmes ir noteiktas </w:t>
      </w:r>
      <w:proofErr w:type="spellStart"/>
      <w:r w:rsidRPr="00033993">
        <w:rPr>
          <w:rFonts w:ascii="Times New Roman" w:hAnsi="Times New Roman" w:cs="Times New Roman"/>
          <w:sz w:val="24"/>
          <w:szCs w:val="24"/>
          <w:shd w:val="clear" w:color="auto" w:fill="FFFFFF"/>
        </w:rPr>
        <w:t>naudiskā</w:t>
      </w:r>
      <w:proofErr w:type="spellEnd"/>
      <w:r w:rsidRPr="00033993">
        <w:rPr>
          <w:rFonts w:ascii="Times New Roman" w:hAnsi="Times New Roman" w:cs="Times New Roman"/>
          <w:sz w:val="24"/>
          <w:szCs w:val="24"/>
          <w:shd w:val="clear" w:color="auto" w:fill="FFFFFF"/>
        </w:rPr>
        <w:t xml:space="preserve">, nevis procentuālā izteiksmē kā lielākajai daļai nodokļu, kuras neietekmē inflācija. Līdz ar to būtu lietderīgi pārskatīt </w:t>
      </w:r>
      <w:proofErr w:type="spellStart"/>
      <w:r w:rsidRPr="00033993">
        <w:rPr>
          <w:rFonts w:ascii="Times New Roman" w:hAnsi="Times New Roman" w:cs="Times New Roman"/>
          <w:sz w:val="24"/>
          <w:szCs w:val="24"/>
          <w:shd w:val="clear" w:color="auto" w:fill="FFFFFF"/>
        </w:rPr>
        <w:t>naudiskā</w:t>
      </w:r>
      <w:proofErr w:type="spellEnd"/>
      <w:r w:rsidRPr="00033993">
        <w:rPr>
          <w:rFonts w:ascii="Times New Roman" w:hAnsi="Times New Roman" w:cs="Times New Roman"/>
          <w:sz w:val="24"/>
          <w:szCs w:val="24"/>
          <w:shd w:val="clear" w:color="auto" w:fill="FFFFFF"/>
        </w:rPr>
        <w:t xml:space="preserve"> izteiksmē noteiktās azartspēļu nodokļa likmes ik pēc noteikta laika perioda. Kopš 2018.gada 1.janvāra azartspēļu nodokļa likmes nav mainījušās. </w:t>
      </w:r>
    </w:p>
    <w:p w14:paraId="63FC5D2C" w14:textId="77777777" w:rsidR="00033993" w:rsidRPr="00033993" w:rsidRDefault="00033993" w:rsidP="00033993">
      <w:pPr>
        <w:ind w:firstLine="720"/>
        <w:jc w:val="both"/>
        <w:rPr>
          <w:rFonts w:ascii="Times New Roman" w:hAnsi="Times New Roman" w:cs="Times New Roman"/>
          <w:sz w:val="24"/>
          <w:szCs w:val="24"/>
          <w:shd w:val="clear" w:color="auto" w:fill="FFFFFF"/>
        </w:rPr>
      </w:pPr>
      <w:r w:rsidRPr="00033993">
        <w:rPr>
          <w:rFonts w:ascii="Times New Roman" w:hAnsi="Times New Roman" w:cs="Times New Roman"/>
          <w:sz w:val="24"/>
          <w:szCs w:val="24"/>
          <w:shd w:val="clear" w:color="auto" w:fill="FFFFFF"/>
        </w:rPr>
        <w:t xml:space="preserve">Azartspēļu nozare ir saistīta ar īpaši augstu sociālo risku, tādēļ valstij ir nepieciešams veikt regulējošo funkciju, kas daļēji tiek īstenota ar izložu un azartspēļu nodevas un nodokļu palīdzību. Vienlaikus azartspēļu nodevām un nodokļiem ir fiskālā funkcija, kuras uzdevums ir vismaz daļēji nodrošināt ieņēmumus azartspēļu iespējamo negatīvo seku mazināšanai. </w:t>
      </w:r>
    </w:p>
    <w:p w14:paraId="0AAD36E9" w14:textId="77777777" w:rsidR="001A7259" w:rsidRPr="00B66F61" w:rsidRDefault="001A7259" w:rsidP="001A7259">
      <w:pPr>
        <w:spacing w:after="0"/>
        <w:ind w:firstLine="720"/>
        <w:jc w:val="both"/>
        <w:rPr>
          <w:rFonts w:ascii="Times New Roman" w:hAnsi="Times New Roman" w:cs="Times New Roman"/>
          <w:sz w:val="24"/>
          <w:szCs w:val="24"/>
          <w:shd w:val="clear" w:color="auto" w:fill="FFFFFF"/>
        </w:rPr>
      </w:pPr>
      <w:r w:rsidRPr="00B66F61">
        <w:rPr>
          <w:rFonts w:ascii="Times New Roman" w:hAnsi="Times New Roman" w:cs="Times New Roman"/>
          <w:sz w:val="24"/>
          <w:szCs w:val="24"/>
          <w:shd w:val="clear" w:color="auto" w:fill="FFFFFF"/>
        </w:rPr>
        <w:t xml:space="preserve">Lai novirzītu nodokļu slogu no darbaspēka uz patēriņu un kapitālu, sabalansētu nodokļa likmes ar inflācijas un vidējo algu pieaugumu valstī un azartspēļu finansiālās darbības apgrozījuma pieaugumu, kā arī palielinātu ieņēmumus valsts budžetā un nodrošinātu valsts izdevumu pozīciju segšanu, valdību veidojošo partiju pārstāvji piedāvā, sākot ar 2020.gadu: </w:t>
      </w:r>
    </w:p>
    <w:p w14:paraId="3220500D" w14:textId="77777777" w:rsidR="001A7259" w:rsidRPr="00B66F61" w:rsidRDefault="001A7259" w:rsidP="001A7259">
      <w:pPr>
        <w:spacing w:after="0" w:line="240" w:lineRule="auto"/>
        <w:ind w:firstLine="720"/>
        <w:jc w:val="both"/>
        <w:rPr>
          <w:rFonts w:ascii="Times New Roman" w:hAnsi="Times New Roman" w:cs="Times New Roman"/>
          <w:sz w:val="24"/>
          <w:szCs w:val="24"/>
          <w:shd w:val="clear" w:color="auto" w:fill="FFFFFF"/>
        </w:rPr>
      </w:pPr>
      <w:r w:rsidRPr="00B66F61">
        <w:rPr>
          <w:rFonts w:ascii="Times New Roman" w:hAnsi="Times New Roman" w:cs="Times New Roman"/>
          <w:sz w:val="24"/>
          <w:szCs w:val="24"/>
          <w:shd w:val="clear" w:color="auto" w:fill="FFFFFF"/>
        </w:rPr>
        <w:t xml:space="preserve">- paaugstināt azartspēļu nodokļa likmi videospēles un mehāniskiem automātiem </w:t>
      </w:r>
      <w:r w:rsidRPr="00B66F61">
        <w:rPr>
          <w:rFonts w:ascii="Times New Roman" w:hAnsi="Times New Roman" w:cs="Times New Roman"/>
          <w:sz w:val="24"/>
          <w:szCs w:val="24"/>
        </w:rPr>
        <w:t>–</w:t>
      </w:r>
      <w:r w:rsidRPr="00B66F61">
        <w:rPr>
          <w:rFonts w:ascii="Times New Roman" w:hAnsi="Times New Roman" w:cs="Times New Roman"/>
          <w:sz w:val="24"/>
          <w:szCs w:val="24"/>
          <w:shd w:val="clear" w:color="auto" w:fill="FFFFFF"/>
        </w:rPr>
        <w:t xml:space="preserve"> par katra automāta katru spēles vietu līdz 6000 </w:t>
      </w:r>
      <w:proofErr w:type="spellStart"/>
      <w:r w:rsidRPr="00B66F61">
        <w:rPr>
          <w:rFonts w:ascii="Times New Roman" w:hAnsi="Times New Roman" w:cs="Times New Roman"/>
          <w:i/>
          <w:sz w:val="24"/>
          <w:szCs w:val="24"/>
          <w:shd w:val="clear" w:color="auto" w:fill="FFFFFF"/>
        </w:rPr>
        <w:t>euro</w:t>
      </w:r>
      <w:proofErr w:type="spellEnd"/>
      <w:r w:rsidRPr="00B66F61">
        <w:rPr>
          <w:rFonts w:ascii="Times New Roman" w:hAnsi="Times New Roman" w:cs="Times New Roman"/>
          <w:sz w:val="24"/>
          <w:szCs w:val="24"/>
          <w:shd w:val="clear" w:color="auto" w:fill="FFFFFF"/>
        </w:rPr>
        <w:t xml:space="preserve"> par kalendāro gadu (līdz 500 </w:t>
      </w:r>
      <w:proofErr w:type="spellStart"/>
      <w:r w:rsidRPr="00B66F61">
        <w:rPr>
          <w:rFonts w:ascii="Times New Roman" w:hAnsi="Times New Roman" w:cs="Times New Roman"/>
          <w:i/>
          <w:sz w:val="24"/>
          <w:szCs w:val="24"/>
          <w:shd w:val="clear" w:color="auto" w:fill="FFFFFF"/>
        </w:rPr>
        <w:t>euro</w:t>
      </w:r>
      <w:proofErr w:type="spellEnd"/>
      <w:r w:rsidRPr="00B66F61">
        <w:rPr>
          <w:rFonts w:ascii="Times New Roman" w:hAnsi="Times New Roman" w:cs="Times New Roman"/>
          <w:i/>
          <w:sz w:val="24"/>
          <w:szCs w:val="24"/>
          <w:shd w:val="clear" w:color="auto" w:fill="FFFFFF"/>
        </w:rPr>
        <w:t xml:space="preserve"> </w:t>
      </w:r>
      <w:r w:rsidRPr="00B66F61">
        <w:rPr>
          <w:rFonts w:ascii="Times New Roman" w:hAnsi="Times New Roman" w:cs="Times New Roman"/>
          <w:sz w:val="24"/>
          <w:szCs w:val="24"/>
          <w:shd w:val="clear" w:color="auto" w:fill="FFFFFF"/>
        </w:rPr>
        <w:t>mēnesī);</w:t>
      </w:r>
    </w:p>
    <w:p w14:paraId="1CABE089" w14:textId="77777777" w:rsidR="001A7259" w:rsidRPr="00B66F61" w:rsidRDefault="001A7259" w:rsidP="001A7259">
      <w:pPr>
        <w:spacing w:line="240" w:lineRule="auto"/>
        <w:ind w:firstLine="720"/>
        <w:jc w:val="both"/>
        <w:rPr>
          <w:rFonts w:ascii="Times New Roman" w:hAnsi="Times New Roman" w:cs="Times New Roman"/>
          <w:sz w:val="24"/>
          <w:szCs w:val="24"/>
          <w:shd w:val="clear" w:color="auto" w:fill="FFFFFF"/>
        </w:rPr>
      </w:pPr>
      <w:r w:rsidRPr="00B66F61">
        <w:rPr>
          <w:rFonts w:ascii="Times New Roman" w:hAnsi="Times New Roman" w:cs="Times New Roman"/>
          <w:sz w:val="24"/>
          <w:szCs w:val="24"/>
          <w:shd w:val="clear" w:color="auto" w:fill="FFFFFF"/>
        </w:rPr>
        <w:t xml:space="preserve">- </w:t>
      </w:r>
      <w:r w:rsidRPr="00B66F61">
        <w:rPr>
          <w:rFonts w:ascii="Times New Roman" w:eastAsia="Times New Roman" w:hAnsi="Times New Roman" w:cs="Times New Roman"/>
          <w:sz w:val="24"/>
          <w:szCs w:val="24"/>
          <w:shd w:val="clear" w:color="auto" w:fill="FFFFFF"/>
          <w:lang w:eastAsia="lv-LV"/>
        </w:rPr>
        <w:t>mainīt azartspēļu nodokļa ieņēmumu sadalījumu pa valsts un pašvaldību budžetiem, paredzot</w:t>
      </w:r>
      <w:r w:rsidRPr="00B66F61">
        <w:rPr>
          <w:rFonts w:ascii="Times New Roman" w:hAnsi="Times New Roman" w:cs="Times New Roman"/>
          <w:sz w:val="24"/>
          <w:szCs w:val="24"/>
        </w:rPr>
        <w:t xml:space="preserve"> </w:t>
      </w:r>
      <w:r w:rsidRPr="00B66F61">
        <w:rPr>
          <w:rFonts w:ascii="Times New Roman" w:eastAsia="Times New Roman" w:hAnsi="Times New Roman" w:cs="Times New Roman"/>
          <w:sz w:val="24"/>
          <w:szCs w:val="24"/>
          <w:shd w:val="clear" w:color="auto" w:fill="FFFFFF"/>
          <w:lang w:eastAsia="lv-LV"/>
        </w:rPr>
        <w:t>azartspēļu</w:t>
      </w:r>
      <w:r w:rsidRPr="00B66F61">
        <w:rPr>
          <w:rFonts w:ascii="Times New Roman" w:hAnsi="Times New Roman" w:cs="Times New Roman"/>
          <w:sz w:val="24"/>
          <w:szCs w:val="24"/>
        </w:rPr>
        <w:t xml:space="preserve"> nodokļa ieņēmumus (izņemot azartspēļu nodokļa ieņēmumus par likuma </w:t>
      </w:r>
      <w:r w:rsidRPr="00B66F61">
        <w:rPr>
          <w:rFonts w:ascii="Times New Roman" w:hAnsi="Times New Roman" w:cs="Times New Roman"/>
          <w:sz w:val="24"/>
          <w:szCs w:val="24"/>
          <w:shd w:val="clear" w:color="auto" w:fill="FFFFFF"/>
        </w:rPr>
        <w:t xml:space="preserve">“Par izložu un azartspēļu nodevu un nodokli” </w:t>
      </w:r>
      <w:r w:rsidRPr="00B66F61">
        <w:rPr>
          <w:rFonts w:ascii="Times New Roman" w:hAnsi="Times New Roman" w:cs="Times New Roman"/>
          <w:sz w:val="24"/>
          <w:szCs w:val="24"/>
        </w:rPr>
        <w:t>3.panta piektajā daļā minēto objektu) - 78 procentu apmērā  ieskaitīt valsts pamatbudžetā, bet 22 procentu apmērā ieskaitīt tās pašvaldības budžetā, kuras teritorijā tika organizēta azartspēle.</w:t>
      </w:r>
    </w:p>
    <w:p w14:paraId="08D1AB22" w14:textId="77777777" w:rsidR="001A7259" w:rsidRPr="00B66F61" w:rsidRDefault="001A7259" w:rsidP="001A7259">
      <w:pPr>
        <w:spacing w:after="120" w:line="240" w:lineRule="auto"/>
        <w:ind w:left="720"/>
        <w:jc w:val="both"/>
        <w:rPr>
          <w:rFonts w:ascii="Times New Roman" w:hAnsi="Times New Roman" w:cs="Times New Roman"/>
          <w:b/>
          <w:sz w:val="24"/>
          <w:szCs w:val="24"/>
          <w:shd w:val="clear" w:color="auto" w:fill="FFFFFF"/>
        </w:rPr>
      </w:pPr>
      <w:r w:rsidRPr="00B66F61">
        <w:rPr>
          <w:rFonts w:ascii="Times New Roman" w:hAnsi="Times New Roman" w:cs="Times New Roman"/>
          <w:b/>
          <w:sz w:val="24"/>
          <w:szCs w:val="24"/>
        </w:rPr>
        <w:t>Azartspēļu nozares rādītāji *</w:t>
      </w:r>
    </w:p>
    <w:tbl>
      <w:tblPr>
        <w:tblStyle w:val="TableGrid611"/>
        <w:tblW w:w="9210" w:type="dxa"/>
        <w:tblLook w:val="04A0" w:firstRow="1" w:lastRow="0" w:firstColumn="1" w:lastColumn="0" w:noHBand="0" w:noVBand="1"/>
      </w:tblPr>
      <w:tblGrid>
        <w:gridCol w:w="3269"/>
        <w:gridCol w:w="1537"/>
        <w:gridCol w:w="1383"/>
        <w:gridCol w:w="1509"/>
        <w:gridCol w:w="1512"/>
      </w:tblGrid>
      <w:tr w:rsidR="001A7259" w:rsidRPr="00B66F61" w14:paraId="5004B216" w14:textId="77777777" w:rsidTr="00C23191">
        <w:trPr>
          <w:trHeight w:val="583"/>
        </w:trPr>
        <w:tc>
          <w:tcPr>
            <w:tcW w:w="3269" w:type="dxa"/>
            <w:tcBorders>
              <w:top w:val="double" w:sz="4" w:space="0" w:color="auto"/>
              <w:left w:val="nil"/>
              <w:bottom w:val="double" w:sz="4" w:space="0" w:color="auto"/>
              <w:right w:val="dotted" w:sz="4" w:space="0" w:color="auto"/>
            </w:tcBorders>
            <w:vAlign w:val="center"/>
            <w:hideMark/>
          </w:tcPr>
          <w:p w14:paraId="6E9EF624" w14:textId="77777777" w:rsidR="001A7259" w:rsidRPr="00B66F61" w:rsidRDefault="001A7259" w:rsidP="00C23191">
            <w:pPr>
              <w:spacing w:line="259" w:lineRule="auto"/>
              <w:rPr>
                <w:rFonts w:ascii="Times New Roman" w:hAnsi="Times New Roman" w:cs="Times New Roman"/>
              </w:rPr>
            </w:pPr>
            <w:r w:rsidRPr="00B66F61">
              <w:rPr>
                <w:rFonts w:ascii="Times New Roman" w:hAnsi="Times New Roman" w:cs="Times New Roman"/>
              </w:rPr>
              <w:t>Azartspēļu nozares rādītāji</w:t>
            </w:r>
          </w:p>
        </w:tc>
        <w:tc>
          <w:tcPr>
            <w:tcW w:w="1537" w:type="dxa"/>
            <w:tcBorders>
              <w:top w:val="double" w:sz="4" w:space="0" w:color="auto"/>
              <w:left w:val="dotted" w:sz="4" w:space="0" w:color="auto"/>
              <w:bottom w:val="double" w:sz="4" w:space="0" w:color="auto"/>
              <w:right w:val="dotted" w:sz="4" w:space="0" w:color="auto"/>
            </w:tcBorders>
            <w:hideMark/>
          </w:tcPr>
          <w:p w14:paraId="6355A528" w14:textId="77777777" w:rsidR="001A7259" w:rsidRPr="00B66F61" w:rsidRDefault="001A7259" w:rsidP="00C23191">
            <w:pPr>
              <w:spacing w:line="259" w:lineRule="auto"/>
              <w:jc w:val="center"/>
              <w:rPr>
                <w:rFonts w:ascii="Times New Roman" w:hAnsi="Times New Roman" w:cs="Times New Roman"/>
              </w:rPr>
            </w:pPr>
          </w:p>
          <w:p w14:paraId="67ADE6E4"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 xml:space="preserve">2017.gada </w:t>
            </w:r>
          </w:p>
          <w:p w14:paraId="157FA03B"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1.pusgads</w:t>
            </w:r>
          </w:p>
        </w:tc>
        <w:tc>
          <w:tcPr>
            <w:tcW w:w="1383" w:type="dxa"/>
            <w:tcBorders>
              <w:top w:val="double" w:sz="4" w:space="0" w:color="auto"/>
              <w:left w:val="dotted" w:sz="4" w:space="0" w:color="auto"/>
              <w:bottom w:val="double" w:sz="4" w:space="0" w:color="auto"/>
              <w:right w:val="dotted" w:sz="4" w:space="0" w:color="auto"/>
            </w:tcBorders>
            <w:hideMark/>
          </w:tcPr>
          <w:p w14:paraId="5C32C462" w14:textId="77777777" w:rsidR="001A7259" w:rsidRPr="00B66F61" w:rsidRDefault="001A7259" w:rsidP="00C23191">
            <w:pPr>
              <w:spacing w:line="259" w:lineRule="auto"/>
              <w:jc w:val="center"/>
              <w:rPr>
                <w:rFonts w:ascii="Times New Roman" w:hAnsi="Times New Roman" w:cs="Times New Roman"/>
              </w:rPr>
            </w:pPr>
          </w:p>
          <w:p w14:paraId="22A4D259"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2018.gada</w:t>
            </w:r>
          </w:p>
          <w:p w14:paraId="282665A4"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1.pusgads</w:t>
            </w:r>
          </w:p>
        </w:tc>
        <w:tc>
          <w:tcPr>
            <w:tcW w:w="1509" w:type="dxa"/>
            <w:tcBorders>
              <w:top w:val="double" w:sz="4" w:space="0" w:color="auto"/>
              <w:left w:val="dotted" w:sz="4" w:space="0" w:color="auto"/>
              <w:bottom w:val="double" w:sz="4" w:space="0" w:color="auto"/>
              <w:right w:val="nil"/>
            </w:tcBorders>
            <w:hideMark/>
          </w:tcPr>
          <w:p w14:paraId="64161F17" w14:textId="77777777" w:rsidR="001A7259" w:rsidRPr="00B66F61" w:rsidRDefault="001A7259" w:rsidP="00C23191">
            <w:pPr>
              <w:spacing w:line="259" w:lineRule="auto"/>
              <w:jc w:val="center"/>
              <w:rPr>
                <w:rFonts w:ascii="Times New Roman" w:hAnsi="Times New Roman" w:cs="Times New Roman"/>
              </w:rPr>
            </w:pPr>
          </w:p>
          <w:p w14:paraId="3FB39F61"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2019.gada</w:t>
            </w:r>
          </w:p>
          <w:p w14:paraId="68F626E6"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1.pusgads</w:t>
            </w:r>
          </w:p>
        </w:tc>
        <w:tc>
          <w:tcPr>
            <w:tcW w:w="1512" w:type="dxa"/>
            <w:tcBorders>
              <w:top w:val="double" w:sz="4" w:space="0" w:color="auto"/>
              <w:left w:val="dotted" w:sz="4" w:space="0" w:color="auto"/>
              <w:bottom w:val="double" w:sz="4" w:space="0" w:color="auto"/>
              <w:right w:val="nil"/>
            </w:tcBorders>
          </w:tcPr>
          <w:p w14:paraId="463F3D84"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2017.gada 1.pusgads/</w:t>
            </w:r>
          </w:p>
          <w:p w14:paraId="0327C361"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2019.gada 1.pusgads</w:t>
            </w:r>
          </w:p>
          <w:p w14:paraId="277F0C39"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w:t>
            </w:r>
          </w:p>
        </w:tc>
      </w:tr>
      <w:tr w:rsidR="001A7259" w:rsidRPr="00B66F61" w14:paraId="5601C82A" w14:textId="77777777" w:rsidTr="00C23191">
        <w:trPr>
          <w:trHeight w:val="539"/>
        </w:trPr>
        <w:tc>
          <w:tcPr>
            <w:tcW w:w="3269" w:type="dxa"/>
            <w:tcBorders>
              <w:top w:val="single" w:sz="4" w:space="0" w:color="auto"/>
              <w:left w:val="nil"/>
              <w:bottom w:val="single" w:sz="4" w:space="0" w:color="auto"/>
              <w:right w:val="dotted" w:sz="4" w:space="0" w:color="auto"/>
            </w:tcBorders>
          </w:tcPr>
          <w:p w14:paraId="5F30DC7E" w14:textId="77777777" w:rsidR="001A7259" w:rsidRPr="00B66F61" w:rsidRDefault="001A7259" w:rsidP="00C23191">
            <w:pPr>
              <w:spacing w:line="259" w:lineRule="auto"/>
              <w:jc w:val="both"/>
              <w:rPr>
                <w:rFonts w:ascii="Times New Roman" w:hAnsi="Times New Roman" w:cs="Times New Roman"/>
              </w:rPr>
            </w:pPr>
            <w:r w:rsidRPr="00B66F61">
              <w:rPr>
                <w:rFonts w:ascii="Times New Roman" w:hAnsi="Times New Roman" w:cs="Times New Roman"/>
              </w:rPr>
              <w:t>Kopējie ieņēmumi no azartspēlēm (milj.</w:t>
            </w:r>
            <w:r w:rsidRPr="00B66F61">
              <w:rPr>
                <w:rFonts w:ascii="Times New Roman" w:hAnsi="Times New Roman" w:cs="Times New Roman"/>
                <w:i/>
              </w:rPr>
              <w:t xml:space="preserve"> </w:t>
            </w:r>
            <w:proofErr w:type="spellStart"/>
            <w:r w:rsidRPr="00B66F61">
              <w:rPr>
                <w:rFonts w:ascii="Times New Roman" w:hAnsi="Times New Roman" w:cs="Times New Roman"/>
                <w:i/>
              </w:rPr>
              <w:t>euro</w:t>
            </w:r>
            <w:proofErr w:type="spellEnd"/>
            <w:r w:rsidRPr="00B66F61">
              <w:rPr>
                <w:rFonts w:ascii="Times New Roman" w:hAnsi="Times New Roman" w:cs="Times New Roman"/>
              </w:rPr>
              <w:t>)</w:t>
            </w:r>
          </w:p>
        </w:tc>
        <w:tc>
          <w:tcPr>
            <w:tcW w:w="1537" w:type="dxa"/>
            <w:tcBorders>
              <w:top w:val="single" w:sz="4" w:space="0" w:color="auto"/>
              <w:left w:val="dotted" w:sz="4" w:space="0" w:color="auto"/>
              <w:bottom w:val="single" w:sz="4" w:space="0" w:color="auto"/>
              <w:right w:val="dotted" w:sz="4" w:space="0" w:color="auto"/>
            </w:tcBorders>
            <w:vAlign w:val="center"/>
          </w:tcPr>
          <w:p w14:paraId="7087BA31"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113,334</w:t>
            </w:r>
          </w:p>
        </w:tc>
        <w:tc>
          <w:tcPr>
            <w:tcW w:w="1383" w:type="dxa"/>
            <w:tcBorders>
              <w:top w:val="single" w:sz="4" w:space="0" w:color="auto"/>
              <w:left w:val="dotted" w:sz="4" w:space="0" w:color="auto"/>
              <w:bottom w:val="single" w:sz="4" w:space="0" w:color="auto"/>
              <w:right w:val="dotted" w:sz="4" w:space="0" w:color="auto"/>
            </w:tcBorders>
            <w:vAlign w:val="center"/>
          </w:tcPr>
          <w:p w14:paraId="21FEE3A3"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127,228</w:t>
            </w:r>
          </w:p>
        </w:tc>
        <w:tc>
          <w:tcPr>
            <w:tcW w:w="1509" w:type="dxa"/>
            <w:tcBorders>
              <w:top w:val="single" w:sz="4" w:space="0" w:color="auto"/>
              <w:left w:val="dotted" w:sz="4" w:space="0" w:color="auto"/>
              <w:bottom w:val="single" w:sz="4" w:space="0" w:color="auto"/>
              <w:right w:val="nil"/>
            </w:tcBorders>
            <w:vAlign w:val="center"/>
          </w:tcPr>
          <w:p w14:paraId="4A6FA52D"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146,615</w:t>
            </w:r>
          </w:p>
        </w:tc>
        <w:tc>
          <w:tcPr>
            <w:tcW w:w="1512" w:type="dxa"/>
            <w:tcBorders>
              <w:top w:val="single" w:sz="4" w:space="0" w:color="auto"/>
              <w:left w:val="dotted" w:sz="4" w:space="0" w:color="auto"/>
              <w:bottom w:val="single" w:sz="4" w:space="0" w:color="auto"/>
              <w:right w:val="nil"/>
            </w:tcBorders>
            <w:vAlign w:val="center"/>
          </w:tcPr>
          <w:p w14:paraId="38209BB2" w14:textId="77777777" w:rsidR="001A7259" w:rsidRPr="00B66F61" w:rsidRDefault="001A7259" w:rsidP="00C23191">
            <w:pPr>
              <w:spacing w:line="259" w:lineRule="auto"/>
              <w:rPr>
                <w:rFonts w:ascii="Times New Roman" w:hAnsi="Times New Roman" w:cs="Times New Roman"/>
              </w:rPr>
            </w:pPr>
            <w:r w:rsidRPr="00B66F61">
              <w:rPr>
                <w:rFonts w:ascii="Times New Roman" w:hAnsi="Times New Roman" w:cs="Times New Roman"/>
              </w:rPr>
              <w:t xml:space="preserve">  129,4</w:t>
            </w:r>
          </w:p>
        </w:tc>
      </w:tr>
      <w:tr w:rsidR="001A7259" w:rsidRPr="00B66F61" w14:paraId="3311165A" w14:textId="77777777" w:rsidTr="00C23191">
        <w:trPr>
          <w:trHeight w:val="539"/>
        </w:trPr>
        <w:tc>
          <w:tcPr>
            <w:tcW w:w="3269" w:type="dxa"/>
            <w:tcBorders>
              <w:top w:val="single" w:sz="4" w:space="0" w:color="auto"/>
              <w:left w:val="nil"/>
              <w:bottom w:val="single" w:sz="4" w:space="0" w:color="auto"/>
              <w:right w:val="dotted" w:sz="4" w:space="0" w:color="auto"/>
            </w:tcBorders>
            <w:hideMark/>
          </w:tcPr>
          <w:p w14:paraId="1D68DE8F" w14:textId="77777777" w:rsidR="001A7259" w:rsidRPr="00B66F61" w:rsidRDefault="001A7259" w:rsidP="00C23191">
            <w:pPr>
              <w:spacing w:line="259" w:lineRule="auto"/>
              <w:jc w:val="both"/>
              <w:rPr>
                <w:rFonts w:ascii="Times New Roman" w:hAnsi="Times New Roman" w:cs="Times New Roman"/>
              </w:rPr>
            </w:pPr>
            <w:r w:rsidRPr="00B66F61">
              <w:rPr>
                <w:rFonts w:ascii="Times New Roman" w:hAnsi="Times New Roman" w:cs="Times New Roman"/>
              </w:rPr>
              <w:t>Ieņēmumi no azartspēļu automātiem (milj.</w:t>
            </w:r>
            <w:r w:rsidRPr="00B66F61">
              <w:rPr>
                <w:rFonts w:ascii="Times New Roman" w:hAnsi="Times New Roman" w:cs="Times New Roman"/>
                <w:i/>
              </w:rPr>
              <w:t xml:space="preserve"> </w:t>
            </w:r>
            <w:proofErr w:type="spellStart"/>
            <w:r w:rsidRPr="00B66F61">
              <w:rPr>
                <w:rFonts w:ascii="Times New Roman" w:hAnsi="Times New Roman" w:cs="Times New Roman"/>
                <w:i/>
              </w:rPr>
              <w:t>euro</w:t>
            </w:r>
            <w:proofErr w:type="spellEnd"/>
            <w:r w:rsidRPr="00B66F61">
              <w:rPr>
                <w:rFonts w:ascii="Times New Roman" w:hAnsi="Times New Roman" w:cs="Times New Roman"/>
              </w:rPr>
              <w:t>)</w:t>
            </w:r>
          </w:p>
        </w:tc>
        <w:tc>
          <w:tcPr>
            <w:tcW w:w="1537" w:type="dxa"/>
            <w:tcBorders>
              <w:top w:val="single" w:sz="4" w:space="0" w:color="auto"/>
              <w:left w:val="dotted" w:sz="4" w:space="0" w:color="auto"/>
              <w:bottom w:val="single" w:sz="4" w:space="0" w:color="auto"/>
              <w:right w:val="dotted" w:sz="4" w:space="0" w:color="auto"/>
            </w:tcBorders>
            <w:vAlign w:val="center"/>
          </w:tcPr>
          <w:p w14:paraId="5B2ECB9F"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 xml:space="preserve">   91,991</w:t>
            </w:r>
          </w:p>
        </w:tc>
        <w:tc>
          <w:tcPr>
            <w:tcW w:w="1383" w:type="dxa"/>
            <w:tcBorders>
              <w:top w:val="single" w:sz="4" w:space="0" w:color="auto"/>
              <w:left w:val="dotted" w:sz="4" w:space="0" w:color="auto"/>
              <w:bottom w:val="single" w:sz="4" w:space="0" w:color="auto"/>
              <w:right w:val="dotted" w:sz="4" w:space="0" w:color="auto"/>
            </w:tcBorders>
            <w:vAlign w:val="center"/>
          </w:tcPr>
          <w:p w14:paraId="2D466B07"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 xml:space="preserve">  99,917</w:t>
            </w:r>
          </w:p>
        </w:tc>
        <w:tc>
          <w:tcPr>
            <w:tcW w:w="1509" w:type="dxa"/>
            <w:tcBorders>
              <w:top w:val="single" w:sz="4" w:space="0" w:color="auto"/>
              <w:left w:val="dotted" w:sz="4" w:space="0" w:color="auto"/>
              <w:bottom w:val="single" w:sz="4" w:space="0" w:color="auto"/>
              <w:right w:val="nil"/>
            </w:tcBorders>
            <w:vAlign w:val="center"/>
          </w:tcPr>
          <w:p w14:paraId="0184C456"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111,462</w:t>
            </w:r>
          </w:p>
        </w:tc>
        <w:tc>
          <w:tcPr>
            <w:tcW w:w="1512" w:type="dxa"/>
            <w:tcBorders>
              <w:top w:val="single" w:sz="4" w:space="0" w:color="auto"/>
              <w:left w:val="dotted" w:sz="4" w:space="0" w:color="auto"/>
              <w:bottom w:val="single" w:sz="4" w:space="0" w:color="auto"/>
              <w:right w:val="nil"/>
            </w:tcBorders>
            <w:vAlign w:val="center"/>
          </w:tcPr>
          <w:p w14:paraId="5D6CD415" w14:textId="77777777" w:rsidR="001A7259" w:rsidRPr="00B66F61" w:rsidRDefault="001A7259" w:rsidP="00C23191">
            <w:pPr>
              <w:spacing w:line="259" w:lineRule="auto"/>
              <w:rPr>
                <w:rFonts w:ascii="Times New Roman" w:hAnsi="Times New Roman" w:cs="Times New Roman"/>
              </w:rPr>
            </w:pPr>
            <w:r w:rsidRPr="00B66F61">
              <w:rPr>
                <w:rFonts w:ascii="Times New Roman" w:hAnsi="Times New Roman" w:cs="Times New Roman"/>
              </w:rPr>
              <w:t xml:space="preserve">   121,2</w:t>
            </w:r>
          </w:p>
        </w:tc>
      </w:tr>
      <w:tr w:rsidR="001A7259" w:rsidRPr="00B66F61" w14:paraId="44776C77" w14:textId="77777777" w:rsidTr="00C23191">
        <w:trPr>
          <w:trHeight w:val="283"/>
        </w:trPr>
        <w:tc>
          <w:tcPr>
            <w:tcW w:w="3269" w:type="dxa"/>
            <w:tcBorders>
              <w:top w:val="double" w:sz="4" w:space="0" w:color="auto"/>
              <w:left w:val="nil"/>
              <w:bottom w:val="double" w:sz="4" w:space="0" w:color="auto"/>
              <w:right w:val="dotted" w:sz="4" w:space="0" w:color="auto"/>
            </w:tcBorders>
          </w:tcPr>
          <w:p w14:paraId="31934F24" w14:textId="77777777" w:rsidR="001A7259" w:rsidRPr="00B66F61" w:rsidRDefault="001A7259" w:rsidP="00C23191">
            <w:pPr>
              <w:spacing w:line="259" w:lineRule="auto"/>
              <w:ind w:hanging="6"/>
              <w:contextualSpacing/>
              <w:jc w:val="both"/>
              <w:rPr>
                <w:rFonts w:ascii="Times New Roman" w:hAnsi="Times New Roman" w:cs="Times New Roman"/>
              </w:rPr>
            </w:pPr>
            <w:r w:rsidRPr="00B66F61">
              <w:rPr>
                <w:rFonts w:ascii="Times New Roman" w:hAnsi="Times New Roman" w:cs="Times New Roman"/>
              </w:rPr>
              <w:t>Azartspēļu automāti (skaits uz perioda beigām)</w:t>
            </w:r>
          </w:p>
        </w:tc>
        <w:tc>
          <w:tcPr>
            <w:tcW w:w="1537" w:type="dxa"/>
            <w:tcBorders>
              <w:top w:val="double" w:sz="4" w:space="0" w:color="auto"/>
              <w:left w:val="dotted" w:sz="4" w:space="0" w:color="auto"/>
              <w:bottom w:val="double" w:sz="4" w:space="0" w:color="auto"/>
              <w:right w:val="dotted" w:sz="4" w:space="0" w:color="auto"/>
            </w:tcBorders>
            <w:vAlign w:val="center"/>
          </w:tcPr>
          <w:p w14:paraId="7B4FE6C0"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8941</w:t>
            </w:r>
          </w:p>
        </w:tc>
        <w:tc>
          <w:tcPr>
            <w:tcW w:w="1383" w:type="dxa"/>
            <w:tcBorders>
              <w:top w:val="double" w:sz="4" w:space="0" w:color="auto"/>
              <w:left w:val="dotted" w:sz="4" w:space="0" w:color="auto"/>
              <w:bottom w:val="double" w:sz="4" w:space="0" w:color="auto"/>
              <w:right w:val="dotted" w:sz="4" w:space="0" w:color="auto"/>
            </w:tcBorders>
            <w:vAlign w:val="center"/>
          </w:tcPr>
          <w:p w14:paraId="43544950"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8629</w:t>
            </w:r>
          </w:p>
        </w:tc>
        <w:tc>
          <w:tcPr>
            <w:tcW w:w="1509" w:type="dxa"/>
            <w:tcBorders>
              <w:top w:val="double" w:sz="4" w:space="0" w:color="auto"/>
              <w:left w:val="dotted" w:sz="4" w:space="0" w:color="auto"/>
              <w:bottom w:val="double" w:sz="4" w:space="0" w:color="auto"/>
              <w:right w:val="nil"/>
            </w:tcBorders>
            <w:vAlign w:val="center"/>
          </w:tcPr>
          <w:p w14:paraId="138D5BC1" w14:textId="77777777" w:rsidR="001A7259" w:rsidRPr="00B66F61" w:rsidRDefault="001A7259" w:rsidP="00C23191">
            <w:pPr>
              <w:spacing w:line="259" w:lineRule="auto"/>
              <w:jc w:val="center"/>
              <w:rPr>
                <w:rFonts w:ascii="Times New Roman" w:hAnsi="Times New Roman" w:cs="Times New Roman"/>
              </w:rPr>
            </w:pPr>
            <w:r w:rsidRPr="00B66F61">
              <w:rPr>
                <w:rFonts w:ascii="Times New Roman" w:hAnsi="Times New Roman" w:cs="Times New Roman"/>
              </w:rPr>
              <w:t>8643</w:t>
            </w:r>
          </w:p>
        </w:tc>
        <w:tc>
          <w:tcPr>
            <w:tcW w:w="1512" w:type="dxa"/>
            <w:tcBorders>
              <w:top w:val="double" w:sz="4" w:space="0" w:color="auto"/>
              <w:left w:val="dotted" w:sz="4" w:space="0" w:color="auto"/>
              <w:bottom w:val="double" w:sz="4" w:space="0" w:color="auto"/>
              <w:right w:val="nil"/>
            </w:tcBorders>
            <w:vAlign w:val="center"/>
          </w:tcPr>
          <w:p w14:paraId="3105BEDA" w14:textId="77777777" w:rsidR="001A7259" w:rsidRPr="00B66F61" w:rsidRDefault="001A7259" w:rsidP="00C23191">
            <w:pPr>
              <w:spacing w:line="259" w:lineRule="auto"/>
              <w:rPr>
                <w:rFonts w:ascii="Times New Roman" w:hAnsi="Times New Roman" w:cs="Times New Roman"/>
              </w:rPr>
            </w:pPr>
            <w:r w:rsidRPr="00B66F61">
              <w:rPr>
                <w:rFonts w:ascii="Times New Roman" w:hAnsi="Times New Roman" w:cs="Times New Roman"/>
              </w:rPr>
              <w:t xml:space="preserve">     96,7</w:t>
            </w:r>
          </w:p>
        </w:tc>
      </w:tr>
    </w:tbl>
    <w:p w14:paraId="3488DEB5" w14:textId="77777777" w:rsidR="001A7259" w:rsidRPr="00B66F61" w:rsidRDefault="001A7259" w:rsidP="001A7259">
      <w:pPr>
        <w:spacing w:after="120" w:line="240" w:lineRule="auto"/>
        <w:ind w:left="720"/>
        <w:jc w:val="both"/>
        <w:rPr>
          <w:rFonts w:ascii="Times New Roman" w:hAnsi="Times New Roman" w:cs="Times New Roman"/>
          <w:color w:val="212121"/>
          <w:sz w:val="24"/>
          <w:szCs w:val="24"/>
        </w:rPr>
      </w:pPr>
      <w:r w:rsidRPr="00B66F61">
        <w:rPr>
          <w:rFonts w:ascii="Times New Roman" w:hAnsi="Times New Roman" w:cs="Times New Roman"/>
          <w:color w:val="212121"/>
          <w:sz w:val="24"/>
          <w:szCs w:val="24"/>
        </w:rPr>
        <w:t xml:space="preserve">* </w:t>
      </w:r>
      <w:r w:rsidRPr="00B66F61">
        <w:rPr>
          <w:rFonts w:ascii="Times New Roman" w:hAnsi="Times New Roman" w:cs="Times New Roman"/>
          <w:b/>
          <w:i/>
          <w:sz w:val="20"/>
          <w:szCs w:val="24"/>
        </w:rPr>
        <w:t>Avots</w:t>
      </w:r>
      <w:r w:rsidRPr="00B66F61">
        <w:rPr>
          <w:rFonts w:ascii="Times New Roman" w:hAnsi="Times New Roman" w:cs="Times New Roman"/>
          <w:i/>
          <w:sz w:val="20"/>
          <w:szCs w:val="24"/>
        </w:rPr>
        <w:t xml:space="preserve">: </w:t>
      </w:r>
      <w:r w:rsidRPr="00B66F61">
        <w:rPr>
          <w:rFonts w:ascii="Times New Roman" w:hAnsi="Times New Roman" w:cs="Times New Roman"/>
          <w:i/>
          <w:sz w:val="20"/>
          <w:szCs w:val="20"/>
        </w:rPr>
        <w:t>Izložu un azartspēļu uzraudzības inspekcijas dati</w:t>
      </w:r>
    </w:p>
    <w:p w14:paraId="44733F84" w14:textId="77777777" w:rsidR="00B2562C" w:rsidRDefault="00B2562C" w:rsidP="001A7259">
      <w:pPr>
        <w:spacing w:after="120" w:line="240" w:lineRule="auto"/>
        <w:ind w:firstLine="720"/>
        <w:jc w:val="both"/>
        <w:rPr>
          <w:rFonts w:ascii="Times New Roman" w:hAnsi="Times New Roman" w:cs="Times New Roman"/>
          <w:sz w:val="24"/>
          <w:szCs w:val="24"/>
          <w:shd w:val="clear" w:color="auto" w:fill="FFFFFF"/>
        </w:rPr>
      </w:pPr>
    </w:p>
    <w:p w14:paraId="01D4988E" w14:textId="0AFDC4CA" w:rsidR="001A7259" w:rsidRPr="00B66F61" w:rsidRDefault="001A7259" w:rsidP="001A7259">
      <w:pPr>
        <w:spacing w:after="120" w:line="240" w:lineRule="auto"/>
        <w:ind w:firstLine="720"/>
        <w:jc w:val="both"/>
        <w:rPr>
          <w:rFonts w:ascii="Times New Roman" w:hAnsi="Times New Roman" w:cs="Times New Roman"/>
          <w:sz w:val="24"/>
          <w:szCs w:val="24"/>
          <w:shd w:val="clear" w:color="auto" w:fill="FFFFFF"/>
        </w:rPr>
      </w:pPr>
      <w:r w:rsidRPr="00B66F61">
        <w:rPr>
          <w:rFonts w:ascii="Times New Roman" w:hAnsi="Times New Roman" w:cs="Times New Roman"/>
          <w:sz w:val="24"/>
          <w:szCs w:val="24"/>
          <w:shd w:val="clear" w:color="auto" w:fill="FFFFFF"/>
        </w:rPr>
        <w:t>Neskatoties uz to, ka, sākot ar 2018.gadu, videospēlēm un mehāniskiem automātiem nodokļa likmes tika paaugstinātas par 30 procentiem, azartspēļu automātu skaits, salīdzinot ar 2017.gada pirmo pusgadu , nav būtiski samazinājies, bet apgrozījums ir būtiski pieaudzis.</w:t>
      </w:r>
    </w:p>
    <w:tbl>
      <w:tblPr>
        <w:tblStyle w:val="TableGrid611"/>
        <w:tblW w:w="9356" w:type="dxa"/>
        <w:tblLook w:val="04A0" w:firstRow="1" w:lastRow="0" w:firstColumn="1" w:lastColumn="0" w:noHBand="0" w:noVBand="1"/>
      </w:tblPr>
      <w:tblGrid>
        <w:gridCol w:w="3969"/>
        <w:gridCol w:w="1560"/>
        <w:gridCol w:w="1842"/>
        <w:gridCol w:w="1985"/>
      </w:tblGrid>
      <w:tr w:rsidR="001A7259" w:rsidRPr="00B66F61" w14:paraId="7045BD82" w14:textId="77777777" w:rsidTr="00C23191">
        <w:tc>
          <w:tcPr>
            <w:tcW w:w="3969" w:type="dxa"/>
            <w:vMerge w:val="restart"/>
            <w:tcBorders>
              <w:top w:val="double" w:sz="4" w:space="0" w:color="auto"/>
              <w:left w:val="nil"/>
              <w:bottom w:val="double" w:sz="4" w:space="0" w:color="auto"/>
              <w:right w:val="dotted" w:sz="4" w:space="0" w:color="auto"/>
            </w:tcBorders>
            <w:vAlign w:val="center"/>
            <w:hideMark/>
          </w:tcPr>
          <w:p w14:paraId="53ED280C"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Ieņēmumu veids</w:t>
            </w:r>
          </w:p>
        </w:tc>
        <w:tc>
          <w:tcPr>
            <w:tcW w:w="5387" w:type="dxa"/>
            <w:gridSpan w:val="3"/>
            <w:tcBorders>
              <w:top w:val="double" w:sz="4" w:space="0" w:color="auto"/>
              <w:left w:val="dotted" w:sz="4" w:space="0" w:color="auto"/>
              <w:bottom w:val="dotted" w:sz="4" w:space="0" w:color="auto"/>
              <w:right w:val="nil"/>
            </w:tcBorders>
            <w:hideMark/>
          </w:tcPr>
          <w:p w14:paraId="4C26317F"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 xml:space="preserve">Fiskālā ietekme, milj. </w:t>
            </w:r>
            <w:proofErr w:type="spellStart"/>
            <w:r w:rsidRPr="00B66F61">
              <w:rPr>
                <w:rFonts w:ascii="Times New Roman" w:hAnsi="Times New Roman" w:cs="Times New Roman"/>
                <w:i/>
                <w:sz w:val="24"/>
                <w:szCs w:val="24"/>
              </w:rPr>
              <w:t>euro</w:t>
            </w:r>
            <w:proofErr w:type="spellEnd"/>
          </w:p>
        </w:tc>
      </w:tr>
      <w:tr w:rsidR="001A7259" w:rsidRPr="00B66F61" w14:paraId="3FCEFE0B" w14:textId="77777777" w:rsidTr="00C23191">
        <w:tc>
          <w:tcPr>
            <w:tcW w:w="3969" w:type="dxa"/>
            <w:vMerge/>
            <w:tcBorders>
              <w:top w:val="double" w:sz="4" w:space="0" w:color="auto"/>
              <w:left w:val="nil"/>
              <w:bottom w:val="double" w:sz="4" w:space="0" w:color="auto"/>
              <w:right w:val="dotted" w:sz="4" w:space="0" w:color="auto"/>
            </w:tcBorders>
            <w:vAlign w:val="center"/>
            <w:hideMark/>
          </w:tcPr>
          <w:p w14:paraId="3E842567" w14:textId="77777777" w:rsidR="001A7259" w:rsidRPr="00B66F61" w:rsidRDefault="001A7259" w:rsidP="00C23191">
            <w:pPr>
              <w:rPr>
                <w:rFonts w:ascii="Times New Roman" w:hAnsi="Times New Roman" w:cs="Times New Roman"/>
                <w:sz w:val="24"/>
                <w:szCs w:val="24"/>
              </w:rPr>
            </w:pPr>
          </w:p>
        </w:tc>
        <w:tc>
          <w:tcPr>
            <w:tcW w:w="1560" w:type="dxa"/>
            <w:tcBorders>
              <w:top w:val="dotted" w:sz="4" w:space="0" w:color="auto"/>
              <w:left w:val="dotted" w:sz="4" w:space="0" w:color="auto"/>
              <w:bottom w:val="double" w:sz="4" w:space="0" w:color="auto"/>
              <w:right w:val="dotted" w:sz="4" w:space="0" w:color="auto"/>
            </w:tcBorders>
            <w:hideMark/>
          </w:tcPr>
          <w:p w14:paraId="6E9BBFF3"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2020.gadā</w:t>
            </w:r>
          </w:p>
        </w:tc>
        <w:tc>
          <w:tcPr>
            <w:tcW w:w="1842" w:type="dxa"/>
            <w:tcBorders>
              <w:top w:val="dotted" w:sz="4" w:space="0" w:color="auto"/>
              <w:left w:val="dotted" w:sz="4" w:space="0" w:color="auto"/>
              <w:bottom w:val="double" w:sz="4" w:space="0" w:color="auto"/>
              <w:right w:val="dotted" w:sz="4" w:space="0" w:color="auto"/>
            </w:tcBorders>
            <w:hideMark/>
          </w:tcPr>
          <w:p w14:paraId="681FBDD1"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2021.gadā</w:t>
            </w:r>
          </w:p>
        </w:tc>
        <w:tc>
          <w:tcPr>
            <w:tcW w:w="1985" w:type="dxa"/>
            <w:tcBorders>
              <w:top w:val="dotted" w:sz="4" w:space="0" w:color="auto"/>
              <w:left w:val="dotted" w:sz="4" w:space="0" w:color="auto"/>
              <w:bottom w:val="double" w:sz="4" w:space="0" w:color="auto"/>
              <w:right w:val="nil"/>
            </w:tcBorders>
            <w:hideMark/>
          </w:tcPr>
          <w:p w14:paraId="24C1F489"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2022.gadā</w:t>
            </w:r>
          </w:p>
        </w:tc>
      </w:tr>
      <w:tr w:rsidR="001A7259" w:rsidRPr="00B66F61" w14:paraId="574492B3" w14:textId="77777777" w:rsidTr="00C23191">
        <w:tc>
          <w:tcPr>
            <w:tcW w:w="3969" w:type="dxa"/>
            <w:tcBorders>
              <w:top w:val="single" w:sz="4" w:space="0" w:color="auto"/>
              <w:left w:val="nil"/>
              <w:bottom w:val="single" w:sz="4" w:space="0" w:color="auto"/>
              <w:right w:val="dotted" w:sz="4" w:space="0" w:color="auto"/>
            </w:tcBorders>
            <w:hideMark/>
          </w:tcPr>
          <w:p w14:paraId="02F4B069" w14:textId="77777777" w:rsidR="001A7259" w:rsidRPr="00B66F61" w:rsidRDefault="001A7259" w:rsidP="00C23191">
            <w:pPr>
              <w:jc w:val="both"/>
              <w:rPr>
                <w:rFonts w:ascii="Times New Roman" w:hAnsi="Times New Roman" w:cs="Times New Roman"/>
                <w:sz w:val="24"/>
                <w:szCs w:val="24"/>
              </w:rPr>
            </w:pPr>
            <w:r w:rsidRPr="00B66F61">
              <w:rPr>
                <w:rFonts w:ascii="Times New Roman" w:hAnsi="Times New Roman" w:cs="Times New Roman"/>
                <w:sz w:val="24"/>
                <w:szCs w:val="24"/>
              </w:rPr>
              <w:t>Azartspēļu nodoklis</w:t>
            </w:r>
          </w:p>
        </w:tc>
        <w:tc>
          <w:tcPr>
            <w:tcW w:w="1560" w:type="dxa"/>
            <w:tcBorders>
              <w:top w:val="single" w:sz="4" w:space="0" w:color="auto"/>
              <w:left w:val="dotted" w:sz="4" w:space="0" w:color="auto"/>
              <w:bottom w:val="single" w:sz="4" w:space="0" w:color="auto"/>
              <w:right w:val="dotted" w:sz="4" w:space="0" w:color="auto"/>
            </w:tcBorders>
            <w:vAlign w:val="center"/>
          </w:tcPr>
          <w:p w14:paraId="00205968"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+13,339</w:t>
            </w:r>
          </w:p>
        </w:tc>
        <w:tc>
          <w:tcPr>
            <w:tcW w:w="1842" w:type="dxa"/>
            <w:tcBorders>
              <w:top w:val="single" w:sz="4" w:space="0" w:color="auto"/>
              <w:left w:val="dotted" w:sz="4" w:space="0" w:color="auto"/>
              <w:bottom w:val="single" w:sz="4" w:space="0" w:color="auto"/>
              <w:right w:val="dotted" w:sz="4" w:space="0" w:color="auto"/>
            </w:tcBorders>
          </w:tcPr>
          <w:p w14:paraId="7412932B"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+13,339</w:t>
            </w:r>
          </w:p>
        </w:tc>
        <w:tc>
          <w:tcPr>
            <w:tcW w:w="1985" w:type="dxa"/>
            <w:tcBorders>
              <w:top w:val="single" w:sz="4" w:space="0" w:color="auto"/>
              <w:left w:val="dotted" w:sz="4" w:space="0" w:color="auto"/>
              <w:bottom w:val="single" w:sz="4" w:space="0" w:color="auto"/>
              <w:right w:val="dotted" w:sz="4" w:space="0" w:color="auto"/>
            </w:tcBorders>
          </w:tcPr>
          <w:p w14:paraId="07A4C5CA"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+13,339</w:t>
            </w:r>
          </w:p>
        </w:tc>
      </w:tr>
      <w:tr w:rsidR="001A7259" w:rsidRPr="00B66F61" w14:paraId="5A014666" w14:textId="77777777" w:rsidTr="00C23191">
        <w:tc>
          <w:tcPr>
            <w:tcW w:w="3969" w:type="dxa"/>
            <w:tcBorders>
              <w:top w:val="double" w:sz="4" w:space="0" w:color="auto"/>
              <w:left w:val="nil"/>
              <w:bottom w:val="double" w:sz="4" w:space="0" w:color="auto"/>
              <w:right w:val="dotted" w:sz="4" w:space="0" w:color="auto"/>
            </w:tcBorders>
            <w:hideMark/>
          </w:tcPr>
          <w:p w14:paraId="7CBCBF54" w14:textId="77777777" w:rsidR="001A7259" w:rsidRPr="00B66F61" w:rsidRDefault="001A7259" w:rsidP="00C23191">
            <w:pPr>
              <w:ind w:hanging="6"/>
              <w:contextualSpacing/>
              <w:jc w:val="both"/>
              <w:rPr>
                <w:rFonts w:ascii="Times New Roman" w:hAnsi="Times New Roman" w:cs="Times New Roman"/>
                <w:b/>
                <w:sz w:val="24"/>
                <w:szCs w:val="24"/>
              </w:rPr>
            </w:pPr>
            <w:r w:rsidRPr="00B66F61">
              <w:rPr>
                <w:rFonts w:ascii="Times New Roman" w:hAnsi="Times New Roman" w:cs="Times New Roman"/>
                <w:b/>
                <w:sz w:val="24"/>
                <w:szCs w:val="24"/>
              </w:rPr>
              <w:t>Kopā</w:t>
            </w:r>
          </w:p>
        </w:tc>
        <w:tc>
          <w:tcPr>
            <w:tcW w:w="1560" w:type="dxa"/>
            <w:tcBorders>
              <w:top w:val="double" w:sz="4" w:space="0" w:color="auto"/>
              <w:left w:val="dotted" w:sz="4" w:space="0" w:color="auto"/>
              <w:bottom w:val="double" w:sz="4" w:space="0" w:color="auto"/>
              <w:right w:val="dotted" w:sz="4" w:space="0" w:color="auto"/>
            </w:tcBorders>
            <w:vAlign w:val="center"/>
          </w:tcPr>
          <w:p w14:paraId="700505B4" w14:textId="77777777" w:rsidR="001A7259" w:rsidRPr="00B66F61" w:rsidRDefault="001A7259" w:rsidP="00C23191">
            <w:pPr>
              <w:jc w:val="center"/>
              <w:rPr>
                <w:rFonts w:ascii="Times New Roman" w:hAnsi="Times New Roman" w:cs="Times New Roman"/>
                <w:b/>
                <w:sz w:val="24"/>
                <w:szCs w:val="24"/>
              </w:rPr>
            </w:pPr>
            <w:r w:rsidRPr="00B66F61">
              <w:rPr>
                <w:rFonts w:ascii="Times New Roman" w:hAnsi="Times New Roman" w:cs="Times New Roman"/>
                <w:b/>
                <w:sz w:val="24"/>
                <w:szCs w:val="24"/>
              </w:rPr>
              <w:t>+13,339</w:t>
            </w:r>
          </w:p>
        </w:tc>
        <w:tc>
          <w:tcPr>
            <w:tcW w:w="1842" w:type="dxa"/>
            <w:tcBorders>
              <w:top w:val="double" w:sz="4" w:space="0" w:color="auto"/>
              <w:left w:val="dotted" w:sz="4" w:space="0" w:color="auto"/>
              <w:bottom w:val="double" w:sz="4" w:space="0" w:color="auto"/>
              <w:right w:val="dotted" w:sz="4" w:space="0" w:color="auto"/>
            </w:tcBorders>
          </w:tcPr>
          <w:p w14:paraId="0BB8C4E7" w14:textId="77777777" w:rsidR="001A7259" w:rsidRPr="00B66F61" w:rsidRDefault="001A7259" w:rsidP="00C23191">
            <w:pPr>
              <w:jc w:val="center"/>
              <w:rPr>
                <w:rFonts w:ascii="Times New Roman" w:hAnsi="Times New Roman" w:cs="Times New Roman"/>
                <w:b/>
                <w:sz w:val="24"/>
                <w:szCs w:val="24"/>
              </w:rPr>
            </w:pPr>
            <w:r w:rsidRPr="00B66F61">
              <w:rPr>
                <w:rFonts w:ascii="Times New Roman" w:hAnsi="Times New Roman" w:cs="Times New Roman"/>
                <w:b/>
                <w:sz w:val="24"/>
                <w:szCs w:val="24"/>
              </w:rPr>
              <w:t>+13,339</w:t>
            </w:r>
          </w:p>
        </w:tc>
        <w:tc>
          <w:tcPr>
            <w:tcW w:w="1985" w:type="dxa"/>
            <w:tcBorders>
              <w:top w:val="double" w:sz="4" w:space="0" w:color="auto"/>
              <w:left w:val="dotted" w:sz="4" w:space="0" w:color="auto"/>
              <w:bottom w:val="double" w:sz="4" w:space="0" w:color="auto"/>
              <w:right w:val="dotted" w:sz="4" w:space="0" w:color="auto"/>
            </w:tcBorders>
          </w:tcPr>
          <w:p w14:paraId="4A6684CB" w14:textId="77777777" w:rsidR="001A7259" w:rsidRPr="00B66F61" w:rsidRDefault="001A7259" w:rsidP="00C23191">
            <w:pPr>
              <w:jc w:val="center"/>
              <w:rPr>
                <w:rFonts w:ascii="Times New Roman" w:hAnsi="Times New Roman" w:cs="Times New Roman"/>
                <w:b/>
                <w:sz w:val="24"/>
                <w:szCs w:val="24"/>
              </w:rPr>
            </w:pPr>
            <w:r w:rsidRPr="00B66F61">
              <w:rPr>
                <w:rFonts w:ascii="Times New Roman" w:hAnsi="Times New Roman" w:cs="Times New Roman"/>
                <w:b/>
                <w:sz w:val="24"/>
                <w:szCs w:val="24"/>
              </w:rPr>
              <w:t>+13,339</w:t>
            </w:r>
          </w:p>
        </w:tc>
      </w:tr>
      <w:tr w:rsidR="001A7259" w:rsidRPr="00B66F61" w14:paraId="2D0DFDBF" w14:textId="77777777" w:rsidTr="00C23191">
        <w:tc>
          <w:tcPr>
            <w:tcW w:w="3969" w:type="dxa"/>
            <w:tcBorders>
              <w:top w:val="double" w:sz="4" w:space="0" w:color="auto"/>
              <w:left w:val="nil"/>
              <w:bottom w:val="double" w:sz="4" w:space="0" w:color="auto"/>
              <w:right w:val="dotted" w:sz="4" w:space="0" w:color="auto"/>
            </w:tcBorders>
          </w:tcPr>
          <w:p w14:paraId="7DF68B0C" w14:textId="77777777" w:rsidR="001A7259" w:rsidRPr="00B66F61" w:rsidRDefault="001A7259" w:rsidP="00C23191">
            <w:pPr>
              <w:ind w:hanging="6"/>
              <w:contextualSpacing/>
              <w:jc w:val="right"/>
              <w:rPr>
                <w:rFonts w:ascii="Times New Roman" w:hAnsi="Times New Roman" w:cs="Times New Roman"/>
                <w:sz w:val="24"/>
                <w:szCs w:val="24"/>
              </w:rPr>
            </w:pPr>
            <w:r w:rsidRPr="00B66F61">
              <w:rPr>
                <w:rFonts w:ascii="Times New Roman" w:hAnsi="Times New Roman" w:cs="Times New Roman"/>
                <w:sz w:val="24"/>
                <w:szCs w:val="24"/>
              </w:rPr>
              <w:t>-valsts pamatbudžetā</w:t>
            </w:r>
          </w:p>
        </w:tc>
        <w:tc>
          <w:tcPr>
            <w:tcW w:w="1560" w:type="dxa"/>
            <w:tcBorders>
              <w:top w:val="double" w:sz="4" w:space="0" w:color="auto"/>
              <w:left w:val="dotted" w:sz="4" w:space="0" w:color="auto"/>
              <w:bottom w:val="double" w:sz="4" w:space="0" w:color="auto"/>
              <w:right w:val="dotted" w:sz="4" w:space="0" w:color="auto"/>
            </w:tcBorders>
            <w:vAlign w:val="center"/>
          </w:tcPr>
          <w:p w14:paraId="76413CF3"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+11,551</w:t>
            </w:r>
          </w:p>
        </w:tc>
        <w:tc>
          <w:tcPr>
            <w:tcW w:w="1842" w:type="dxa"/>
            <w:tcBorders>
              <w:top w:val="double" w:sz="4" w:space="0" w:color="auto"/>
              <w:left w:val="dotted" w:sz="4" w:space="0" w:color="auto"/>
              <w:bottom w:val="double" w:sz="4" w:space="0" w:color="auto"/>
              <w:right w:val="dotted" w:sz="4" w:space="0" w:color="auto"/>
            </w:tcBorders>
            <w:vAlign w:val="center"/>
          </w:tcPr>
          <w:p w14:paraId="3FCC1E34"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+11,551</w:t>
            </w:r>
          </w:p>
        </w:tc>
        <w:tc>
          <w:tcPr>
            <w:tcW w:w="1985" w:type="dxa"/>
            <w:tcBorders>
              <w:top w:val="double" w:sz="4" w:space="0" w:color="auto"/>
              <w:left w:val="dotted" w:sz="4" w:space="0" w:color="auto"/>
              <w:bottom w:val="double" w:sz="4" w:space="0" w:color="auto"/>
              <w:right w:val="dotted" w:sz="4" w:space="0" w:color="auto"/>
            </w:tcBorders>
            <w:vAlign w:val="center"/>
          </w:tcPr>
          <w:p w14:paraId="14AF8856"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+11,551</w:t>
            </w:r>
          </w:p>
        </w:tc>
      </w:tr>
      <w:tr w:rsidR="001A7259" w:rsidRPr="00B66F61" w14:paraId="063E7F92" w14:textId="77777777" w:rsidTr="00C23191">
        <w:tc>
          <w:tcPr>
            <w:tcW w:w="3969" w:type="dxa"/>
            <w:tcBorders>
              <w:top w:val="double" w:sz="4" w:space="0" w:color="auto"/>
              <w:left w:val="nil"/>
              <w:bottom w:val="double" w:sz="4" w:space="0" w:color="auto"/>
              <w:right w:val="dotted" w:sz="4" w:space="0" w:color="auto"/>
            </w:tcBorders>
          </w:tcPr>
          <w:p w14:paraId="0CCC4C33" w14:textId="77777777" w:rsidR="001A7259" w:rsidRPr="00B66F61" w:rsidRDefault="001A7259" w:rsidP="00C23191">
            <w:pPr>
              <w:jc w:val="right"/>
              <w:rPr>
                <w:rFonts w:ascii="Times New Roman" w:hAnsi="Times New Roman" w:cs="Times New Roman"/>
                <w:sz w:val="24"/>
                <w:szCs w:val="24"/>
              </w:rPr>
            </w:pPr>
            <w:r w:rsidRPr="00B66F61">
              <w:rPr>
                <w:rFonts w:ascii="Times New Roman" w:hAnsi="Times New Roman" w:cs="Times New Roman"/>
                <w:sz w:val="24"/>
                <w:szCs w:val="24"/>
              </w:rPr>
              <w:t>-pašvaldību budžetā</w:t>
            </w:r>
          </w:p>
        </w:tc>
        <w:tc>
          <w:tcPr>
            <w:tcW w:w="1560" w:type="dxa"/>
            <w:tcBorders>
              <w:top w:val="double" w:sz="4" w:space="0" w:color="auto"/>
              <w:left w:val="dotted" w:sz="4" w:space="0" w:color="auto"/>
              <w:bottom w:val="double" w:sz="4" w:space="0" w:color="auto"/>
              <w:right w:val="dotted" w:sz="4" w:space="0" w:color="auto"/>
            </w:tcBorders>
            <w:vAlign w:val="center"/>
          </w:tcPr>
          <w:p w14:paraId="149402C4"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+1,788</w:t>
            </w:r>
          </w:p>
        </w:tc>
        <w:tc>
          <w:tcPr>
            <w:tcW w:w="1842" w:type="dxa"/>
            <w:tcBorders>
              <w:top w:val="double" w:sz="4" w:space="0" w:color="auto"/>
              <w:left w:val="dotted" w:sz="4" w:space="0" w:color="auto"/>
              <w:bottom w:val="double" w:sz="4" w:space="0" w:color="auto"/>
              <w:right w:val="dotted" w:sz="4" w:space="0" w:color="auto"/>
            </w:tcBorders>
            <w:vAlign w:val="center"/>
          </w:tcPr>
          <w:p w14:paraId="0D3AE290"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+1,788</w:t>
            </w:r>
          </w:p>
        </w:tc>
        <w:tc>
          <w:tcPr>
            <w:tcW w:w="1985" w:type="dxa"/>
            <w:tcBorders>
              <w:top w:val="double" w:sz="4" w:space="0" w:color="auto"/>
              <w:left w:val="dotted" w:sz="4" w:space="0" w:color="auto"/>
              <w:bottom w:val="double" w:sz="4" w:space="0" w:color="auto"/>
              <w:right w:val="dotted" w:sz="4" w:space="0" w:color="auto"/>
            </w:tcBorders>
            <w:vAlign w:val="center"/>
          </w:tcPr>
          <w:p w14:paraId="27125B1F" w14:textId="77777777" w:rsidR="001A7259" w:rsidRPr="00B66F61" w:rsidRDefault="001A7259" w:rsidP="00C23191">
            <w:pPr>
              <w:jc w:val="center"/>
              <w:rPr>
                <w:rFonts w:ascii="Times New Roman" w:hAnsi="Times New Roman" w:cs="Times New Roman"/>
                <w:sz w:val="24"/>
                <w:szCs w:val="24"/>
              </w:rPr>
            </w:pPr>
            <w:r w:rsidRPr="00B66F61">
              <w:rPr>
                <w:rFonts w:ascii="Times New Roman" w:hAnsi="Times New Roman" w:cs="Times New Roman"/>
                <w:sz w:val="24"/>
                <w:szCs w:val="24"/>
              </w:rPr>
              <w:t>+1,788</w:t>
            </w:r>
          </w:p>
        </w:tc>
      </w:tr>
    </w:tbl>
    <w:p w14:paraId="4310B3F6" w14:textId="2305D097" w:rsidR="00C42827" w:rsidRDefault="00C42827" w:rsidP="00EC5231">
      <w:pPr>
        <w:pStyle w:val="ListParagraph"/>
        <w:spacing w:after="120" w:line="240" w:lineRule="auto"/>
        <w:contextualSpacing w:val="0"/>
        <w:jc w:val="both"/>
        <w:rPr>
          <w:rFonts w:ascii="Times New Roman" w:hAnsi="Times New Roman" w:cs="Times New Roman"/>
          <w:b/>
          <w:sz w:val="24"/>
          <w:szCs w:val="24"/>
        </w:rPr>
      </w:pPr>
    </w:p>
    <w:p w14:paraId="7404ECFD" w14:textId="5E4D5591" w:rsidR="0010459C" w:rsidRPr="00B66F61" w:rsidRDefault="00EC5231" w:rsidP="009978B8">
      <w:pPr>
        <w:pStyle w:val="ListParagraph"/>
        <w:numPr>
          <w:ilvl w:val="1"/>
          <w:numId w:val="17"/>
        </w:numPr>
        <w:spacing w:after="120" w:line="240" w:lineRule="auto"/>
        <w:contextualSpacing w:val="0"/>
        <w:jc w:val="both"/>
        <w:rPr>
          <w:rFonts w:ascii="Times New Roman" w:hAnsi="Times New Roman" w:cs="Times New Roman"/>
          <w:b/>
          <w:sz w:val="24"/>
          <w:szCs w:val="24"/>
        </w:rPr>
      </w:pPr>
      <w:r w:rsidRPr="00B66F61">
        <w:rPr>
          <w:rFonts w:ascii="Times New Roman" w:hAnsi="Times New Roman" w:cs="Times New Roman"/>
          <w:b/>
          <w:sz w:val="24"/>
          <w:szCs w:val="24"/>
        </w:rPr>
        <w:t xml:space="preserve"> </w:t>
      </w:r>
      <w:proofErr w:type="spellStart"/>
      <w:r w:rsidR="00337623" w:rsidRPr="00B66F61">
        <w:rPr>
          <w:rFonts w:ascii="Times New Roman" w:hAnsi="Times New Roman" w:cs="Times New Roman"/>
          <w:b/>
          <w:sz w:val="24"/>
          <w:szCs w:val="24"/>
        </w:rPr>
        <w:t>Nebanku</w:t>
      </w:r>
      <w:proofErr w:type="spellEnd"/>
      <w:r w:rsidR="00337623" w:rsidRPr="00B66F61">
        <w:rPr>
          <w:rFonts w:ascii="Times New Roman" w:hAnsi="Times New Roman" w:cs="Times New Roman"/>
          <w:b/>
          <w:sz w:val="24"/>
          <w:szCs w:val="24"/>
        </w:rPr>
        <w:t xml:space="preserve"> kredītu devēju licencēšanas valsts nodevas apmēra palielināšana</w:t>
      </w:r>
    </w:p>
    <w:p w14:paraId="47642C25" w14:textId="755DF778" w:rsidR="00337623" w:rsidRPr="00B66F61" w:rsidRDefault="00337623" w:rsidP="00337623">
      <w:pPr>
        <w:spacing w:after="120" w:line="240" w:lineRule="auto"/>
        <w:ind w:firstLine="709"/>
        <w:jc w:val="both"/>
        <w:rPr>
          <w:rFonts w:ascii="Times New Roman" w:hAnsi="Times New Roman" w:cs="Times New Roman"/>
          <w:sz w:val="24"/>
          <w:szCs w:val="24"/>
        </w:rPr>
      </w:pPr>
      <w:r w:rsidRPr="00B66F61">
        <w:rPr>
          <w:rFonts w:ascii="Times New Roman" w:hAnsi="Times New Roman" w:cs="Times New Roman"/>
          <w:sz w:val="24"/>
          <w:szCs w:val="24"/>
        </w:rPr>
        <w:t xml:space="preserve">Lai mazinātu augsto sociālo risku, kā arī sabalansētu licencēšanas valsts nodevu ar inflācijas, vidējās algas pieaugumu valstī un nozares finansiālās darbības apgrozījuma pieaugumu, kā arī palielinātu ieņēmumus valsts budžetā, valdību veidojošo partiju pārstāvji piedāvā paaugstināt </w:t>
      </w:r>
      <w:proofErr w:type="spellStart"/>
      <w:r w:rsidRPr="00B66F61">
        <w:rPr>
          <w:rFonts w:ascii="Times New Roman" w:hAnsi="Times New Roman" w:cs="Times New Roman"/>
          <w:sz w:val="24"/>
          <w:szCs w:val="24"/>
        </w:rPr>
        <w:t>nebanku</w:t>
      </w:r>
      <w:proofErr w:type="spellEnd"/>
      <w:r w:rsidRPr="00B66F61">
        <w:rPr>
          <w:rFonts w:ascii="Times New Roman" w:hAnsi="Times New Roman" w:cs="Times New Roman"/>
          <w:sz w:val="24"/>
          <w:szCs w:val="24"/>
        </w:rPr>
        <w:t xml:space="preserve"> kredītu devēju licencēšanas valsts nodevas likmi par speciālās atļaujas (licences) izsniegšanu un</w:t>
      </w:r>
      <w:r w:rsidRPr="00B66F61">
        <w:t xml:space="preserve"> i</w:t>
      </w:r>
      <w:r w:rsidRPr="00B66F61">
        <w:rPr>
          <w:rFonts w:ascii="Times New Roman" w:hAnsi="Times New Roman" w:cs="Times New Roman"/>
          <w:sz w:val="24"/>
          <w:szCs w:val="24"/>
        </w:rPr>
        <w:t xml:space="preserve">kgadējās valsts nodevas apmēru par kreditēšanas pakalpojumu sniedzēja darbības uzraudzību, veicot grozījumus Ministru kabineta 2011.gada 29.marta noteikumos Nr.245 “Noteikumi par speciālo atļauju (licenci) patērētāju kreditēšanas pakalpojumu sniegšanai”, paredzot no 2020.gada paaugstināt valsts nodevas apmēru par speciālās atļaujas (licences) izsniegšanu un ikgadējās valsts nodevas apmēru par kreditēšanas pakalpojumu sniedzēja darbības uzraudzību, nodrošinot ik gadu papildu ieņēmumus valsts budžetā 3,0 milj. </w:t>
      </w:r>
      <w:proofErr w:type="spellStart"/>
      <w:r w:rsidRPr="00B66F61">
        <w:rPr>
          <w:rFonts w:ascii="Times New Roman" w:hAnsi="Times New Roman" w:cs="Times New Roman"/>
          <w:i/>
          <w:sz w:val="24"/>
          <w:szCs w:val="24"/>
        </w:rPr>
        <w:t>euro</w:t>
      </w:r>
      <w:proofErr w:type="spellEnd"/>
      <w:r w:rsidRPr="00B66F61">
        <w:rPr>
          <w:rFonts w:ascii="Times New Roman" w:hAnsi="Times New Roman" w:cs="Times New Roman"/>
          <w:sz w:val="24"/>
          <w:szCs w:val="24"/>
        </w:rPr>
        <w:t>.</w:t>
      </w:r>
    </w:p>
    <w:p w14:paraId="54ECB5F0" w14:textId="77777777" w:rsidR="00852C66" w:rsidRPr="00852C66" w:rsidRDefault="00852C66" w:rsidP="00852C66">
      <w:pPr>
        <w:spacing w:after="120" w:line="240" w:lineRule="auto"/>
        <w:ind w:firstLine="709"/>
        <w:jc w:val="both"/>
        <w:rPr>
          <w:rFonts w:ascii="Times New Roman" w:hAnsi="Times New Roman" w:cs="Times New Roman"/>
          <w:color w:val="1F497D"/>
          <w:sz w:val="24"/>
          <w:szCs w:val="24"/>
        </w:rPr>
      </w:pPr>
      <w:r w:rsidRPr="00D01939">
        <w:rPr>
          <w:rFonts w:ascii="Times New Roman" w:hAnsi="Times New Roman" w:cs="Times New Roman"/>
          <w:sz w:val="24"/>
          <w:szCs w:val="24"/>
        </w:rPr>
        <w:t xml:space="preserve">Ņemot vērā valdību veidojošo partiju pārstāvju noteiktos nodevas apmēra palielināšanās mērķus, Ekonomikas ministrijai jāizvērtē iespēja neattiecināt nodevas palielinājumu uz </w:t>
      </w:r>
      <w:proofErr w:type="spellStart"/>
      <w:r w:rsidRPr="00D01939">
        <w:rPr>
          <w:rFonts w:ascii="Times New Roman" w:hAnsi="Times New Roman" w:cs="Times New Roman"/>
          <w:sz w:val="24"/>
          <w:szCs w:val="24"/>
        </w:rPr>
        <w:t>nebanku</w:t>
      </w:r>
      <w:proofErr w:type="spellEnd"/>
      <w:r w:rsidRPr="00D01939">
        <w:rPr>
          <w:rFonts w:ascii="Times New Roman" w:hAnsi="Times New Roman" w:cs="Times New Roman"/>
          <w:sz w:val="24"/>
          <w:szCs w:val="24"/>
        </w:rPr>
        <w:t xml:space="preserve"> kreditēšanas pakalpojumu sniedzējiem, kas neizsniedz distances kredītus.</w:t>
      </w:r>
    </w:p>
    <w:p w14:paraId="29D38926" w14:textId="77777777" w:rsidR="0010459C" w:rsidRPr="00B66F61" w:rsidRDefault="0010459C" w:rsidP="00B66F61">
      <w:pPr>
        <w:pStyle w:val="ListParagraph"/>
        <w:spacing w:after="120" w:line="240" w:lineRule="auto"/>
        <w:ind w:left="786"/>
        <w:contextualSpacing w:val="0"/>
        <w:jc w:val="both"/>
        <w:rPr>
          <w:rFonts w:ascii="Times New Roman" w:hAnsi="Times New Roman" w:cs="Times New Roman"/>
          <w:b/>
          <w:sz w:val="24"/>
          <w:szCs w:val="24"/>
        </w:rPr>
      </w:pPr>
    </w:p>
    <w:p w14:paraId="72D4B2F7" w14:textId="1A1B4E93" w:rsidR="006A11AB" w:rsidRPr="008300A0" w:rsidRDefault="0010459C" w:rsidP="009978B8">
      <w:pPr>
        <w:pStyle w:val="ListParagraph"/>
        <w:numPr>
          <w:ilvl w:val="1"/>
          <w:numId w:val="17"/>
        </w:numPr>
        <w:spacing w:after="120" w:line="240" w:lineRule="auto"/>
        <w:contextualSpacing w:val="0"/>
        <w:jc w:val="both"/>
        <w:rPr>
          <w:rFonts w:ascii="Times New Roman" w:hAnsi="Times New Roman" w:cs="Times New Roman"/>
          <w:b/>
          <w:sz w:val="24"/>
          <w:szCs w:val="24"/>
        </w:rPr>
      </w:pPr>
      <w:r w:rsidRPr="00B66F61">
        <w:rPr>
          <w:rFonts w:ascii="Times New Roman" w:hAnsi="Times New Roman" w:cs="Times New Roman"/>
          <w:b/>
          <w:sz w:val="24"/>
          <w:szCs w:val="24"/>
        </w:rPr>
        <w:t xml:space="preserve"> </w:t>
      </w:r>
      <w:r w:rsidR="0065380F" w:rsidRPr="008300A0">
        <w:rPr>
          <w:rFonts w:ascii="Times New Roman" w:hAnsi="Times New Roman" w:cs="Times New Roman"/>
          <w:b/>
          <w:sz w:val="24"/>
          <w:szCs w:val="24"/>
        </w:rPr>
        <w:t xml:space="preserve">Labklājības ministrijas jomas </w:t>
      </w:r>
      <w:r w:rsidR="001819AA" w:rsidRPr="008300A0">
        <w:rPr>
          <w:rFonts w:ascii="Times New Roman" w:hAnsi="Times New Roman" w:cs="Times New Roman"/>
          <w:b/>
          <w:sz w:val="24"/>
          <w:szCs w:val="24"/>
        </w:rPr>
        <w:t xml:space="preserve">sociālo  </w:t>
      </w:r>
      <w:r w:rsidR="006A11AB" w:rsidRPr="008300A0">
        <w:rPr>
          <w:rFonts w:ascii="Times New Roman" w:hAnsi="Times New Roman" w:cs="Times New Roman"/>
          <w:b/>
          <w:sz w:val="24"/>
          <w:szCs w:val="24"/>
        </w:rPr>
        <w:t>pabalstu politikas pārskatīšana</w:t>
      </w:r>
    </w:p>
    <w:p w14:paraId="64E29C53" w14:textId="40162D2D" w:rsidR="008A001C" w:rsidRDefault="008A001C" w:rsidP="008A001C">
      <w:pPr>
        <w:spacing w:after="120" w:line="240" w:lineRule="auto"/>
        <w:ind w:firstLine="720"/>
        <w:jc w:val="both"/>
        <w:rPr>
          <w:rFonts w:ascii="Times New Roman" w:hAnsi="Times New Roman" w:cs="Times New Roman"/>
          <w:sz w:val="24"/>
          <w:szCs w:val="24"/>
        </w:rPr>
      </w:pPr>
      <w:r w:rsidRPr="008300A0">
        <w:rPr>
          <w:rFonts w:ascii="Times New Roman" w:hAnsi="Times New Roman" w:cs="Times New Roman"/>
          <w:sz w:val="24"/>
          <w:szCs w:val="24"/>
        </w:rPr>
        <w:t>Ņemot vērā darbaspēka nepietiekamību Latvijā, reģistrēto bezdarbnieku skaita samazinājumu</w:t>
      </w:r>
      <w:r w:rsidR="001819AA" w:rsidRPr="008300A0">
        <w:rPr>
          <w:rFonts w:ascii="Times New Roman" w:hAnsi="Times New Roman" w:cs="Times New Roman"/>
          <w:sz w:val="24"/>
          <w:szCs w:val="24"/>
        </w:rPr>
        <w:t>, kā arī izdevumu pieauguma tendences valsts sociālās apdrošināšanas speciālajā budžetā</w:t>
      </w:r>
      <w:r w:rsidRPr="008300A0">
        <w:rPr>
          <w:rFonts w:ascii="Times New Roman" w:hAnsi="Times New Roman" w:cs="Times New Roman"/>
          <w:sz w:val="24"/>
          <w:szCs w:val="24"/>
        </w:rPr>
        <w:t xml:space="preserve">, Labklājības ministrijai  nepieciešams pārskatīt </w:t>
      </w:r>
      <w:r w:rsidR="003D19D6" w:rsidRPr="008300A0">
        <w:rPr>
          <w:rFonts w:ascii="Times New Roman" w:hAnsi="Times New Roman" w:cs="Times New Roman"/>
          <w:sz w:val="24"/>
          <w:szCs w:val="24"/>
        </w:rPr>
        <w:t xml:space="preserve">sociālo </w:t>
      </w:r>
      <w:r w:rsidRPr="008300A0">
        <w:rPr>
          <w:rFonts w:ascii="Times New Roman" w:hAnsi="Times New Roman" w:cs="Times New Roman"/>
          <w:sz w:val="24"/>
          <w:szCs w:val="24"/>
        </w:rPr>
        <w:t>pabalst</w:t>
      </w:r>
      <w:r w:rsidR="003D19D6" w:rsidRPr="008300A0">
        <w:rPr>
          <w:rFonts w:ascii="Times New Roman" w:hAnsi="Times New Roman" w:cs="Times New Roman"/>
          <w:sz w:val="24"/>
          <w:szCs w:val="24"/>
        </w:rPr>
        <w:t>u</w:t>
      </w:r>
      <w:r w:rsidRPr="008300A0">
        <w:rPr>
          <w:rFonts w:ascii="Times New Roman" w:hAnsi="Times New Roman" w:cs="Times New Roman"/>
          <w:sz w:val="24"/>
          <w:szCs w:val="24"/>
        </w:rPr>
        <w:t xml:space="preserve"> politiku un sagatavot attiecīgus grozījumus </w:t>
      </w:r>
      <w:r w:rsidR="003D19D6" w:rsidRPr="008300A0">
        <w:rPr>
          <w:rFonts w:ascii="Times New Roman" w:hAnsi="Times New Roman" w:cs="Times New Roman"/>
          <w:sz w:val="24"/>
          <w:szCs w:val="24"/>
        </w:rPr>
        <w:t>normatīvajos aktos</w:t>
      </w:r>
      <w:r w:rsidRPr="008300A0">
        <w:rPr>
          <w:rFonts w:ascii="Times New Roman" w:hAnsi="Times New Roman" w:cs="Times New Roman"/>
          <w:sz w:val="24"/>
          <w:szCs w:val="24"/>
        </w:rPr>
        <w:t>.</w:t>
      </w:r>
    </w:p>
    <w:p w14:paraId="6493F9E3" w14:textId="77777777" w:rsidR="000A3703" w:rsidRPr="00815D06" w:rsidRDefault="000A3703" w:rsidP="00815D06">
      <w:pPr>
        <w:spacing w:after="120" w:line="240" w:lineRule="auto"/>
        <w:jc w:val="both"/>
        <w:rPr>
          <w:rFonts w:ascii="Times New Roman" w:hAnsi="Times New Roman" w:cs="Times New Roman"/>
          <w:b/>
          <w:sz w:val="24"/>
          <w:szCs w:val="24"/>
        </w:rPr>
      </w:pPr>
    </w:p>
    <w:p w14:paraId="1BE65C39" w14:textId="77777777" w:rsidR="00B603D2" w:rsidRPr="004676C0" w:rsidRDefault="009E0B58" w:rsidP="004676C0">
      <w:pPr>
        <w:pStyle w:val="ListParagraph"/>
        <w:numPr>
          <w:ilvl w:val="0"/>
          <w:numId w:val="17"/>
        </w:numPr>
        <w:shd w:val="clear" w:color="auto" w:fill="FFD966" w:themeFill="accent4" w:themeFillTint="99"/>
        <w:spacing w:after="120" w:line="240" w:lineRule="auto"/>
        <w:contextualSpacing w:val="0"/>
        <w:jc w:val="both"/>
        <w:rPr>
          <w:rFonts w:ascii="Times New Roman" w:hAnsi="Times New Roman" w:cs="Times New Roman"/>
          <w:b/>
          <w:sz w:val="28"/>
          <w:szCs w:val="28"/>
        </w:rPr>
      </w:pPr>
      <w:r w:rsidRPr="004676C0">
        <w:rPr>
          <w:rFonts w:ascii="Times New Roman" w:hAnsi="Times New Roman" w:cs="Times New Roman"/>
          <w:b/>
          <w:sz w:val="28"/>
          <w:szCs w:val="28"/>
        </w:rPr>
        <w:t>Priekšlikumi prioritārajiem pasākumiem</w:t>
      </w:r>
    </w:p>
    <w:p w14:paraId="6F6CB99E" w14:textId="77777777" w:rsidR="00D45960" w:rsidRDefault="00D45960" w:rsidP="00D45960">
      <w:pPr>
        <w:pStyle w:val="ListParagraph"/>
        <w:spacing w:after="120" w:line="240" w:lineRule="auto"/>
        <w:jc w:val="both"/>
        <w:rPr>
          <w:rFonts w:ascii="Times New Roman" w:hAnsi="Times New Roman" w:cs="Times New Roman"/>
          <w:b/>
          <w:sz w:val="24"/>
          <w:szCs w:val="24"/>
        </w:rPr>
      </w:pPr>
    </w:p>
    <w:p w14:paraId="3919C41B" w14:textId="77777777" w:rsidR="00EE16EB" w:rsidRPr="00EE16EB" w:rsidRDefault="00D45960" w:rsidP="00EE16EB">
      <w:pPr>
        <w:pStyle w:val="ListParagraph"/>
        <w:numPr>
          <w:ilvl w:val="1"/>
          <w:numId w:val="17"/>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E16EB" w:rsidRPr="00EE16EB">
        <w:rPr>
          <w:rFonts w:ascii="Times New Roman" w:hAnsi="Times New Roman" w:cs="Times New Roman"/>
          <w:b/>
          <w:sz w:val="24"/>
          <w:szCs w:val="24"/>
        </w:rPr>
        <w:t xml:space="preserve">Priekšlikumi ministriju un citu centrālo valsts iestāžu (turpmāk - ministrijas) un neatkarīgo institūciju prioritārajiem pasākumiem </w:t>
      </w:r>
    </w:p>
    <w:p w14:paraId="2C851441" w14:textId="7163EB2F" w:rsidR="00AD36DC" w:rsidRDefault="00AD36DC" w:rsidP="00AD36DC">
      <w:pPr>
        <w:spacing w:after="120" w:line="240" w:lineRule="auto"/>
        <w:ind w:firstLine="720"/>
        <w:jc w:val="both"/>
        <w:rPr>
          <w:rFonts w:ascii="Times New Roman" w:hAnsi="Times New Roman" w:cs="Times New Roman"/>
          <w:sz w:val="24"/>
          <w:szCs w:val="24"/>
        </w:rPr>
      </w:pPr>
      <w:r w:rsidRPr="00AD36DC">
        <w:rPr>
          <w:rFonts w:ascii="Times New Roman" w:hAnsi="Times New Roman"/>
          <w:sz w:val="24"/>
          <w:szCs w:val="24"/>
        </w:rPr>
        <w:t>Valdību veidojošo partiju budžeta veidošanas darba grupa</w:t>
      </w:r>
      <w:r>
        <w:rPr>
          <w:rFonts w:ascii="Times New Roman" w:hAnsi="Times New Roman"/>
          <w:sz w:val="24"/>
          <w:szCs w:val="24"/>
        </w:rPr>
        <w:t xml:space="preserve"> </w:t>
      </w:r>
      <w:r w:rsidR="0070062C" w:rsidRPr="00DA3143">
        <w:rPr>
          <w:rFonts w:ascii="Times New Roman" w:hAnsi="Times New Roman" w:cs="Times New Roman"/>
          <w:sz w:val="24"/>
          <w:szCs w:val="24"/>
        </w:rPr>
        <w:t>pēc MK 201</w:t>
      </w:r>
      <w:r w:rsidR="00C8730E" w:rsidRPr="00DA3143">
        <w:rPr>
          <w:rFonts w:ascii="Times New Roman" w:hAnsi="Times New Roman" w:cs="Times New Roman"/>
          <w:sz w:val="24"/>
          <w:szCs w:val="24"/>
        </w:rPr>
        <w:t>9</w:t>
      </w:r>
      <w:r w:rsidR="0070062C" w:rsidRPr="00DA3143">
        <w:rPr>
          <w:rFonts w:ascii="Times New Roman" w:hAnsi="Times New Roman" w:cs="Times New Roman"/>
          <w:sz w:val="24"/>
          <w:szCs w:val="24"/>
        </w:rPr>
        <w:t xml:space="preserve">.gada </w:t>
      </w:r>
      <w:r w:rsidR="00C8730E" w:rsidRPr="00DA3143">
        <w:rPr>
          <w:rFonts w:ascii="Times New Roman" w:hAnsi="Times New Roman" w:cs="Times New Roman"/>
          <w:sz w:val="24"/>
          <w:szCs w:val="24"/>
        </w:rPr>
        <w:t>20.augusta sēdes</w:t>
      </w:r>
      <w:r w:rsidR="0070062C" w:rsidRPr="00DA3143">
        <w:rPr>
          <w:rFonts w:ascii="Times New Roman" w:hAnsi="Times New Roman" w:cs="Times New Roman"/>
          <w:sz w:val="24"/>
          <w:szCs w:val="24"/>
        </w:rPr>
        <w:t xml:space="preserve"> </w:t>
      </w:r>
      <w:r w:rsidR="00134B4B" w:rsidRPr="00DA3143">
        <w:rPr>
          <w:rFonts w:ascii="Times New Roman" w:hAnsi="Times New Roman" w:cs="Times New Roman"/>
          <w:sz w:val="24"/>
          <w:szCs w:val="24"/>
        </w:rPr>
        <w:t xml:space="preserve">ir </w:t>
      </w:r>
      <w:r w:rsidR="0070062C" w:rsidRPr="00DA3143">
        <w:rPr>
          <w:rFonts w:ascii="Times New Roman" w:hAnsi="Times New Roman" w:cs="Times New Roman"/>
          <w:sz w:val="24"/>
          <w:szCs w:val="24"/>
        </w:rPr>
        <w:t>sagatavo</w:t>
      </w:r>
      <w:r w:rsidR="00134B4B" w:rsidRPr="00DA3143">
        <w:rPr>
          <w:rFonts w:ascii="Times New Roman" w:hAnsi="Times New Roman" w:cs="Times New Roman"/>
          <w:sz w:val="24"/>
          <w:szCs w:val="24"/>
        </w:rPr>
        <w:t>juši</w:t>
      </w:r>
      <w:r w:rsidR="0070062C" w:rsidRPr="00DA3143">
        <w:rPr>
          <w:rFonts w:ascii="Times New Roman" w:hAnsi="Times New Roman" w:cs="Times New Roman"/>
          <w:sz w:val="24"/>
          <w:szCs w:val="24"/>
        </w:rPr>
        <w:t xml:space="preserve"> priekšlikumus atbalstāmajiem prioritārajiem pasākumiem ministrijām, citām centrālajām valsts iestādēm</w:t>
      </w:r>
      <w:r w:rsidR="00C8730E" w:rsidRPr="00DA3143">
        <w:rPr>
          <w:rFonts w:ascii="Times New Roman" w:hAnsi="Times New Roman" w:cs="Times New Roman"/>
          <w:sz w:val="24"/>
          <w:szCs w:val="24"/>
        </w:rPr>
        <w:t xml:space="preserve"> (turpmāk – ministrija)</w:t>
      </w:r>
      <w:r w:rsidR="0070062C" w:rsidRPr="00DA3143">
        <w:rPr>
          <w:rFonts w:ascii="Times New Roman" w:hAnsi="Times New Roman" w:cs="Times New Roman"/>
          <w:sz w:val="24"/>
          <w:szCs w:val="24"/>
        </w:rPr>
        <w:t xml:space="preserve"> un neatkarīgajām </w:t>
      </w:r>
      <w:r w:rsidR="000333A0" w:rsidRPr="00DA3143">
        <w:rPr>
          <w:rFonts w:ascii="Times New Roman" w:hAnsi="Times New Roman" w:cs="Times New Roman"/>
          <w:sz w:val="24"/>
          <w:szCs w:val="24"/>
        </w:rPr>
        <w:t>iestādēm</w:t>
      </w:r>
      <w:r w:rsidR="0094305B" w:rsidRPr="00DA3143">
        <w:rPr>
          <w:rFonts w:ascii="Times New Roman" w:hAnsi="Times New Roman" w:cs="Times New Roman"/>
          <w:sz w:val="24"/>
          <w:szCs w:val="24"/>
        </w:rPr>
        <w:t xml:space="preserve"> saskaņā ar informatīvā ziņojuma</w:t>
      </w:r>
      <w:r w:rsidR="00766008">
        <w:rPr>
          <w:rFonts w:ascii="Times New Roman" w:hAnsi="Times New Roman" w:cs="Times New Roman"/>
          <w:sz w:val="24"/>
          <w:szCs w:val="24"/>
        </w:rPr>
        <w:t xml:space="preserve"> </w:t>
      </w:r>
      <w:r w:rsidR="0094305B" w:rsidRPr="00DA3143">
        <w:rPr>
          <w:rFonts w:ascii="Times New Roman" w:hAnsi="Times New Roman" w:cs="Times New Roman"/>
          <w:sz w:val="24"/>
          <w:szCs w:val="24"/>
        </w:rPr>
        <w:t>pielikumu</w:t>
      </w:r>
      <w:r w:rsidR="0070062C" w:rsidRPr="00DA3143">
        <w:rPr>
          <w:rFonts w:ascii="Times New Roman" w:hAnsi="Times New Roman" w:cs="Times New Roman"/>
          <w:sz w:val="24"/>
          <w:szCs w:val="24"/>
        </w:rPr>
        <w:t>.</w:t>
      </w:r>
    </w:p>
    <w:p w14:paraId="6B517614" w14:textId="1BFF305D" w:rsidR="00AD36DC" w:rsidRPr="00AD36DC" w:rsidRDefault="00A25E84" w:rsidP="00AD36DC">
      <w:pPr>
        <w:spacing w:after="120" w:line="240" w:lineRule="auto"/>
        <w:ind w:firstLine="720"/>
        <w:jc w:val="both"/>
        <w:rPr>
          <w:rFonts w:ascii="Times New Roman" w:hAnsi="Times New Roman"/>
          <w:sz w:val="24"/>
          <w:szCs w:val="24"/>
          <w:lang w:eastAsia="lv-LV"/>
        </w:rPr>
      </w:pPr>
      <w:r w:rsidRPr="00AD36DC">
        <w:rPr>
          <w:rFonts w:ascii="Times New Roman" w:hAnsi="Times New Roman"/>
          <w:sz w:val="24"/>
          <w:szCs w:val="24"/>
          <w:lang w:eastAsia="lv-LV"/>
        </w:rPr>
        <w:t xml:space="preserve">MK sēdes </w:t>
      </w:r>
      <w:proofErr w:type="spellStart"/>
      <w:r w:rsidRPr="00AD36DC">
        <w:rPr>
          <w:rFonts w:ascii="Times New Roman" w:hAnsi="Times New Roman"/>
          <w:sz w:val="24"/>
          <w:szCs w:val="24"/>
          <w:lang w:eastAsia="lv-LV"/>
        </w:rPr>
        <w:t>protokollēmuma</w:t>
      </w:r>
      <w:proofErr w:type="spellEnd"/>
      <w:r w:rsidRPr="00AD36DC">
        <w:rPr>
          <w:rFonts w:ascii="Times New Roman" w:hAnsi="Times New Roman"/>
          <w:sz w:val="24"/>
          <w:szCs w:val="24"/>
          <w:lang w:eastAsia="lv-LV"/>
        </w:rPr>
        <w:t xml:space="preserve"> projektā ierosināts uzdot atbildīgajām ministrijām par informatīvā ziņojuma pielikumā atbalstītajiem pārējiem pasākumiem līd</w:t>
      </w:r>
      <w:r w:rsidR="007B6052">
        <w:rPr>
          <w:rFonts w:ascii="Times New Roman" w:hAnsi="Times New Roman"/>
          <w:sz w:val="24"/>
          <w:szCs w:val="24"/>
          <w:lang w:eastAsia="lv-LV"/>
        </w:rPr>
        <w:t xml:space="preserve">z 2019.gada </w:t>
      </w:r>
      <w:r w:rsidR="00422B32">
        <w:rPr>
          <w:rFonts w:ascii="Times New Roman" w:hAnsi="Times New Roman"/>
          <w:sz w:val="24"/>
          <w:szCs w:val="24"/>
          <w:lang w:eastAsia="lv-LV"/>
        </w:rPr>
        <w:t>13</w:t>
      </w:r>
      <w:r w:rsidR="007B6052">
        <w:rPr>
          <w:rFonts w:ascii="Times New Roman" w:hAnsi="Times New Roman"/>
          <w:sz w:val="24"/>
          <w:szCs w:val="24"/>
          <w:lang w:eastAsia="lv-LV"/>
        </w:rPr>
        <w:t>.septembra plkst.1</w:t>
      </w:r>
      <w:r w:rsidR="00422B32">
        <w:rPr>
          <w:rFonts w:ascii="Times New Roman" w:hAnsi="Times New Roman"/>
          <w:sz w:val="24"/>
          <w:szCs w:val="24"/>
          <w:lang w:eastAsia="lv-LV"/>
        </w:rPr>
        <w:t>5</w:t>
      </w:r>
      <w:r w:rsidRPr="00AD36DC">
        <w:rPr>
          <w:rFonts w:ascii="Times New Roman" w:hAnsi="Times New Roman"/>
          <w:sz w:val="24"/>
          <w:szCs w:val="24"/>
          <w:lang w:eastAsia="lv-LV"/>
        </w:rPr>
        <w:t xml:space="preserve">:00 iesniegt Finanšu ministrijā informatīvā ziņojuma pielikumā minēto summu detalizētu atšifrējumu </w:t>
      </w:r>
      <w:proofErr w:type="spellStart"/>
      <w:r w:rsidR="00A03A04" w:rsidRPr="00AD36DC">
        <w:rPr>
          <w:rFonts w:ascii="Times New Roman" w:hAnsi="Times New Roman"/>
          <w:i/>
          <w:sz w:val="24"/>
          <w:szCs w:val="24"/>
          <w:lang w:eastAsia="lv-LV"/>
        </w:rPr>
        <w:t>euro</w:t>
      </w:r>
      <w:proofErr w:type="spellEnd"/>
      <w:r w:rsidRPr="00AD36DC">
        <w:rPr>
          <w:rFonts w:ascii="Times New Roman" w:hAnsi="Times New Roman"/>
          <w:sz w:val="24"/>
          <w:szCs w:val="24"/>
          <w:lang w:eastAsia="lv-LV"/>
        </w:rPr>
        <w:t xml:space="preserve"> sadalījumā pa ministrijām, budžeta programmām/ apakšprogrammām, prioritārajiem pasākumiem, prioritāro</w:t>
      </w:r>
      <w:r w:rsidR="00AD36DC" w:rsidRPr="00AD36DC">
        <w:rPr>
          <w:rFonts w:ascii="Times New Roman" w:hAnsi="Times New Roman"/>
          <w:sz w:val="24"/>
          <w:szCs w:val="24"/>
          <w:lang w:eastAsia="lv-LV"/>
        </w:rPr>
        <w:t xml:space="preserve"> pasākumu kodiem, nepārsniedzot informatīvā ziņojuma pielikumā minēto finansējuma apmēru. </w:t>
      </w:r>
    </w:p>
    <w:p w14:paraId="2F2BDD3F" w14:textId="77777777" w:rsidR="00A25E84" w:rsidRPr="00A25E84" w:rsidRDefault="00A25E84" w:rsidP="00C35ABD">
      <w:pPr>
        <w:spacing w:after="120" w:line="240" w:lineRule="auto"/>
        <w:ind w:firstLine="720"/>
        <w:jc w:val="both"/>
        <w:rPr>
          <w:rFonts w:ascii="Times New Roman" w:hAnsi="Times New Roman"/>
          <w:sz w:val="24"/>
          <w:szCs w:val="24"/>
          <w:lang w:eastAsia="lv-LV"/>
        </w:rPr>
      </w:pPr>
    </w:p>
    <w:p w14:paraId="40D376A7" w14:textId="77777777" w:rsidR="00D45960" w:rsidRPr="00D45960" w:rsidRDefault="00D45960" w:rsidP="00C35ABD">
      <w:pPr>
        <w:pStyle w:val="ListParagraph"/>
        <w:numPr>
          <w:ilvl w:val="1"/>
          <w:numId w:val="17"/>
        </w:numPr>
        <w:spacing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D45960">
        <w:rPr>
          <w:rFonts w:ascii="Times New Roman" w:hAnsi="Times New Roman" w:cs="Times New Roman"/>
          <w:b/>
          <w:sz w:val="24"/>
          <w:szCs w:val="24"/>
        </w:rPr>
        <w:t>Diferencētā neapliekamā minimuma paaugstināšana</w:t>
      </w:r>
    </w:p>
    <w:p w14:paraId="0B7BCA6D" w14:textId="77777777" w:rsidR="000D55FC" w:rsidRPr="000D55FC" w:rsidRDefault="000D55FC" w:rsidP="00C35ABD">
      <w:pPr>
        <w:spacing w:after="120" w:line="240" w:lineRule="auto"/>
        <w:ind w:firstLine="720"/>
        <w:jc w:val="both"/>
        <w:rPr>
          <w:rFonts w:ascii="Times New Roman" w:hAnsi="Times New Roman" w:cs="Times New Roman"/>
          <w:sz w:val="24"/>
          <w:szCs w:val="24"/>
        </w:rPr>
      </w:pPr>
      <w:r w:rsidRPr="000D55FC">
        <w:rPr>
          <w:rFonts w:ascii="Times New Roman" w:hAnsi="Times New Roman" w:cs="Times New Roman"/>
          <w:sz w:val="24"/>
          <w:szCs w:val="24"/>
        </w:rPr>
        <w:t xml:space="preserve">Šobrīd Ministru kabineta 2017.gada 14.novembra noteikumi Nr.676 “Noteikumi par neapliekamā minimuma un nodokļa atvieglojuma apmēru iedzīvotāju ienākuma nodokļa aprēķināšanai” nosaka, ka no 2020.gada maksimālais gada neapliekamais minimums ir 3000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(250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mēnesī), ko piemēro taksācijas gada ar iedzīvotāju ienākuma nodokli apliekamajam ienākumam līdz 5280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(440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mēnesī). </w:t>
      </w:r>
    </w:p>
    <w:p w14:paraId="27115E56" w14:textId="77777777" w:rsidR="000D55FC" w:rsidRPr="000D55FC" w:rsidRDefault="000D55FC" w:rsidP="000D55FC">
      <w:pPr>
        <w:spacing w:after="120" w:line="240" w:lineRule="auto"/>
        <w:ind w:firstLine="720"/>
        <w:jc w:val="both"/>
        <w:rPr>
          <w:rFonts w:ascii="Times New Roman" w:hAnsi="Times New Roman" w:cs="Times New Roman"/>
          <w:sz w:val="24"/>
          <w:szCs w:val="24"/>
        </w:rPr>
      </w:pPr>
      <w:r w:rsidRPr="000D55FC">
        <w:rPr>
          <w:rFonts w:ascii="Times New Roman" w:hAnsi="Times New Roman" w:cs="Times New Roman"/>
          <w:sz w:val="24"/>
          <w:szCs w:val="24"/>
        </w:rPr>
        <w:t xml:space="preserve">Vērtējot iedzīvotāju ienākuma nodokļa dinamiku, vērojamas pozitīvas izmaiņas nodarbinātības un darba samaksas struktūrā. Nodarbināto skaits pirmajā pusgadā pieaudzis par 1,4%, savukārt vidējā bruto alga pieaugusi par 7,7%. Algu grupu struktūrā pozitīvas izmaiņas zemāko (t.sk. minimālās) algu kategorijās – darba ņēmēju īpatsvars tajās samazinās, savukārt augstākajās - pieaug. Iedzīvotāju ienākuma nodokļa ieņēmumu septiņu mēnešu plāns izpildīts par 107,2%, turpinoties iepriekšējā gada tendencei – ieņēmumi no darba algas joprojām ir labāki, nekā iepriekš plānots. </w:t>
      </w:r>
    </w:p>
    <w:p w14:paraId="605CDF8F" w14:textId="77777777" w:rsidR="000D55FC" w:rsidRPr="000D55FC" w:rsidRDefault="000D55FC" w:rsidP="000D55FC">
      <w:pPr>
        <w:spacing w:after="120" w:line="240" w:lineRule="auto"/>
        <w:ind w:firstLine="720"/>
        <w:jc w:val="both"/>
        <w:rPr>
          <w:rFonts w:ascii="Times New Roman" w:hAnsi="Times New Roman" w:cs="Times New Roman"/>
          <w:sz w:val="24"/>
          <w:szCs w:val="24"/>
        </w:rPr>
      </w:pPr>
      <w:r w:rsidRPr="000D55FC">
        <w:rPr>
          <w:rFonts w:ascii="Times New Roman" w:hAnsi="Times New Roman" w:cs="Times New Roman"/>
          <w:sz w:val="24"/>
          <w:szCs w:val="24"/>
        </w:rPr>
        <w:t xml:space="preserve">Ņemot vērā, ka iedzīvotāju ienākuma nodokļa ieņēmumi 2019.gadā tiek iekasēti labāk kā plānots un lai budžeta iespēju robežās mazinātu nevienlīdzību un radītu mazāku nodokļa slogu personām ar zemiem ienākumiem, ir priekšlikums paaugstināt maksimālo gada diferencēto neapliekamo minimumu no 2020.gada līdz 3600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gadā (300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mēnesī) un arī paaugstināt līdz 6000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gadā (500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mēnesī)  augstāko robežu līdz kurai piemēro maksimālo gada diferencēto neapliekamo minimumu. Tādējādi 2020.gadā un turpmāk maksimālais diferencētais neapliekamais minimums 300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mēnesī tiks piemērots ienākumiem līdz 500 </w:t>
      </w:r>
      <w:proofErr w:type="spellStart"/>
      <w:r w:rsidRPr="000D55FC">
        <w:rPr>
          <w:rFonts w:ascii="Times New Roman" w:hAnsi="Times New Roman" w:cs="Times New Roman"/>
          <w:i/>
          <w:sz w:val="24"/>
          <w:szCs w:val="24"/>
        </w:rPr>
        <w:t>euro</w:t>
      </w:r>
      <w:proofErr w:type="spellEnd"/>
      <w:r w:rsidRPr="000D55FC">
        <w:rPr>
          <w:rFonts w:ascii="Times New Roman" w:hAnsi="Times New Roman" w:cs="Times New Roman"/>
          <w:sz w:val="24"/>
          <w:szCs w:val="24"/>
        </w:rPr>
        <w:t xml:space="preserve"> mēnesī.</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3969"/>
        <w:gridCol w:w="1843"/>
        <w:gridCol w:w="1701"/>
        <w:gridCol w:w="1701"/>
      </w:tblGrid>
      <w:tr w:rsidR="000D55FC" w:rsidRPr="000D55FC" w14:paraId="591F9B80" w14:textId="77777777" w:rsidTr="000D55FC">
        <w:trPr>
          <w:trHeight w:val="413"/>
          <w:jc w:val="center"/>
        </w:trPr>
        <w:tc>
          <w:tcPr>
            <w:tcW w:w="3969" w:type="dxa"/>
            <w:vMerge w:val="restart"/>
            <w:tcBorders>
              <w:top w:val="double" w:sz="4" w:space="0" w:color="auto"/>
              <w:left w:val="nil"/>
              <w:bottom w:val="double" w:sz="4" w:space="0" w:color="auto"/>
              <w:right w:val="dotted" w:sz="4" w:space="0" w:color="auto"/>
            </w:tcBorders>
            <w:vAlign w:val="center"/>
            <w:hideMark/>
          </w:tcPr>
          <w:p w14:paraId="2926E881" w14:textId="77777777" w:rsidR="000D55FC" w:rsidRPr="000D55FC" w:rsidRDefault="000D55FC" w:rsidP="000D55FC">
            <w:pPr>
              <w:spacing w:after="120"/>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Ieņēmumu veids</w:t>
            </w:r>
          </w:p>
        </w:tc>
        <w:tc>
          <w:tcPr>
            <w:tcW w:w="5245" w:type="dxa"/>
            <w:gridSpan w:val="3"/>
            <w:tcBorders>
              <w:top w:val="double" w:sz="4" w:space="0" w:color="auto"/>
              <w:left w:val="dotted" w:sz="4" w:space="0" w:color="auto"/>
              <w:bottom w:val="dotted" w:sz="4" w:space="0" w:color="auto"/>
              <w:right w:val="nil"/>
            </w:tcBorders>
            <w:vAlign w:val="center"/>
            <w:hideMark/>
          </w:tcPr>
          <w:p w14:paraId="54B2597B" w14:textId="77777777" w:rsidR="000D55FC" w:rsidRPr="000D55FC" w:rsidRDefault="000D55FC" w:rsidP="000D55FC">
            <w:pPr>
              <w:spacing w:after="120"/>
              <w:jc w:val="center"/>
              <w:rPr>
                <w:rFonts w:ascii="Times New Roman" w:eastAsia="Times New Roman" w:hAnsi="Times New Roman" w:cs="Times New Roman"/>
                <w:bCs/>
                <w:i/>
                <w:sz w:val="24"/>
                <w:szCs w:val="24"/>
                <w:lang w:eastAsia="lv-LV"/>
              </w:rPr>
            </w:pPr>
            <w:r w:rsidRPr="000D55FC">
              <w:rPr>
                <w:rFonts w:ascii="Times New Roman" w:eastAsia="Times New Roman" w:hAnsi="Times New Roman" w:cs="Times New Roman"/>
                <w:bCs/>
                <w:sz w:val="24"/>
                <w:szCs w:val="24"/>
                <w:lang w:eastAsia="lv-LV"/>
              </w:rPr>
              <w:t xml:space="preserve">Fiskālā ietekme, milj. </w:t>
            </w:r>
            <w:proofErr w:type="spellStart"/>
            <w:r w:rsidRPr="000D55FC">
              <w:rPr>
                <w:rFonts w:ascii="Times New Roman" w:eastAsia="Times New Roman" w:hAnsi="Times New Roman" w:cs="Times New Roman"/>
                <w:bCs/>
                <w:i/>
                <w:sz w:val="24"/>
                <w:szCs w:val="24"/>
                <w:lang w:eastAsia="lv-LV"/>
              </w:rPr>
              <w:t>euro</w:t>
            </w:r>
            <w:proofErr w:type="spellEnd"/>
          </w:p>
        </w:tc>
      </w:tr>
      <w:tr w:rsidR="000D55FC" w:rsidRPr="000D55FC" w14:paraId="0B9A2397" w14:textId="77777777" w:rsidTr="000D55FC">
        <w:trPr>
          <w:trHeight w:val="412"/>
          <w:jc w:val="center"/>
        </w:trPr>
        <w:tc>
          <w:tcPr>
            <w:tcW w:w="3969" w:type="dxa"/>
            <w:vMerge/>
            <w:tcBorders>
              <w:top w:val="double" w:sz="4" w:space="0" w:color="auto"/>
              <w:left w:val="nil"/>
              <w:bottom w:val="double" w:sz="4" w:space="0" w:color="auto"/>
              <w:right w:val="dotted" w:sz="4" w:space="0" w:color="auto"/>
            </w:tcBorders>
            <w:vAlign w:val="center"/>
            <w:hideMark/>
          </w:tcPr>
          <w:p w14:paraId="2C9D52D8" w14:textId="77777777" w:rsidR="000D55FC" w:rsidRPr="000D55FC" w:rsidRDefault="000D55FC" w:rsidP="000D55FC">
            <w:pPr>
              <w:spacing w:after="120"/>
              <w:rPr>
                <w:rFonts w:ascii="Times New Roman" w:eastAsia="Times New Roman" w:hAnsi="Times New Roman" w:cs="Times New Roman"/>
                <w:bCs/>
                <w:sz w:val="24"/>
                <w:szCs w:val="24"/>
                <w:lang w:eastAsia="lv-LV"/>
              </w:rPr>
            </w:pPr>
          </w:p>
        </w:tc>
        <w:tc>
          <w:tcPr>
            <w:tcW w:w="1843" w:type="dxa"/>
            <w:tcBorders>
              <w:top w:val="dotted" w:sz="4" w:space="0" w:color="auto"/>
              <w:left w:val="dotted" w:sz="4" w:space="0" w:color="auto"/>
              <w:bottom w:val="double" w:sz="4" w:space="0" w:color="auto"/>
              <w:right w:val="dotted" w:sz="4" w:space="0" w:color="auto"/>
            </w:tcBorders>
            <w:vAlign w:val="center"/>
            <w:hideMark/>
          </w:tcPr>
          <w:p w14:paraId="2A7FFE0A" w14:textId="77777777" w:rsidR="000D55FC" w:rsidRPr="000D55FC" w:rsidRDefault="000D55FC" w:rsidP="000D55FC">
            <w:pPr>
              <w:spacing w:after="120"/>
              <w:jc w:val="center"/>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2020.gadā</w:t>
            </w:r>
          </w:p>
        </w:tc>
        <w:tc>
          <w:tcPr>
            <w:tcW w:w="1701" w:type="dxa"/>
            <w:tcBorders>
              <w:top w:val="dotted" w:sz="4" w:space="0" w:color="auto"/>
              <w:left w:val="dotted" w:sz="4" w:space="0" w:color="auto"/>
              <w:bottom w:val="double" w:sz="4" w:space="0" w:color="auto"/>
              <w:right w:val="dotted" w:sz="4" w:space="0" w:color="auto"/>
            </w:tcBorders>
            <w:vAlign w:val="center"/>
            <w:hideMark/>
          </w:tcPr>
          <w:p w14:paraId="0B4189BF" w14:textId="77777777" w:rsidR="000D55FC" w:rsidRPr="000D55FC" w:rsidRDefault="000D55FC" w:rsidP="000D55FC">
            <w:pPr>
              <w:spacing w:after="120"/>
              <w:jc w:val="center"/>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2021.gadā</w:t>
            </w:r>
          </w:p>
        </w:tc>
        <w:tc>
          <w:tcPr>
            <w:tcW w:w="1701" w:type="dxa"/>
            <w:tcBorders>
              <w:top w:val="dotted" w:sz="4" w:space="0" w:color="auto"/>
              <w:left w:val="dotted" w:sz="4" w:space="0" w:color="auto"/>
              <w:bottom w:val="double" w:sz="4" w:space="0" w:color="auto"/>
              <w:right w:val="nil"/>
            </w:tcBorders>
            <w:vAlign w:val="center"/>
            <w:hideMark/>
          </w:tcPr>
          <w:p w14:paraId="6C4E1C22" w14:textId="77777777" w:rsidR="000D55FC" w:rsidRPr="000D55FC" w:rsidRDefault="000D55FC" w:rsidP="000D55FC">
            <w:pPr>
              <w:spacing w:after="120"/>
              <w:jc w:val="center"/>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2022.gadā</w:t>
            </w:r>
          </w:p>
        </w:tc>
      </w:tr>
      <w:tr w:rsidR="000D55FC" w:rsidRPr="000D55FC" w14:paraId="22E78D01" w14:textId="77777777" w:rsidTr="000D55FC">
        <w:trPr>
          <w:jc w:val="center"/>
        </w:trPr>
        <w:tc>
          <w:tcPr>
            <w:tcW w:w="3969" w:type="dxa"/>
            <w:tcBorders>
              <w:top w:val="single" w:sz="4" w:space="0" w:color="auto"/>
              <w:left w:val="nil"/>
              <w:bottom w:val="double" w:sz="4" w:space="0" w:color="auto"/>
              <w:right w:val="dotted" w:sz="4" w:space="0" w:color="auto"/>
            </w:tcBorders>
          </w:tcPr>
          <w:p w14:paraId="3354063D" w14:textId="77777777" w:rsidR="000D55FC" w:rsidRPr="000D55FC" w:rsidRDefault="000D55FC" w:rsidP="000D55FC">
            <w:pPr>
              <w:spacing w:after="120"/>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Iedzīvotāju ienākuma nodoklis</w:t>
            </w:r>
          </w:p>
        </w:tc>
        <w:tc>
          <w:tcPr>
            <w:tcW w:w="1843" w:type="dxa"/>
            <w:tcBorders>
              <w:top w:val="single" w:sz="4" w:space="0" w:color="auto"/>
              <w:left w:val="dotted" w:sz="4" w:space="0" w:color="auto"/>
              <w:bottom w:val="double" w:sz="4" w:space="0" w:color="auto"/>
              <w:right w:val="dotted" w:sz="4" w:space="0" w:color="auto"/>
            </w:tcBorders>
          </w:tcPr>
          <w:p w14:paraId="39801658" w14:textId="77777777" w:rsidR="000D55FC" w:rsidRPr="000D55FC" w:rsidRDefault="000D55FC" w:rsidP="000D55FC">
            <w:pPr>
              <w:spacing w:after="120"/>
              <w:jc w:val="center"/>
              <w:rPr>
                <w:rFonts w:ascii="Times New Roman" w:hAnsi="Times New Roman" w:cs="Times New Roman"/>
                <w:sz w:val="24"/>
                <w:szCs w:val="24"/>
              </w:rPr>
            </w:pPr>
            <w:r w:rsidRPr="000D55FC">
              <w:rPr>
                <w:rFonts w:ascii="Times New Roman" w:hAnsi="Times New Roman" w:cs="Times New Roman"/>
                <w:sz w:val="24"/>
                <w:szCs w:val="24"/>
              </w:rPr>
              <w:t>-35,000</w:t>
            </w:r>
          </w:p>
        </w:tc>
        <w:tc>
          <w:tcPr>
            <w:tcW w:w="1701" w:type="dxa"/>
            <w:tcBorders>
              <w:top w:val="single" w:sz="4" w:space="0" w:color="auto"/>
              <w:left w:val="dotted" w:sz="4" w:space="0" w:color="auto"/>
              <w:bottom w:val="double" w:sz="4" w:space="0" w:color="auto"/>
              <w:right w:val="dotted" w:sz="4" w:space="0" w:color="auto"/>
            </w:tcBorders>
            <w:vAlign w:val="center"/>
          </w:tcPr>
          <w:p w14:paraId="01E6130D" w14:textId="77777777" w:rsidR="000D55FC" w:rsidRPr="000D55FC" w:rsidRDefault="000D55FC" w:rsidP="000D55FC">
            <w:pPr>
              <w:spacing w:after="120"/>
              <w:jc w:val="center"/>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-35,000</w:t>
            </w:r>
          </w:p>
        </w:tc>
        <w:tc>
          <w:tcPr>
            <w:tcW w:w="1701" w:type="dxa"/>
            <w:tcBorders>
              <w:top w:val="single" w:sz="4" w:space="0" w:color="auto"/>
              <w:left w:val="dotted" w:sz="4" w:space="0" w:color="auto"/>
              <w:bottom w:val="double" w:sz="4" w:space="0" w:color="auto"/>
              <w:right w:val="dotted" w:sz="4" w:space="0" w:color="auto"/>
            </w:tcBorders>
            <w:vAlign w:val="center"/>
          </w:tcPr>
          <w:p w14:paraId="72758E78" w14:textId="77777777" w:rsidR="000D55FC" w:rsidRPr="000D55FC" w:rsidRDefault="000D55FC" w:rsidP="000D55FC">
            <w:pPr>
              <w:spacing w:after="120"/>
              <w:jc w:val="center"/>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-35,000</w:t>
            </w:r>
          </w:p>
        </w:tc>
      </w:tr>
      <w:tr w:rsidR="000D55FC" w:rsidRPr="000D55FC" w14:paraId="7AC94B21" w14:textId="77777777" w:rsidTr="000D55FC">
        <w:trPr>
          <w:jc w:val="center"/>
        </w:trPr>
        <w:tc>
          <w:tcPr>
            <w:tcW w:w="3969" w:type="dxa"/>
            <w:tcBorders>
              <w:top w:val="single" w:sz="4" w:space="0" w:color="auto"/>
              <w:left w:val="nil"/>
              <w:bottom w:val="double" w:sz="4" w:space="0" w:color="auto"/>
              <w:right w:val="dotted" w:sz="4" w:space="0" w:color="auto"/>
            </w:tcBorders>
          </w:tcPr>
          <w:p w14:paraId="28193010" w14:textId="77777777" w:rsidR="000D55FC" w:rsidRPr="000D55FC" w:rsidRDefault="000D55FC" w:rsidP="000D55FC">
            <w:pPr>
              <w:spacing w:after="120"/>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Pievienotās vērtības nodoklis</w:t>
            </w:r>
          </w:p>
        </w:tc>
        <w:tc>
          <w:tcPr>
            <w:tcW w:w="1843" w:type="dxa"/>
            <w:tcBorders>
              <w:top w:val="single" w:sz="4" w:space="0" w:color="auto"/>
              <w:left w:val="dotted" w:sz="4" w:space="0" w:color="auto"/>
              <w:bottom w:val="double" w:sz="4" w:space="0" w:color="auto"/>
              <w:right w:val="dotted" w:sz="4" w:space="0" w:color="auto"/>
            </w:tcBorders>
          </w:tcPr>
          <w:p w14:paraId="6955A157" w14:textId="77777777" w:rsidR="000D55FC" w:rsidRPr="000D55FC" w:rsidRDefault="000D55FC" w:rsidP="000D55FC">
            <w:pPr>
              <w:spacing w:after="120"/>
              <w:jc w:val="center"/>
              <w:rPr>
                <w:rFonts w:ascii="Times New Roman" w:hAnsi="Times New Roman" w:cs="Times New Roman"/>
                <w:sz w:val="24"/>
                <w:szCs w:val="24"/>
              </w:rPr>
            </w:pPr>
            <w:r w:rsidRPr="000D55FC">
              <w:rPr>
                <w:rFonts w:ascii="Times New Roman" w:hAnsi="Times New Roman" w:cs="Times New Roman"/>
                <w:sz w:val="24"/>
                <w:szCs w:val="24"/>
              </w:rPr>
              <w:t>3,000</w:t>
            </w:r>
          </w:p>
        </w:tc>
        <w:tc>
          <w:tcPr>
            <w:tcW w:w="1701" w:type="dxa"/>
            <w:tcBorders>
              <w:top w:val="single" w:sz="4" w:space="0" w:color="auto"/>
              <w:left w:val="dotted" w:sz="4" w:space="0" w:color="auto"/>
              <w:bottom w:val="double" w:sz="4" w:space="0" w:color="auto"/>
              <w:right w:val="dotted" w:sz="4" w:space="0" w:color="auto"/>
            </w:tcBorders>
            <w:vAlign w:val="center"/>
          </w:tcPr>
          <w:p w14:paraId="151B640B" w14:textId="77777777" w:rsidR="000D55FC" w:rsidRPr="000D55FC" w:rsidRDefault="000D55FC" w:rsidP="000D55FC">
            <w:pPr>
              <w:spacing w:after="120"/>
              <w:jc w:val="center"/>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3,000</w:t>
            </w:r>
          </w:p>
        </w:tc>
        <w:tc>
          <w:tcPr>
            <w:tcW w:w="1701" w:type="dxa"/>
            <w:tcBorders>
              <w:top w:val="single" w:sz="4" w:space="0" w:color="auto"/>
              <w:left w:val="dotted" w:sz="4" w:space="0" w:color="auto"/>
              <w:bottom w:val="double" w:sz="4" w:space="0" w:color="auto"/>
              <w:right w:val="dotted" w:sz="4" w:space="0" w:color="auto"/>
            </w:tcBorders>
            <w:vAlign w:val="center"/>
          </w:tcPr>
          <w:p w14:paraId="56D9C0E1" w14:textId="77777777" w:rsidR="000D55FC" w:rsidRPr="000D55FC" w:rsidRDefault="000D55FC" w:rsidP="000D55FC">
            <w:pPr>
              <w:spacing w:after="120"/>
              <w:jc w:val="center"/>
              <w:rPr>
                <w:rFonts w:ascii="Times New Roman" w:eastAsia="Times New Roman" w:hAnsi="Times New Roman" w:cs="Times New Roman"/>
                <w:bCs/>
                <w:sz w:val="24"/>
                <w:szCs w:val="24"/>
                <w:lang w:eastAsia="lv-LV"/>
              </w:rPr>
            </w:pPr>
            <w:r w:rsidRPr="000D55FC">
              <w:rPr>
                <w:rFonts w:ascii="Times New Roman" w:eastAsia="Times New Roman" w:hAnsi="Times New Roman" w:cs="Times New Roman"/>
                <w:bCs/>
                <w:sz w:val="24"/>
                <w:szCs w:val="24"/>
                <w:lang w:eastAsia="lv-LV"/>
              </w:rPr>
              <w:t>3,000</w:t>
            </w:r>
          </w:p>
        </w:tc>
      </w:tr>
      <w:tr w:rsidR="000D55FC" w:rsidRPr="000D55FC" w14:paraId="15E2B112" w14:textId="77777777" w:rsidTr="000D55FC">
        <w:trPr>
          <w:trHeight w:val="355"/>
          <w:jc w:val="center"/>
        </w:trPr>
        <w:tc>
          <w:tcPr>
            <w:tcW w:w="3969" w:type="dxa"/>
            <w:tcBorders>
              <w:top w:val="double" w:sz="4" w:space="0" w:color="auto"/>
              <w:left w:val="nil"/>
              <w:bottom w:val="double" w:sz="4" w:space="0" w:color="auto"/>
              <w:right w:val="dotted" w:sz="4" w:space="0" w:color="auto"/>
            </w:tcBorders>
            <w:vAlign w:val="bottom"/>
            <w:hideMark/>
          </w:tcPr>
          <w:p w14:paraId="17543790" w14:textId="77777777" w:rsidR="000D55FC" w:rsidRPr="000D55FC" w:rsidRDefault="000D55FC" w:rsidP="000D55FC">
            <w:pPr>
              <w:spacing w:after="120"/>
              <w:rPr>
                <w:rFonts w:ascii="Times New Roman" w:eastAsia="Times New Roman" w:hAnsi="Times New Roman" w:cs="Times New Roman"/>
                <w:b/>
                <w:bCs/>
                <w:sz w:val="24"/>
                <w:szCs w:val="24"/>
                <w:lang w:eastAsia="lv-LV"/>
              </w:rPr>
            </w:pPr>
            <w:r w:rsidRPr="000D55FC">
              <w:rPr>
                <w:rFonts w:ascii="Times New Roman" w:eastAsia="Times New Roman" w:hAnsi="Times New Roman" w:cs="Times New Roman"/>
                <w:b/>
                <w:bCs/>
                <w:sz w:val="24"/>
                <w:szCs w:val="24"/>
                <w:lang w:eastAsia="lv-LV"/>
              </w:rPr>
              <w:t>KOPĀ</w:t>
            </w:r>
          </w:p>
        </w:tc>
        <w:tc>
          <w:tcPr>
            <w:tcW w:w="1843" w:type="dxa"/>
            <w:tcBorders>
              <w:top w:val="double" w:sz="4" w:space="0" w:color="auto"/>
              <w:left w:val="dotted" w:sz="4" w:space="0" w:color="auto"/>
              <w:bottom w:val="double" w:sz="4" w:space="0" w:color="auto"/>
              <w:right w:val="dotted" w:sz="4" w:space="0" w:color="auto"/>
            </w:tcBorders>
          </w:tcPr>
          <w:p w14:paraId="14E44B7C" w14:textId="77777777" w:rsidR="000D55FC" w:rsidRPr="000D55FC" w:rsidRDefault="000D55FC" w:rsidP="000D55FC">
            <w:pPr>
              <w:spacing w:after="120"/>
              <w:jc w:val="center"/>
              <w:rPr>
                <w:rFonts w:ascii="Times New Roman" w:hAnsi="Times New Roman" w:cs="Times New Roman"/>
                <w:b/>
                <w:sz w:val="24"/>
                <w:szCs w:val="24"/>
              </w:rPr>
            </w:pPr>
            <w:r w:rsidRPr="000D55FC">
              <w:rPr>
                <w:rFonts w:ascii="Times New Roman" w:hAnsi="Times New Roman" w:cs="Times New Roman"/>
                <w:b/>
                <w:sz w:val="24"/>
                <w:szCs w:val="24"/>
              </w:rPr>
              <w:t>-32,000</w:t>
            </w:r>
          </w:p>
        </w:tc>
        <w:tc>
          <w:tcPr>
            <w:tcW w:w="1701" w:type="dxa"/>
            <w:tcBorders>
              <w:top w:val="double" w:sz="4" w:space="0" w:color="auto"/>
              <w:left w:val="dotted" w:sz="4" w:space="0" w:color="auto"/>
              <w:bottom w:val="double" w:sz="4" w:space="0" w:color="auto"/>
              <w:right w:val="dotted" w:sz="4" w:space="0" w:color="auto"/>
            </w:tcBorders>
            <w:vAlign w:val="center"/>
          </w:tcPr>
          <w:p w14:paraId="1530820E" w14:textId="77777777" w:rsidR="000D55FC" w:rsidRPr="000D55FC" w:rsidRDefault="000D55FC" w:rsidP="000D55FC">
            <w:pPr>
              <w:spacing w:after="120"/>
              <w:jc w:val="center"/>
              <w:rPr>
                <w:rFonts w:ascii="Times New Roman" w:eastAsia="Times New Roman" w:hAnsi="Times New Roman" w:cs="Times New Roman"/>
                <w:b/>
                <w:bCs/>
                <w:sz w:val="24"/>
                <w:szCs w:val="24"/>
                <w:lang w:eastAsia="lv-LV"/>
              </w:rPr>
            </w:pPr>
            <w:r w:rsidRPr="000D55FC">
              <w:rPr>
                <w:rFonts w:ascii="Times New Roman" w:eastAsia="Times New Roman" w:hAnsi="Times New Roman" w:cs="Times New Roman"/>
                <w:b/>
                <w:bCs/>
                <w:sz w:val="24"/>
                <w:szCs w:val="24"/>
                <w:lang w:eastAsia="lv-LV"/>
              </w:rPr>
              <w:t>-32,000</w:t>
            </w:r>
          </w:p>
        </w:tc>
        <w:tc>
          <w:tcPr>
            <w:tcW w:w="1701" w:type="dxa"/>
            <w:tcBorders>
              <w:top w:val="double" w:sz="4" w:space="0" w:color="auto"/>
              <w:left w:val="dotted" w:sz="4" w:space="0" w:color="auto"/>
              <w:bottom w:val="double" w:sz="4" w:space="0" w:color="auto"/>
              <w:right w:val="dotted" w:sz="4" w:space="0" w:color="auto"/>
            </w:tcBorders>
            <w:vAlign w:val="center"/>
          </w:tcPr>
          <w:p w14:paraId="00FA1ACC" w14:textId="77777777" w:rsidR="000D55FC" w:rsidRPr="000D55FC" w:rsidRDefault="000D55FC" w:rsidP="000D55FC">
            <w:pPr>
              <w:spacing w:after="120"/>
              <w:jc w:val="center"/>
              <w:rPr>
                <w:rFonts w:ascii="Times New Roman" w:eastAsia="Times New Roman" w:hAnsi="Times New Roman" w:cs="Times New Roman"/>
                <w:b/>
                <w:bCs/>
                <w:sz w:val="24"/>
                <w:szCs w:val="24"/>
                <w:lang w:eastAsia="lv-LV"/>
              </w:rPr>
            </w:pPr>
            <w:r w:rsidRPr="000D55FC">
              <w:rPr>
                <w:rFonts w:ascii="Times New Roman" w:eastAsia="Times New Roman" w:hAnsi="Times New Roman" w:cs="Times New Roman"/>
                <w:b/>
                <w:bCs/>
                <w:sz w:val="24"/>
                <w:szCs w:val="24"/>
                <w:lang w:eastAsia="lv-LV"/>
              </w:rPr>
              <w:t>-32,000</w:t>
            </w:r>
          </w:p>
        </w:tc>
      </w:tr>
    </w:tbl>
    <w:p w14:paraId="535C7EA9" w14:textId="15F36DA5" w:rsidR="009978B8" w:rsidRDefault="009978B8" w:rsidP="000D55FC">
      <w:pPr>
        <w:spacing w:after="120" w:line="240" w:lineRule="auto"/>
        <w:jc w:val="both"/>
        <w:rPr>
          <w:rFonts w:ascii="Times New Roman" w:hAnsi="Times New Roman" w:cs="Times New Roman"/>
          <w:sz w:val="24"/>
          <w:szCs w:val="24"/>
        </w:rPr>
      </w:pPr>
    </w:p>
    <w:p w14:paraId="025C54BF" w14:textId="33DDE9FC" w:rsidR="0006535D" w:rsidRPr="009978B8" w:rsidRDefault="00F9692A" w:rsidP="00C35ABD">
      <w:pPr>
        <w:pStyle w:val="ListParagraph"/>
        <w:numPr>
          <w:ilvl w:val="1"/>
          <w:numId w:val="17"/>
        </w:numPr>
        <w:spacing w:after="120" w:line="240" w:lineRule="auto"/>
        <w:contextualSpacing w:val="0"/>
        <w:jc w:val="both"/>
        <w:rPr>
          <w:rFonts w:ascii="Times New Roman" w:hAnsi="Times New Roman"/>
          <w:b/>
          <w:sz w:val="24"/>
          <w:szCs w:val="24"/>
        </w:rPr>
      </w:pPr>
      <w:r>
        <w:rPr>
          <w:rFonts w:ascii="Times New Roman" w:hAnsi="Times New Roman" w:cs="Times New Roman"/>
          <w:b/>
          <w:sz w:val="24"/>
          <w:szCs w:val="24"/>
        </w:rPr>
        <w:t xml:space="preserve"> </w:t>
      </w:r>
      <w:r w:rsidR="0006535D" w:rsidRPr="009978B8">
        <w:rPr>
          <w:rFonts w:ascii="Times New Roman" w:hAnsi="Times New Roman"/>
          <w:b/>
          <w:sz w:val="24"/>
          <w:szCs w:val="24"/>
        </w:rPr>
        <w:t xml:space="preserve"> Par enerģētikas politikas izmaiņām un to finansēšanas avotiem</w:t>
      </w:r>
    </w:p>
    <w:p w14:paraId="2B2BDCB5" w14:textId="77777777" w:rsidR="00AE3735" w:rsidRDefault="00AE3735" w:rsidP="00C35ABD">
      <w:pPr>
        <w:spacing w:after="120" w:line="240" w:lineRule="auto"/>
        <w:ind w:firstLine="709"/>
        <w:jc w:val="both"/>
        <w:rPr>
          <w:rFonts w:ascii="Times New Roman" w:hAnsi="Times New Roman"/>
          <w:sz w:val="24"/>
          <w:szCs w:val="24"/>
        </w:rPr>
      </w:pPr>
      <w:r w:rsidRPr="009978B8">
        <w:rPr>
          <w:rFonts w:ascii="Times New Roman" w:hAnsi="Times New Roman"/>
          <w:sz w:val="24"/>
          <w:szCs w:val="24"/>
        </w:rPr>
        <w:t>Pieņemt zināšanai, ka šobrīd vidējā termiņa budžeta ietvarā 2021. un 2022.gadam netiek plānoti ieņēmumi no Latvenergo koncerna dividendēm un valsts budžeta izdevumi enerģētikas politikas īstenošanai un tie tiks iekļauti likumā ”Par valsts budžetu  2021.gadam” atbilstoši Ministru kabinetā pieņemtajam konceptuālajam lēmumam par elektroenerģijas obligātā iepirkuma komponentes problemātikas iespējamajiem risinājumiem, enerģētikas politikas īstenošanas funkcijām un to finansēšanas avotiem.</w:t>
      </w:r>
    </w:p>
    <w:p w14:paraId="4CBEE3DF" w14:textId="77777777" w:rsidR="009978B8" w:rsidRPr="009978B8" w:rsidRDefault="009978B8" w:rsidP="00C35ABD">
      <w:pPr>
        <w:spacing w:after="120" w:line="240" w:lineRule="auto"/>
        <w:ind w:firstLine="709"/>
        <w:jc w:val="both"/>
        <w:rPr>
          <w:rFonts w:ascii="Times New Roman" w:hAnsi="Times New Roman" w:cs="Times New Roman"/>
          <w:sz w:val="24"/>
          <w:szCs w:val="24"/>
        </w:rPr>
      </w:pPr>
    </w:p>
    <w:p w14:paraId="5238C3DE" w14:textId="77777777" w:rsidR="002925F3" w:rsidRPr="009978B8" w:rsidRDefault="002925F3" w:rsidP="00C35ABD">
      <w:pPr>
        <w:pStyle w:val="ListParagraph"/>
        <w:numPr>
          <w:ilvl w:val="1"/>
          <w:numId w:val="17"/>
        </w:numPr>
        <w:spacing w:after="120" w:line="240" w:lineRule="auto"/>
        <w:contextualSpacing w:val="0"/>
        <w:jc w:val="both"/>
        <w:rPr>
          <w:rFonts w:ascii="Times New Roman" w:hAnsi="Times New Roman" w:cs="Times New Roman"/>
          <w:b/>
          <w:sz w:val="24"/>
          <w:szCs w:val="24"/>
        </w:rPr>
      </w:pPr>
      <w:r w:rsidRPr="009978B8">
        <w:rPr>
          <w:rFonts w:ascii="Times New Roman" w:hAnsi="Times New Roman" w:cs="Times New Roman"/>
          <w:b/>
          <w:sz w:val="24"/>
          <w:szCs w:val="24"/>
        </w:rPr>
        <w:t xml:space="preserve"> Minimālās mēneša darba algas paaugstināšana</w:t>
      </w:r>
    </w:p>
    <w:p w14:paraId="66BEFE07" w14:textId="77777777" w:rsidR="009978B8" w:rsidRPr="009978B8" w:rsidRDefault="002925F3" w:rsidP="00C35ABD">
      <w:pPr>
        <w:spacing w:after="120" w:line="240" w:lineRule="auto"/>
        <w:jc w:val="both"/>
        <w:rPr>
          <w:rFonts w:ascii="Times New Roman" w:hAnsi="Times New Roman" w:cs="Times New Roman"/>
          <w:sz w:val="24"/>
          <w:szCs w:val="24"/>
        </w:rPr>
      </w:pPr>
      <w:r w:rsidRPr="009978B8">
        <w:rPr>
          <w:rFonts w:ascii="Times New Roman" w:hAnsi="Times New Roman" w:cs="Times New Roman"/>
          <w:sz w:val="24"/>
          <w:szCs w:val="24"/>
        </w:rPr>
        <w:t xml:space="preserve"> </w:t>
      </w:r>
      <w:r w:rsidR="009978B8">
        <w:rPr>
          <w:rFonts w:ascii="Times New Roman" w:hAnsi="Times New Roman" w:cs="Times New Roman"/>
          <w:sz w:val="24"/>
          <w:szCs w:val="24"/>
        </w:rPr>
        <w:tab/>
      </w:r>
      <w:r w:rsidR="009978B8" w:rsidRPr="009978B8">
        <w:rPr>
          <w:rFonts w:ascii="Times New Roman" w:hAnsi="Times New Roman" w:cs="Times New Roman"/>
          <w:sz w:val="24"/>
          <w:szCs w:val="24"/>
        </w:rPr>
        <w:t xml:space="preserve">Minimālās mēneša darba algas paaugstināšanu ir viens no būtiskiem stimuliem pēc iedzīvotāju ienākuma nodokļa </w:t>
      </w:r>
      <w:r w:rsidR="009978B8">
        <w:rPr>
          <w:rFonts w:ascii="Times New Roman" w:hAnsi="Times New Roman" w:cs="Times New Roman"/>
          <w:sz w:val="24"/>
          <w:szCs w:val="24"/>
        </w:rPr>
        <w:t>atvieglojumiem</w:t>
      </w:r>
      <w:r w:rsidR="009978B8" w:rsidRPr="009978B8">
        <w:rPr>
          <w:rFonts w:ascii="Times New Roman" w:hAnsi="Times New Roman" w:cs="Times New Roman"/>
          <w:sz w:val="24"/>
          <w:szCs w:val="24"/>
        </w:rPr>
        <w:t>, kā atbalstīt iedzīvotājus ar zemiem ienākumiem. Tā ir būtiska ne t</w:t>
      </w:r>
      <w:r w:rsidR="009978B8">
        <w:rPr>
          <w:rFonts w:ascii="Times New Roman" w:hAnsi="Times New Roman" w:cs="Times New Roman"/>
          <w:sz w:val="24"/>
          <w:szCs w:val="24"/>
        </w:rPr>
        <w:t>ikai nevienlīdzības mazināšanai</w:t>
      </w:r>
      <w:r w:rsidR="009978B8" w:rsidRPr="009978B8">
        <w:rPr>
          <w:rFonts w:ascii="Times New Roman" w:hAnsi="Times New Roman" w:cs="Times New Roman"/>
          <w:sz w:val="24"/>
          <w:szCs w:val="24"/>
        </w:rPr>
        <w:t xml:space="preserve">, bet vienlaikus minimālās algas palielinājums mazina ēnu ekonomiku un palielina valsts budžeta ienākumus.  Šobrīd Latvijā minimālā alga ir 430 </w:t>
      </w:r>
      <w:proofErr w:type="spellStart"/>
      <w:r w:rsidR="009978B8" w:rsidRPr="009978B8">
        <w:rPr>
          <w:rFonts w:ascii="Times New Roman" w:hAnsi="Times New Roman" w:cs="Times New Roman"/>
          <w:i/>
          <w:sz w:val="24"/>
          <w:szCs w:val="24"/>
        </w:rPr>
        <w:t>euro</w:t>
      </w:r>
      <w:proofErr w:type="spellEnd"/>
      <w:r w:rsidR="009978B8" w:rsidRPr="009978B8">
        <w:rPr>
          <w:rFonts w:ascii="Times New Roman" w:hAnsi="Times New Roman" w:cs="Times New Roman"/>
          <w:sz w:val="24"/>
          <w:szCs w:val="24"/>
        </w:rPr>
        <w:t xml:space="preserve">, savukārt Lietuvā 555 </w:t>
      </w:r>
      <w:proofErr w:type="spellStart"/>
      <w:r w:rsidR="009978B8" w:rsidRPr="009978B8">
        <w:rPr>
          <w:rFonts w:ascii="Times New Roman" w:hAnsi="Times New Roman" w:cs="Times New Roman"/>
          <w:i/>
          <w:sz w:val="24"/>
          <w:szCs w:val="24"/>
        </w:rPr>
        <w:t>euro</w:t>
      </w:r>
      <w:proofErr w:type="spellEnd"/>
      <w:r w:rsidR="009978B8" w:rsidRPr="009978B8">
        <w:rPr>
          <w:rFonts w:ascii="Times New Roman" w:hAnsi="Times New Roman" w:cs="Times New Roman"/>
          <w:sz w:val="24"/>
          <w:szCs w:val="24"/>
        </w:rPr>
        <w:t xml:space="preserve"> un Igaunijā 540 </w:t>
      </w:r>
      <w:proofErr w:type="spellStart"/>
      <w:r w:rsidR="009978B8" w:rsidRPr="009978B8">
        <w:rPr>
          <w:rFonts w:ascii="Times New Roman" w:hAnsi="Times New Roman" w:cs="Times New Roman"/>
          <w:i/>
          <w:sz w:val="24"/>
          <w:szCs w:val="24"/>
        </w:rPr>
        <w:t>euro</w:t>
      </w:r>
      <w:proofErr w:type="spellEnd"/>
      <w:r w:rsidR="009978B8" w:rsidRPr="009978B8">
        <w:rPr>
          <w:rFonts w:ascii="Times New Roman" w:hAnsi="Times New Roman" w:cs="Times New Roman"/>
          <w:sz w:val="24"/>
          <w:szCs w:val="24"/>
        </w:rPr>
        <w:t xml:space="preserve">. Lai uzlabotu konkurētspēju un mazinātu ēnu ekonomiku ir priekšlikums minimālās mēneša darba algas paaugstināšanu – 500 </w:t>
      </w:r>
      <w:proofErr w:type="spellStart"/>
      <w:r w:rsidR="009978B8">
        <w:rPr>
          <w:rFonts w:ascii="Times New Roman" w:hAnsi="Times New Roman" w:cs="Times New Roman"/>
          <w:i/>
          <w:sz w:val="24"/>
          <w:szCs w:val="24"/>
        </w:rPr>
        <w:t>euro</w:t>
      </w:r>
      <w:proofErr w:type="spellEnd"/>
      <w:r w:rsidR="009978B8" w:rsidRPr="009978B8">
        <w:rPr>
          <w:rFonts w:ascii="Times New Roman" w:hAnsi="Times New Roman" w:cs="Times New Roman"/>
          <w:sz w:val="24"/>
          <w:szCs w:val="24"/>
        </w:rPr>
        <w:t xml:space="preserve"> ar 2021.gadu.</w:t>
      </w:r>
    </w:p>
    <w:p w14:paraId="7AEB0D70" w14:textId="788136C0" w:rsidR="002B09C7" w:rsidRDefault="002B09C7" w:rsidP="009978B8">
      <w:pPr>
        <w:spacing w:after="120" w:line="240" w:lineRule="auto"/>
        <w:jc w:val="both"/>
        <w:rPr>
          <w:rFonts w:ascii="Times New Roman" w:hAnsi="Times New Roman"/>
          <w:sz w:val="24"/>
          <w:szCs w:val="24"/>
        </w:rPr>
      </w:pPr>
    </w:p>
    <w:p w14:paraId="101E533F" w14:textId="1C66F26C" w:rsidR="00E74943" w:rsidRDefault="00E74943" w:rsidP="009978B8">
      <w:pPr>
        <w:spacing w:after="120" w:line="240" w:lineRule="auto"/>
        <w:jc w:val="both"/>
        <w:rPr>
          <w:rFonts w:ascii="Times New Roman" w:hAnsi="Times New Roman"/>
          <w:sz w:val="24"/>
          <w:szCs w:val="24"/>
        </w:rPr>
      </w:pPr>
    </w:p>
    <w:p w14:paraId="346ED87A" w14:textId="77777777" w:rsidR="00E74943" w:rsidRDefault="00E74943" w:rsidP="009978B8">
      <w:pPr>
        <w:spacing w:after="120" w:line="240" w:lineRule="auto"/>
        <w:jc w:val="both"/>
        <w:rPr>
          <w:rFonts w:ascii="Times New Roman" w:hAnsi="Times New Roman"/>
          <w:sz w:val="24"/>
          <w:szCs w:val="24"/>
        </w:rPr>
      </w:pPr>
      <w:bookmarkStart w:id="0" w:name="_GoBack"/>
      <w:bookmarkEnd w:id="0"/>
    </w:p>
    <w:p w14:paraId="319EBC8E" w14:textId="5686215A" w:rsidR="006F09D9" w:rsidRDefault="00730327" w:rsidP="004C4E58">
      <w:pPr>
        <w:spacing w:before="120" w:after="120"/>
        <w:jc w:val="both"/>
        <w:rPr>
          <w:rFonts w:ascii="Times New Roman" w:hAnsi="Times New Roman" w:cs="Times New Roman"/>
          <w:sz w:val="24"/>
          <w:szCs w:val="24"/>
        </w:rPr>
      </w:pPr>
      <w:r>
        <w:rPr>
          <w:rFonts w:ascii="Times New Roman" w:hAnsi="Times New Roman" w:cs="Times New Roman"/>
          <w:sz w:val="24"/>
          <w:szCs w:val="24"/>
        </w:rPr>
        <w:t>Finanšu ministrs</w:t>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sidRPr="00A00C2A">
        <w:rPr>
          <w:rFonts w:ascii="Times New Roman" w:hAnsi="Times New Roman" w:cs="Times New Roman"/>
          <w:sz w:val="24"/>
          <w:szCs w:val="24"/>
        </w:rPr>
        <w:tab/>
      </w:r>
      <w:r w:rsidR="00A00C2A">
        <w:rPr>
          <w:rFonts w:ascii="Times New Roman" w:hAnsi="Times New Roman" w:cs="Times New Roman"/>
          <w:sz w:val="24"/>
          <w:szCs w:val="24"/>
        </w:rPr>
        <w:tab/>
      </w:r>
      <w:r w:rsidR="00B66F61">
        <w:rPr>
          <w:rFonts w:ascii="Times New Roman" w:hAnsi="Times New Roman" w:cs="Times New Roman"/>
          <w:sz w:val="24"/>
          <w:szCs w:val="24"/>
        </w:rPr>
        <w:tab/>
      </w:r>
      <w:r>
        <w:rPr>
          <w:rFonts w:ascii="Times New Roman" w:hAnsi="Times New Roman" w:cs="Times New Roman"/>
          <w:sz w:val="24"/>
          <w:szCs w:val="24"/>
        </w:rPr>
        <w:t>J.</w:t>
      </w:r>
      <w:r w:rsidR="00B66F61">
        <w:rPr>
          <w:rFonts w:ascii="Times New Roman" w:hAnsi="Times New Roman" w:cs="Times New Roman"/>
          <w:sz w:val="24"/>
          <w:szCs w:val="24"/>
        </w:rPr>
        <w:t xml:space="preserve"> </w:t>
      </w:r>
      <w:r>
        <w:rPr>
          <w:rFonts w:ascii="Times New Roman" w:hAnsi="Times New Roman" w:cs="Times New Roman"/>
          <w:sz w:val="24"/>
          <w:szCs w:val="24"/>
        </w:rPr>
        <w:t>Reirs</w:t>
      </w:r>
    </w:p>
    <w:p w14:paraId="438993BF" w14:textId="019F199D" w:rsidR="002B09C7" w:rsidRDefault="002B09C7" w:rsidP="00195591">
      <w:pPr>
        <w:rPr>
          <w:rFonts w:ascii="Times New Roman" w:hAnsi="Times New Roman" w:cs="Times New Roman"/>
          <w:sz w:val="24"/>
          <w:szCs w:val="24"/>
        </w:rPr>
      </w:pPr>
    </w:p>
    <w:p w14:paraId="4FA65AF9" w14:textId="77777777" w:rsidR="0023106E" w:rsidRDefault="0023106E" w:rsidP="00195591">
      <w:pPr>
        <w:rPr>
          <w:rFonts w:ascii="Times New Roman" w:hAnsi="Times New Roman" w:cs="Times New Roman"/>
          <w:sz w:val="24"/>
          <w:szCs w:val="24"/>
        </w:rPr>
      </w:pPr>
    </w:p>
    <w:p w14:paraId="70BFECD0" w14:textId="77777777" w:rsidR="00B83A21" w:rsidRPr="00B83A21" w:rsidRDefault="00085BC8" w:rsidP="00B83A21">
      <w:pPr>
        <w:spacing w:after="0"/>
        <w:rPr>
          <w:rFonts w:ascii="Times New Roman" w:hAnsi="Times New Roman" w:cs="Times New Roman"/>
          <w:sz w:val="20"/>
          <w:szCs w:val="20"/>
        </w:rPr>
      </w:pPr>
      <w:r>
        <w:rPr>
          <w:rFonts w:ascii="Times New Roman" w:hAnsi="Times New Roman" w:cs="Times New Roman"/>
          <w:sz w:val="20"/>
          <w:szCs w:val="20"/>
        </w:rPr>
        <w:t>Zane Adijāne, 67095437</w:t>
      </w:r>
    </w:p>
    <w:p w14:paraId="0DECD111" w14:textId="77777777" w:rsidR="00B83A21" w:rsidRPr="002E592D" w:rsidRDefault="00E74943" w:rsidP="002E592D">
      <w:pPr>
        <w:spacing w:after="0"/>
        <w:rPr>
          <w:rFonts w:ascii="Times New Roman" w:hAnsi="Times New Roman" w:cs="Times New Roman"/>
          <w:sz w:val="20"/>
          <w:szCs w:val="20"/>
        </w:rPr>
      </w:pPr>
      <w:hyperlink r:id="rId8" w:history="1">
        <w:r w:rsidR="00085BC8" w:rsidRPr="00C51B91">
          <w:rPr>
            <w:rStyle w:val="Hyperlink"/>
            <w:rFonts w:ascii="Times New Roman" w:hAnsi="Times New Roman" w:cs="Times New Roman"/>
            <w:sz w:val="20"/>
            <w:szCs w:val="20"/>
          </w:rPr>
          <w:t>zane.adijane@fm.gov.lv</w:t>
        </w:r>
      </w:hyperlink>
      <w:r w:rsidR="00B83A21" w:rsidRPr="00B83A21">
        <w:rPr>
          <w:rFonts w:ascii="Times New Roman" w:hAnsi="Times New Roman" w:cs="Times New Roman"/>
          <w:sz w:val="20"/>
          <w:szCs w:val="20"/>
        </w:rPr>
        <w:t xml:space="preserve"> </w:t>
      </w:r>
    </w:p>
    <w:sectPr w:rsidR="00B83A21" w:rsidRPr="002E592D" w:rsidSect="004F2BF5">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321F" w14:textId="77777777" w:rsidR="00FD7898" w:rsidRDefault="00FD7898" w:rsidP="00D7043B">
      <w:pPr>
        <w:spacing w:after="0" w:line="240" w:lineRule="auto"/>
      </w:pPr>
      <w:r>
        <w:separator/>
      </w:r>
    </w:p>
  </w:endnote>
  <w:endnote w:type="continuationSeparator" w:id="0">
    <w:p w14:paraId="6A069490" w14:textId="77777777" w:rsidR="00FD7898" w:rsidRDefault="00FD7898" w:rsidP="00D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BB6" w14:textId="77777777" w:rsidR="009C25F7" w:rsidRDefault="009C2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7001" w14:textId="7A3ED944" w:rsidR="00D7043B" w:rsidRPr="002B5B22" w:rsidRDefault="000F566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507105">
      <w:rPr>
        <w:rFonts w:ascii="Times New Roman" w:hAnsi="Times New Roman" w:cs="Times New Roman"/>
        <w:noProof/>
        <w:sz w:val="20"/>
        <w:szCs w:val="20"/>
      </w:rPr>
      <w:t>FMZin_120919.docx</w:t>
    </w:r>
    <w:r>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7FDA2" w14:textId="29ABA53D" w:rsidR="000F566C" w:rsidRPr="002B5B22" w:rsidRDefault="000F566C" w:rsidP="000F566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507105">
      <w:rPr>
        <w:rFonts w:ascii="Times New Roman" w:hAnsi="Times New Roman" w:cs="Times New Roman"/>
        <w:noProof/>
        <w:sz w:val="20"/>
        <w:szCs w:val="20"/>
      </w:rPr>
      <w:t>FMZin_120919.docx</w:t>
    </w:r>
    <w:r>
      <w:rPr>
        <w:rFonts w:ascii="Times New Roman" w:hAnsi="Times New Roman" w:cs="Times New Roman"/>
        <w:sz w:val="20"/>
        <w:szCs w:val="20"/>
      </w:rPr>
      <w:fldChar w:fldCharType="end"/>
    </w:r>
  </w:p>
  <w:p w14:paraId="3E99E87F" w14:textId="77777777" w:rsidR="002E592D" w:rsidRPr="000F566C" w:rsidRDefault="002E592D" w:rsidP="000F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E78E9" w14:textId="77777777" w:rsidR="00FD7898" w:rsidRDefault="00FD7898" w:rsidP="00D7043B">
      <w:pPr>
        <w:spacing w:after="0" w:line="240" w:lineRule="auto"/>
      </w:pPr>
      <w:r>
        <w:separator/>
      </w:r>
    </w:p>
  </w:footnote>
  <w:footnote w:type="continuationSeparator" w:id="0">
    <w:p w14:paraId="6F898938" w14:textId="77777777" w:rsidR="00FD7898" w:rsidRDefault="00FD7898" w:rsidP="00D7043B">
      <w:pPr>
        <w:spacing w:after="0" w:line="240" w:lineRule="auto"/>
      </w:pPr>
      <w:r>
        <w:continuationSeparator/>
      </w:r>
    </w:p>
  </w:footnote>
  <w:footnote w:id="1">
    <w:p w14:paraId="7A95EA3A" w14:textId="77777777" w:rsidR="002925F3" w:rsidRPr="00475A32" w:rsidRDefault="002925F3" w:rsidP="002925F3">
      <w:pPr>
        <w:spacing w:after="0" w:line="240" w:lineRule="auto"/>
        <w:rPr>
          <w:rFonts w:ascii="Times New Roman" w:hAnsi="Times New Roman" w:cs="Times New Roman"/>
          <w:sz w:val="20"/>
          <w:szCs w:val="20"/>
        </w:rPr>
      </w:pPr>
      <w:r w:rsidRPr="00475A32">
        <w:rPr>
          <w:rStyle w:val="FootnoteReference"/>
          <w:rFonts w:ascii="Times New Roman" w:hAnsi="Times New Roman" w:cs="Times New Roman"/>
          <w:sz w:val="20"/>
          <w:szCs w:val="20"/>
        </w:rPr>
        <w:footnoteRef/>
      </w:r>
      <w:r w:rsidRPr="00475A32">
        <w:rPr>
          <w:rFonts w:ascii="Times New Roman" w:hAnsi="Times New Roman" w:cs="Times New Roman"/>
          <w:sz w:val="20"/>
          <w:szCs w:val="20"/>
        </w:rPr>
        <w:t xml:space="preserve"> Ministru kabineta 2019.gada 16.jūlija sēdes MK protokola Nr.33 </w:t>
      </w:r>
      <w:r w:rsidRPr="00475A32">
        <w:rPr>
          <w:rFonts w:ascii="Times New Roman" w:eastAsia="Times New Roman" w:hAnsi="Times New Roman" w:cs="Times New Roman"/>
          <w:sz w:val="20"/>
          <w:szCs w:val="20"/>
          <w:lang w:eastAsia="lv-LV"/>
        </w:rPr>
        <w:t>84.§</w:t>
      </w:r>
      <w:r w:rsidRPr="00475A32">
        <w:rPr>
          <w:rFonts w:ascii="Times New Roman" w:hAnsi="Times New Roman" w:cs="Times New Roman"/>
          <w:bCs/>
          <w:sz w:val="20"/>
          <w:szCs w:val="20"/>
        </w:rPr>
        <w:t xml:space="preserve"> (TA-1342)</w:t>
      </w:r>
    </w:p>
  </w:footnote>
  <w:footnote w:id="2">
    <w:p w14:paraId="6447BEBC" w14:textId="77777777" w:rsidR="002925F3" w:rsidRPr="00475A32" w:rsidRDefault="002925F3" w:rsidP="002925F3">
      <w:pPr>
        <w:pStyle w:val="FootnoteText"/>
        <w:jc w:val="both"/>
        <w:rPr>
          <w:rFonts w:cs="Times New Roman"/>
        </w:rPr>
      </w:pPr>
      <w:r w:rsidRPr="00475A32">
        <w:rPr>
          <w:rStyle w:val="FootnoteReference"/>
          <w:rFonts w:cs="Times New Roman"/>
        </w:rPr>
        <w:footnoteRef/>
      </w:r>
      <w:r w:rsidRPr="00475A32">
        <w:rPr>
          <w:rFonts w:cs="Times New Roman"/>
        </w:rPr>
        <w:t xml:space="preserve"> </w:t>
      </w:r>
      <w:r w:rsidRPr="00475A32">
        <w:rPr>
          <w:rFonts w:cs="Times New Roman"/>
          <w:noProof/>
        </w:rPr>
        <w:t>projekts “Rīgas un Pierīgas pasažieru pārvadājumu nodrošināšanai nepieciešamo elektrovilcienu iegāde”</w:t>
      </w:r>
    </w:p>
  </w:footnote>
  <w:footnote w:id="3">
    <w:p w14:paraId="2F6D2251" w14:textId="77777777" w:rsidR="002925F3" w:rsidRPr="00475A32" w:rsidRDefault="002925F3" w:rsidP="002925F3">
      <w:pPr>
        <w:pStyle w:val="FootnoteText"/>
        <w:rPr>
          <w:rFonts w:cs="Times New Roman"/>
        </w:rPr>
      </w:pPr>
      <w:r w:rsidRPr="00475A32">
        <w:rPr>
          <w:rStyle w:val="FootnoteReference"/>
          <w:rFonts w:cs="Times New Roman"/>
        </w:rPr>
        <w:footnoteRef/>
      </w:r>
      <w:r w:rsidRPr="00475A32">
        <w:rPr>
          <w:rFonts w:cs="Times New Roman"/>
        </w:rPr>
        <w:t xml:space="preserve"> Lielais projekts </w:t>
      </w:r>
      <w:r w:rsidRPr="00475A32">
        <w:rPr>
          <w:rFonts w:cs="Times New Roman"/>
          <w:color w:val="000000"/>
        </w:rPr>
        <w:t>„Paula Stradiņa klīniskās universitātes slimnīcas jaunās A2 ēkas attīstība”</w:t>
      </w:r>
    </w:p>
  </w:footnote>
  <w:footnote w:id="4">
    <w:p w14:paraId="08CA461C" w14:textId="77777777" w:rsidR="002925F3" w:rsidRPr="00475A32" w:rsidRDefault="002925F3" w:rsidP="002925F3">
      <w:pPr>
        <w:spacing w:after="0" w:line="240" w:lineRule="auto"/>
        <w:jc w:val="both"/>
        <w:rPr>
          <w:rFonts w:ascii="Times New Roman" w:eastAsia="Times New Roman" w:hAnsi="Times New Roman" w:cs="Times New Roman"/>
          <w:sz w:val="20"/>
          <w:szCs w:val="20"/>
          <w:lang w:eastAsia="lv-LV"/>
        </w:rPr>
      </w:pPr>
      <w:r w:rsidRPr="00475A32">
        <w:rPr>
          <w:rStyle w:val="FootnoteReference"/>
          <w:rFonts w:ascii="Times New Roman" w:hAnsi="Times New Roman" w:cs="Times New Roman"/>
          <w:sz w:val="20"/>
          <w:szCs w:val="20"/>
        </w:rPr>
        <w:footnoteRef/>
      </w:r>
      <w:r w:rsidRPr="00475A32">
        <w:rPr>
          <w:rFonts w:ascii="Times New Roman" w:hAnsi="Times New Roman" w:cs="Times New Roman"/>
          <w:sz w:val="20"/>
          <w:szCs w:val="20"/>
        </w:rPr>
        <w:t xml:space="preserve"> Ministru kabineta 13.08.2019.  sēdes protokols Nr.34 </w:t>
      </w:r>
      <w:r w:rsidRPr="00475A32">
        <w:rPr>
          <w:rFonts w:ascii="Times New Roman" w:eastAsia="Times New Roman" w:hAnsi="Times New Roman" w:cs="Times New Roman"/>
          <w:sz w:val="20"/>
          <w:szCs w:val="20"/>
          <w:lang w:eastAsia="lv-LV"/>
        </w:rPr>
        <w:t>55.§</w:t>
      </w:r>
    </w:p>
    <w:p w14:paraId="52F05AFD" w14:textId="77777777" w:rsidR="002925F3" w:rsidRPr="00B430F7" w:rsidRDefault="002925F3" w:rsidP="002925F3">
      <w:pPr>
        <w:pStyle w:val="Header"/>
        <w:tabs>
          <w:tab w:val="left" w:pos="720"/>
        </w:tabs>
        <w:jc w:val="right"/>
        <w:rPr>
          <w:rFonts w:ascii="Times New Roman" w:eastAsia="Times New Roman" w:hAnsi="Times New Roman"/>
          <w:sz w:val="28"/>
          <w:szCs w:val="28"/>
          <w:lang w:eastAsia="lv-LV"/>
        </w:rPr>
      </w:pPr>
    </w:p>
    <w:p w14:paraId="69DF8C4D" w14:textId="77777777" w:rsidR="002925F3" w:rsidRDefault="002925F3" w:rsidP="002925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BB03" w14:textId="77777777" w:rsidR="009C25F7" w:rsidRDefault="009C2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843586"/>
      <w:docPartObj>
        <w:docPartGallery w:val="Page Numbers (Top of Page)"/>
        <w:docPartUnique/>
      </w:docPartObj>
    </w:sdtPr>
    <w:sdtEndPr>
      <w:rPr>
        <w:rFonts w:ascii="Times New Roman" w:hAnsi="Times New Roman" w:cs="Times New Roman"/>
        <w:noProof/>
        <w:sz w:val="20"/>
        <w:szCs w:val="20"/>
      </w:rPr>
    </w:sdtEndPr>
    <w:sdtContent>
      <w:p w14:paraId="1033D54C" w14:textId="01A524A4" w:rsidR="0054493C" w:rsidRPr="0054493C" w:rsidRDefault="0054493C">
        <w:pPr>
          <w:pStyle w:val="Header"/>
          <w:jc w:val="right"/>
          <w:rPr>
            <w:rFonts w:ascii="Times New Roman" w:hAnsi="Times New Roman" w:cs="Times New Roman"/>
            <w:sz w:val="20"/>
            <w:szCs w:val="20"/>
          </w:rPr>
        </w:pPr>
        <w:r w:rsidRPr="0054493C">
          <w:rPr>
            <w:rFonts w:ascii="Times New Roman" w:hAnsi="Times New Roman" w:cs="Times New Roman"/>
            <w:sz w:val="20"/>
            <w:szCs w:val="20"/>
          </w:rPr>
          <w:fldChar w:fldCharType="begin"/>
        </w:r>
        <w:r w:rsidRPr="0054493C">
          <w:rPr>
            <w:rFonts w:ascii="Times New Roman" w:hAnsi="Times New Roman" w:cs="Times New Roman"/>
            <w:sz w:val="20"/>
            <w:szCs w:val="20"/>
          </w:rPr>
          <w:instrText xml:space="preserve"> PAGE   \* MERGEFORMAT </w:instrText>
        </w:r>
        <w:r w:rsidRPr="0054493C">
          <w:rPr>
            <w:rFonts w:ascii="Times New Roman" w:hAnsi="Times New Roman" w:cs="Times New Roman"/>
            <w:sz w:val="20"/>
            <w:szCs w:val="20"/>
          </w:rPr>
          <w:fldChar w:fldCharType="separate"/>
        </w:r>
        <w:r w:rsidR="00E74943">
          <w:rPr>
            <w:rFonts w:ascii="Times New Roman" w:hAnsi="Times New Roman" w:cs="Times New Roman"/>
            <w:noProof/>
            <w:sz w:val="20"/>
            <w:szCs w:val="20"/>
          </w:rPr>
          <w:t>8</w:t>
        </w:r>
        <w:r w:rsidRPr="0054493C">
          <w:rPr>
            <w:rFonts w:ascii="Times New Roman" w:hAnsi="Times New Roman" w:cs="Times New Roman"/>
            <w:noProof/>
            <w:sz w:val="20"/>
            <w:szCs w:val="20"/>
          </w:rPr>
          <w:fldChar w:fldCharType="end"/>
        </w:r>
      </w:p>
    </w:sdtContent>
  </w:sdt>
  <w:p w14:paraId="2F8A7863" w14:textId="77777777" w:rsidR="0054493C" w:rsidRDefault="00544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FEAE" w14:textId="77777777" w:rsidR="009C25F7" w:rsidRDefault="009C2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6BF"/>
    <w:multiLevelType w:val="hybridMultilevel"/>
    <w:tmpl w:val="89F4EF56"/>
    <w:lvl w:ilvl="0" w:tplc="7F2649F8">
      <w:start w:val="1"/>
      <w:numFmt w:val="bullet"/>
      <w:lvlText w:val="•"/>
      <w:lvlJc w:val="left"/>
      <w:pPr>
        <w:tabs>
          <w:tab w:val="num" w:pos="720"/>
        </w:tabs>
        <w:ind w:left="720" w:hanging="360"/>
      </w:pPr>
      <w:rPr>
        <w:rFonts w:ascii="Arial" w:hAnsi="Arial" w:hint="default"/>
      </w:rPr>
    </w:lvl>
    <w:lvl w:ilvl="1" w:tplc="3CCA66CC" w:tentative="1">
      <w:start w:val="1"/>
      <w:numFmt w:val="bullet"/>
      <w:lvlText w:val="•"/>
      <w:lvlJc w:val="left"/>
      <w:pPr>
        <w:tabs>
          <w:tab w:val="num" w:pos="1440"/>
        </w:tabs>
        <w:ind w:left="1440" w:hanging="360"/>
      </w:pPr>
      <w:rPr>
        <w:rFonts w:ascii="Arial" w:hAnsi="Arial" w:hint="default"/>
      </w:rPr>
    </w:lvl>
    <w:lvl w:ilvl="2" w:tplc="09EAAB98" w:tentative="1">
      <w:start w:val="1"/>
      <w:numFmt w:val="bullet"/>
      <w:lvlText w:val="•"/>
      <w:lvlJc w:val="left"/>
      <w:pPr>
        <w:tabs>
          <w:tab w:val="num" w:pos="2160"/>
        </w:tabs>
        <w:ind w:left="2160" w:hanging="360"/>
      </w:pPr>
      <w:rPr>
        <w:rFonts w:ascii="Arial" w:hAnsi="Arial" w:hint="default"/>
      </w:rPr>
    </w:lvl>
    <w:lvl w:ilvl="3" w:tplc="9A52E648" w:tentative="1">
      <w:start w:val="1"/>
      <w:numFmt w:val="bullet"/>
      <w:lvlText w:val="•"/>
      <w:lvlJc w:val="left"/>
      <w:pPr>
        <w:tabs>
          <w:tab w:val="num" w:pos="2880"/>
        </w:tabs>
        <w:ind w:left="2880" w:hanging="360"/>
      </w:pPr>
      <w:rPr>
        <w:rFonts w:ascii="Arial" w:hAnsi="Arial" w:hint="default"/>
      </w:rPr>
    </w:lvl>
    <w:lvl w:ilvl="4" w:tplc="EF74F52E" w:tentative="1">
      <w:start w:val="1"/>
      <w:numFmt w:val="bullet"/>
      <w:lvlText w:val="•"/>
      <w:lvlJc w:val="left"/>
      <w:pPr>
        <w:tabs>
          <w:tab w:val="num" w:pos="3600"/>
        </w:tabs>
        <w:ind w:left="3600" w:hanging="360"/>
      </w:pPr>
      <w:rPr>
        <w:rFonts w:ascii="Arial" w:hAnsi="Arial" w:hint="default"/>
      </w:rPr>
    </w:lvl>
    <w:lvl w:ilvl="5" w:tplc="7DC8F692" w:tentative="1">
      <w:start w:val="1"/>
      <w:numFmt w:val="bullet"/>
      <w:lvlText w:val="•"/>
      <w:lvlJc w:val="left"/>
      <w:pPr>
        <w:tabs>
          <w:tab w:val="num" w:pos="4320"/>
        </w:tabs>
        <w:ind w:left="4320" w:hanging="360"/>
      </w:pPr>
      <w:rPr>
        <w:rFonts w:ascii="Arial" w:hAnsi="Arial" w:hint="default"/>
      </w:rPr>
    </w:lvl>
    <w:lvl w:ilvl="6" w:tplc="C1C65BD6" w:tentative="1">
      <w:start w:val="1"/>
      <w:numFmt w:val="bullet"/>
      <w:lvlText w:val="•"/>
      <w:lvlJc w:val="left"/>
      <w:pPr>
        <w:tabs>
          <w:tab w:val="num" w:pos="5040"/>
        </w:tabs>
        <w:ind w:left="5040" w:hanging="360"/>
      </w:pPr>
      <w:rPr>
        <w:rFonts w:ascii="Arial" w:hAnsi="Arial" w:hint="default"/>
      </w:rPr>
    </w:lvl>
    <w:lvl w:ilvl="7" w:tplc="9904D99C" w:tentative="1">
      <w:start w:val="1"/>
      <w:numFmt w:val="bullet"/>
      <w:lvlText w:val="•"/>
      <w:lvlJc w:val="left"/>
      <w:pPr>
        <w:tabs>
          <w:tab w:val="num" w:pos="5760"/>
        </w:tabs>
        <w:ind w:left="5760" w:hanging="360"/>
      </w:pPr>
      <w:rPr>
        <w:rFonts w:ascii="Arial" w:hAnsi="Arial" w:hint="default"/>
      </w:rPr>
    </w:lvl>
    <w:lvl w:ilvl="8" w:tplc="B2AC27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BB78E5"/>
    <w:multiLevelType w:val="hybridMultilevel"/>
    <w:tmpl w:val="E4287B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63303"/>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67823"/>
    <w:multiLevelType w:val="hybridMultilevel"/>
    <w:tmpl w:val="E2046E1A"/>
    <w:lvl w:ilvl="0" w:tplc="572478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91D2384"/>
    <w:multiLevelType w:val="hybridMultilevel"/>
    <w:tmpl w:val="7FB014A2"/>
    <w:lvl w:ilvl="0" w:tplc="05B2D05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E40245"/>
    <w:multiLevelType w:val="hybridMultilevel"/>
    <w:tmpl w:val="A290D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60988"/>
    <w:multiLevelType w:val="hybridMultilevel"/>
    <w:tmpl w:val="BC885020"/>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 w15:restartNumberingAfterBreak="0">
    <w:nsid w:val="35320E27"/>
    <w:multiLevelType w:val="hybridMultilevel"/>
    <w:tmpl w:val="640A28AC"/>
    <w:lvl w:ilvl="0" w:tplc="BB728DFA">
      <w:start w:val="1"/>
      <w:numFmt w:val="decimal"/>
      <w:lvlText w:val="%1."/>
      <w:lvlJc w:val="center"/>
      <w:pPr>
        <w:ind w:left="720" w:hanging="360"/>
      </w:pPr>
      <w:rPr>
        <w:rFonts w:ascii="Times New Roman" w:hAnsi="Times New Roman" w:hint="default"/>
        <w:b w:val="0"/>
        <w:i w:val="0"/>
        <w:sz w:val="28"/>
      </w:rPr>
    </w:lvl>
    <w:lvl w:ilvl="1" w:tplc="AC2206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8E76A6"/>
    <w:multiLevelType w:val="hybridMultilevel"/>
    <w:tmpl w:val="2F2ACDE4"/>
    <w:lvl w:ilvl="0" w:tplc="30B26E36">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312E09"/>
    <w:multiLevelType w:val="hybridMultilevel"/>
    <w:tmpl w:val="BA668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E80A1C"/>
    <w:multiLevelType w:val="hybridMultilevel"/>
    <w:tmpl w:val="21F2C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D30333"/>
    <w:multiLevelType w:val="hybridMultilevel"/>
    <w:tmpl w:val="DB28443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471C3311"/>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DF636B"/>
    <w:multiLevelType w:val="multilevel"/>
    <w:tmpl w:val="EC2C1B86"/>
    <w:lvl w:ilvl="0">
      <w:start w:val="1"/>
      <w:numFmt w:val="decimal"/>
      <w:lvlText w:val="%1"/>
      <w:lvlJc w:val="left"/>
      <w:pPr>
        <w:ind w:left="720" w:hanging="360"/>
      </w:pPr>
      <w:rPr>
        <w:rFonts w:hint="default"/>
        <w:b w:val="0"/>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7A0E25"/>
    <w:multiLevelType w:val="hybridMultilevel"/>
    <w:tmpl w:val="BDB8C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F284EC8"/>
    <w:multiLevelType w:val="hybridMultilevel"/>
    <w:tmpl w:val="C0147A48"/>
    <w:lvl w:ilvl="0" w:tplc="552A82E2">
      <w:start w:val="1"/>
      <w:numFmt w:val="decimal"/>
      <w:lvlText w:val="%1."/>
      <w:lvlJc w:val="left"/>
      <w:pPr>
        <w:ind w:left="720" w:hanging="360"/>
      </w:pPr>
      <w:rPr>
        <w:rFonts w:ascii="Times New Roman" w:hAnsi="Times New Roman" w:cs="Times New Roman" w:hint="default"/>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47338D"/>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B52A22"/>
    <w:multiLevelType w:val="multilevel"/>
    <w:tmpl w:val="D530323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B11D66"/>
    <w:multiLevelType w:val="multilevel"/>
    <w:tmpl w:val="649644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C47BA0"/>
    <w:multiLevelType w:val="hybridMultilevel"/>
    <w:tmpl w:val="D7EAB9BC"/>
    <w:lvl w:ilvl="0" w:tplc="69DEE3C6">
      <w:start w:val="1"/>
      <w:numFmt w:val="decimal"/>
      <w:lvlText w:val="%1."/>
      <w:lvlJc w:val="left"/>
      <w:pPr>
        <w:ind w:left="720" w:hanging="360"/>
      </w:pPr>
      <w:rPr>
        <w:rFonts w:ascii="Times New Roman" w:hAnsi="Times New Roman" w:cs="Times New Roman" w:hint="default"/>
        <w:i/>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121B1F"/>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C6633EA"/>
    <w:multiLevelType w:val="multilevel"/>
    <w:tmpl w:val="83BAF27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17"/>
  </w:num>
  <w:num w:numId="4">
    <w:abstractNumId w:val="1"/>
  </w:num>
  <w:num w:numId="5">
    <w:abstractNumId w:val="5"/>
  </w:num>
  <w:num w:numId="6">
    <w:abstractNumId w:val="14"/>
  </w:num>
  <w:num w:numId="7">
    <w:abstractNumId w:val="9"/>
  </w:num>
  <w:num w:numId="8">
    <w:abstractNumId w:val="7"/>
  </w:num>
  <w:num w:numId="9">
    <w:abstractNumId w:val="12"/>
  </w:num>
  <w:num w:numId="10">
    <w:abstractNumId w:val="19"/>
  </w:num>
  <w:num w:numId="11">
    <w:abstractNumId w:val="6"/>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
  </w:num>
  <w:num w:numId="16">
    <w:abstractNumId w:val="15"/>
  </w:num>
  <w:num w:numId="17">
    <w:abstractNumId w:val="20"/>
  </w:num>
  <w:num w:numId="18">
    <w:abstractNumId w:val="0"/>
  </w:num>
  <w:num w:numId="19">
    <w:abstractNumId w:val="8"/>
  </w:num>
  <w:num w:numId="20">
    <w:abstractNumId w:val="21"/>
  </w:num>
  <w:num w:numId="21">
    <w:abstractNumId w:val="16"/>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14"/>
    <w:rsid w:val="00001439"/>
    <w:rsid w:val="0000325A"/>
    <w:rsid w:val="00003554"/>
    <w:rsid w:val="00004DCB"/>
    <w:rsid w:val="00022E12"/>
    <w:rsid w:val="0002588A"/>
    <w:rsid w:val="000333A0"/>
    <w:rsid w:val="00033993"/>
    <w:rsid w:val="00035A21"/>
    <w:rsid w:val="000423FF"/>
    <w:rsid w:val="00043312"/>
    <w:rsid w:val="000446A2"/>
    <w:rsid w:val="0004570B"/>
    <w:rsid w:val="0005110C"/>
    <w:rsid w:val="000519E9"/>
    <w:rsid w:val="000609E6"/>
    <w:rsid w:val="0006535D"/>
    <w:rsid w:val="00067570"/>
    <w:rsid w:val="00072835"/>
    <w:rsid w:val="00080A09"/>
    <w:rsid w:val="00084804"/>
    <w:rsid w:val="00085BC8"/>
    <w:rsid w:val="000A3703"/>
    <w:rsid w:val="000A3FE2"/>
    <w:rsid w:val="000B227B"/>
    <w:rsid w:val="000B4ECE"/>
    <w:rsid w:val="000C100E"/>
    <w:rsid w:val="000C4483"/>
    <w:rsid w:val="000D55FC"/>
    <w:rsid w:val="000E4AC2"/>
    <w:rsid w:val="000E4FCE"/>
    <w:rsid w:val="000E78EA"/>
    <w:rsid w:val="000F566C"/>
    <w:rsid w:val="000F6C16"/>
    <w:rsid w:val="0010459C"/>
    <w:rsid w:val="00106CF5"/>
    <w:rsid w:val="001139D7"/>
    <w:rsid w:val="00116D68"/>
    <w:rsid w:val="00123E50"/>
    <w:rsid w:val="001251E3"/>
    <w:rsid w:val="00134B4B"/>
    <w:rsid w:val="00151A46"/>
    <w:rsid w:val="001567AA"/>
    <w:rsid w:val="00167C0D"/>
    <w:rsid w:val="0017255E"/>
    <w:rsid w:val="001819AA"/>
    <w:rsid w:val="0018264F"/>
    <w:rsid w:val="00183405"/>
    <w:rsid w:val="00186AEF"/>
    <w:rsid w:val="00191EE1"/>
    <w:rsid w:val="00192E7D"/>
    <w:rsid w:val="00195591"/>
    <w:rsid w:val="001A074E"/>
    <w:rsid w:val="001A7259"/>
    <w:rsid w:val="001B6F5D"/>
    <w:rsid w:val="001C115C"/>
    <w:rsid w:val="001C1E73"/>
    <w:rsid w:val="001D48F8"/>
    <w:rsid w:val="001E4A6C"/>
    <w:rsid w:val="001F60CF"/>
    <w:rsid w:val="00204AE7"/>
    <w:rsid w:val="00211EDD"/>
    <w:rsid w:val="00216680"/>
    <w:rsid w:val="0022763C"/>
    <w:rsid w:val="00227A1A"/>
    <w:rsid w:val="00227D81"/>
    <w:rsid w:val="0023106E"/>
    <w:rsid w:val="00231AA9"/>
    <w:rsid w:val="00232851"/>
    <w:rsid w:val="00252404"/>
    <w:rsid w:val="00253ADC"/>
    <w:rsid w:val="002543C5"/>
    <w:rsid w:val="0026004D"/>
    <w:rsid w:val="00262312"/>
    <w:rsid w:val="002710BB"/>
    <w:rsid w:val="002746CD"/>
    <w:rsid w:val="00281580"/>
    <w:rsid w:val="00283B19"/>
    <w:rsid w:val="00287437"/>
    <w:rsid w:val="002915C7"/>
    <w:rsid w:val="002925F3"/>
    <w:rsid w:val="002959ED"/>
    <w:rsid w:val="0029675D"/>
    <w:rsid w:val="00297420"/>
    <w:rsid w:val="002A72C7"/>
    <w:rsid w:val="002B09C7"/>
    <w:rsid w:val="002B2ECF"/>
    <w:rsid w:val="002B59B3"/>
    <w:rsid w:val="002B59D0"/>
    <w:rsid w:val="002B5B22"/>
    <w:rsid w:val="002B6AFA"/>
    <w:rsid w:val="002C05E9"/>
    <w:rsid w:val="002C6045"/>
    <w:rsid w:val="002C7E3F"/>
    <w:rsid w:val="002D1AD7"/>
    <w:rsid w:val="002E247E"/>
    <w:rsid w:val="002E592D"/>
    <w:rsid w:val="002F40EF"/>
    <w:rsid w:val="002F5AC8"/>
    <w:rsid w:val="002F7281"/>
    <w:rsid w:val="003047D6"/>
    <w:rsid w:val="003150E7"/>
    <w:rsid w:val="00316949"/>
    <w:rsid w:val="00324414"/>
    <w:rsid w:val="00337623"/>
    <w:rsid w:val="0034242D"/>
    <w:rsid w:val="00342E17"/>
    <w:rsid w:val="003435E2"/>
    <w:rsid w:val="00344E6D"/>
    <w:rsid w:val="00346678"/>
    <w:rsid w:val="00350CE4"/>
    <w:rsid w:val="00355114"/>
    <w:rsid w:val="003738C6"/>
    <w:rsid w:val="0037629F"/>
    <w:rsid w:val="003848B0"/>
    <w:rsid w:val="00396295"/>
    <w:rsid w:val="00397D8E"/>
    <w:rsid w:val="003A01D3"/>
    <w:rsid w:val="003A07D4"/>
    <w:rsid w:val="003A090F"/>
    <w:rsid w:val="003A1AAF"/>
    <w:rsid w:val="003A4510"/>
    <w:rsid w:val="003B03F6"/>
    <w:rsid w:val="003B402E"/>
    <w:rsid w:val="003B4541"/>
    <w:rsid w:val="003B6B93"/>
    <w:rsid w:val="003B7C5D"/>
    <w:rsid w:val="003C55B3"/>
    <w:rsid w:val="003C7C2B"/>
    <w:rsid w:val="003D0DB8"/>
    <w:rsid w:val="003D19D6"/>
    <w:rsid w:val="003D67A2"/>
    <w:rsid w:val="003D79CB"/>
    <w:rsid w:val="003E2569"/>
    <w:rsid w:val="003E25FF"/>
    <w:rsid w:val="003E4587"/>
    <w:rsid w:val="003F10BA"/>
    <w:rsid w:val="0040341A"/>
    <w:rsid w:val="00403C1E"/>
    <w:rsid w:val="0040490D"/>
    <w:rsid w:val="0040542E"/>
    <w:rsid w:val="004179EA"/>
    <w:rsid w:val="00422288"/>
    <w:rsid w:val="00422B32"/>
    <w:rsid w:val="0042550F"/>
    <w:rsid w:val="00425D57"/>
    <w:rsid w:val="004347A4"/>
    <w:rsid w:val="00436179"/>
    <w:rsid w:val="004454FB"/>
    <w:rsid w:val="00451420"/>
    <w:rsid w:val="004528EE"/>
    <w:rsid w:val="004536CB"/>
    <w:rsid w:val="00462F46"/>
    <w:rsid w:val="004676C0"/>
    <w:rsid w:val="00475A32"/>
    <w:rsid w:val="00476ECB"/>
    <w:rsid w:val="00481670"/>
    <w:rsid w:val="00496D7D"/>
    <w:rsid w:val="004A4D52"/>
    <w:rsid w:val="004B434A"/>
    <w:rsid w:val="004C2E43"/>
    <w:rsid w:val="004C4E58"/>
    <w:rsid w:val="004C521D"/>
    <w:rsid w:val="004C6D46"/>
    <w:rsid w:val="004E441E"/>
    <w:rsid w:val="004F05D3"/>
    <w:rsid w:val="004F2BF5"/>
    <w:rsid w:val="00500B53"/>
    <w:rsid w:val="00507105"/>
    <w:rsid w:val="005127F6"/>
    <w:rsid w:val="00512A89"/>
    <w:rsid w:val="0051557E"/>
    <w:rsid w:val="00521719"/>
    <w:rsid w:val="00526720"/>
    <w:rsid w:val="00532142"/>
    <w:rsid w:val="00541D05"/>
    <w:rsid w:val="0054369E"/>
    <w:rsid w:val="0054493C"/>
    <w:rsid w:val="005507D7"/>
    <w:rsid w:val="00560010"/>
    <w:rsid w:val="00562400"/>
    <w:rsid w:val="005626B1"/>
    <w:rsid w:val="005663BC"/>
    <w:rsid w:val="005667DD"/>
    <w:rsid w:val="005675EB"/>
    <w:rsid w:val="00567A40"/>
    <w:rsid w:val="005702E4"/>
    <w:rsid w:val="00572A95"/>
    <w:rsid w:val="005765A1"/>
    <w:rsid w:val="0058429D"/>
    <w:rsid w:val="005903EA"/>
    <w:rsid w:val="0059295F"/>
    <w:rsid w:val="00594BCF"/>
    <w:rsid w:val="00597E79"/>
    <w:rsid w:val="005A00A9"/>
    <w:rsid w:val="005A1C63"/>
    <w:rsid w:val="005A754D"/>
    <w:rsid w:val="005B6E76"/>
    <w:rsid w:val="005C0665"/>
    <w:rsid w:val="005C306B"/>
    <w:rsid w:val="005C3BFE"/>
    <w:rsid w:val="005C4AA6"/>
    <w:rsid w:val="005C5922"/>
    <w:rsid w:val="005D043B"/>
    <w:rsid w:val="005E0AC3"/>
    <w:rsid w:val="005E1DE3"/>
    <w:rsid w:val="005E29B6"/>
    <w:rsid w:val="005F6ED3"/>
    <w:rsid w:val="005F6FAF"/>
    <w:rsid w:val="00603C94"/>
    <w:rsid w:val="00604E1C"/>
    <w:rsid w:val="00605A81"/>
    <w:rsid w:val="00614D74"/>
    <w:rsid w:val="00621CBC"/>
    <w:rsid w:val="006339B1"/>
    <w:rsid w:val="00637368"/>
    <w:rsid w:val="00640872"/>
    <w:rsid w:val="00641A7A"/>
    <w:rsid w:val="006422FD"/>
    <w:rsid w:val="0065380F"/>
    <w:rsid w:val="00657B44"/>
    <w:rsid w:val="00664969"/>
    <w:rsid w:val="0067111D"/>
    <w:rsid w:val="00675A0E"/>
    <w:rsid w:val="00677C78"/>
    <w:rsid w:val="00680020"/>
    <w:rsid w:val="006812E4"/>
    <w:rsid w:val="00683091"/>
    <w:rsid w:val="0068561C"/>
    <w:rsid w:val="00687CDA"/>
    <w:rsid w:val="00694930"/>
    <w:rsid w:val="00695246"/>
    <w:rsid w:val="006972BF"/>
    <w:rsid w:val="006A11AB"/>
    <w:rsid w:val="006A4401"/>
    <w:rsid w:val="006A5E97"/>
    <w:rsid w:val="006A70E4"/>
    <w:rsid w:val="006B6FAD"/>
    <w:rsid w:val="006C5FAB"/>
    <w:rsid w:val="006C6594"/>
    <w:rsid w:val="006D33E3"/>
    <w:rsid w:val="006D38DC"/>
    <w:rsid w:val="006E05CA"/>
    <w:rsid w:val="006E1A1B"/>
    <w:rsid w:val="006E1E23"/>
    <w:rsid w:val="006E61E6"/>
    <w:rsid w:val="006E6F2D"/>
    <w:rsid w:val="006F09D9"/>
    <w:rsid w:val="006F2A8E"/>
    <w:rsid w:val="006F3C27"/>
    <w:rsid w:val="006F4B21"/>
    <w:rsid w:val="0070062C"/>
    <w:rsid w:val="00704774"/>
    <w:rsid w:val="00706255"/>
    <w:rsid w:val="00712356"/>
    <w:rsid w:val="007148A2"/>
    <w:rsid w:val="00715729"/>
    <w:rsid w:val="00722773"/>
    <w:rsid w:val="00722FD9"/>
    <w:rsid w:val="00723D4A"/>
    <w:rsid w:val="00730327"/>
    <w:rsid w:val="00732E24"/>
    <w:rsid w:val="007343EA"/>
    <w:rsid w:val="007437A8"/>
    <w:rsid w:val="007464B5"/>
    <w:rsid w:val="007517F5"/>
    <w:rsid w:val="007519B7"/>
    <w:rsid w:val="00752526"/>
    <w:rsid w:val="007548CF"/>
    <w:rsid w:val="0075682C"/>
    <w:rsid w:val="00760401"/>
    <w:rsid w:val="00763F47"/>
    <w:rsid w:val="00764FC6"/>
    <w:rsid w:val="00766008"/>
    <w:rsid w:val="0076790D"/>
    <w:rsid w:val="00773870"/>
    <w:rsid w:val="00774414"/>
    <w:rsid w:val="00780F38"/>
    <w:rsid w:val="00781B46"/>
    <w:rsid w:val="007825A2"/>
    <w:rsid w:val="00782F46"/>
    <w:rsid w:val="00783A41"/>
    <w:rsid w:val="00793674"/>
    <w:rsid w:val="007A0496"/>
    <w:rsid w:val="007A389D"/>
    <w:rsid w:val="007B03B8"/>
    <w:rsid w:val="007B209D"/>
    <w:rsid w:val="007B6052"/>
    <w:rsid w:val="007C5699"/>
    <w:rsid w:val="007D071A"/>
    <w:rsid w:val="007E783C"/>
    <w:rsid w:val="007F3856"/>
    <w:rsid w:val="007F3A28"/>
    <w:rsid w:val="00800917"/>
    <w:rsid w:val="00815D06"/>
    <w:rsid w:val="008300A0"/>
    <w:rsid w:val="008308D5"/>
    <w:rsid w:val="00836077"/>
    <w:rsid w:val="00841DCB"/>
    <w:rsid w:val="00841EA3"/>
    <w:rsid w:val="00843362"/>
    <w:rsid w:val="0084432B"/>
    <w:rsid w:val="00850023"/>
    <w:rsid w:val="00851216"/>
    <w:rsid w:val="00852868"/>
    <w:rsid w:val="00852C66"/>
    <w:rsid w:val="00856A14"/>
    <w:rsid w:val="00861298"/>
    <w:rsid w:val="00861A36"/>
    <w:rsid w:val="00872CF0"/>
    <w:rsid w:val="0087412B"/>
    <w:rsid w:val="0087414C"/>
    <w:rsid w:val="00875303"/>
    <w:rsid w:val="00882466"/>
    <w:rsid w:val="00883A23"/>
    <w:rsid w:val="00897BC6"/>
    <w:rsid w:val="008A001C"/>
    <w:rsid w:val="008A4A91"/>
    <w:rsid w:val="008A6FEA"/>
    <w:rsid w:val="008B3560"/>
    <w:rsid w:val="008C1BCA"/>
    <w:rsid w:val="008C2DC4"/>
    <w:rsid w:val="008C476E"/>
    <w:rsid w:val="008C75EE"/>
    <w:rsid w:val="008D233C"/>
    <w:rsid w:val="008E0AD5"/>
    <w:rsid w:val="008E2B2D"/>
    <w:rsid w:val="008E3BA1"/>
    <w:rsid w:val="008F3DDF"/>
    <w:rsid w:val="008F47D9"/>
    <w:rsid w:val="008F6FF2"/>
    <w:rsid w:val="008F79E3"/>
    <w:rsid w:val="009019E9"/>
    <w:rsid w:val="00904658"/>
    <w:rsid w:val="00907C8F"/>
    <w:rsid w:val="009110C4"/>
    <w:rsid w:val="009260CB"/>
    <w:rsid w:val="00932031"/>
    <w:rsid w:val="00932308"/>
    <w:rsid w:val="00937F0A"/>
    <w:rsid w:val="0094305B"/>
    <w:rsid w:val="00951B65"/>
    <w:rsid w:val="00954937"/>
    <w:rsid w:val="009579B3"/>
    <w:rsid w:val="009661F6"/>
    <w:rsid w:val="00966F69"/>
    <w:rsid w:val="00976C4E"/>
    <w:rsid w:val="00981479"/>
    <w:rsid w:val="00981C9B"/>
    <w:rsid w:val="00986140"/>
    <w:rsid w:val="00996A10"/>
    <w:rsid w:val="00997136"/>
    <w:rsid w:val="009978B8"/>
    <w:rsid w:val="009978C1"/>
    <w:rsid w:val="009B0F9F"/>
    <w:rsid w:val="009B6C98"/>
    <w:rsid w:val="009C1029"/>
    <w:rsid w:val="009C25F7"/>
    <w:rsid w:val="009D729B"/>
    <w:rsid w:val="009E0B58"/>
    <w:rsid w:val="009E0C77"/>
    <w:rsid w:val="009E10C3"/>
    <w:rsid w:val="009E1FA7"/>
    <w:rsid w:val="009E2E8C"/>
    <w:rsid w:val="009E3490"/>
    <w:rsid w:val="009F1F46"/>
    <w:rsid w:val="009F433F"/>
    <w:rsid w:val="00A00C2A"/>
    <w:rsid w:val="00A03A04"/>
    <w:rsid w:val="00A03A18"/>
    <w:rsid w:val="00A12119"/>
    <w:rsid w:val="00A175F4"/>
    <w:rsid w:val="00A230B0"/>
    <w:rsid w:val="00A25E84"/>
    <w:rsid w:val="00A27225"/>
    <w:rsid w:val="00A31142"/>
    <w:rsid w:val="00A32C8A"/>
    <w:rsid w:val="00A33012"/>
    <w:rsid w:val="00A43806"/>
    <w:rsid w:val="00A44B6C"/>
    <w:rsid w:val="00A56A58"/>
    <w:rsid w:val="00A571E6"/>
    <w:rsid w:val="00A57CA3"/>
    <w:rsid w:val="00A6031B"/>
    <w:rsid w:val="00A709C9"/>
    <w:rsid w:val="00A75627"/>
    <w:rsid w:val="00A85B53"/>
    <w:rsid w:val="00A875C1"/>
    <w:rsid w:val="00A90F76"/>
    <w:rsid w:val="00A91516"/>
    <w:rsid w:val="00AA5B1F"/>
    <w:rsid w:val="00AB07E3"/>
    <w:rsid w:val="00AB389A"/>
    <w:rsid w:val="00AB5AE2"/>
    <w:rsid w:val="00AC0A04"/>
    <w:rsid w:val="00AC31C9"/>
    <w:rsid w:val="00AC3C82"/>
    <w:rsid w:val="00AD18EF"/>
    <w:rsid w:val="00AD1F82"/>
    <w:rsid w:val="00AD36DC"/>
    <w:rsid w:val="00AD6401"/>
    <w:rsid w:val="00AE3735"/>
    <w:rsid w:val="00AE6295"/>
    <w:rsid w:val="00AF12DA"/>
    <w:rsid w:val="00AF1D16"/>
    <w:rsid w:val="00AF20D0"/>
    <w:rsid w:val="00AF2C6B"/>
    <w:rsid w:val="00AF2EC7"/>
    <w:rsid w:val="00AF54E2"/>
    <w:rsid w:val="00B05DE1"/>
    <w:rsid w:val="00B07E38"/>
    <w:rsid w:val="00B118B3"/>
    <w:rsid w:val="00B14339"/>
    <w:rsid w:val="00B15602"/>
    <w:rsid w:val="00B17867"/>
    <w:rsid w:val="00B235AA"/>
    <w:rsid w:val="00B244A6"/>
    <w:rsid w:val="00B2562C"/>
    <w:rsid w:val="00B4008A"/>
    <w:rsid w:val="00B603D2"/>
    <w:rsid w:val="00B66F61"/>
    <w:rsid w:val="00B677EA"/>
    <w:rsid w:val="00B7240C"/>
    <w:rsid w:val="00B74A37"/>
    <w:rsid w:val="00B75EBF"/>
    <w:rsid w:val="00B806BB"/>
    <w:rsid w:val="00B81011"/>
    <w:rsid w:val="00B81758"/>
    <w:rsid w:val="00B83985"/>
    <w:rsid w:val="00B83A21"/>
    <w:rsid w:val="00B83E98"/>
    <w:rsid w:val="00B863D4"/>
    <w:rsid w:val="00B92654"/>
    <w:rsid w:val="00BA0138"/>
    <w:rsid w:val="00BA051B"/>
    <w:rsid w:val="00BB2D4B"/>
    <w:rsid w:val="00BC03BF"/>
    <w:rsid w:val="00BC1E91"/>
    <w:rsid w:val="00BD0DB3"/>
    <w:rsid w:val="00BD68D0"/>
    <w:rsid w:val="00BE052F"/>
    <w:rsid w:val="00BE22E4"/>
    <w:rsid w:val="00BF627A"/>
    <w:rsid w:val="00BF6DED"/>
    <w:rsid w:val="00C0426A"/>
    <w:rsid w:val="00C10352"/>
    <w:rsid w:val="00C13E5C"/>
    <w:rsid w:val="00C157FB"/>
    <w:rsid w:val="00C16514"/>
    <w:rsid w:val="00C16935"/>
    <w:rsid w:val="00C22B11"/>
    <w:rsid w:val="00C26B14"/>
    <w:rsid w:val="00C341D4"/>
    <w:rsid w:val="00C35ABD"/>
    <w:rsid w:val="00C36666"/>
    <w:rsid w:val="00C36921"/>
    <w:rsid w:val="00C42827"/>
    <w:rsid w:val="00C466CC"/>
    <w:rsid w:val="00C51E36"/>
    <w:rsid w:val="00C53417"/>
    <w:rsid w:val="00C6303B"/>
    <w:rsid w:val="00C63690"/>
    <w:rsid w:val="00C66787"/>
    <w:rsid w:val="00C73CC6"/>
    <w:rsid w:val="00C85271"/>
    <w:rsid w:val="00C85D23"/>
    <w:rsid w:val="00C8730E"/>
    <w:rsid w:val="00C90AF4"/>
    <w:rsid w:val="00C96ECB"/>
    <w:rsid w:val="00C9704B"/>
    <w:rsid w:val="00CA359D"/>
    <w:rsid w:val="00CA6484"/>
    <w:rsid w:val="00CA7F98"/>
    <w:rsid w:val="00CC101A"/>
    <w:rsid w:val="00CC28FA"/>
    <w:rsid w:val="00CC2D38"/>
    <w:rsid w:val="00CD0687"/>
    <w:rsid w:val="00CE26FC"/>
    <w:rsid w:val="00CE630A"/>
    <w:rsid w:val="00CE6E76"/>
    <w:rsid w:val="00CF00EE"/>
    <w:rsid w:val="00CF27C9"/>
    <w:rsid w:val="00CF5831"/>
    <w:rsid w:val="00D01939"/>
    <w:rsid w:val="00D023A7"/>
    <w:rsid w:val="00D04C5B"/>
    <w:rsid w:val="00D05599"/>
    <w:rsid w:val="00D05D9B"/>
    <w:rsid w:val="00D13B79"/>
    <w:rsid w:val="00D1774A"/>
    <w:rsid w:val="00D210C9"/>
    <w:rsid w:val="00D4270C"/>
    <w:rsid w:val="00D45960"/>
    <w:rsid w:val="00D463C4"/>
    <w:rsid w:val="00D477AE"/>
    <w:rsid w:val="00D53C44"/>
    <w:rsid w:val="00D55B15"/>
    <w:rsid w:val="00D57F7C"/>
    <w:rsid w:val="00D60F12"/>
    <w:rsid w:val="00D64EFA"/>
    <w:rsid w:val="00D701BF"/>
    <w:rsid w:val="00D7043B"/>
    <w:rsid w:val="00D72C98"/>
    <w:rsid w:val="00D7774B"/>
    <w:rsid w:val="00D77D5C"/>
    <w:rsid w:val="00D82A74"/>
    <w:rsid w:val="00D87B6A"/>
    <w:rsid w:val="00D97FB6"/>
    <w:rsid w:val="00DA3125"/>
    <w:rsid w:val="00DA3143"/>
    <w:rsid w:val="00DB11B0"/>
    <w:rsid w:val="00DB2B90"/>
    <w:rsid w:val="00DB330B"/>
    <w:rsid w:val="00DB41AC"/>
    <w:rsid w:val="00DB4908"/>
    <w:rsid w:val="00DB5C90"/>
    <w:rsid w:val="00DC4F26"/>
    <w:rsid w:val="00DD3732"/>
    <w:rsid w:val="00DD4588"/>
    <w:rsid w:val="00DF13AD"/>
    <w:rsid w:val="00E00C48"/>
    <w:rsid w:val="00E039FD"/>
    <w:rsid w:val="00E04A89"/>
    <w:rsid w:val="00E0527B"/>
    <w:rsid w:val="00E11270"/>
    <w:rsid w:val="00E12705"/>
    <w:rsid w:val="00E174CE"/>
    <w:rsid w:val="00E25E0B"/>
    <w:rsid w:val="00E26778"/>
    <w:rsid w:val="00E26DCD"/>
    <w:rsid w:val="00E3442F"/>
    <w:rsid w:val="00E35728"/>
    <w:rsid w:val="00E365F0"/>
    <w:rsid w:val="00E37140"/>
    <w:rsid w:val="00E40422"/>
    <w:rsid w:val="00E406F1"/>
    <w:rsid w:val="00E420B8"/>
    <w:rsid w:val="00E43C5C"/>
    <w:rsid w:val="00E6032C"/>
    <w:rsid w:val="00E603AA"/>
    <w:rsid w:val="00E61666"/>
    <w:rsid w:val="00E6287D"/>
    <w:rsid w:val="00E62BEC"/>
    <w:rsid w:val="00E653B2"/>
    <w:rsid w:val="00E710DE"/>
    <w:rsid w:val="00E74943"/>
    <w:rsid w:val="00E74F90"/>
    <w:rsid w:val="00E84FCB"/>
    <w:rsid w:val="00E856D9"/>
    <w:rsid w:val="00E85B20"/>
    <w:rsid w:val="00E91112"/>
    <w:rsid w:val="00E92786"/>
    <w:rsid w:val="00E9327E"/>
    <w:rsid w:val="00E9643A"/>
    <w:rsid w:val="00EA0747"/>
    <w:rsid w:val="00EA619A"/>
    <w:rsid w:val="00EB175E"/>
    <w:rsid w:val="00EC4EA5"/>
    <w:rsid w:val="00EC5012"/>
    <w:rsid w:val="00EC5231"/>
    <w:rsid w:val="00ED6D13"/>
    <w:rsid w:val="00EE16EB"/>
    <w:rsid w:val="00EF00DC"/>
    <w:rsid w:val="00EF27A0"/>
    <w:rsid w:val="00EF3F8A"/>
    <w:rsid w:val="00EF4F26"/>
    <w:rsid w:val="00F03647"/>
    <w:rsid w:val="00F0687C"/>
    <w:rsid w:val="00F1544B"/>
    <w:rsid w:val="00F16D4C"/>
    <w:rsid w:val="00F22300"/>
    <w:rsid w:val="00F27002"/>
    <w:rsid w:val="00F27176"/>
    <w:rsid w:val="00F32AE6"/>
    <w:rsid w:val="00F34419"/>
    <w:rsid w:val="00F50194"/>
    <w:rsid w:val="00F518AC"/>
    <w:rsid w:val="00F529B2"/>
    <w:rsid w:val="00F62BA7"/>
    <w:rsid w:val="00F63B5B"/>
    <w:rsid w:val="00F679A1"/>
    <w:rsid w:val="00F720A5"/>
    <w:rsid w:val="00F73528"/>
    <w:rsid w:val="00F73F70"/>
    <w:rsid w:val="00F75C92"/>
    <w:rsid w:val="00F80A5B"/>
    <w:rsid w:val="00F811D2"/>
    <w:rsid w:val="00F85AFD"/>
    <w:rsid w:val="00F85C1B"/>
    <w:rsid w:val="00F879FC"/>
    <w:rsid w:val="00F9692A"/>
    <w:rsid w:val="00F97F3E"/>
    <w:rsid w:val="00FA1F39"/>
    <w:rsid w:val="00FB0C0D"/>
    <w:rsid w:val="00FB1BCB"/>
    <w:rsid w:val="00FB28DE"/>
    <w:rsid w:val="00FB6D1F"/>
    <w:rsid w:val="00FC6BE2"/>
    <w:rsid w:val="00FD00D9"/>
    <w:rsid w:val="00FD2B89"/>
    <w:rsid w:val="00FD2FB9"/>
    <w:rsid w:val="00FD399E"/>
    <w:rsid w:val="00FD425F"/>
    <w:rsid w:val="00FD55C1"/>
    <w:rsid w:val="00FD7898"/>
    <w:rsid w:val="00FE5726"/>
    <w:rsid w:val="00FF2EEB"/>
    <w:rsid w:val="00FF5798"/>
    <w:rsid w:val="00FF6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82D561"/>
  <w15:chartTrackingRefBased/>
  <w15:docId w15:val="{EE021AD0-F2F2-49B7-8781-607A97D0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33993"/>
    <w:pPr>
      <w:keepNext/>
      <w:spacing w:after="0" w:line="240" w:lineRule="auto"/>
      <w:ind w:firstLine="709"/>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Saraksta rindkopa"/>
    <w:basedOn w:val="Normal"/>
    <w:link w:val="ListParagraphChar"/>
    <w:uiPriority w:val="34"/>
    <w:qFormat/>
    <w:rsid w:val="00951B65"/>
    <w:pPr>
      <w:ind w:left="720"/>
      <w:contextualSpacing/>
    </w:pPr>
  </w:style>
  <w:style w:type="paragraph" w:styleId="Header">
    <w:name w:val="header"/>
    <w:basedOn w:val="Normal"/>
    <w:link w:val="HeaderChar"/>
    <w:unhideWhenUsed/>
    <w:rsid w:val="00D7043B"/>
    <w:pPr>
      <w:tabs>
        <w:tab w:val="center" w:pos="4153"/>
        <w:tab w:val="right" w:pos="8306"/>
      </w:tabs>
      <w:spacing w:after="0" w:line="240" w:lineRule="auto"/>
    </w:pPr>
  </w:style>
  <w:style w:type="character" w:customStyle="1" w:styleId="HeaderChar">
    <w:name w:val="Header Char"/>
    <w:basedOn w:val="DefaultParagraphFont"/>
    <w:link w:val="Header"/>
    <w:rsid w:val="00D7043B"/>
  </w:style>
  <w:style w:type="paragraph" w:styleId="Footer">
    <w:name w:val="footer"/>
    <w:basedOn w:val="Normal"/>
    <w:link w:val="FooterChar"/>
    <w:uiPriority w:val="99"/>
    <w:unhideWhenUsed/>
    <w:rsid w:val="00D704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043B"/>
  </w:style>
  <w:style w:type="character" w:styleId="FootnoteReference">
    <w:name w:val="footnote reference"/>
    <w:basedOn w:val="DefaultParagraphFont"/>
    <w:uiPriority w:val="99"/>
    <w:semiHidden/>
    <w:unhideWhenUsed/>
    <w:rsid w:val="006E6F2D"/>
    <w:rPr>
      <w:vertAlign w:val="superscript"/>
    </w:rPr>
  </w:style>
  <w:style w:type="character" w:styleId="Hyperlink">
    <w:name w:val="Hyperlink"/>
    <w:uiPriority w:val="99"/>
    <w:rsid w:val="00B83A21"/>
    <w:rPr>
      <w:color w:val="0000FF"/>
      <w:u w:val="single"/>
    </w:rPr>
  </w:style>
  <w:style w:type="character" w:styleId="CommentReference">
    <w:name w:val="annotation reference"/>
    <w:basedOn w:val="DefaultParagraphFont"/>
    <w:uiPriority w:val="99"/>
    <w:semiHidden/>
    <w:unhideWhenUsed/>
    <w:rsid w:val="00CA7F98"/>
    <w:rPr>
      <w:sz w:val="16"/>
      <w:szCs w:val="16"/>
    </w:rPr>
  </w:style>
  <w:style w:type="paragraph" w:styleId="CommentText">
    <w:name w:val="annotation text"/>
    <w:basedOn w:val="Normal"/>
    <w:link w:val="CommentTextChar"/>
    <w:uiPriority w:val="99"/>
    <w:semiHidden/>
    <w:unhideWhenUsed/>
    <w:rsid w:val="00CA7F98"/>
    <w:pPr>
      <w:spacing w:line="240" w:lineRule="auto"/>
    </w:pPr>
    <w:rPr>
      <w:sz w:val="20"/>
      <w:szCs w:val="20"/>
    </w:rPr>
  </w:style>
  <w:style w:type="character" w:customStyle="1" w:styleId="CommentTextChar">
    <w:name w:val="Comment Text Char"/>
    <w:basedOn w:val="DefaultParagraphFont"/>
    <w:link w:val="CommentText"/>
    <w:uiPriority w:val="99"/>
    <w:semiHidden/>
    <w:rsid w:val="00CA7F98"/>
    <w:rPr>
      <w:sz w:val="20"/>
      <w:szCs w:val="20"/>
    </w:rPr>
  </w:style>
  <w:style w:type="paragraph" w:styleId="CommentSubject">
    <w:name w:val="annotation subject"/>
    <w:basedOn w:val="CommentText"/>
    <w:next w:val="CommentText"/>
    <w:link w:val="CommentSubjectChar"/>
    <w:uiPriority w:val="99"/>
    <w:semiHidden/>
    <w:unhideWhenUsed/>
    <w:rsid w:val="00CA7F98"/>
    <w:rPr>
      <w:b/>
      <w:bCs/>
    </w:rPr>
  </w:style>
  <w:style w:type="character" w:customStyle="1" w:styleId="CommentSubjectChar">
    <w:name w:val="Comment Subject Char"/>
    <w:basedOn w:val="CommentTextChar"/>
    <w:link w:val="CommentSubject"/>
    <w:uiPriority w:val="99"/>
    <w:semiHidden/>
    <w:rsid w:val="00CA7F98"/>
    <w:rPr>
      <w:b/>
      <w:bCs/>
      <w:sz w:val="20"/>
      <w:szCs w:val="20"/>
    </w:rPr>
  </w:style>
  <w:style w:type="paragraph" w:styleId="BalloonText">
    <w:name w:val="Balloon Text"/>
    <w:basedOn w:val="Normal"/>
    <w:link w:val="BalloonTextChar"/>
    <w:uiPriority w:val="99"/>
    <w:semiHidden/>
    <w:unhideWhenUsed/>
    <w:rsid w:val="00CA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F98"/>
    <w:rPr>
      <w:rFonts w:ascii="Segoe UI" w:hAnsi="Segoe UI" w:cs="Segoe UI"/>
      <w:sz w:val="18"/>
      <w:szCs w:val="18"/>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B03F6"/>
  </w:style>
  <w:style w:type="character" w:styleId="FollowedHyperlink">
    <w:name w:val="FollowedHyperlink"/>
    <w:basedOn w:val="DefaultParagraphFont"/>
    <w:uiPriority w:val="99"/>
    <w:semiHidden/>
    <w:unhideWhenUsed/>
    <w:rsid w:val="007A389D"/>
    <w:rPr>
      <w:color w:val="954F72" w:themeColor="followedHyperlink"/>
      <w:u w:val="single"/>
    </w:rPr>
  </w:style>
  <w:style w:type="paragraph" w:styleId="FootnoteText">
    <w:name w:val="footnote text"/>
    <w:basedOn w:val="Normal"/>
    <w:link w:val="FootnoteTextChar"/>
    <w:uiPriority w:val="99"/>
    <w:semiHidden/>
    <w:unhideWhenUsed/>
    <w:rsid w:val="00475A3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75A32"/>
    <w:rPr>
      <w:rFonts w:ascii="Times New Roman" w:hAnsi="Times New Roman"/>
      <w:sz w:val="20"/>
      <w:szCs w:val="20"/>
    </w:rPr>
  </w:style>
  <w:style w:type="character" w:customStyle="1" w:styleId="Heading3Char">
    <w:name w:val="Heading 3 Char"/>
    <w:basedOn w:val="DefaultParagraphFont"/>
    <w:link w:val="Heading3"/>
    <w:rsid w:val="00033993"/>
    <w:rPr>
      <w:rFonts w:ascii="Times New Roman" w:eastAsia="Times New Roman" w:hAnsi="Times New Roman" w:cs="Times New Roman"/>
      <w:sz w:val="28"/>
      <w:szCs w:val="20"/>
    </w:rPr>
  </w:style>
  <w:style w:type="table" w:customStyle="1" w:styleId="TableGrid61">
    <w:name w:val="Table Grid61"/>
    <w:basedOn w:val="TableNormal"/>
    <w:next w:val="TableGrid"/>
    <w:uiPriority w:val="39"/>
    <w:rsid w:val="0003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5F3"/>
    <w:pPr>
      <w:spacing w:after="0" w:line="240" w:lineRule="auto"/>
    </w:pPr>
  </w:style>
  <w:style w:type="table" w:customStyle="1" w:styleId="TableGrid611">
    <w:name w:val="Table Grid611"/>
    <w:basedOn w:val="TableNormal"/>
    <w:next w:val="TableGrid"/>
    <w:uiPriority w:val="39"/>
    <w:rsid w:val="001A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90573">
      <w:bodyDiv w:val="1"/>
      <w:marLeft w:val="0"/>
      <w:marRight w:val="0"/>
      <w:marTop w:val="0"/>
      <w:marBottom w:val="0"/>
      <w:divBdr>
        <w:top w:val="none" w:sz="0" w:space="0" w:color="auto"/>
        <w:left w:val="none" w:sz="0" w:space="0" w:color="auto"/>
        <w:bottom w:val="none" w:sz="0" w:space="0" w:color="auto"/>
        <w:right w:val="none" w:sz="0" w:space="0" w:color="auto"/>
      </w:divBdr>
    </w:div>
    <w:div w:id="457844999">
      <w:bodyDiv w:val="1"/>
      <w:marLeft w:val="0"/>
      <w:marRight w:val="0"/>
      <w:marTop w:val="0"/>
      <w:marBottom w:val="0"/>
      <w:divBdr>
        <w:top w:val="none" w:sz="0" w:space="0" w:color="auto"/>
        <w:left w:val="none" w:sz="0" w:space="0" w:color="auto"/>
        <w:bottom w:val="none" w:sz="0" w:space="0" w:color="auto"/>
        <w:right w:val="none" w:sz="0" w:space="0" w:color="auto"/>
      </w:divBdr>
    </w:div>
    <w:div w:id="503129779">
      <w:bodyDiv w:val="1"/>
      <w:marLeft w:val="0"/>
      <w:marRight w:val="0"/>
      <w:marTop w:val="0"/>
      <w:marBottom w:val="0"/>
      <w:divBdr>
        <w:top w:val="none" w:sz="0" w:space="0" w:color="auto"/>
        <w:left w:val="none" w:sz="0" w:space="0" w:color="auto"/>
        <w:bottom w:val="none" w:sz="0" w:space="0" w:color="auto"/>
        <w:right w:val="none" w:sz="0" w:space="0" w:color="auto"/>
      </w:divBdr>
    </w:div>
    <w:div w:id="553395501">
      <w:bodyDiv w:val="1"/>
      <w:marLeft w:val="0"/>
      <w:marRight w:val="0"/>
      <w:marTop w:val="0"/>
      <w:marBottom w:val="0"/>
      <w:divBdr>
        <w:top w:val="none" w:sz="0" w:space="0" w:color="auto"/>
        <w:left w:val="none" w:sz="0" w:space="0" w:color="auto"/>
        <w:bottom w:val="none" w:sz="0" w:space="0" w:color="auto"/>
        <w:right w:val="none" w:sz="0" w:space="0" w:color="auto"/>
      </w:divBdr>
    </w:div>
    <w:div w:id="573124747">
      <w:bodyDiv w:val="1"/>
      <w:marLeft w:val="0"/>
      <w:marRight w:val="0"/>
      <w:marTop w:val="0"/>
      <w:marBottom w:val="0"/>
      <w:divBdr>
        <w:top w:val="none" w:sz="0" w:space="0" w:color="auto"/>
        <w:left w:val="none" w:sz="0" w:space="0" w:color="auto"/>
        <w:bottom w:val="none" w:sz="0" w:space="0" w:color="auto"/>
        <w:right w:val="none" w:sz="0" w:space="0" w:color="auto"/>
      </w:divBdr>
    </w:div>
    <w:div w:id="640962427">
      <w:bodyDiv w:val="1"/>
      <w:marLeft w:val="0"/>
      <w:marRight w:val="0"/>
      <w:marTop w:val="0"/>
      <w:marBottom w:val="0"/>
      <w:divBdr>
        <w:top w:val="none" w:sz="0" w:space="0" w:color="auto"/>
        <w:left w:val="none" w:sz="0" w:space="0" w:color="auto"/>
        <w:bottom w:val="none" w:sz="0" w:space="0" w:color="auto"/>
        <w:right w:val="none" w:sz="0" w:space="0" w:color="auto"/>
      </w:divBdr>
    </w:div>
    <w:div w:id="1152605359">
      <w:bodyDiv w:val="1"/>
      <w:marLeft w:val="0"/>
      <w:marRight w:val="0"/>
      <w:marTop w:val="0"/>
      <w:marBottom w:val="0"/>
      <w:divBdr>
        <w:top w:val="none" w:sz="0" w:space="0" w:color="auto"/>
        <w:left w:val="none" w:sz="0" w:space="0" w:color="auto"/>
        <w:bottom w:val="none" w:sz="0" w:space="0" w:color="auto"/>
        <w:right w:val="none" w:sz="0" w:space="0" w:color="auto"/>
      </w:divBdr>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238325602">
      <w:bodyDiv w:val="1"/>
      <w:marLeft w:val="0"/>
      <w:marRight w:val="0"/>
      <w:marTop w:val="0"/>
      <w:marBottom w:val="0"/>
      <w:divBdr>
        <w:top w:val="none" w:sz="0" w:space="0" w:color="auto"/>
        <w:left w:val="none" w:sz="0" w:space="0" w:color="auto"/>
        <w:bottom w:val="none" w:sz="0" w:space="0" w:color="auto"/>
        <w:right w:val="none" w:sz="0" w:space="0" w:color="auto"/>
      </w:divBdr>
    </w:div>
    <w:div w:id="1281376870">
      <w:bodyDiv w:val="1"/>
      <w:marLeft w:val="0"/>
      <w:marRight w:val="0"/>
      <w:marTop w:val="0"/>
      <w:marBottom w:val="0"/>
      <w:divBdr>
        <w:top w:val="none" w:sz="0" w:space="0" w:color="auto"/>
        <w:left w:val="none" w:sz="0" w:space="0" w:color="auto"/>
        <w:bottom w:val="none" w:sz="0" w:space="0" w:color="auto"/>
        <w:right w:val="none" w:sz="0" w:space="0" w:color="auto"/>
      </w:divBdr>
    </w:div>
    <w:div w:id="1503740175">
      <w:bodyDiv w:val="1"/>
      <w:marLeft w:val="0"/>
      <w:marRight w:val="0"/>
      <w:marTop w:val="0"/>
      <w:marBottom w:val="0"/>
      <w:divBdr>
        <w:top w:val="none" w:sz="0" w:space="0" w:color="auto"/>
        <w:left w:val="none" w:sz="0" w:space="0" w:color="auto"/>
        <w:bottom w:val="none" w:sz="0" w:space="0" w:color="auto"/>
        <w:right w:val="none" w:sz="0" w:space="0" w:color="auto"/>
      </w:divBdr>
    </w:div>
    <w:div w:id="1680933686">
      <w:bodyDiv w:val="1"/>
      <w:marLeft w:val="0"/>
      <w:marRight w:val="0"/>
      <w:marTop w:val="0"/>
      <w:marBottom w:val="0"/>
      <w:divBdr>
        <w:top w:val="none" w:sz="0" w:space="0" w:color="auto"/>
        <w:left w:val="none" w:sz="0" w:space="0" w:color="auto"/>
        <w:bottom w:val="none" w:sz="0" w:space="0" w:color="auto"/>
        <w:right w:val="none" w:sz="0" w:space="0" w:color="auto"/>
      </w:divBdr>
    </w:div>
    <w:div w:id="1841576513">
      <w:bodyDiv w:val="1"/>
      <w:marLeft w:val="0"/>
      <w:marRight w:val="0"/>
      <w:marTop w:val="0"/>
      <w:marBottom w:val="0"/>
      <w:divBdr>
        <w:top w:val="none" w:sz="0" w:space="0" w:color="auto"/>
        <w:left w:val="none" w:sz="0" w:space="0" w:color="auto"/>
        <w:bottom w:val="none" w:sz="0" w:space="0" w:color="auto"/>
        <w:right w:val="none" w:sz="0" w:space="0" w:color="auto"/>
      </w:divBdr>
    </w:div>
    <w:div w:id="1977833400">
      <w:bodyDiv w:val="1"/>
      <w:marLeft w:val="0"/>
      <w:marRight w:val="0"/>
      <w:marTop w:val="0"/>
      <w:marBottom w:val="0"/>
      <w:divBdr>
        <w:top w:val="none" w:sz="0" w:space="0" w:color="auto"/>
        <w:left w:val="none" w:sz="0" w:space="0" w:color="auto"/>
        <w:bottom w:val="none" w:sz="0" w:space="0" w:color="auto"/>
        <w:right w:val="none" w:sz="0" w:space="0" w:color="auto"/>
      </w:divBdr>
    </w:div>
    <w:div w:id="204532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adijane@f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2D95-C6DA-4380-A045-6E5C87DF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16808</Words>
  <Characters>9581</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Informatīvais ziņojums “Par fiskālās telpas pasākumiem un izdevumiem prioritārajiem pasākumiem valsts budžetam 2020.gadam un ietvaram 2020.–2022.gadam”</vt:lpstr>
    </vt:vector>
  </TitlesOfParts>
  <Company>Finanšu ministrija</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fiskālās telpas pasākumiem un izdevumiem prioritārajiem pasākumiem valsts budžetam 2020.gadam un ietvaram 2020.–2022.gadam”</dc:title>
  <dc:subject/>
  <dc:creator>Zane Adijāne</dc:creator>
  <cp:keywords/>
  <dc:description>Zane.Adijane@fm.gov.lv_x000d_
67095437</dc:description>
  <cp:lastModifiedBy>Zane Adijāne</cp:lastModifiedBy>
  <cp:revision>36</cp:revision>
  <cp:lastPrinted>2019-09-12T15:54:00Z</cp:lastPrinted>
  <dcterms:created xsi:type="dcterms:W3CDTF">2019-09-12T09:25:00Z</dcterms:created>
  <dcterms:modified xsi:type="dcterms:W3CDTF">2019-09-12T16:53:00Z</dcterms:modified>
</cp:coreProperties>
</file>