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A72B37" w:rsidRPr="00DA31E5" w14:paraId="305C8AC1" w14:textId="77777777" w:rsidTr="00BB5239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2256"/>
              <w:gridCol w:w="2470"/>
              <w:gridCol w:w="2008"/>
              <w:gridCol w:w="391"/>
              <w:gridCol w:w="2866"/>
            </w:tblGrid>
            <w:tr w:rsidR="00A72B37" w14:paraId="0A24E0DF" w14:textId="77777777" w:rsidTr="00E6088F"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49064" w14:textId="427FD199" w:rsidR="00A72B37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98A61C" wp14:editId="47295D9B">
                        <wp:extent cx="1287780" cy="1044575"/>
                        <wp:effectExtent l="0" t="0" r="7620" b="3175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104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320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11F3CD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66E9E5C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22E445B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066CF11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1270232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6EC556F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1CBE127B" w14:textId="032AB6CE" w:rsidR="00A72B37" w:rsidRPr="00E65C7A" w:rsidRDefault="005B00D1" w:rsidP="00C55BF5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</w:t>
                  </w:r>
                  <w:r w:rsidR="00A72B37" w:rsidRPr="00E65C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AMATA APRAKSTS</w:t>
                  </w:r>
                </w:p>
              </w:tc>
              <w:tc>
                <w:tcPr>
                  <w:tcW w:w="32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29364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APSTIPRINU</w:t>
                  </w:r>
                </w:p>
                <w:p w14:paraId="4B0D3CF1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Finanšu ministrijas</w:t>
                  </w:r>
                </w:p>
                <w:p w14:paraId="55E7CCAE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valsts sekretāre</w:t>
                  </w:r>
                </w:p>
                <w:p w14:paraId="38A414F7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B. Bāne</w:t>
                  </w:r>
                </w:p>
                <w:p w14:paraId="09C514D6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Dokuments apstiprināts ar elektronisko parakstu</w:t>
                  </w:r>
                </w:p>
                <w:p w14:paraId="68BD05B2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Datums skatāms laika zīmogā</w:t>
                  </w:r>
                </w:p>
                <w:p w14:paraId="36906118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Reģistrācijas numurs skatāms reģistrācijas informācijā</w:t>
                  </w:r>
                </w:p>
                <w:p w14:paraId="634C88B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A72B37" w14:paraId="44ADED75" w14:textId="77777777" w:rsidTr="00E6088F">
              <w:tc>
                <w:tcPr>
                  <w:tcW w:w="2256" w:type="dxa"/>
                </w:tcPr>
                <w:p w14:paraId="43D3741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2.AMATA NOSAUKUMS</w:t>
                  </w:r>
                </w:p>
              </w:tc>
              <w:tc>
                <w:tcPr>
                  <w:tcW w:w="2470" w:type="dxa"/>
                </w:tcPr>
                <w:p w14:paraId="2218C50F" w14:textId="0E0F76BF" w:rsidR="00A72B37" w:rsidRPr="0059191F" w:rsidRDefault="004321C6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191F">
                    <w:rPr>
                      <w:rFonts w:ascii="Times New Roman" w:hAnsi="Times New Roman" w:cs="Times New Roman"/>
                      <w:b/>
                      <w:szCs w:val="24"/>
                    </w:rPr>
                    <w:t>Juriskonsults</w:t>
                  </w:r>
                </w:p>
              </w:tc>
              <w:tc>
                <w:tcPr>
                  <w:tcW w:w="2399" w:type="dxa"/>
                  <w:gridSpan w:val="2"/>
                </w:tcPr>
                <w:p w14:paraId="2B4CA738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2.1.AMATA STATUSS</w:t>
                  </w:r>
                </w:p>
              </w:tc>
              <w:tc>
                <w:tcPr>
                  <w:tcW w:w="2866" w:type="dxa"/>
                </w:tcPr>
                <w:p w14:paraId="36B7CFDC" w14:textId="77777777" w:rsidR="00A72B37" w:rsidRPr="004A074A" w:rsidRDefault="00610AEA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Ierēdnis</w:t>
                  </w:r>
                </w:p>
              </w:tc>
            </w:tr>
            <w:tr w:rsidR="00A72B37" w14:paraId="094449A2" w14:textId="77777777" w:rsidTr="00E6088F">
              <w:trPr>
                <w:trHeight w:val="627"/>
              </w:trPr>
              <w:tc>
                <w:tcPr>
                  <w:tcW w:w="4726" w:type="dxa"/>
                  <w:gridSpan w:val="2"/>
                </w:tcPr>
                <w:p w14:paraId="5F7B86BB" w14:textId="77777777" w:rsidR="00A72B37" w:rsidRDefault="00A72B37" w:rsidP="00BB5239">
                  <w:pPr>
                    <w:rPr>
                      <w:rFonts w:ascii="Times New Roman" w:hAnsi="Times New Roman" w:cs="Times New Roman"/>
                    </w:rPr>
                  </w:pPr>
                  <w:r w:rsidRPr="004A074A">
                    <w:rPr>
                      <w:rFonts w:ascii="Times New Roman" w:hAnsi="Times New Roman" w:cs="Times New Roman"/>
                    </w:rPr>
                    <w:t>3.STRUKTŪRVIENĪBA</w:t>
                  </w:r>
                </w:p>
                <w:p w14:paraId="304F3C5A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65" w:type="dxa"/>
                  <w:gridSpan w:val="3"/>
                </w:tcPr>
                <w:p w14:paraId="6ACB0323" w14:textId="41D1F5EF" w:rsidR="00A72B37" w:rsidRPr="0059191F" w:rsidRDefault="00610AEA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59191F">
                    <w:rPr>
                      <w:rFonts w:ascii="Times New Roman" w:hAnsi="Times New Roman" w:cs="Times New Roman"/>
                      <w:b/>
                      <w:szCs w:val="24"/>
                    </w:rPr>
                    <w:t>Komercdarbības atbalsta kontroles departaments</w:t>
                  </w:r>
                  <w:r w:rsidR="003E0709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</w:r>
                  <w:r w:rsidR="003E0709" w:rsidRPr="003E0709">
                    <w:rPr>
                      <w:rFonts w:ascii="Times New Roman" w:hAnsi="Times New Roman" w:cs="Times New Roman"/>
                      <w:b/>
                      <w:szCs w:val="24"/>
                    </w:rPr>
                    <w:t>ES fondu un cita ārvalstu finansējuma kontroles nodaļa</w:t>
                  </w:r>
                </w:p>
              </w:tc>
            </w:tr>
            <w:tr w:rsidR="00A72B37" w:rsidRPr="004A074A" w14:paraId="6F8085C5" w14:textId="77777777" w:rsidTr="00E6088F">
              <w:tc>
                <w:tcPr>
                  <w:tcW w:w="2256" w:type="dxa"/>
                </w:tcPr>
                <w:p w14:paraId="1BC97F54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4.PROFESIJAS KODS</w:t>
                  </w:r>
                </w:p>
              </w:tc>
              <w:tc>
                <w:tcPr>
                  <w:tcW w:w="2470" w:type="dxa"/>
                </w:tcPr>
                <w:p w14:paraId="1C268B31" w14:textId="4769AC07" w:rsidR="00A72B37" w:rsidRPr="00DA3ACD" w:rsidRDefault="00D0438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0438A">
                    <w:rPr>
                      <w:rFonts w:ascii="Times New Roman" w:hAnsi="Times New Roman" w:cs="Times New Roman"/>
                    </w:rPr>
                    <w:t>2619  01</w:t>
                  </w:r>
                </w:p>
              </w:tc>
              <w:tc>
                <w:tcPr>
                  <w:tcW w:w="2399" w:type="dxa"/>
                  <w:gridSpan w:val="2"/>
                </w:tcPr>
                <w:p w14:paraId="0DB689D5" w14:textId="77777777" w:rsidR="00A72B37" w:rsidRPr="00024473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9D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5.AMATA SAIME UN LĪMENIS</w:t>
                  </w:r>
                </w:p>
              </w:tc>
              <w:tc>
                <w:tcPr>
                  <w:tcW w:w="2866" w:type="dxa"/>
                </w:tcPr>
                <w:p w14:paraId="56900E46" w14:textId="1260FFDC" w:rsidR="00F86360" w:rsidRPr="005B00D1" w:rsidRDefault="00097FCD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B00D1">
                    <w:rPr>
                      <w:rFonts w:ascii="Times New Roman" w:hAnsi="Times New Roman" w:cs="Times New Roman"/>
                    </w:rPr>
                    <w:t>37.</w:t>
                  </w:r>
                  <w:r w:rsidR="005B00D1">
                    <w:rPr>
                      <w:rFonts w:ascii="Times New Roman" w:hAnsi="Times New Roman" w:cs="Times New Roman"/>
                    </w:rPr>
                    <w:t xml:space="preserve">  IIA</w:t>
                  </w:r>
                </w:p>
              </w:tc>
            </w:tr>
            <w:tr w:rsidR="00A72B37" w:rsidRPr="004A074A" w14:paraId="2F51907E" w14:textId="77777777" w:rsidTr="00E6088F">
              <w:tc>
                <w:tcPr>
                  <w:tcW w:w="2256" w:type="dxa"/>
                </w:tcPr>
                <w:p w14:paraId="3098B77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6.TIEŠAIS VADĪTĀJS</w:t>
                  </w:r>
                </w:p>
              </w:tc>
              <w:tc>
                <w:tcPr>
                  <w:tcW w:w="2470" w:type="dxa"/>
                </w:tcPr>
                <w:p w14:paraId="6DC28B5E" w14:textId="65F141C0" w:rsidR="00A72B37" w:rsidRPr="00DA3ACD" w:rsidRDefault="00F86360" w:rsidP="00330B39">
                  <w:pPr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Departamenta direktor</w:t>
                  </w:r>
                  <w:r w:rsidR="003E0709">
                    <w:rPr>
                      <w:rFonts w:ascii="Times New Roman" w:hAnsi="Times New Roman" w:cs="Times New Roman"/>
                    </w:rPr>
                    <w:t>a vietnieks – nodaļas vadītājs</w:t>
                  </w:r>
                </w:p>
              </w:tc>
              <w:tc>
                <w:tcPr>
                  <w:tcW w:w="2399" w:type="dxa"/>
                  <w:gridSpan w:val="2"/>
                </w:tcPr>
                <w:p w14:paraId="5B69981F" w14:textId="77777777" w:rsidR="00A72B37" w:rsidRPr="004A074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7.F</w:t>
                  </w: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UNKCIONĀLAIS VADĪTĀJS</w:t>
                  </w:r>
                </w:p>
              </w:tc>
              <w:tc>
                <w:tcPr>
                  <w:tcW w:w="2866" w:type="dxa"/>
                </w:tcPr>
                <w:p w14:paraId="7CFDCA94" w14:textId="73744CD9" w:rsidR="00A72B37" w:rsidRPr="00DA3ACD" w:rsidRDefault="00F86360" w:rsidP="00330B39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direktor</w:t>
                  </w:r>
                  <w:r w:rsidR="003E0709">
                    <w:rPr>
                      <w:rFonts w:ascii="Times New Roman" w:hAnsi="Times New Roman" w:cs="Times New Roman"/>
                      <w:szCs w:val="24"/>
                    </w:rPr>
                    <w:t>a vietnieks – nodaļas vadītājs</w:t>
                  </w:r>
                </w:p>
              </w:tc>
            </w:tr>
            <w:tr w:rsidR="00A72B37" w:rsidRPr="004A074A" w14:paraId="6C38C08D" w14:textId="77777777" w:rsidTr="00E6088F">
              <w:tc>
                <w:tcPr>
                  <w:tcW w:w="2256" w:type="dxa"/>
                </w:tcPr>
                <w:p w14:paraId="67210E02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8.IEKŠĒJĀ SADARBĪBA</w:t>
                  </w:r>
                </w:p>
              </w:tc>
              <w:tc>
                <w:tcPr>
                  <w:tcW w:w="2470" w:type="dxa"/>
                </w:tcPr>
                <w:p w14:paraId="7A235391" w14:textId="024B4001" w:rsidR="00A72B37" w:rsidRPr="00DA3ACD" w:rsidRDefault="00F86360" w:rsidP="009D41E2">
                  <w:pPr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Ar visām F</w:t>
                  </w:r>
                  <w:r w:rsidR="00F025B8">
                    <w:rPr>
                      <w:rFonts w:ascii="Times New Roman" w:hAnsi="Times New Roman" w:cs="Times New Roman"/>
                    </w:rPr>
                    <w:t>inanšu ministrijas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struktūrvienībām</w:t>
                  </w:r>
                </w:p>
              </w:tc>
              <w:tc>
                <w:tcPr>
                  <w:tcW w:w="2399" w:type="dxa"/>
                  <w:gridSpan w:val="2"/>
                </w:tcPr>
                <w:p w14:paraId="3849D0A5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9.ĀRĒJĀ SADARBĪBA</w:t>
                  </w:r>
                </w:p>
              </w:tc>
              <w:tc>
                <w:tcPr>
                  <w:tcW w:w="2866" w:type="dxa"/>
                </w:tcPr>
                <w:p w14:paraId="02D6243C" w14:textId="6BEEEBBF" w:rsidR="00A72B37" w:rsidRPr="00DA3ACD" w:rsidRDefault="00F86360" w:rsidP="009D41E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Ar ministrijas padotībā esošo iestāžu darbiniekiem un citām institūcijām atbilstoši veicamajiem amata pienākumiem (tai skaitā pašvaldībām, ministrijām, E</w:t>
                  </w:r>
                  <w:r w:rsidR="0029283B" w:rsidRPr="00DA3ACD">
                    <w:rPr>
                      <w:rFonts w:ascii="Times New Roman" w:hAnsi="Times New Roman" w:cs="Times New Roman"/>
                      <w:szCs w:val="24"/>
                    </w:rPr>
                    <w:t>iropas komisiju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, komersantiem u.c.).</w:t>
                  </w:r>
                </w:p>
              </w:tc>
            </w:tr>
          </w:tbl>
          <w:p w14:paraId="583FC840" w14:textId="77777777" w:rsidR="00A72B37" w:rsidRPr="004A074A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904"/>
              <w:gridCol w:w="1815"/>
              <w:gridCol w:w="5588"/>
              <w:gridCol w:w="1684"/>
            </w:tblGrid>
            <w:tr w:rsidR="00A72B37" w:rsidRPr="004A074A" w14:paraId="4AA88308" w14:textId="77777777" w:rsidTr="0016028D">
              <w:tc>
                <w:tcPr>
                  <w:tcW w:w="2719" w:type="dxa"/>
                  <w:gridSpan w:val="2"/>
                </w:tcPr>
                <w:p w14:paraId="21F226BA" w14:textId="77777777" w:rsidR="00A72B37" w:rsidRPr="00610AE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10.AMATA MĒRĶIS</w:t>
                  </w:r>
                </w:p>
              </w:tc>
              <w:tc>
                <w:tcPr>
                  <w:tcW w:w="7272" w:type="dxa"/>
                  <w:gridSpan w:val="2"/>
                </w:tcPr>
                <w:p w14:paraId="61C4817D" w14:textId="2CC2C24C" w:rsidR="00D0438A" w:rsidRPr="004B3D59" w:rsidRDefault="00721BAB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K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omercdarbības atbalsta kontroles normu piemērošanas nodrošināšana </w:t>
                  </w:r>
                  <w:r w:rsidR="00F11AB0" w:rsidRPr="00E310F6">
                    <w:rPr>
                      <w:rFonts w:ascii="Times New Roman" w:hAnsi="Times New Roman" w:cs="Times New Roman"/>
                    </w:rPr>
                    <w:t>Eiropas Savienības kohēzijas politikas programmas 2021.-2027.gadam, Eiropas Savienības Atveseļošanās un noturības mehānisma plāna u.c</w:t>
                  </w:r>
                  <w:r w:rsidR="00F11AB0">
                    <w:rPr>
                      <w:rFonts w:ascii="Times New Roman" w:hAnsi="Times New Roman" w:cs="Times New Roman"/>
                    </w:rPr>
                    <w:t xml:space="preserve"> ES fondu f</w:t>
                  </w:r>
                  <w:r w:rsidR="004D2DF5">
                    <w:rPr>
                      <w:rFonts w:ascii="Times New Roman" w:hAnsi="Times New Roman" w:cs="Times New Roman"/>
                    </w:rPr>
                    <w:t>in</w:t>
                  </w:r>
                  <w:r w:rsidR="00F11AB0">
                    <w:rPr>
                      <w:rFonts w:ascii="Times New Roman" w:hAnsi="Times New Roman" w:cs="Times New Roman"/>
                    </w:rPr>
                    <w:t xml:space="preserve">ansēto pasākumu ieviešanā </w:t>
                  </w:r>
                </w:p>
              </w:tc>
            </w:tr>
            <w:tr w:rsidR="00A72B37" w14:paraId="4BCC28A2" w14:textId="77777777" w:rsidTr="0016028D">
              <w:tc>
                <w:tcPr>
                  <w:tcW w:w="9991" w:type="dxa"/>
                  <w:gridSpan w:val="4"/>
                </w:tcPr>
                <w:p w14:paraId="3DB7B5F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11.AMATA PIENĀKUMI</w:t>
                  </w:r>
                </w:p>
              </w:tc>
            </w:tr>
            <w:tr w:rsidR="00A72B37" w:rsidRPr="00FA5808" w14:paraId="608532F7" w14:textId="77777777" w:rsidTr="0016028D">
              <w:tc>
                <w:tcPr>
                  <w:tcW w:w="904" w:type="dxa"/>
                </w:tcPr>
                <w:p w14:paraId="723FA44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3" w:type="dxa"/>
                  <w:gridSpan w:val="2"/>
                </w:tcPr>
                <w:p w14:paraId="0E8DC79B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PIENĀKUMS</w:t>
                  </w:r>
                </w:p>
              </w:tc>
              <w:tc>
                <w:tcPr>
                  <w:tcW w:w="1684" w:type="dxa"/>
                </w:tcPr>
                <w:p w14:paraId="702F455F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NOZĪMĪBA %</w:t>
                  </w:r>
                </w:p>
              </w:tc>
            </w:tr>
            <w:tr w:rsidR="007241FA" w:rsidRPr="00FA5808" w14:paraId="76717658" w14:textId="77777777" w:rsidTr="0016028D">
              <w:tc>
                <w:tcPr>
                  <w:tcW w:w="904" w:type="dxa"/>
                </w:tcPr>
                <w:p w14:paraId="5A6C8057" w14:textId="77777777" w:rsidR="007241FA" w:rsidRPr="00DA3ACD" w:rsidRDefault="007241FA" w:rsidP="00005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11.1.</w:t>
                  </w:r>
                </w:p>
              </w:tc>
              <w:tc>
                <w:tcPr>
                  <w:tcW w:w="7403" w:type="dxa"/>
                  <w:gridSpan w:val="2"/>
                </w:tcPr>
                <w:p w14:paraId="0F847E32" w14:textId="4FB50DED" w:rsidR="007241FA" w:rsidRPr="00DA3ACD" w:rsidRDefault="007241FA" w:rsidP="00E93EC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Veikt </w:t>
                  </w:r>
                  <w:r w:rsidR="005A4495">
                    <w:rPr>
                      <w:rFonts w:ascii="Times New Roman" w:hAnsi="Times New Roman" w:cs="Times New Roman"/>
                    </w:rPr>
                    <w:t>iesniegto</w:t>
                  </w:r>
                  <w:r w:rsidR="00E310F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310F6" w:rsidRPr="00E310F6">
                    <w:rPr>
                      <w:rFonts w:ascii="Times New Roman" w:hAnsi="Times New Roman" w:cs="Times New Roman"/>
                    </w:rPr>
                    <w:t>no Eiropas Savienības kohēzijas politikas programmas 2021.-2027.gadam, Eiropas Savienības Atveseļošanās un noturības mehānisma plāna u.c</w:t>
                  </w:r>
                  <w:r w:rsidR="00E310F6">
                    <w:rPr>
                      <w:rFonts w:ascii="Times New Roman" w:hAnsi="Times New Roman" w:cs="Times New Roman"/>
                    </w:rPr>
                    <w:t xml:space="preserve"> ES fondu fi</w:t>
                  </w:r>
                  <w:r w:rsidR="004D2DF5">
                    <w:rPr>
                      <w:rFonts w:ascii="Times New Roman" w:hAnsi="Times New Roman" w:cs="Times New Roman"/>
                    </w:rPr>
                    <w:t>n</w:t>
                  </w:r>
                  <w:r w:rsidR="00E310F6">
                    <w:rPr>
                      <w:rFonts w:ascii="Times New Roman" w:hAnsi="Times New Roman" w:cs="Times New Roman"/>
                    </w:rPr>
                    <w:t>ansēto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programmu un </w:t>
                  </w:r>
                  <w:r>
                    <w:rPr>
                      <w:rFonts w:ascii="Times New Roman" w:hAnsi="Times New Roman" w:cs="Times New Roman"/>
                    </w:rPr>
                    <w:t>ad hoc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projektu, </w:t>
                  </w:r>
                  <w:r>
                    <w:rPr>
                      <w:rFonts w:ascii="Times New Roman" w:hAnsi="Times New Roman" w:cs="Times New Roman"/>
                    </w:rPr>
                    <w:t xml:space="preserve">sūdzību,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kā arī </w:t>
                  </w:r>
                  <w:r w:rsidR="005A4495">
                    <w:rPr>
                      <w:rFonts w:ascii="Times New Roman" w:hAnsi="Times New Roman" w:cs="Times New Roman"/>
                    </w:rPr>
                    <w:t>iesniegto</w:t>
                  </w:r>
                  <w:r w:rsidR="005A4495" w:rsidRPr="00DA3AC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grozījumu esošajās atbalsta programmās vai </w:t>
                  </w:r>
                  <w:r>
                    <w:rPr>
                      <w:rFonts w:ascii="Times New Roman" w:hAnsi="Times New Roman" w:cs="Times New Roman"/>
                    </w:rPr>
                    <w:t>ad hoc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projektos pieteikumu sākotnējo izvērtēšanu</w:t>
                  </w:r>
                  <w:r w:rsidR="00E310F6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7050" w:rsidRPr="0060445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ievērojot Komercdarbības</w:t>
                  </w:r>
                  <w:r w:rsidR="008A7050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="008A7050" w:rsidRPr="0060445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atbalsta kontroles likuma 9.pantā noteikto kompetenču sadalījumu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Amata kompetences ietvaros nepieciešams rast risinājumus nestandarta situācijās.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68EA0FEA" w14:textId="0F333A3F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7241FA" w:rsidRPr="00FA5808" w14:paraId="55009F48" w14:textId="77777777" w:rsidTr="0016028D">
              <w:tc>
                <w:tcPr>
                  <w:tcW w:w="904" w:type="dxa"/>
                </w:tcPr>
                <w:p w14:paraId="79D61536" w14:textId="77777777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11.2.</w:t>
                  </w:r>
                </w:p>
              </w:tc>
              <w:tc>
                <w:tcPr>
                  <w:tcW w:w="7403" w:type="dxa"/>
                  <w:gridSpan w:val="2"/>
                </w:tcPr>
                <w:p w14:paraId="24F8B394" w14:textId="65C89162" w:rsidR="007241FA" w:rsidRPr="00DA3ACD" w:rsidRDefault="007241FA" w:rsidP="00CE4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Nodrošināt informācijas apriti starp Eiropas Komisiju un atbildīgajām Latvijas </w:t>
                  </w:r>
                  <w:r w:rsidRPr="00825F16">
                    <w:rPr>
                      <w:rFonts w:ascii="Times New Roman" w:hAnsi="Times New Roman" w:cs="Times New Roman"/>
                    </w:rPr>
                    <w:t xml:space="preserve">institūcijām par jautājumiem, kas saistīti ar Latvijas iestāžu pieteiktajām atbalsta programmām, </w:t>
                  </w:r>
                  <w:r w:rsidR="00E310F6" w:rsidRPr="00825F16">
                    <w:rPr>
                      <w:rFonts w:ascii="Times New Roman" w:hAnsi="Times New Roman" w:cs="Times New Roman"/>
                    </w:rPr>
                    <w:t>kas</w:t>
                  </w:r>
                  <w:r w:rsidR="00E310F6">
                    <w:rPr>
                      <w:rFonts w:ascii="Times New Roman" w:hAnsi="Times New Roman" w:cs="Times New Roman"/>
                    </w:rPr>
                    <w:t xml:space="preserve"> finansētas </w:t>
                  </w:r>
                  <w:r w:rsidR="00E310F6" w:rsidRPr="00E310F6">
                    <w:rPr>
                      <w:rFonts w:ascii="Times New Roman" w:hAnsi="Times New Roman" w:cs="Times New Roman"/>
                    </w:rPr>
                    <w:t>no Eiropas Savienības kohēzijas politikas programmas 2021.-2027.gadam, Eiropas Savienības Atveseļošanās un noturības mehānisma plāna u.c</w:t>
                  </w:r>
                  <w:r w:rsidR="00E310F6">
                    <w:rPr>
                      <w:rFonts w:ascii="Times New Roman" w:hAnsi="Times New Roman" w:cs="Times New Roman"/>
                    </w:rPr>
                    <w:t xml:space="preserve"> ES fondiem, </w:t>
                  </w:r>
                  <w:r w:rsidRPr="009D41E2">
                    <w:rPr>
                      <w:rFonts w:ascii="Times New Roman" w:hAnsi="Times New Roman" w:cs="Times New Roman"/>
                    </w:rPr>
                    <w:t>tai skaitā par pēcuzraudzības (ex-post) lietām</w:t>
                  </w:r>
                  <w:r>
                    <w:rPr>
                      <w:rFonts w:ascii="Times New Roman" w:hAnsi="Times New Roman" w:cs="Times New Roman"/>
                    </w:rPr>
                    <w:t>, ad hoc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atbalsta projektiem un </w:t>
                  </w:r>
                  <w:r>
                    <w:rPr>
                      <w:rFonts w:ascii="Times New Roman" w:hAnsi="Times New Roman" w:cs="Times New Roman"/>
                    </w:rPr>
                    <w:t xml:space="preserve">Eiropas Komisijai </w:t>
                  </w:r>
                  <w:r w:rsidRPr="00DA3ACD">
                    <w:rPr>
                      <w:rFonts w:ascii="Times New Roman" w:hAnsi="Times New Roman" w:cs="Times New Roman"/>
                    </w:rPr>
                    <w:t>iesniegtajām sūdzībām, veicot saņemto dokumentu nepieciešamo izvērtējumu.</w:t>
                  </w:r>
                </w:p>
              </w:tc>
              <w:tc>
                <w:tcPr>
                  <w:tcW w:w="1684" w:type="dxa"/>
                  <w:vMerge/>
                </w:tcPr>
                <w:p w14:paraId="740DEB16" w14:textId="3CFBC998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241FA" w:rsidRPr="00FA5808" w14:paraId="5C1B6CD9" w14:textId="77777777" w:rsidTr="0016028D">
              <w:tc>
                <w:tcPr>
                  <w:tcW w:w="904" w:type="dxa"/>
                </w:tcPr>
                <w:p w14:paraId="13EB6367" w14:textId="578BA768" w:rsidR="007241FA" w:rsidRPr="00DA3ACD" w:rsidRDefault="007241FA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11.3.</w:t>
                  </w:r>
                </w:p>
              </w:tc>
              <w:tc>
                <w:tcPr>
                  <w:tcW w:w="7403" w:type="dxa"/>
                  <w:gridSpan w:val="2"/>
                </w:tcPr>
                <w:p w14:paraId="48511C84" w14:textId="76EE1EB1" w:rsidR="007241FA" w:rsidRPr="00D13876" w:rsidRDefault="00761FE2" w:rsidP="0041548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</w:rPr>
                  </w:pPr>
                  <w:r w:rsidRPr="00731705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Iesaistīties</w:t>
                  </w:r>
                  <w:r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="007241FA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nepieciešamo tiesību aktu grozījumu</w:t>
                  </w:r>
                  <w:r w:rsidRPr="00731705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sagatavošanā</w:t>
                  </w:r>
                  <w:r w:rsidR="007241FA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Eiropas Savienības prasību komercdarbības atbalsta kontroles jomā ieviešanai, kā arī tiesību aktu projektu</w:t>
                  </w:r>
                  <w:r w:rsidRPr="00731705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sagatavošanā</w:t>
                  </w:r>
                  <w:r w:rsidR="007241FA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komercdarbības atbalsta kontroles sistēmas pilnveidošanai Latvijā, </w:t>
                  </w:r>
                  <w:r w:rsidR="008A7050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ievērojot Komercdarbības atbalsta kontroles likuma 9.pantā noteikto kompetenču sadalījumu</w:t>
                  </w:r>
                  <w:r w:rsidR="007241FA" w:rsidRPr="005442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.</w:t>
                  </w:r>
                  <w:r w:rsidR="007241FA" w:rsidRPr="002B0A1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</w:p>
              </w:tc>
              <w:tc>
                <w:tcPr>
                  <w:tcW w:w="1684" w:type="dxa"/>
                  <w:vMerge w:val="restart"/>
                </w:tcPr>
                <w:p w14:paraId="6ABFD356" w14:textId="10803F76" w:rsidR="007241FA" w:rsidRPr="00DA3ACD" w:rsidRDefault="007241FA" w:rsidP="002D10F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</w:tr>
            <w:tr w:rsidR="007241FA" w:rsidRPr="00FA5808" w14:paraId="1B8669FB" w14:textId="77777777" w:rsidTr="002D10FF">
              <w:tc>
                <w:tcPr>
                  <w:tcW w:w="904" w:type="dxa"/>
                </w:tcPr>
                <w:p w14:paraId="1AB4680D" w14:textId="0AD8EF96" w:rsidR="007241FA" w:rsidRPr="00DA3ACD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lastRenderedPageBreak/>
                    <w:t>11.</w:t>
                  </w:r>
                  <w:r w:rsidR="00961405">
                    <w:rPr>
                      <w:rFonts w:ascii="Times New Roman" w:hAnsi="Times New Roman" w:cs="Times New Roman"/>
                    </w:rPr>
                    <w:t>4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160889C7" w14:textId="646EA9F5" w:rsidR="007241FA" w:rsidRPr="00532832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Pārzināt piemērojamo komercdarbības atbalsta kontroles regulējumu attiecībā uz dažādām tautsaimniecības nozarēm un i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nformēt Finanšu ministrijas struktūrvienības, nozaru ministrijas un citas valsts pārvaldes un pašvaldību institūcijas par aktualitātēm komercdarbības atbalsta </w:t>
                  </w:r>
                  <w:r w:rsidR="00BD5290">
                    <w:rPr>
                      <w:rFonts w:ascii="Times New Roman" w:hAnsi="Times New Roman" w:cs="Times New Roman"/>
                    </w:rPr>
                    <w:t xml:space="preserve">kontroles 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jomā, t.sk., jaunākajām aktualitātēm Eiropas Kopienas tiesībās. Gatavot metodoloģiskos materiālus </w:t>
                  </w:r>
                  <w:r w:rsidR="00BD5290">
                    <w:rPr>
                      <w:rFonts w:ascii="Times New Roman" w:hAnsi="Times New Roman" w:cs="Times New Roman"/>
                    </w:rPr>
                    <w:t xml:space="preserve">un ziņojumus 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par </w:t>
                  </w:r>
                  <w:r>
                    <w:rPr>
                      <w:rFonts w:ascii="Times New Roman" w:hAnsi="Times New Roman" w:cs="Times New Roman"/>
                    </w:rPr>
                    <w:t>komercdarbības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atbalsta</w:t>
                  </w:r>
                  <w:r>
                    <w:rPr>
                      <w:rFonts w:ascii="Times New Roman" w:hAnsi="Times New Roman" w:cs="Times New Roman"/>
                    </w:rPr>
                    <w:t xml:space="preserve"> kontroles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normu piemērošanu</w:t>
                  </w:r>
                  <w:r>
                    <w:rPr>
                      <w:rFonts w:ascii="Times New Roman" w:hAnsi="Times New Roman" w:cs="Times New Roman"/>
                    </w:rPr>
                    <w:t xml:space="preserve"> dažādās tautsaimniecības nozarēs</w:t>
                  </w:r>
                  <w:r w:rsidR="0078141E">
                    <w:rPr>
                      <w:rFonts w:ascii="Times New Roman" w:hAnsi="Times New Roman" w:cs="Times New Roman"/>
                    </w:rPr>
                    <w:t>, kas attiecas uz ES fondu finansētajiem atbalsta pasākumiem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684" w:type="dxa"/>
                  <w:vMerge/>
                </w:tcPr>
                <w:p w14:paraId="609A539C" w14:textId="77777777" w:rsidR="007241FA" w:rsidRPr="00DA3ACD" w:rsidRDefault="007241F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0E87" w:rsidRPr="00FA5808" w14:paraId="6735B05E" w14:textId="77777777" w:rsidTr="0016028D">
              <w:tc>
                <w:tcPr>
                  <w:tcW w:w="904" w:type="dxa"/>
                </w:tcPr>
                <w:p w14:paraId="232B9C2C" w14:textId="6F40AB70" w:rsidR="00CF0E87" w:rsidRPr="00DA3ACD" w:rsidRDefault="004D2DF5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11.5</w:t>
                  </w:r>
                </w:p>
              </w:tc>
              <w:tc>
                <w:tcPr>
                  <w:tcW w:w="7403" w:type="dxa"/>
                  <w:gridSpan w:val="2"/>
                </w:tcPr>
                <w:p w14:paraId="6497E503" w14:textId="0AD81A0D" w:rsidR="00CF0E87" w:rsidRPr="00DA3ACD" w:rsidRDefault="004D2DF5" w:rsidP="007241FA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pacing w:val="1"/>
                    </w:rPr>
                  </w:pPr>
                  <w:r w:rsidRPr="000D34AC">
                    <w:rPr>
                      <w:rFonts w:ascii="Times New Roman" w:hAnsi="Times New Roman" w:cs="Times New Roman"/>
                    </w:rPr>
                    <w:t>Gatavot viedokli par LV institūciju sagatavotajām pozīcijām, instrukcijām attiecībā uz Eiropas Savienības kohēzijas politikas programmas 2021.-2027.gadam, Eiropas Savienības Atveseļošanās un noturības mehānisma plāna u.c ES fondu ieviešanas regulējumu.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684" w:type="dxa"/>
                  <w:vMerge w:val="restart"/>
                </w:tcPr>
                <w:p w14:paraId="32399C80" w14:textId="0C3D519C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CF0E87" w:rsidRPr="00FA5808" w14:paraId="10F3942D" w14:textId="77777777" w:rsidTr="0016028D">
              <w:tc>
                <w:tcPr>
                  <w:tcW w:w="904" w:type="dxa"/>
                </w:tcPr>
                <w:p w14:paraId="400A58D4" w14:textId="0E0F03A5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4D2DF5">
                    <w:rPr>
                      <w:rFonts w:ascii="Times New Roman" w:hAnsi="Times New Roman" w:cs="Times New Roman"/>
                    </w:rPr>
                    <w:t>6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67FEA5B0" w14:textId="68A86E4D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Saskaņā ar vadības norādījumiem pārstāvēt Finanšu ministriju</w:t>
                  </w:r>
                  <w:r w:rsidRPr="00A864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14CBB">
                    <w:rPr>
                      <w:rFonts w:ascii="Times New Roman" w:hAnsi="Times New Roman" w:cs="Times New Roman"/>
                    </w:rPr>
                    <w:t xml:space="preserve">nodaļas un </w:t>
                  </w:r>
                  <w:r w:rsidRPr="00A86448">
                    <w:rPr>
                      <w:rFonts w:ascii="Times New Roman" w:hAnsi="Times New Roman" w:cs="Times New Roman"/>
                    </w:rPr>
                    <w:t xml:space="preserve">departamenta kompetencē esošajos jautājumos Saeimas komisiju, Ministru kabineta, komisiju, padomju, darba grupu sēdēs un apspriedēs, citās valsts vai pašvaldību institūcijās, kā arī </w:t>
                  </w:r>
                  <w:r>
                    <w:rPr>
                      <w:rFonts w:ascii="Times New Roman" w:hAnsi="Times New Roman" w:cs="Times New Roman"/>
                    </w:rPr>
                    <w:t>p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iedalīties Latvijas institūciju, Eiropas Komisijas, kā arī citu ārvalstu institūciju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organizētajās sanāksmēs par komercdarbības atbalsta kontroles jautājumiem</w:t>
                  </w:r>
                  <w:r w:rsidR="0078141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, kas attiecas uz ES fondu finansētajiem atbalsta pasākumiem, regulējošajiem normatīvajiem aktiem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2F2747A0" w14:textId="42529C50" w:rsidR="00CF0E87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0E87" w:rsidRPr="00FA5808" w14:paraId="7DCEF43D" w14:textId="77777777" w:rsidTr="0016028D">
              <w:tc>
                <w:tcPr>
                  <w:tcW w:w="904" w:type="dxa"/>
                </w:tcPr>
                <w:p w14:paraId="11BBE622" w14:textId="4855FB38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330B39">
                    <w:rPr>
                      <w:rFonts w:ascii="Times New Roman" w:hAnsi="Times New Roman" w:cs="Times New Roman"/>
                    </w:rPr>
                    <w:t>7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707873FA" w14:textId="1B2D075D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Saskaņā ar vadības norādījumiem sniegt </w:t>
                  </w:r>
                  <w:r w:rsidR="00714CBB">
                    <w:rPr>
                      <w:rFonts w:ascii="Times New Roman" w:hAnsi="Times New Roman" w:cs="Times New Roman"/>
                    </w:rPr>
                    <w:t xml:space="preserve">nodaļas un </w:t>
                  </w:r>
                  <w:r w:rsidRPr="00DA3ACD">
                    <w:rPr>
                      <w:rFonts w:ascii="Times New Roman" w:hAnsi="Times New Roman" w:cs="Times New Roman"/>
                    </w:rPr>
                    <w:t>departamenta rīcībā esošo informāciju citām ministrijas struktūrvienībām u.c. institūcijām, fiziskajām un juridiskajām personām.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t>K</w:t>
                  </w:r>
                  <w:r w:rsidRPr="00AD62C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onsultē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t</w:t>
                  </w:r>
                  <w:r w:rsidRPr="00AD62C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sabiedrības pārstāvjus un citu institūciju speciālistus savā atbildības jomā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.</w:t>
                  </w:r>
                </w:p>
              </w:tc>
              <w:tc>
                <w:tcPr>
                  <w:tcW w:w="1684" w:type="dxa"/>
                  <w:vMerge w:val="restart"/>
                </w:tcPr>
                <w:p w14:paraId="58061E8D" w14:textId="092C1CFB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</w:tr>
            <w:tr w:rsidR="00CF0E87" w:rsidRPr="00FA5808" w14:paraId="3A8341E2" w14:textId="77777777" w:rsidTr="0016028D">
              <w:tc>
                <w:tcPr>
                  <w:tcW w:w="904" w:type="dxa"/>
                </w:tcPr>
                <w:p w14:paraId="3175D38D" w14:textId="265A1885" w:rsidR="00CF0E87" w:rsidRPr="00857180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57180">
                    <w:rPr>
                      <w:rFonts w:ascii="Times New Roman" w:hAnsi="Times New Roman" w:cs="Times New Roman"/>
                    </w:rPr>
                    <w:t>11.</w:t>
                  </w:r>
                  <w:r w:rsidR="00330B39">
                    <w:rPr>
                      <w:rFonts w:ascii="Times New Roman" w:hAnsi="Times New Roman" w:cs="Times New Roman"/>
                    </w:rPr>
                    <w:t>8</w:t>
                  </w:r>
                  <w:r w:rsidRPr="0085718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1041940E" w14:textId="4B87E7E2" w:rsidR="00CF0E87" w:rsidRPr="00857180" w:rsidRDefault="00F11AB0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57180">
                    <w:rPr>
                      <w:rFonts w:ascii="Times New Roman" w:hAnsi="Times New Roman" w:cs="Times New Roman"/>
                    </w:rPr>
                    <w:t xml:space="preserve">Pēc atsevišķa rīkojuma var aizvietot citus </w:t>
                  </w:r>
                  <w:r w:rsidR="008A7050">
                    <w:rPr>
                      <w:rFonts w:ascii="Times New Roman" w:hAnsi="Times New Roman" w:cs="Times New Roman"/>
                    </w:rPr>
                    <w:t>nodaļas</w:t>
                  </w:r>
                  <w:r w:rsidRPr="00857180">
                    <w:rPr>
                      <w:rFonts w:ascii="Times New Roman" w:hAnsi="Times New Roman" w:cs="Times New Roman"/>
                    </w:rPr>
                    <w:t xml:space="preserve"> ierēdņus/vadību to prombūtnes laikā</w:t>
                  </w:r>
                  <w:r w:rsidR="008A705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3ED989AB" w14:textId="1C732A57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0E87" w:rsidRPr="00FA5808" w14:paraId="61FA8FA8" w14:textId="77777777" w:rsidTr="0016028D">
              <w:tc>
                <w:tcPr>
                  <w:tcW w:w="904" w:type="dxa"/>
                </w:tcPr>
                <w:p w14:paraId="33E21840" w14:textId="1DFC7C77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330B39">
                    <w:rPr>
                      <w:rFonts w:ascii="Times New Roman" w:hAnsi="Times New Roman" w:cs="Times New Roman"/>
                    </w:rPr>
                    <w:t>9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403" w:type="dxa"/>
                  <w:gridSpan w:val="2"/>
                </w:tcPr>
                <w:p w14:paraId="03C9140A" w14:textId="39486FDC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Saskaņā ar </w:t>
                  </w:r>
                  <w:r w:rsidR="002316B0">
                    <w:rPr>
                      <w:rFonts w:ascii="Times New Roman" w:hAnsi="Times New Roman" w:cs="Times New Roman"/>
                    </w:rPr>
                    <w:t>vadības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rīkojumiem izpildīt vienreizējus uzdevumus atbilstoši departamenta kompetencei, tai skaitā, tehniska rakstura darbus.</w:t>
                  </w:r>
                  <w:r>
                    <w:rPr>
                      <w:rFonts w:ascii="Times New Roman" w:hAnsi="Times New Roman" w:cs="Times New Roman"/>
                    </w:rPr>
                    <w:t xml:space="preserve"> Var </w:t>
                  </w:r>
                  <w:r w:rsidRPr="003C744C">
                    <w:rPr>
                      <w:rFonts w:ascii="Times New Roman" w:hAnsi="Times New Roman" w:cs="Times New Roman"/>
                    </w:rPr>
                    <w:t>piedal</w:t>
                  </w:r>
                  <w:r>
                    <w:rPr>
                      <w:rFonts w:ascii="Times New Roman" w:hAnsi="Times New Roman" w:cs="Times New Roman"/>
                    </w:rPr>
                    <w:t>īties</w:t>
                  </w:r>
                  <w:r w:rsidRPr="003C744C">
                    <w:rPr>
                      <w:rFonts w:ascii="Times New Roman" w:hAnsi="Times New Roman" w:cs="Times New Roman"/>
                    </w:rPr>
                    <w:t xml:space="preserve"> institūcijas darbības stratēģijas plānošanā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684" w:type="dxa"/>
                  <w:vMerge/>
                </w:tcPr>
                <w:p w14:paraId="54126D5E" w14:textId="031BDC57" w:rsidR="00CF0E87" w:rsidRPr="00DA3ACD" w:rsidRDefault="00CF0E87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369D5E7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A72B37" w14:paraId="4FB69B51" w14:textId="77777777" w:rsidTr="00BB5239">
              <w:tc>
                <w:tcPr>
                  <w:tcW w:w="9986" w:type="dxa"/>
                  <w:gridSpan w:val="2"/>
                </w:tcPr>
                <w:p w14:paraId="5E3FC6B3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12.KOMPETENCES</w:t>
                  </w:r>
                </w:p>
              </w:tc>
            </w:tr>
            <w:tr w:rsidR="005B00D1" w14:paraId="2E7F9327" w14:textId="77777777" w:rsidTr="00BB5239">
              <w:tc>
                <w:tcPr>
                  <w:tcW w:w="772" w:type="dxa"/>
                </w:tcPr>
                <w:p w14:paraId="2B71478C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33D28686" w14:textId="4689BB75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Analītiskā domāšana</w:t>
                  </w:r>
                </w:p>
              </w:tc>
            </w:tr>
            <w:tr w:rsidR="005B00D1" w14:paraId="124F08DB" w14:textId="77777777" w:rsidTr="00BB5239">
              <w:tc>
                <w:tcPr>
                  <w:tcW w:w="772" w:type="dxa"/>
                </w:tcPr>
                <w:p w14:paraId="6F3D1C27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166DEDF8" w14:textId="77777777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Konceptuālā domāšana</w:t>
                  </w:r>
                </w:p>
              </w:tc>
            </w:tr>
            <w:tr w:rsidR="005B00D1" w14:paraId="196C8E01" w14:textId="77777777" w:rsidTr="0054386F">
              <w:trPr>
                <w:trHeight w:val="293"/>
              </w:trPr>
              <w:tc>
                <w:tcPr>
                  <w:tcW w:w="772" w:type="dxa"/>
                </w:tcPr>
                <w:p w14:paraId="7D137127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6DE8DCD3" w14:textId="5E877554" w:rsidR="005B00D1" w:rsidRPr="00DA3ACD" w:rsidRDefault="005B00D1" w:rsidP="005B00D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Patstāvība</w:t>
                  </w:r>
                </w:p>
              </w:tc>
            </w:tr>
            <w:tr w:rsidR="005B00D1" w14:paraId="6902D3C7" w14:textId="77777777" w:rsidTr="00BB5239">
              <w:tc>
                <w:tcPr>
                  <w:tcW w:w="772" w:type="dxa"/>
                </w:tcPr>
                <w:p w14:paraId="3ADB252B" w14:textId="424EB838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12.4.</w:t>
                  </w:r>
                </w:p>
              </w:tc>
              <w:tc>
                <w:tcPr>
                  <w:tcW w:w="9214" w:type="dxa"/>
                </w:tcPr>
                <w:p w14:paraId="042DB845" w14:textId="77777777" w:rsidR="005B00D1" w:rsidRPr="00DA3ACD" w:rsidRDefault="005B00D1" w:rsidP="005B00D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Ētiskums</w:t>
                  </w:r>
                </w:p>
              </w:tc>
            </w:tr>
          </w:tbl>
          <w:p w14:paraId="2C8379A6" w14:textId="77777777" w:rsidR="00A72B37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570F885E" w14:textId="77777777" w:rsidTr="00BB5239">
              <w:tc>
                <w:tcPr>
                  <w:tcW w:w="9986" w:type="dxa"/>
                  <w:gridSpan w:val="2"/>
                </w:tcPr>
                <w:p w14:paraId="4ADE8E8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13.PROFESIONĀLĀ KVALIFIKĀCIJA</w:t>
                  </w:r>
                </w:p>
              </w:tc>
            </w:tr>
            <w:tr w:rsidR="00A72B37" w14:paraId="046B3965" w14:textId="77777777" w:rsidTr="00BB5239">
              <w:tc>
                <w:tcPr>
                  <w:tcW w:w="2756" w:type="dxa"/>
                </w:tcPr>
                <w:p w14:paraId="09EF737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6DA223B6" w14:textId="371A1054" w:rsidR="003C5735" w:rsidRDefault="004321C6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13.1.1.</w:t>
                  </w:r>
                  <w:r w:rsidR="003C5735" w:rsidRPr="003C5735">
                    <w:rPr>
                      <w:rFonts w:ascii="Times New Roman" w:hAnsi="Times New Roman" w:cs="Times New Roman"/>
                      <w:szCs w:val="24"/>
                    </w:rPr>
                    <w:t>Augstākā akadēmiskā vai profesi</w:t>
                  </w:r>
                  <w:r w:rsidR="003C5735">
                    <w:rPr>
                      <w:rFonts w:ascii="Times New Roman" w:hAnsi="Times New Roman" w:cs="Times New Roman"/>
                      <w:szCs w:val="24"/>
                    </w:rPr>
                    <w:t xml:space="preserve">onālā izglītība </w:t>
                  </w:r>
                  <w:r w:rsidR="003C5735" w:rsidRPr="00227C3E">
                    <w:rPr>
                      <w:rFonts w:ascii="Times New Roman" w:hAnsi="Times New Roman" w:cs="Times New Roman"/>
                      <w:szCs w:val="24"/>
                    </w:rPr>
                    <w:t>tiesību zinātnē</w:t>
                  </w:r>
                  <w:r w:rsidR="00B21316" w:rsidRPr="00227C3E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7213DF" w:rsidRPr="00227C3E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422E471F" w14:textId="441E3E20" w:rsidR="00A72B37" w:rsidRPr="00DA3ACD" w:rsidRDefault="004321C6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13.1.2.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Nepārtraukta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zināšanu papildināšana kursos, semināros 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vai pašmācībā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par komercdarbības atbalsta kontroles jautājumiem</w:t>
                  </w:r>
                  <w:r w:rsidR="00614E6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614E6D">
                    <w:rPr>
                      <w:rFonts w:ascii="Times New Roman" w:hAnsi="Times New Roman" w:cs="Times New Roman"/>
                    </w:rPr>
                    <w:t>dažādās tautsaimniecības nozarēs.</w:t>
                  </w:r>
                </w:p>
              </w:tc>
            </w:tr>
            <w:tr w:rsidR="00A72B37" w14:paraId="2A1E20E5" w14:textId="77777777" w:rsidTr="00BB5239">
              <w:tc>
                <w:tcPr>
                  <w:tcW w:w="2756" w:type="dxa"/>
                </w:tcPr>
                <w:p w14:paraId="208595F6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5A32C007" w14:textId="2AF80EE2" w:rsidR="00F025B8" w:rsidRDefault="004321C6" w:rsidP="00F025B8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13.2.1.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3E0709" w:rsidRPr="00BB3A34">
                    <w:rPr>
                      <w:rFonts w:ascii="Times New Roman" w:hAnsi="Times New Roman" w:cs="Times New Roman"/>
                      <w:szCs w:val="24"/>
                    </w:rPr>
                    <w:t xml:space="preserve">Vēlama </w:t>
                  </w:r>
                  <w:r w:rsidR="00C01AC1" w:rsidRPr="00BB3A34">
                    <w:rPr>
                      <w:rFonts w:ascii="Times New Roman" w:hAnsi="Times New Roman" w:cs="Times New Roman"/>
                      <w:szCs w:val="24"/>
                    </w:rPr>
                    <w:t>2 gadu pieredze darbā valsts pārvaldē pēdējo 5 gadu laikā;</w:t>
                  </w:r>
                </w:p>
                <w:p w14:paraId="3FD6AFAC" w14:textId="1591B2B0" w:rsidR="00A72B37" w:rsidRPr="00DA3ACD" w:rsidRDefault="004321C6" w:rsidP="00C01AC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13.2.2.</w:t>
                  </w:r>
                  <w:r w:rsidR="00C01AC1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V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>ismaz</w:t>
                  </w:r>
                  <w:r w:rsidR="00C01AC1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2 gadu pieredze </w:t>
                  </w:r>
                  <w:r w:rsidR="00C01AC1">
                    <w:rPr>
                      <w:rFonts w:ascii="Times New Roman" w:hAnsi="Times New Roman" w:cs="Times New Roman"/>
                      <w:szCs w:val="24"/>
                    </w:rPr>
                    <w:t>tiesību zinātņu specialitātei atbilstošos amatos.</w:t>
                  </w:r>
                </w:p>
              </w:tc>
            </w:tr>
            <w:tr w:rsidR="00A72B37" w14:paraId="46F10257" w14:textId="77777777" w:rsidTr="00BB5239">
              <w:tc>
                <w:tcPr>
                  <w:tcW w:w="2756" w:type="dxa"/>
                </w:tcPr>
                <w:p w14:paraId="60E0A8A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4DE2A358" w14:textId="48FA2443" w:rsidR="0016028D" w:rsidRPr="00DA3ACD" w:rsidRDefault="004321C6" w:rsidP="008476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13.3.1.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Izpratne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par valsts pārvaldes procesiem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25B25EF1" w14:textId="2F13BD0B" w:rsidR="00A72B37" w:rsidRPr="00DA3ACD" w:rsidRDefault="004321C6" w:rsidP="00354C6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13.3.2.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Vēlamas zināšanas par komercdarbības atbalsta kontroles jomu. 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P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rasme teorētiskās zināšanas pielietot praksē</w:t>
                  </w:r>
                </w:p>
              </w:tc>
            </w:tr>
            <w:tr w:rsidR="00A72B37" w14:paraId="5AA7D55A" w14:textId="77777777" w:rsidTr="00BB5239">
              <w:tc>
                <w:tcPr>
                  <w:tcW w:w="2756" w:type="dxa"/>
                </w:tcPr>
                <w:p w14:paraId="26F3A5B0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20301898" w14:textId="5F88D0C3" w:rsidR="0016028D" w:rsidRPr="00DA3ACD" w:rsidRDefault="004321C6" w:rsidP="008476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13.4.1.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>Angļu valodas zināšanas</w:t>
                  </w:r>
                  <w:r w:rsidR="003C5735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3C5735" w:rsidRPr="003C5735">
                    <w:rPr>
                      <w:rFonts w:ascii="Times New Roman" w:hAnsi="Times New Roman" w:cs="Times New Roman"/>
                      <w:szCs w:val="24"/>
                    </w:rPr>
                    <w:t>un vēlamas arī citu ES svešvalodu zināšanas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</w:p>
                <w:p w14:paraId="6C2821DC" w14:textId="3025B9DD" w:rsidR="00A72B37" w:rsidRPr="00DA3ACD" w:rsidRDefault="004321C6" w:rsidP="00354C6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13.4.2.</w:t>
                  </w:r>
                  <w:r w:rsidR="008476CD" w:rsidRPr="00DA3ACD">
                    <w:rPr>
                      <w:rFonts w:ascii="Times New Roman" w:hAnsi="Times New Roman" w:cs="Times New Roman"/>
                      <w:szCs w:val="24"/>
                    </w:rPr>
                    <w:t>L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>abas iemaņas darbā ar datoru (</w:t>
                  </w:r>
                  <w:r w:rsidR="001249DB" w:rsidRPr="00DA3ACD">
                    <w:rPr>
                      <w:rFonts w:ascii="Times New Roman" w:hAnsi="Times New Roman" w:cs="Times New Roman"/>
                      <w:szCs w:val="24"/>
                    </w:rPr>
                    <w:t xml:space="preserve">t.sk., </w:t>
                  </w:r>
                  <w:r w:rsidR="00354C6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MS Excel pārzināšana). </w:t>
                  </w:r>
                </w:p>
              </w:tc>
            </w:tr>
          </w:tbl>
          <w:p w14:paraId="73B0D534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7400A94F" w14:textId="77777777" w:rsidTr="00BB5239">
              <w:tc>
                <w:tcPr>
                  <w:tcW w:w="2756" w:type="dxa"/>
                </w:tcPr>
                <w:p w14:paraId="61F0213A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14.AMATA ATBILDĪBA</w:t>
                  </w:r>
                </w:p>
              </w:tc>
              <w:tc>
                <w:tcPr>
                  <w:tcW w:w="7230" w:type="dxa"/>
                </w:tcPr>
                <w:p w14:paraId="5437994B" w14:textId="3DA189F3" w:rsidR="001B7F6E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 xml:space="preserve">Atbild par kvalitatīvu un savlaicīgu darba pienākumu aprakstā noteikto pienākumu veikšanu. Pilnībā atbild par sagatavotās informācijas ticamību, precizitāti, kvalitāti un konfidencialitāti atbilstoši </w:t>
                  </w:r>
                  <w:r w:rsidR="00714CBB">
                    <w:rPr>
                      <w:rFonts w:ascii="Times New Roman" w:hAnsi="Times New Roman" w:cs="Times New Roman"/>
                      <w:szCs w:val="24"/>
                    </w:rPr>
                    <w:t xml:space="preserve">nodaļas un 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kompetencei.</w:t>
                  </w:r>
                </w:p>
              </w:tc>
            </w:tr>
            <w:tr w:rsidR="00A72B37" w14:paraId="30E4EFE6" w14:textId="77777777" w:rsidTr="00BB5239">
              <w:tc>
                <w:tcPr>
                  <w:tcW w:w="2756" w:type="dxa"/>
                </w:tcPr>
                <w:p w14:paraId="586C3E7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4BA49A44" w14:textId="5C3037E1" w:rsidR="00F86360" w:rsidRPr="00DA3ACD" w:rsidRDefault="00610AEA" w:rsidP="00F86360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1.</w:t>
                  </w:r>
                  <w:r w:rsidR="00612E15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avlaicīgi saņemt amata pienākumu pildīšanai nepieciešamo informāciju no struktūrvienības vadītāja, citām ministrijas struktūrvienībām, amatpersonām 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un ministrijas padotībā esošajām iestādēm, citām tiešās un pastarpinātās valsts pārvaldes iestādēm darba pienākumu veikšanai;</w:t>
                  </w:r>
                </w:p>
                <w:p w14:paraId="04BF1067" w14:textId="5FA404D9" w:rsidR="001B7F6E" w:rsidRPr="00DA3ACD" w:rsidRDefault="00610AEA" w:rsidP="001B7F6E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15.2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612E15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niegt ierosinājumus un priekšlikumus </w:t>
                  </w:r>
                  <w:r w:rsidR="008A7050">
                    <w:rPr>
                      <w:rFonts w:ascii="Times New Roman" w:hAnsi="Times New Roman" w:cs="Times New Roman"/>
                      <w:szCs w:val="24"/>
                    </w:rPr>
                    <w:t xml:space="preserve">nodaļas un 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departamenta darba kvalitātes un efektivitātes uzlabošanai.</w:t>
                  </w:r>
                </w:p>
              </w:tc>
            </w:tr>
            <w:tr w:rsidR="00A72B37" w14:paraId="133B59F7" w14:textId="77777777" w:rsidTr="00BB5239">
              <w:tc>
                <w:tcPr>
                  <w:tcW w:w="2756" w:type="dxa"/>
                </w:tcPr>
                <w:p w14:paraId="59D41209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37C4C80D" w14:textId="1CDCA119" w:rsidR="00A72B37" w:rsidRPr="00DA3ACD" w:rsidRDefault="003D4081" w:rsidP="0092288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Amata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pienākumi veicami</w:t>
                  </w:r>
                  <w:r w:rsidR="00DD23F6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>saistībā</w:t>
                  </w:r>
                  <w:r w:rsidR="0092288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 xml:space="preserve">ar Eiropas </w:t>
                  </w:r>
                  <w:r w:rsidR="00610AEA" w:rsidRPr="00DA3ACD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1377CC" w:rsidRPr="00DA3ACD">
                    <w:rPr>
                      <w:rFonts w:ascii="Times New Roman" w:hAnsi="Times New Roman" w:cs="Times New Roman"/>
                      <w:szCs w:val="24"/>
                    </w:rPr>
                    <w:t>avienības fondu jautājumiem</w:t>
                  </w:r>
                </w:p>
              </w:tc>
            </w:tr>
          </w:tbl>
          <w:p w14:paraId="66F717E5" w14:textId="77777777" w:rsidR="00A72B37" w:rsidRPr="0076656C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6943CA6E" w14:textId="77777777" w:rsidR="00A72B37" w:rsidRPr="00877F7B" w:rsidRDefault="00A72B37" w:rsidP="00A72B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923" w:type="dxa"/>
        <w:tblInd w:w="137" w:type="dxa"/>
        <w:tblLook w:val="04A0" w:firstRow="1" w:lastRow="0" w:firstColumn="1" w:lastColumn="0" w:noHBand="0" w:noVBand="1"/>
      </w:tblPr>
      <w:tblGrid>
        <w:gridCol w:w="2681"/>
        <w:gridCol w:w="1938"/>
        <w:gridCol w:w="3603"/>
        <w:gridCol w:w="1701"/>
      </w:tblGrid>
      <w:tr w:rsidR="005B00D1" w:rsidRPr="005B00D1" w14:paraId="2463A20E" w14:textId="77777777" w:rsidTr="0085011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8BFB5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bookmarkStart w:id="0" w:name="_Hlk101178081"/>
            <w:r w:rsidRPr="005B00D1">
              <w:rPr>
                <w:rFonts w:ascii="Times New Roman" w:eastAsia="Calibri" w:hAnsi="Times New Roman"/>
              </w:rPr>
              <w:t xml:space="preserve">STRUKTŪRVIENĪBAS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149F5973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r w:rsidRPr="005B00D1">
              <w:rPr>
                <w:rFonts w:ascii="Times New Roman" w:eastAsia="Calibri" w:hAnsi="Times New Roman"/>
              </w:rPr>
              <w:t>Saskaņots ALS</w:t>
            </w:r>
          </w:p>
        </w:tc>
        <w:tc>
          <w:tcPr>
            <w:tcW w:w="3603" w:type="dxa"/>
          </w:tcPr>
          <w:p w14:paraId="40374A53" w14:textId="22A420E6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14:paraId="242B18D0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</w:p>
        </w:tc>
      </w:tr>
      <w:tr w:rsidR="005B00D1" w:rsidRPr="005B00D1" w14:paraId="75FE8C82" w14:textId="77777777" w:rsidTr="00850117">
        <w:tc>
          <w:tcPr>
            <w:tcW w:w="2681" w:type="dxa"/>
            <w:tcBorders>
              <w:top w:val="nil"/>
              <w:bottom w:val="single" w:sz="4" w:space="0" w:color="auto"/>
            </w:tcBorders>
          </w:tcPr>
          <w:p w14:paraId="1D4CB94C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r w:rsidRPr="005B00D1">
              <w:rPr>
                <w:rFonts w:ascii="Times New Roman" w:eastAsia="Calibri" w:hAnsi="Times New Roman"/>
              </w:rPr>
              <w:t>VADĪTĀJS</w:t>
            </w:r>
          </w:p>
        </w:tc>
        <w:tc>
          <w:tcPr>
            <w:tcW w:w="1938" w:type="dxa"/>
          </w:tcPr>
          <w:p w14:paraId="236D53A8" w14:textId="7777777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3603" w:type="dxa"/>
          </w:tcPr>
          <w:p w14:paraId="342F0C9A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0C034F1C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datums</w:t>
            </w:r>
          </w:p>
        </w:tc>
      </w:tr>
      <w:tr w:rsidR="005B00D1" w:rsidRPr="005B00D1" w14:paraId="2846D7D8" w14:textId="77777777" w:rsidTr="0085011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13EED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>DARBINIEKS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4AB7F2EC" w14:textId="7777777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0DEF25FF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16E72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00D1" w:rsidRPr="005B00D1" w14:paraId="6B073CEE" w14:textId="77777777" w:rsidTr="00850117">
        <w:tc>
          <w:tcPr>
            <w:tcW w:w="2681" w:type="dxa"/>
            <w:tcBorders>
              <w:top w:val="nil"/>
            </w:tcBorders>
          </w:tcPr>
          <w:p w14:paraId="40D3376F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2027F7C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03" w:type="dxa"/>
          </w:tcPr>
          <w:p w14:paraId="34E16993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       </w:t>
            </w: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469C08B7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14:paraId="0FB9583F" w14:textId="77777777" w:rsidR="005B00D1" w:rsidRPr="005B00D1" w:rsidRDefault="005B00D1" w:rsidP="005B00D1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5B00D1">
        <w:rPr>
          <w:rFonts w:ascii="Times New Roman" w:eastAsia="Calibri" w:hAnsi="Times New Roman" w:cs="Times New Roman"/>
          <w:sz w:val="24"/>
          <w:szCs w:val="24"/>
        </w:rPr>
        <w:t>*Dokuments parakstīts ar drošu elektronisko parakstu un satur laika zīmogu.</w:t>
      </w:r>
    </w:p>
    <w:bookmarkEnd w:id="0"/>
    <w:p w14:paraId="13C2077A" w14:textId="77777777" w:rsidR="0076656C" w:rsidRPr="005146E9" w:rsidRDefault="0076656C" w:rsidP="005146E9"/>
    <w:sectPr w:rsidR="0076656C" w:rsidRPr="005146E9" w:rsidSect="00C55BF5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5F01" w14:textId="77777777" w:rsidR="00162A27" w:rsidRDefault="00162A27" w:rsidP="005B00D1">
      <w:pPr>
        <w:spacing w:after="0" w:line="240" w:lineRule="auto"/>
      </w:pPr>
      <w:r>
        <w:separator/>
      </w:r>
    </w:p>
  </w:endnote>
  <w:endnote w:type="continuationSeparator" w:id="0">
    <w:p w14:paraId="6E550A62" w14:textId="77777777" w:rsidR="00162A27" w:rsidRDefault="00162A27" w:rsidP="005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63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70E3F" w14:textId="4207E18F" w:rsidR="005B00D1" w:rsidRDefault="005B00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17F06" w14:textId="77777777" w:rsidR="005B00D1" w:rsidRDefault="005B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AC2E" w14:textId="77777777" w:rsidR="00162A27" w:rsidRDefault="00162A27" w:rsidP="005B00D1">
      <w:pPr>
        <w:spacing w:after="0" w:line="240" w:lineRule="auto"/>
      </w:pPr>
      <w:r>
        <w:separator/>
      </w:r>
    </w:p>
  </w:footnote>
  <w:footnote w:type="continuationSeparator" w:id="0">
    <w:p w14:paraId="2E87B510" w14:textId="77777777" w:rsidR="00162A27" w:rsidRDefault="00162A27" w:rsidP="005B0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47554143">
    <w:abstractNumId w:val="2"/>
  </w:num>
  <w:num w:numId="2" w16cid:durableId="1683780174">
    <w:abstractNumId w:val="0"/>
    <w:lvlOverride w:ilvl="0">
      <w:startOverride w:val="1"/>
    </w:lvlOverride>
  </w:num>
  <w:num w:numId="3" w16cid:durableId="187866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0534F"/>
    <w:rsid w:val="00024473"/>
    <w:rsid w:val="0004453F"/>
    <w:rsid w:val="00061D3B"/>
    <w:rsid w:val="00097FCD"/>
    <w:rsid w:val="000B0C51"/>
    <w:rsid w:val="000D34AC"/>
    <w:rsid w:val="000F5CF7"/>
    <w:rsid w:val="000F6745"/>
    <w:rsid w:val="001035AB"/>
    <w:rsid w:val="001249DB"/>
    <w:rsid w:val="001368AA"/>
    <w:rsid w:val="001377CC"/>
    <w:rsid w:val="0016028D"/>
    <w:rsid w:val="00162A27"/>
    <w:rsid w:val="001B6C40"/>
    <w:rsid w:val="001B7F6E"/>
    <w:rsid w:val="001D6596"/>
    <w:rsid w:val="001D6835"/>
    <w:rsid w:val="00213B30"/>
    <w:rsid w:val="00227C3E"/>
    <w:rsid w:val="002316B0"/>
    <w:rsid w:val="00250AA5"/>
    <w:rsid w:val="00252D5E"/>
    <w:rsid w:val="00257620"/>
    <w:rsid w:val="0029283B"/>
    <w:rsid w:val="00294B1E"/>
    <w:rsid w:val="002B0A12"/>
    <w:rsid w:val="002B1538"/>
    <w:rsid w:val="002C3C29"/>
    <w:rsid w:val="002F08F1"/>
    <w:rsid w:val="0032003C"/>
    <w:rsid w:val="00330B39"/>
    <w:rsid w:val="00334913"/>
    <w:rsid w:val="003365AF"/>
    <w:rsid w:val="00343FB8"/>
    <w:rsid w:val="00354C63"/>
    <w:rsid w:val="003B1158"/>
    <w:rsid w:val="003B19E8"/>
    <w:rsid w:val="003B2E63"/>
    <w:rsid w:val="003C17B3"/>
    <w:rsid w:val="003C5735"/>
    <w:rsid w:val="003D4081"/>
    <w:rsid w:val="003E0709"/>
    <w:rsid w:val="00415483"/>
    <w:rsid w:val="00423EB5"/>
    <w:rsid w:val="004321C6"/>
    <w:rsid w:val="004354F4"/>
    <w:rsid w:val="00470A91"/>
    <w:rsid w:val="00472FE6"/>
    <w:rsid w:val="00485FFD"/>
    <w:rsid w:val="004B3D59"/>
    <w:rsid w:val="004B5BC7"/>
    <w:rsid w:val="004C00D1"/>
    <w:rsid w:val="004D166B"/>
    <w:rsid w:val="004D2DF5"/>
    <w:rsid w:val="004E5353"/>
    <w:rsid w:val="004E610C"/>
    <w:rsid w:val="00512D0C"/>
    <w:rsid w:val="005146E9"/>
    <w:rsid w:val="00532251"/>
    <w:rsid w:val="00532832"/>
    <w:rsid w:val="005401C5"/>
    <w:rsid w:val="00540FC8"/>
    <w:rsid w:val="00541DF6"/>
    <w:rsid w:val="0054386F"/>
    <w:rsid w:val="005442CD"/>
    <w:rsid w:val="00583450"/>
    <w:rsid w:val="0059191F"/>
    <w:rsid w:val="005A1170"/>
    <w:rsid w:val="005A4495"/>
    <w:rsid w:val="005A5F6A"/>
    <w:rsid w:val="005B00D1"/>
    <w:rsid w:val="005C098F"/>
    <w:rsid w:val="005C253B"/>
    <w:rsid w:val="005C2988"/>
    <w:rsid w:val="005E5CA1"/>
    <w:rsid w:val="005F18F8"/>
    <w:rsid w:val="00610AEA"/>
    <w:rsid w:val="00612E15"/>
    <w:rsid w:val="00614E6D"/>
    <w:rsid w:val="00641537"/>
    <w:rsid w:val="006533B2"/>
    <w:rsid w:val="006A7176"/>
    <w:rsid w:val="006C0896"/>
    <w:rsid w:val="006C3FBA"/>
    <w:rsid w:val="006F36FE"/>
    <w:rsid w:val="00711B1E"/>
    <w:rsid w:val="00714CBB"/>
    <w:rsid w:val="007213DF"/>
    <w:rsid w:val="00721BAB"/>
    <w:rsid w:val="007241FA"/>
    <w:rsid w:val="0072490C"/>
    <w:rsid w:val="00726BD1"/>
    <w:rsid w:val="00731705"/>
    <w:rsid w:val="0073453C"/>
    <w:rsid w:val="007353AC"/>
    <w:rsid w:val="00735BA3"/>
    <w:rsid w:val="00761FE2"/>
    <w:rsid w:val="0076656C"/>
    <w:rsid w:val="0078141E"/>
    <w:rsid w:val="007907BF"/>
    <w:rsid w:val="007936B9"/>
    <w:rsid w:val="007A67D1"/>
    <w:rsid w:val="007C09BC"/>
    <w:rsid w:val="007E2CAE"/>
    <w:rsid w:val="007E2F72"/>
    <w:rsid w:val="007E36F2"/>
    <w:rsid w:val="007F6877"/>
    <w:rsid w:val="00825F16"/>
    <w:rsid w:val="00831611"/>
    <w:rsid w:val="008476CD"/>
    <w:rsid w:val="00857180"/>
    <w:rsid w:val="00861F3F"/>
    <w:rsid w:val="008843C2"/>
    <w:rsid w:val="00885370"/>
    <w:rsid w:val="0089582A"/>
    <w:rsid w:val="008A00DB"/>
    <w:rsid w:val="008A7050"/>
    <w:rsid w:val="008D3F25"/>
    <w:rsid w:val="008D60E2"/>
    <w:rsid w:val="008D70F1"/>
    <w:rsid w:val="008E221E"/>
    <w:rsid w:val="00915E91"/>
    <w:rsid w:val="00922883"/>
    <w:rsid w:val="009322D4"/>
    <w:rsid w:val="00961405"/>
    <w:rsid w:val="009A0450"/>
    <w:rsid w:val="009A736D"/>
    <w:rsid w:val="009D41E2"/>
    <w:rsid w:val="009E51A8"/>
    <w:rsid w:val="009F375D"/>
    <w:rsid w:val="009F3DEB"/>
    <w:rsid w:val="009F4738"/>
    <w:rsid w:val="00A06D11"/>
    <w:rsid w:val="00A075DC"/>
    <w:rsid w:val="00A41E38"/>
    <w:rsid w:val="00A47653"/>
    <w:rsid w:val="00A72B37"/>
    <w:rsid w:val="00A80379"/>
    <w:rsid w:val="00AA160B"/>
    <w:rsid w:val="00AB59F5"/>
    <w:rsid w:val="00AB6EE7"/>
    <w:rsid w:val="00AD5F22"/>
    <w:rsid w:val="00B21316"/>
    <w:rsid w:val="00B26DB6"/>
    <w:rsid w:val="00B31C0C"/>
    <w:rsid w:val="00B55495"/>
    <w:rsid w:val="00B929E1"/>
    <w:rsid w:val="00B95A0D"/>
    <w:rsid w:val="00BB3033"/>
    <w:rsid w:val="00BB3A34"/>
    <w:rsid w:val="00BB715E"/>
    <w:rsid w:val="00BD5290"/>
    <w:rsid w:val="00BD67F6"/>
    <w:rsid w:val="00BD6DEE"/>
    <w:rsid w:val="00BE4569"/>
    <w:rsid w:val="00BF06AB"/>
    <w:rsid w:val="00C01AC1"/>
    <w:rsid w:val="00C14E85"/>
    <w:rsid w:val="00C17770"/>
    <w:rsid w:val="00C36734"/>
    <w:rsid w:val="00C476AB"/>
    <w:rsid w:val="00C531DC"/>
    <w:rsid w:val="00C55BF5"/>
    <w:rsid w:val="00C63155"/>
    <w:rsid w:val="00C6547C"/>
    <w:rsid w:val="00C9377D"/>
    <w:rsid w:val="00CC22D4"/>
    <w:rsid w:val="00CC5140"/>
    <w:rsid w:val="00CE48EC"/>
    <w:rsid w:val="00CE7ED7"/>
    <w:rsid w:val="00CF0E87"/>
    <w:rsid w:val="00CF4098"/>
    <w:rsid w:val="00D0438A"/>
    <w:rsid w:val="00D05024"/>
    <w:rsid w:val="00D13876"/>
    <w:rsid w:val="00D42201"/>
    <w:rsid w:val="00D5258B"/>
    <w:rsid w:val="00D545D6"/>
    <w:rsid w:val="00D669D2"/>
    <w:rsid w:val="00D800B8"/>
    <w:rsid w:val="00DA31E5"/>
    <w:rsid w:val="00DA3ACD"/>
    <w:rsid w:val="00DD23F6"/>
    <w:rsid w:val="00DF20B8"/>
    <w:rsid w:val="00E310F6"/>
    <w:rsid w:val="00E43660"/>
    <w:rsid w:val="00E572EB"/>
    <w:rsid w:val="00E6088F"/>
    <w:rsid w:val="00E67CF5"/>
    <w:rsid w:val="00E86672"/>
    <w:rsid w:val="00E93EC2"/>
    <w:rsid w:val="00E949B4"/>
    <w:rsid w:val="00EB17F0"/>
    <w:rsid w:val="00ED4FD4"/>
    <w:rsid w:val="00F025B8"/>
    <w:rsid w:val="00F11AB0"/>
    <w:rsid w:val="00F12698"/>
    <w:rsid w:val="00F173CB"/>
    <w:rsid w:val="00F30DBC"/>
    <w:rsid w:val="00F36C81"/>
    <w:rsid w:val="00F3727A"/>
    <w:rsid w:val="00F43854"/>
    <w:rsid w:val="00F44BD0"/>
    <w:rsid w:val="00F86360"/>
    <w:rsid w:val="00FA02A1"/>
    <w:rsid w:val="00FE6131"/>
    <w:rsid w:val="00FF3B3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FB7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1C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B00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1"/>
  </w:style>
  <w:style w:type="paragraph" w:styleId="Footer">
    <w:name w:val="footer"/>
    <w:basedOn w:val="Normal"/>
    <w:link w:val="FooterChar"/>
    <w:uiPriority w:val="99"/>
    <w:unhideWhenUsed/>
    <w:rsid w:val="005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EC790EB5EEF142A2AE83AB59288D4C" ma:contentTypeVersion="1" ma:contentTypeDescription="Izveidot jaunu dokumentu." ma:contentTypeScope="" ma:versionID="2c6cdead50edd001728e66a9c0d0f6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b9b96df0e3340ea8c13d89a086497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ākuma datuma plānošan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4CD3DB-D899-4214-B316-F209B1FD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77DF2F-49E0-4475-B8EC-F09608F0F84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B66AAF-7E7F-4646-A8BC-394B092F9A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4121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Amata apraksts</vt:lpstr>
    </vt:vector>
  </TitlesOfParts>
  <Company>Finanšu ministrija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Amata apraksts</dc:title>
  <dc:subject/>
  <dc:creator>pn-krisa</dc:creator>
  <cp:keywords/>
  <dc:description/>
  <cp:lastModifiedBy>Santa Roziņa</cp:lastModifiedBy>
  <cp:revision>2</cp:revision>
  <cp:lastPrinted>2018-03-19T07:53:00Z</cp:lastPrinted>
  <dcterms:created xsi:type="dcterms:W3CDTF">2025-05-13T06:39:00Z</dcterms:created>
  <dcterms:modified xsi:type="dcterms:W3CDTF">2025-05-13T06:39:00Z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0x0101000CEC790EB5EEF142A2AE83AB59288D4C</vt:lpwstr>
  </property>
</Properties>
</file>