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D62A8" w14:textId="72FCCD43" w:rsidR="00855913" w:rsidRPr="00DA467C" w:rsidRDefault="00EA5201" w:rsidP="00DA467C">
      <w:pPr>
        <w:spacing w:before="120" w:after="120" w:line="240" w:lineRule="auto"/>
        <w:ind w:left="0" w:firstLine="0"/>
        <w:jc w:val="center"/>
        <w:rPr>
          <w:sz w:val="28"/>
        </w:rPr>
      </w:pPr>
      <w:r w:rsidRPr="00DA467C">
        <w:rPr>
          <w:b/>
          <w:sz w:val="28"/>
        </w:rPr>
        <w:t>Par komercdarbības atbalsta nosacījumu piemērošanu</w:t>
      </w:r>
      <w:r w:rsidR="00B213E1" w:rsidRPr="002468F6">
        <w:rPr>
          <w:b/>
          <w:sz w:val="28"/>
          <w:szCs w:val="28"/>
        </w:rPr>
        <w:t xml:space="preserve"> </w:t>
      </w:r>
      <w:r w:rsidR="008F7FA7">
        <w:rPr>
          <w:b/>
          <w:sz w:val="28"/>
          <w:szCs w:val="28"/>
        </w:rPr>
        <w:br/>
      </w:r>
      <w:r w:rsidRPr="002468F6">
        <w:rPr>
          <w:b/>
          <w:sz w:val="28"/>
          <w:szCs w:val="28"/>
        </w:rPr>
        <w:t>darbībām militārajā jomā</w:t>
      </w:r>
      <w:r w:rsidR="00311587" w:rsidRPr="002468F6">
        <w:rPr>
          <w:b/>
          <w:sz w:val="28"/>
          <w:szCs w:val="28"/>
        </w:rPr>
        <w:t>, tostarp</w:t>
      </w:r>
      <w:r w:rsidR="00311587" w:rsidRPr="00DA467C">
        <w:rPr>
          <w:b/>
          <w:sz w:val="28"/>
        </w:rPr>
        <w:t xml:space="preserve"> divejāda </w:t>
      </w:r>
      <w:r w:rsidR="00B213E1" w:rsidRPr="002468F6">
        <w:rPr>
          <w:b/>
          <w:sz w:val="28"/>
          <w:szCs w:val="28"/>
        </w:rPr>
        <w:t>pie</w:t>
      </w:r>
      <w:r w:rsidR="00311587" w:rsidRPr="002468F6">
        <w:rPr>
          <w:b/>
          <w:sz w:val="28"/>
          <w:szCs w:val="28"/>
        </w:rPr>
        <w:t>lietojuma</w:t>
      </w:r>
      <w:r w:rsidR="00311587" w:rsidRPr="00DA467C">
        <w:rPr>
          <w:b/>
          <w:sz w:val="28"/>
        </w:rPr>
        <w:t xml:space="preserve"> preču un tehnoloģiju jomā</w:t>
      </w:r>
      <w:r w:rsidRPr="00DA467C">
        <w:rPr>
          <w:b/>
          <w:sz w:val="28"/>
        </w:rPr>
        <w:t xml:space="preserve"> </w:t>
      </w:r>
    </w:p>
    <w:p w14:paraId="766EC129" w14:textId="77777777" w:rsidR="00855913" w:rsidRDefault="00EA5201" w:rsidP="00DA467C">
      <w:pPr>
        <w:spacing w:before="120" w:after="120" w:line="240" w:lineRule="auto"/>
        <w:ind w:left="566" w:firstLine="0"/>
        <w:jc w:val="left"/>
      </w:pPr>
      <w:r>
        <w:t xml:space="preserve"> </w:t>
      </w:r>
    </w:p>
    <w:p w14:paraId="11F544F2" w14:textId="77777777" w:rsidR="00EB3DE2" w:rsidRPr="002468F6" w:rsidRDefault="00EB3DE2" w:rsidP="002468F6">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rPr>
          <w:b/>
          <w:bCs/>
        </w:rPr>
      </w:pPr>
      <w:r w:rsidRPr="002468F6">
        <w:rPr>
          <w:b/>
          <w:bCs/>
        </w:rPr>
        <w:t>Atbalsts LESD 346.panta 1.daļas (b) apakšpunktā minētajiem mērķiem</w:t>
      </w:r>
    </w:p>
    <w:p w14:paraId="0962C5EB" w14:textId="38FE096B" w:rsidR="00EB3DE2" w:rsidRDefault="00EA5201" w:rsidP="00DA467C">
      <w:pPr>
        <w:spacing w:before="120" w:after="120" w:line="240" w:lineRule="auto"/>
        <w:ind w:left="0" w:firstLine="566"/>
      </w:pPr>
      <w:r>
        <w:t xml:space="preserve">Pasākumiem, kas saistīti tikai ar drošības un aizsardzības mērķi, komercdarbības atbalsta regulējuma nosacījumus nav jāpiemēro, ja publiskā finansējuma piešķiršana (jebkādā formā) saimnieciskās darbības veicējiem ir paredzēta to īstenotajām </w:t>
      </w:r>
      <w:r w:rsidRPr="00DA467C">
        <w:rPr>
          <w:b/>
        </w:rPr>
        <w:t xml:space="preserve">darbībām </w:t>
      </w:r>
      <w:r w:rsidRPr="00DA467C">
        <w:rPr>
          <w:b/>
          <w:u w:color="000000"/>
        </w:rPr>
        <w:t>vienīgi militārajā jomā</w:t>
      </w:r>
      <w:r>
        <w:t xml:space="preserve"> </w:t>
      </w:r>
      <w:r w:rsidRPr="00DA467C">
        <w:rPr>
          <w:b/>
        </w:rPr>
        <w:t xml:space="preserve">atbilstoši Līguma par Eiropas Savienības darbību </w:t>
      </w:r>
      <w:r w:rsidR="00EB3DE2">
        <w:rPr>
          <w:b/>
          <w:bCs/>
        </w:rPr>
        <w:t xml:space="preserve">(turpmāk – LESD) </w:t>
      </w:r>
      <w:r w:rsidRPr="00DA467C">
        <w:rPr>
          <w:b/>
        </w:rPr>
        <w:t>346.panta 1.daļas (b) apakšpunktā noteiktajam</w:t>
      </w:r>
      <w:r>
        <w:t xml:space="preserve">. </w:t>
      </w:r>
    </w:p>
    <w:p w14:paraId="2D4F7F38" w14:textId="04BC270A" w:rsidR="00EB3DE2" w:rsidRDefault="00EB3DE2" w:rsidP="002468F6">
      <w:pPr>
        <w:spacing w:before="120" w:after="120" w:line="240" w:lineRule="auto"/>
        <w:ind w:left="0" w:firstLine="566"/>
      </w:pPr>
      <w:r w:rsidRPr="00EB3DE2">
        <w:t>LESD 346.panta 1.daļas (b) apakšpunkts paredz, ka “</w:t>
      </w:r>
      <w:r w:rsidRPr="00EB3DE2">
        <w:rPr>
          <w:i/>
          <w:iCs/>
        </w:rPr>
        <w:t>dalībvalstis var veikt pasākumus, ko uzskata par vajadzīgiem, lai aizsargātu savas būtiskās drošības intereses, kas saistītas ar ieroču, munīcijas un militārā aprīkojuma ražošanu vai tirdzniecību; šādi pasākumi iekšējā tirgū nedrīkst nelabvēlīgi ietekmēt tādu ražojumu konkurenci, kuri nav tieši paredzēti militāriem nolūkiem</w:t>
      </w:r>
      <w:r w:rsidRPr="00EB3DE2">
        <w:t xml:space="preserve">”. Attiecīgi, lai konstatētu, ka projektam militārā jomā nav jāpiemēro komercdarbības atbalsta regulējums, ir jāizpildās </w:t>
      </w:r>
      <w:r w:rsidRPr="002468F6">
        <w:rPr>
          <w:b/>
          <w:bCs/>
        </w:rPr>
        <w:t>diviem priekšnoteikumiem</w:t>
      </w:r>
      <w:r w:rsidRPr="00EB3DE2">
        <w:t xml:space="preserve">, proti, </w:t>
      </w:r>
    </w:p>
    <w:p w14:paraId="5DD05FAF" w14:textId="77777777" w:rsidR="00B213E1" w:rsidRDefault="00EB3DE2" w:rsidP="002468F6">
      <w:pPr>
        <w:pStyle w:val="ListParagraph"/>
        <w:numPr>
          <w:ilvl w:val="0"/>
          <w:numId w:val="2"/>
        </w:numPr>
        <w:spacing w:after="0" w:line="240" w:lineRule="auto"/>
      </w:pPr>
      <w:r w:rsidRPr="00EB3DE2">
        <w:t xml:space="preserve">pasākums skar būtiskas valsts drošības intereses </w:t>
      </w:r>
      <w:r w:rsidRPr="002468F6">
        <w:rPr>
          <w:b/>
          <w:bCs/>
        </w:rPr>
        <w:t>un</w:t>
      </w:r>
      <w:r w:rsidRPr="00EB3DE2">
        <w:t xml:space="preserve"> </w:t>
      </w:r>
    </w:p>
    <w:p w14:paraId="1DF39C56" w14:textId="77777777" w:rsidR="00EB3DE2" w:rsidRPr="00EB3DE2" w:rsidRDefault="00EB3DE2" w:rsidP="002468F6">
      <w:pPr>
        <w:pStyle w:val="ListParagraph"/>
        <w:numPr>
          <w:ilvl w:val="0"/>
          <w:numId w:val="2"/>
        </w:numPr>
        <w:spacing w:after="0" w:line="240" w:lineRule="auto"/>
      </w:pPr>
      <w:r w:rsidRPr="00EB3DE2">
        <w:t>pasākums saistīts ar ieroču, munīcijas un militārā aprīkojuma ražošanu vai tirdzniecību</w:t>
      </w:r>
      <w:r>
        <w:t>.</w:t>
      </w:r>
      <w:r w:rsidRPr="00EB3DE2">
        <w:t xml:space="preserve"> </w:t>
      </w:r>
    </w:p>
    <w:p w14:paraId="02F29578" w14:textId="34C3356E" w:rsidR="00855913" w:rsidRDefault="00EA5201" w:rsidP="00DA467C">
      <w:pPr>
        <w:spacing w:before="120" w:after="120" w:line="240" w:lineRule="auto"/>
        <w:ind w:left="0" w:firstLine="566"/>
      </w:pPr>
      <w:r>
        <w:t xml:space="preserve">Eiropas Komisijas lēmumu praksē, proti, </w:t>
      </w:r>
      <w:r>
        <w:rPr>
          <w:i/>
        </w:rPr>
        <w:t xml:space="preserve">Eiropas Komisijas 2017.gada 20.novembra lēmumā lietā par valsts atbalstu SA.34308, ko īstenojusi Grieķijas Republika par labu </w:t>
      </w:r>
      <w:proofErr w:type="spellStart"/>
      <w:r>
        <w:rPr>
          <w:i/>
        </w:rPr>
        <w:t>Hellenic</w:t>
      </w:r>
      <w:proofErr w:type="spellEnd"/>
      <w:r>
        <w:rPr>
          <w:i/>
        </w:rPr>
        <w:t xml:space="preserve"> </w:t>
      </w:r>
      <w:proofErr w:type="spellStart"/>
      <w:r>
        <w:rPr>
          <w:i/>
        </w:rPr>
        <w:t>Defence</w:t>
      </w:r>
      <w:proofErr w:type="spellEnd"/>
      <w:r>
        <w:rPr>
          <w:i/>
        </w:rPr>
        <w:t xml:space="preserve"> </w:t>
      </w:r>
      <w:proofErr w:type="spellStart"/>
      <w:r>
        <w:rPr>
          <w:i/>
        </w:rPr>
        <w:t>Systems</w:t>
      </w:r>
      <w:proofErr w:type="spellEnd"/>
      <w:r>
        <w:rPr>
          <w:i/>
        </w:rPr>
        <w:t xml:space="preserve"> S.A.</w:t>
      </w:r>
      <w:r w:rsidR="00EB3DE2">
        <w:rPr>
          <w:rStyle w:val="FootnoteReference"/>
          <w:i/>
        </w:rPr>
        <w:footnoteReference w:id="1"/>
      </w:r>
      <w:r>
        <w:t xml:space="preserve"> ir minēts, kādos gadījumos iespējams secināt, ka subjekts īsteno </w:t>
      </w:r>
      <w:r w:rsidR="00C77739">
        <w:t xml:space="preserve">saimniecisko </w:t>
      </w:r>
      <w:r>
        <w:t>darbību tikai militārā jomā, t.i., atsaucoties uz 1958.gada Padomes lēmumu, kas ietver produktu sarakstu</w:t>
      </w:r>
      <w:r>
        <w:rPr>
          <w:vertAlign w:val="superscript"/>
        </w:rPr>
        <w:footnoteReference w:id="2"/>
      </w:r>
      <w:r w:rsidR="00FA302A">
        <w:t xml:space="preserve"> (turpmāk - </w:t>
      </w:r>
      <w:r w:rsidR="00FA302A" w:rsidRPr="002468F6">
        <w:t>Eiropas Savienības Kopēj</w:t>
      </w:r>
      <w:r w:rsidR="00313DBD">
        <w:t>ais</w:t>
      </w:r>
      <w:r w:rsidR="00FA302A" w:rsidRPr="002468F6">
        <w:t xml:space="preserve"> militāro preču saraksts)</w:t>
      </w:r>
      <w:r>
        <w:t>, uz kuriem attiecināms Līguma par ES darbību 346.panta</w:t>
      </w:r>
      <w:r w:rsidR="00C77739">
        <w:t xml:space="preserve"> </w:t>
      </w:r>
      <w:r>
        <w:t>1.daļas (b) apakšpunkts (skat., piemēram, lēmuma  SA.34308</w:t>
      </w:r>
      <w:r>
        <w:rPr>
          <w:i/>
        </w:rPr>
        <w:t xml:space="preserve"> </w:t>
      </w:r>
      <w:r>
        <w:t xml:space="preserve">62.punktu). Tajā ietilpst, t.sk.: </w:t>
      </w:r>
    </w:p>
    <w:p w14:paraId="2F5CBBB1" w14:textId="77777777" w:rsidR="00855913" w:rsidRDefault="00EA5201" w:rsidP="00DA467C">
      <w:pPr>
        <w:numPr>
          <w:ilvl w:val="0"/>
          <w:numId w:val="1"/>
        </w:numPr>
        <w:spacing w:after="0" w:line="240" w:lineRule="auto"/>
        <w:ind w:left="833" w:hanging="357"/>
      </w:pPr>
      <w:r>
        <w:t xml:space="preserve">Pārnēsājami un automātiski šaujamieroči; </w:t>
      </w:r>
    </w:p>
    <w:p w14:paraId="13993765" w14:textId="77777777" w:rsidR="00855913" w:rsidRDefault="00EA5201" w:rsidP="00DA467C">
      <w:pPr>
        <w:numPr>
          <w:ilvl w:val="0"/>
          <w:numId w:val="1"/>
        </w:numPr>
        <w:spacing w:after="0" w:line="240" w:lineRule="auto"/>
        <w:ind w:left="833" w:hanging="357"/>
      </w:pPr>
      <w:r>
        <w:t xml:space="preserve">Artilērijas ieroči un dūmus, gāzi un liesmas izplatoši ieroči; </w:t>
      </w:r>
    </w:p>
    <w:p w14:paraId="77EEC9BF" w14:textId="77777777" w:rsidR="00855913" w:rsidRDefault="00EA5201" w:rsidP="00DA467C">
      <w:pPr>
        <w:numPr>
          <w:ilvl w:val="0"/>
          <w:numId w:val="1"/>
        </w:numPr>
        <w:spacing w:after="0" w:line="240" w:lineRule="auto"/>
        <w:ind w:left="833" w:hanging="357"/>
      </w:pPr>
      <w:r>
        <w:t xml:space="preserve">Munīcija augstāk minētajiem ieročiem; </w:t>
      </w:r>
    </w:p>
    <w:p w14:paraId="1EBE9D19" w14:textId="77777777" w:rsidR="00855913" w:rsidRDefault="00EA5201" w:rsidP="00DA467C">
      <w:pPr>
        <w:numPr>
          <w:ilvl w:val="0"/>
          <w:numId w:val="1"/>
        </w:numPr>
        <w:spacing w:after="0" w:line="240" w:lineRule="auto"/>
        <w:ind w:left="833" w:hanging="357"/>
      </w:pPr>
      <w:r>
        <w:t xml:space="preserve">Bumbas, torpēdas, raķetes un vadāmās raķetes; </w:t>
      </w:r>
    </w:p>
    <w:p w14:paraId="119D938A" w14:textId="77777777" w:rsidR="00855913" w:rsidRDefault="00EA5201" w:rsidP="00DA467C">
      <w:pPr>
        <w:numPr>
          <w:ilvl w:val="0"/>
          <w:numId w:val="1"/>
        </w:numPr>
        <w:spacing w:after="0" w:line="240" w:lineRule="auto"/>
        <w:ind w:left="833" w:hanging="357"/>
      </w:pPr>
      <w:r>
        <w:t xml:space="preserve">Militārais apšaudes koriģēšanas ekipējums; </w:t>
      </w:r>
    </w:p>
    <w:p w14:paraId="6531C53C" w14:textId="77777777" w:rsidR="00855913" w:rsidRDefault="00EA5201" w:rsidP="00DA467C">
      <w:pPr>
        <w:numPr>
          <w:ilvl w:val="0"/>
          <w:numId w:val="1"/>
        </w:numPr>
        <w:spacing w:after="0" w:line="240" w:lineRule="auto"/>
        <w:ind w:left="833" w:hanging="357"/>
      </w:pPr>
      <w:r>
        <w:t xml:space="preserve">Tanki un speciālie kaujas transportlīdzekļi; </w:t>
      </w:r>
    </w:p>
    <w:p w14:paraId="4168802A" w14:textId="77777777" w:rsidR="00855913" w:rsidRDefault="00EA5201" w:rsidP="00DA467C">
      <w:pPr>
        <w:numPr>
          <w:ilvl w:val="0"/>
          <w:numId w:val="1"/>
        </w:numPr>
        <w:spacing w:after="0" w:line="240" w:lineRule="auto"/>
        <w:ind w:left="833" w:hanging="357"/>
      </w:pPr>
      <w:r>
        <w:t xml:space="preserve">Toksiskas vai radioaktīvas vielas; </w:t>
      </w:r>
    </w:p>
    <w:p w14:paraId="61099E47" w14:textId="3FE596CD" w:rsidR="00855913" w:rsidRDefault="00EA5201" w:rsidP="00DA467C">
      <w:pPr>
        <w:numPr>
          <w:ilvl w:val="0"/>
          <w:numId w:val="1"/>
        </w:numPr>
        <w:spacing w:after="0" w:line="240" w:lineRule="auto"/>
        <w:ind w:left="833" w:hanging="357"/>
      </w:pPr>
      <w:r>
        <w:t xml:space="preserve">Pulveri, sprāgstvielas un šķidri vai cieti </w:t>
      </w:r>
      <w:proofErr w:type="spellStart"/>
      <w:r>
        <w:t>propelenti</w:t>
      </w:r>
      <w:proofErr w:type="spellEnd"/>
      <w:r>
        <w:t>;</w:t>
      </w:r>
    </w:p>
    <w:p w14:paraId="4909ED86" w14:textId="77777777" w:rsidR="00855913" w:rsidRDefault="00EA5201" w:rsidP="00DA467C">
      <w:pPr>
        <w:numPr>
          <w:ilvl w:val="0"/>
          <w:numId w:val="1"/>
        </w:numPr>
        <w:spacing w:after="0" w:line="240" w:lineRule="auto"/>
        <w:ind w:left="833" w:hanging="357"/>
      </w:pPr>
      <w:r>
        <w:t xml:space="preserve">Karakuģi un to īpašais ekipējums; </w:t>
      </w:r>
    </w:p>
    <w:p w14:paraId="1CE9FE74" w14:textId="65D70824" w:rsidR="002A753A" w:rsidRDefault="00EA5201" w:rsidP="002468F6">
      <w:pPr>
        <w:numPr>
          <w:ilvl w:val="0"/>
          <w:numId w:val="1"/>
        </w:numPr>
        <w:spacing w:after="0" w:line="240" w:lineRule="auto"/>
        <w:ind w:left="833" w:hanging="357"/>
      </w:pPr>
      <w:r>
        <w:t xml:space="preserve">Gaisa kuģi un ekipējums militāram lietojumam; </w:t>
      </w:r>
    </w:p>
    <w:p w14:paraId="67149887" w14:textId="2BFD1CCB" w:rsidR="002A753A" w:rsidRDefault="00EA5201" w:rsidP="002468F6">
      <w:pPr>
        <w:numPr>
          <w:ilvl w:val="0"/>
          <w:numId w:val="1"/>
        </w:numPr>
        <w:spacing w:after="0" w:line="240" w:lineRule="auto"/>
        <w:ind w:left="833" w:hanging="357"/>
      </w:pPr>
      <w:r>
        <w:t>Militārs elektronisks ekipējums</w:t>
      </w:r>
      <w:r w:rsidR="00543803">
        <w:t xml:space="preserve"> (arī </w:t>
      </w:r>
      <w:proofErr w:type="spellStart"/>
      <w:r w:rsidR="00543803">
        <w:t>k</w:t>
      </w:r>
      <w:r w:rsidR="00543803" w:rsidRPr="002468F6">
        <w:t>iberdrošības</w:t>
      </w:r>
      <w:proofErr w:type="spellEnd"/>
      <w:r w:rsidR="00543803" w:rsidRPr="002468F6">
        <w:t xml:space="preserve"> risinājumi (ja </w:t>
      </w:r>
      <w:r w:rsidR="00543803">
        <w:t xml:space="preserve">ekskluzīvi </w:t>
      </w:r>
      <w:r w:rsidR="00543803" w:rsidRPr="002468F6">
        <w:t>saistīti tieši ar</w:t>
      </w:r>
      <w:r w:rsidR="00543803">
        <w:t xml:space="preserve"> </w:t>
      </w:r>
      <w:r w:rsidR="00543803" w:rsidRPr="002468F6">
        <w:t>aizsardzības jomu</w:t>
      </w:r>
      <w:r w:rsidR="00543803">
        <w:t>)</w:t>
      </w:r>
      <w:r w:rsidR="00543803" w:rsidRPr="002468F6">
        <w:t>)</w:t>
      </w:r>
      <w:r w:rsidR="00543803">
        <w:t xml:space="preserve">; </w:t>
      </w:r>
      <w:r>
        <w:t>Īpaši militāram lietojumam izstrādātas kameras;</w:t>
      </w:r>
    </w:p>
    <w:p w14:paraId="1C2C60AA" w14:textId="77777777" w:rsidR="00855913" w:rsidRDefault="00EA5201" w:rsidP="00DA467C">
      <w:pPr>
        <w:numPr>
          <w:ilvl w:val="0"/>
          <w:numId w:val="1"/>
        </w:numPr>
        <w:spacing w:after="0" w:line="240" w:lineRule="auto"/>
        <w:ind w:left="833" w:hanging="357"/>
      </w:pPr>
      <w:r>
        <w:t xml:space="preserve">Cita veida ekipējums; </w:t>
      </w:r>
    </w:p>
    <w:p w14:paraId="6D8529A1" w14:textId="77777777" w:rsidR="00855913" w:rsidRDefault="00EA5201" w:rsidP="00DA467C">
      <w:pPr>
        <w:numPr>
          <w:ilvl w:val="0"/>
          <w:numId w:val="1"/>
        </w:numPr>
        <w:spacing w:after="0" w:line="240" w:lineRule="auto"/>
        <w:ind w:left="833" w:hanging="357"/>
      </w:pPr>
      <w:r>
        <w:t xml:space="preserve">u.c. </w:t>
      </w:r>
    </w:p>
    <w:p w14:paraId="068EFA7F" w14:textId="77777777" w:rsidR="00EB3DE2" w:rsidRDefault="00EB3DE2" w:rsidP="002468F6">
      <w:pPr>
        <w:spacing w:before="120" w:after="120" w:line="240" w:lineRule="auto"/>
        <w:ind w:firstLine="467"/>
      </w:pPr>
      <w:r w:rsidRPr="00EB3DE2">
        <w:t>Eiropas Komisija ir atkārtoti apstiprināj</w:t>
      </w:r>
      <w:r>
        <w:t>us</w:t>
      </w:r>
      <w:r w:rsidRPr="00EB3DE2">
        <w:t>i</w:t>
      </w:r>
      <w:r>
        <w:t xml:space="preserve">, </w:t>
      </w:r>
      <w:r w:rsidRPr="00EB3DE2">
        <w:t xml:space="preserve">ka arī tādi </w:t>
      </w:r>
      <w:r w:rsidRPr="00F116DB">
        <w:t xml:space="preserve">militāra rakstura produkti, kas iekļauti citos oficiālos dokumentos, piemēram, </w:t>
      </w:r>
      <w:r w:rsidR="00A235EA" w:rsidRPr="002468F6">
        <w:t xml:space="preserve">Eiropas Savienības Kopējā militāro preču sarakstā, kas pieņemts Padomē 2025.gada 24.februārī (ekipējums, uz kuru attiecas Padomes Kopējā nostāja 2008/944/KĀDP, ar ko izveido kopīgus noteikumus, kas reglamentē militāru </w:t>
      </w:r>
      <w:r w:rsidR="00A235EA" w:rsidRPr="002468F6">
        <w:lastRenderedPageBreak/>
        <w:t>tehnoloģiju un ekipējuma eksporta kontroli)</w:t>
      </w:r>
      <w:r w:rsidR="00A235EA">
        <w:rPr>
          <w:rStyle w:val="FootnoteReference"/>
        </w:rPr>
        <w:footnoteReference w:id="3"/>
      </w:r>
      <w:r w:rsidRPr="00F116DB">
        <w:t>, var tikt aptverti ar LESD 346.panta atbrīvojumu tiktāl, ciktāl šādus ražojumus var pamatoti uzskatīt par atbilstošiem kādai no 1958.gada sarakstā iekļautajām produktu kategorijām.</w:t>
      </w:r>
    </w:p>
    <w:p w14:paraId="362C836C" w14:textId="77777777" w:rsidR="00FA302A" w:rsidRDefault="00FA302A" w:rsidP="002468F6">
      <w:pPr>
        <w:spacing w:before="120" w:after="120" w:line="240" w:lineRule="auto"/>
        <w:ind w:firstLine="467"/>
      </w:pPr>
      <w:r w:rsidRPr="00EB3DE2">
        <w:t>Attiecīgi,</w:t>
      </w:r>
      <w:r w:rsidRPr="002468F6">
        <w:rPr>
          <w:b/>
          <w:bCs/>
        </w:rPr>
        <w:t xml:space="preserve"> ja atbalsts tiek sniegts militār</w:t>
      </w:r>
      <w:r w:rsidR="00543803">
        <w:rPr>
          <w:b/>
          <w:bCs/>
        </w:rPr>
        <w:t>ās</w:t>
      </w:r>
      <w:r w:rsidRPr="002468F6">
        <w:rPr>
          <w:b/>
          <w:bCs/>
        </w:rPr>
        <w:t xml:space="preserve"> jom</w:t>
      </w:r>
      <w:r>
        <w:rPr>
          <w:b/>
          <w:bCs/>
        </w:rPr>
        <w:t>as produkt</w:t>
      </w:r>
      <w:r w:rsidR="00565173">
        <w:rPr>
          <w:b/>
          <w:bCs/>
        </w:rPr>
        <w:t>u ražošan</w:t>
      </w:r>
      <w:r w:rsidR="00C77739">
        <w:rPr>
          <w:b/>
          <w:bCs/>
        </w:rPr>
        <w:t>ai</w:t>
      </w:r>
      <w:r w:rsidRPr="002468F6">
        <w:rPr>
          <w:b/>
          <w:bCs/>
        </w:rPr>
        <w:t xml:space="preserve"> un </w:t>
      </w:r>
      <w:r>
        <w:rPr>
          <w:b/>
          <w:bCs/>
        </w:rPr>
        <w:t xml:space="preserve">tie </w:t>
      </w:r>
      <w:r w:rsidRPr="002468F6">
        <w:rPr>
          <w:b/>
          <w:bCs/>
        </w:rPr>
        <w:t>atbilst Eiropas Savienības Kopēj</w:t>
      </w:r>
      <w:r w:rsidR="00C77739">
        <w:rPr>
          <w:b/>
          <w:bCs/>
        </w:rPr>
        <w:t>am</w:t>
      </w:r>
      <w:r w:rsidRPr="002468F6">
        <w:rPr>
          <w:b/>
          <w:bCs/>
        </w:rPr>
        <w:t xml:space="preserve"> militāro preču sarakstam, kā arī vienlaikus atbilst būtiskām Latvijas valsts drošības interesēm, tādā gadījumā </w:t>
      </w:r>
      <w:r w:rsidR="00565173">
        <w:rPr>
          <w:b/>
          <w:bCs/>
        </w:rPr>
        <w:t>publisko līdzekļu piešķiršana</w:t>
      </w:r>
      <w:r w:rsidRPr="002468F6">
        <w:rPr>
          <w:b/>
          <w:bCs/>
        </w:rPr>
        <w:t xml:space="preserve"> nav kvalificējam</w:t>
      </w:r>
      <w:r w:rsidR="00565173">
        <w:rPr>
          <w:b/>
          <w:bCs/>
        </w:rPr>
        <w:t>a</w:t>
      </w:r>
      <w:r w:rsidRPr="002468F6">
        <w:rPr>
          <w:b/>
          <w:bCs/>
        </w:rPr>
        <w:t xml:space="preserve"> kā komercdarbības atbalsts.</w:t>
      </w:r>
      <w:r>
        <w:t xml:space="preserve"> </w:t>
      </w:r>
    </w:p>
    <w:p w14:paraId="64BAA34B" w14:textId="3DB6E4DA" w:rsidR="00236863" w:rsidRDefault="00C63DD6" w:rsidP="00771A87">
      <w:pPr>
        <w:spacing w:before="120" w:after="120" w:line="240" w:lineRule="auto"/>
        <w:ind w:firstLine="467"/>
      </w:pPr>
      <w:r w:rsidRPr="00C63DD6">
        <w:t>LESD 346.panta 1.daļas (b) apakšpunkt</w:t>
      </w:r>
      <w:r>
        <w:t xml:space="preserve">a izņēmumu nevar piemērot </w:t>
      </w:r>
      <w:r w:rsidR="009F4E5D">
        <w:t>militārās infrastruktūras būvniecībai un uzturēšanai</w:t>
      </w:r>
      <w:r w:rsidR="00A23057">
        <w:t xml:space="preserve">, jo minētais izņēmums ir piemērojams tikai gadījumos, kad </w:t>
      </w:r>
      <w:r w:rsidR="008440C2">
        <w:t xml:space="preserve">atbalstu piešķir </w:t>
      </w:r>
      <w:r w:rsidR="00A23057" w:rsidRPr="00A23057">
        <w:t>Eiropas Savienības Kopēj</w:t>
      </w:r>
      <w:r w:rsidR="008440C2">
        <w:t>ā</w:t>
      </w:r>
      <w:r w:rsidR="00A23057" w:rsidRPr="00A23057">
        <w:t xml:space="preserve"> militāro preču sarakst</w:t>
      </w:r>
      <w:r w:rsidR="008440C2">
        <w:t>ā minēto preču ražošanai</w:t>
      </w:r>
      <w:r w:rsidR="009F4E5D">
        <w:t xml:space="preserve">. </w:t>
      </w:r>
      <w:r w:rsidR="00A23057">
        <w:t>Komercdarbības</w:t>
      </w:r>
      <w:r w:rsidR="009F4E5D">
        <w:t xml:space="preserve"> atbalst</w:t>
      </w:r>
      <w:r w:rsidR="008440C2">
        <w:t xml:space="preserve">u gan šādos gadījumos </w:t>
      </w:r>
      <w:r w:rsidR="00900480">
        <w:t>būtu iespējams</w:t>
      </w:r>
      <w:r w:rsidR="008440C2">
        <w:t xml:space="preserve"> izslēgt</w:t>
      </w:r>
      <w:r w:rsidR="00900480">
        <w:t>, pamatojot atbalsta piešķiršanu valsts varas īstenošanai</w:t>
      </w:r>
      <w:r w:rsidR="00DA467C">
        <w:rPr>
          <w:rStyle w:val="FootnoteReference"/>
        </w:rPr>
        <w:footnoteReference w:id="4"/>
      </w:r>
      <w:r w:rsidR="00900480">
        <w:t>.</w:t>
      </w:r>
    </w:p>
    <w:p w14:paraId="67176503" w14:textId="77777777" w:rsidR="00ED1E97" w:rsidRDefault="00EA5201" w:rsidP="00ED1E97">
      <w:pPr>
        <w:spacing w:before="120" w:after="120" w:line="240" w:lineRule="auto"/>
        <w:ind w:firstLine="467"/>
      </w:pPr>
      <w:r>
        <w:t xml:space="preserve"> </w:t>
      </w:r>
      <w:r w:rsidR="00ED1E97">
        <w:t xml:space="preserve">Vienlaikus </w:t>
      </w:r>
      <w:r w:rsidR="00ED1E97" w:rsidRPr="00313DBD">
        <w:t xml:space="preserve">projekta īstenošanas laikā, kā arī visā </w:t>
      </w:r>
      <w:r w:rsidR="00ED1E97">
        <w:t xml:space="preserve">ieguldījumu </w:t>
      </w:r>
      <w:r w:rsidR="00ED1E97" w:rsidRPr="00FE2C08">
        <w:rPr>
          <w:b/>
          <w:bCs/>
        </w:rPr>
        <w:t>amortizācijas periodā</w:t>
      </w:r>
      <w:r w:rsidR="00ED1E97" w:rsidRPr="00313DBD">
        <w:t xml:space="preserve"> </w:t>
      </w:r>
      <w:r w:rsidR="00ED1E97">
        <w:t>(</w:t>
      </w:r>
      <w:r w:rsidR="00ED1E97" w:rsidRPr="00313DBD">
        <w:t>atbilstoši normatīvajiem aktiem grāmatvedības jomā</w:t>
      </w:r>
      <w:r w:rsidR="00ED1E97">
        <w:t>), ir jā</w:t>
      </w:r>
      <w:r w:rsidR="00ED1E97" w:rsidRPr="00313DBD">
        <w:t xml:space="preserve">nodrošina, ka </w:t>
      </w:r>
      <w:r w:rsidR="00ED1E97">
        <w:t>tiek ievērots</w:t>
      </w:r>
      <w:r w:rsidR="00ED1E97" w:rsidRPr="00313DBD">
        <w:t xml:space="preserve"> </w:t>
      </w:r>
      <w:r w:rsidR="00ED1E97">
        <w:t>sākotnējais mērķis – joprojām atbalsts tiek izmantots saimnieciskai darbībai</w:t>
      </w:r>
      <w:r w:rsidR="00ED1E97" w:rsidRPr="00313DBD">
        <w:t xml:space="preserve"> militār</w:t>
      </w:r>
      <w:r w:rsidR="00ED1E97">
        <w:t>ā</w:t>
      </w:r>
      <w:r w:rsidR="00ED1E97" w:rsidRPr="00313DBD">
        <w:t xml:space="preserve"> </w:t>
      </w:r>
      <w:r w:rsidR="00ED1E97">
        <w:t>jomā, kā minēts augstāk,</w:t>
      </w:r>
      <w:r w:rsidR="00ED1E97" w:rsidRPr="00313DBD">
        <w:t xml:space="preserve"> un </w:t>
      </w:r>
      <w:r w:rsidR="00ED1E97">
        <w:t>netiek izmantots</w:t>
      </w:r>
      <w:r w:rsidR="00ED1E97" w:rsidRPr="00313DBD">
        <w:t xml:space="preserve"> darbīb</w:t>
      </w:r>
      <w:r w:rsidR="00ED1E97">
        <w:t>ām</w:t>
      </w:r>
      <w:r w:rsidR="00ED1E97" w:rsidRPr="00313DBD">
        <w:t>, kurām sniegtais atbalsts būtu kvalificējams kā komercdarbības atbalsts</w:t>
      </w:r>
      <w:r w:rsidR="00ED1E97">
        <w:t>.</w:t>
      </w:r>
    </w:p>
    <w:p w14:paraId="078B0C18" w14:textId="77777777" w:rsidR="00855913" w:rsidRDefault="00855913" w:rsidP="002468F6">
      <w:pPr>
        <w:spacing w:before="120" w:after="120" w:line="240" w:lineRule="auto"/>
        <w:ind w:left="0" w:firstLine="566"/>
      </w:pPr>
    </w:p>
    <w:p w14:paraId="7C5BACB0" w14:textId="77777777" w:rsidR="00EB3DE2" w:rsidRPr="002468F6" w:rsidRDefault="00EB3DE2" w:rsidP="002468F6">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rPr>
          <w:b/>
          <w:bCs/>
        </w:rPr>
      </w:pPr>
      <w:r w:rsidRPr="002468F6">
        <w:rPr>
          <w:b/>
          <w:bCs/>
        </w:rPr>
        <w:t xml:space="preserve">Atbalsts divējāda </w:t>
      </w:r>
      <w:r w:rsidR="00771A87" w:rsidRPr="002468F6">
        <w:rPr>
          <w:b/>
          <w:bCs/>
        </w:rPr>
        <w:t>pie</w:t>
      </w:r>
      <w:r w:rsidRPr="002468F6">
        <w:rPr>
          <w:b/>
          <w:bCs/>
        </w:rPr>
        <w:t>lietojuma mērķiem</w:t>
      </w:r>
    </w:p>
    <w:p w14:paraId="1E7D207D" w14:textId="6A0D1F33" w:rsidR="00771A87" w:rsidRDefault="00EA5201" w:rsidP="00DA467C">
      <w:pPr>
        <w:spacing w:before="120" w:after="120" w:line="240" w:lineRule="auto"/>
        <w:ind w:left="0" w:firstLine="567"/>
      </w:pPr>
      <w:r>
        <w:t xml:space="preserve">Ar </w:t>
      </w:r>
      <w:r>
        <w:rPr>
          <w:b/>
        </w:rPr>
        <w:t xml:space="preserve">divejāda </w:t>
      </w:r>
      <w:r w:rsidR="00771A87">
        <w:rPr>
          <w:b/>
        </w:rPr>
        <w:t>pie</w:t>
      </w:r>
      <w:r>
        <w:rPr>
          <w:b/>
        </w:rPr>
        <w:t>lietojuma precēm</w:t>
      </w:r>
      <w:r>
        <w:t xml:space="preserve"> saprot preces, arī programmatūru un tehnoloģijas, kuras var izmantot gan civiliem, gan militāriem mērķiem un pie kurām pieder preces, ko var izmantot kodolieroču, ķīmisko vai bioloģisko ieroču vai to piegādes līdzekļu izstrādē, projektēšanā,</w:t>
      </w:r>
      <w:r w:rsidRPr="00DA467C">
        <w:rPr>
          <w:rFonts w:ascii="Calibri" w:hAnsi="Calibri"/>
          <w:sz w:val="22"/>
        </w:rPr>
        <w:t xml:space="preserve"> </w:t>
      </w:r>
      <w:r>
        <w:t xml:space="preserve">ražošanā vai lietošanā, tostarp visas preces, ko var izmantot gan ar </w:t>
      </w:r>
      <w:proofErr w:type="spellStart"/>
      <w:r>
        <w:t>sprādzienierīcēm</w:t>
      </w:r>
      <w:proofErr w:type="spellEnd"/>
      <w:r>
        <w:t xml:space="preserve"> nesaistītiem mērķiem, gan kodolieroču vai citu </w:t>
      </w:r>
      <w:proofErr w:type="spellStart"/>
      <w:r>
        <w:t>kodolsprādzienierīču</w:t>
      </w:r>
      <w:proofErr w:type="spellEnd"/>
      <w:r>
        <w:t xml:space="preserve"> ražošanā</w:t>
      </w:r>
      <w:r>
        <w:rPr>
          <w:vertAlign w:val="superscript"/>
        </w:rPr>
        <w:footnoteReference w:id="5"/>
      </w:r>
      <w:r>
        <w:t xml:space="preserve">. </w:t>
      </w:r>
    </w:p>
    <w:p w14:paraId="41540B97" w14:textId="77777777" w:rsidR="00771A87" w:rsidRDefault="00771A87" w:rsidP="002468F6">
      <w:pPr>
        <w:spacing w:before="120" w:after="120" w:line="240" w:lineRule="auto"/>
        <w:ind w:left="0" w:firstLine="567"/>
      </w:pPr>
      <w:r>
        <w:t xml:space="preserve">Ja publisko finansējumu paredzēts piešķirt divejāda lietojuma preču un tehnoloģiju jomā, tas būtu </w:t>
      </w:r>
      <w:r w:rsidRPr="002468F6">
        <w:rPr>
          <w:b/>
          <w:bCs/>
        </w:rPr>
        <w:t>vērtējams kā saimniecisks projekts</w:t>
      </w:r>
      <w:r>
        <w:t>, kuram, piešķirot publisko finansējumu, būtu jāpiemēro komercdarbības atbalsta regulējums.</w:t>
      </w:r>
    </w:p>
    <w:p w14:paraId="504D71D4" w14:textId="77777777" w:rsidR="00771A87" w:rsidRDefault="00EA5201" w:rsidP="00DA467C">
      <w:pPr>
        <w:spacing w:before="120" w:after="120" w:line="240" w:lineRule="auto"/>
        <w:ind w:left="0" w:firstLine="566"/>
      </w:pPr>
      <w:r>
        <w:t xml:space="preserve">Gadījumā, ja atbalsta pasākuma ietvaros ir plānots atbalstu sniegt gan darbībām militārajā jomā, gan atbalstīt aktivitātes divejāda lietojuma preču un tehnoloģiju jomā, attiecībā uz publisko līdzekļu piešķīrumu atbalstam darbībām militārajā jomā </w:t>
      </w:r>
      <w:r w:rsidR="00771A87">
        <w:t xml:space="preserve">(skat. iepriekšējā sadaļā) </w:t>
      </w:r>
      <w:r>
        <w:t xml:space="preserve">komercdarbības atbalsta nosacījumus neattiecina, </w:t>
      </w:r>
      <w:r w:rsidRPr="008979E0">
        <w:t xml:space="preserve">ja </w:t>
      </w:r>
      <w:r w:rsidRPr="00DA467C">
        <w:rPr>
          <w:u w:color="000000"/>
        </w:rPr>
        <w:t xml:space="preserve">ar </w:t>
      </w:r>
      <w:r w:rsidRPr="00DA467C">
        <w:rPr>
          <w:b/>
          <w:u w:color="000000"/>
        </w:rPr>
        <w:t>uzskaites nodalīšanu</w:t>
      </w:r>
      <w:r>
        <w:t xml:space="preserve"> ir iespējams nodrošināt to, ka aktivitātes divejāda lietojuma preču un tehnoloģiju jomā negūst labumu no publiskajiem līdzekļiem, kas piešķirti darbībām militārajā jomā.</w:t>
      </w:r>
      <w:r>
        <w:rPr>
          <w:vertAlign w:val="superscript"/>
        </w:rPr>
        <w:footnoteReference w:id="6"/>
      </w:r>
      <w:r>
        <w:t xml:space="preserve"> </w:t>
      </w:r>
      <w:r w:rsidR="00771A87">
        <w:tab/>
      </w:r>
    </w:p>
    <w:p w14:paraId="206E151D" w14:textId="77777777" w:rsidR="00855913" w:rsidRDefault="00771A87" w:rsidP="00DA467C">
      <w:pPr>
        <w:spacing w:before="120" w:after="120" w:line="240" w:lineRule="auto"/>
        <w:ind w:left="0" w:firstLine="0"/>
      </w:pPr>
      <w:r>
        <w:tab/>
      </w:r>
      <w:r w:rsidR="00EA5201" w:rsidRPr="00DA467C">
        <w:rPr>
          <w:u w:color="000000"/>
        </w:rPr>
        <w:t>Izstrādājot atbalsta pasākumus, to autoram ir nepieciešams skaidri definēt atbalstāmo</w:t>
      </w:r>
      <w:r w:rsidR="00EA5201" w:rsidRPr="008979E0">
        <w:t xml:space="preserve"> </w:t>
      </w:r>
      <w:r w:rsidR="00EA5201" w:rsidRPr="00DA467C">
        <w:rPr>
          <w:u w:color="000000"/>
        </w:rPr>
        <w:t>aktivitāšu būtību</w:t>
      </w:r>
      <w:r w:rsidR="00EA5201" w:rsidRPr="008979E0">
        <w:t>,</w:t>
      </w:r>
      <w:r w:rsidR="00EA5201">
        <w:t xml:space="preserve"> proti, vai ir paredzēts sniegt atbalstu no publiskiem resursiem tikai tādām aktivitātēm, kas saistītas vienīgi ar darbībām militārajā jomā vai arī atbalsts no publiskiem </w:t>
      </w:r>
      <w:r w:rsidR="00EA5201">
        <w:lastRenderedPageBreak/>
        <w:t xml:space="preserve">resursiem iespējams divejāda lietojuma preču un tehnoloģiju jomā, attiecīgi lemjot par atbilstoša komercdarbības atbalsta regulējuma piemērošanu. </w:t>
      </w:r>
    </w:p>
    <w:p w14:paraId="3A2CC6C9" w14:textId="77777777" w:rsidR="00855913" w:rsidRDefault="00EA5201" w:rsidP="00DA467C">
      <w:pPr>
        <w:spacing w:before="120" w:after="120" w:line="240" w:lineRule="auto"/>
        <w:ind w:left="0" w:firstLine="0"/>
        <w:jc w:val="left"/>
      </w:pPr>
      <w:r>
        <w:t xml:space="preserve"> </w:t>
      </w:r>
    </w:p>
    <w:p w14:paraId="2C3A3C99" w14:textId="1A1F8BD7" w:rsidR="00771A87" w:rsidRPr="002468F6" w:rsidRDefault="00771A87" w:rsidP="002468F6">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line="240" w:lineRule="auto"/>
        <w:rPr>
          <w:b/>
          <w:bCs/>
        </w:rPr>
      </w:pPr>
      <w:r w:rsidRPr="002468F6">
        <w:rPr>
          <w:b/>
          <w:bCs/>
        </w:rPr>
        <w:t xml:space="preserve">Atbalsts </w:t>
      </w:r>
      <w:r w:rsidR="00BF7D49" w:rsidRPr="002468F6">
        <w:rPr>
          <w:b/>
          <w:bCs/>
        </w:rPr>
        <w:t>valsts varas īstenošana</w:t>
      </w:r>
      <w:r w:rsidR="00900480" w:rsidRPr="002468F6">
        <w:rPr>
          <w:b/>
          <w:bCs/>
        </w:rPr>
        <w:t>i</w:t>
      </w:r>
    </w:p>
    <w:p w14:paraId="513392AC" w14:textId="77777777" w:rsidR="00BF7D49" w:rsidRDefault="00771A87" w:rsidP="00771A87">
      <w:pPr>
        <w:spacing w:before="120" w:after="120" w:line="240" w:lineRule="auto"/>
        <w:ind w:left="0" w:firstLine="566"/>
      </w:pPr>
      <w:r>
        <w:t xml:space="preserve">Ja </w:t>
      </w:r>
      <w:r w:rsidR="00311587">
        <w:t>publiskā</w:t>
      </w:r>
      <w:r>
        <w:t>s</w:t>
      </w:r>
      <w:r w:rsidR="00311587">
        <w:t xml:space="preserve"> institūcijas darbojas</w:t>
      </w:r>
      <w:r>
        <w:t>,</w:t>
      </w:r>
      <w:r w:rsidR="00311587">
        <w:t xml:space="preserve"> “īstenojot valsts varu”</w:t>
      </w:r>
      <w:r w:rsidR="00BF7D49">
        <w:rPr>
          <w:rStyle w:val="FootnoteReference"/>
        </w:rPr>
        <w:footnoteReference w:id="7"/>
      </w:r>
      <w:r w:rsidR="00311587">
        <w:t>, nodrošinot valsts drošības intereses, publisk</w:t>
      </w:r>
      <w:r>
        <w:t>ā</w:t>
      </w:r>
      <w:r w:rsidR="00311587">
        <w:t xml:space="preserve"> finansējuma piešķiršana</w:t>
      </w:r>
      <w:r>
        <w:t xml:space="preserve"> (jebkādā formā) tām nav paredzēta saimnieciskai darbībai</w:t>
      </w:r>
      <w:r w:rsidR="00311587">
        <w:t xml:space="preserve"> </w:t>
      </w:r>
      <w:r>
        <w:t xml:space="preserve">un tādējādi </w:t>
      </w:r>
      <w:r w:rsidR="00311587">
        <w:t>nekvalificējas kā komercdarbības atbalst</w:t>
      </w:r>
      <w:r>
        <w:t>s</w:t>
      </w:r>
      <w:r w:rsidR="00BF7D49">
        <w:t>. Š</w:t>
      </w:r>
      <w:r>
        <w:t>ādam atbalstam nav jāpiemēro komercdarbības atbalsta</w:t>
      </w:r>
      <w:r w:rsidR="00311587">
        <w:t xml:space="preserve"> regulējuma nosacījumi</w:t>
      </w:r>
      <w:r>
        <w:t>.</w:t>
      </w:r>
      <w:r w:rsidR="00311587">
        <w:t xml:space="preserve"> </w:t>
      </w:r>
    </w:p>
    <w:p w14:paraId="428EA933" w14:textId="078E2857" w:rsidR="00771A87" w:rsidRDefault="00771A87" w:rsidP="002468F6">
      <w:pPr>
        <w:spacing w:before="120" w:after="120" w:line="240" w:lineRule="auto"/>
        <w:ind w:left="0" w:firstLine="0"/>
      </w:pPr>
      <w:r>
        <w:t xml:space="preserve">Attiecīgās </w:t>
      </w:r>
      <w:r w:rsidR="00F61C00">
        <w:t>institūcijas</w:t>
      </w:r>
      <w:r>
        <w:t xml:space="preserve"> ir, piemēram, armija</w:t>
      </w:r>
      <w:r w:rsidR="00BF7D49">
        <w:t xml:space="preserve"> (Nacionālie bruņotie spēki) un</w:t>
      </w:r>
      <w:r>
        <w:t xml:space="preserve"> </w:t>
      </w:r>
      <w:r w:rsidR="00F61C00">
        <w:t>Z</w:t>
      </w:r>
      <w:r>
        <w:t>emessardze.</w:t>
      </w:r>
    </w:p>
    <w:p w14:paraId="75FDE5C3" w14:textId="77777777" w:rsidR="00855913" w:rsidRDefault="00855913" w:rsidP="002468F6">
      <w:pPr>
        <w:spacing w:before="120" w:after="120" w:line="240" w:lineRule="auto"/>
        <w:ind w:left="0" w:firstLine="0"/>
        <w:jc w:val="left"/>
      </w:pPr>
    </w:p>
    <w:p w14:paraId="28645AAF" w14:textId="77777777" w:rsidR="00855913" w:rsidRDefault="00EA5201" w:rsidP="002468F6">
      <w:pPr>
        <w:spacing w:before="120" w:after="120" w:line="240" w:lineRule="auto"/>
        <w:ind w:left="0" w:firstLine="0"/>
        <w:jc w:val="left"/>
      </w:pPr>
      <w:r>
        <w:t xml:space="preserve"> </w:t>
      </w:r>
    </w:p>
    <w:p w14:paraId="2CF7B455" w14:textId="77777777" w:rsidR="00855913" w:rsidRDefault="00EA5201" w:rsidP="00DA467C">
      <w:pPr>
        <w:spacing w:before="120" w:after="120" w:line="240" w:lineRule="auto"/>
        <w:ind w:left="0" w:firstLine="0"/>
        <w:jc w:val="left"/>
      </w:pPr>
      <w:r>
        <w:t xml:space="preserve">  </w:t>
      </w:r>
      <w:r>
        <w:rPr>
          <w:rFonts w:ascii="Calibri" w:eastAsia="Calibri" w:hAnsi="Calibri" w:cs="Calibri"/>
          <w:sz w:val="22"/>
        </w:rPr>
        <w:t xml:space="preserve"> </w:t>
      </w:r>
    </w:p>
    <w:sectPr w:rsidR="00855913" w:rsidSect="00DA467C">
      <w:headerReference w:type="default" r:id="rId8"/>
      <w:footerReference w:type="default" r:id="rId9"/>
      <w:pgSz w:w="11906" w:h="16838"/>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2A371" w14:textId="77777777" w:rsidR="008025D2" w:rsidRDefault="008025D2">
      <w:pPr>
        <w:spacing w:after="0" w:line="240" w:lineRule="auto"/>
      </w:pPr>
      <w:r>
        <w:separator/>
      </w:r>
    </w:p>
  </w:endnote>
  <w:endnote w:type="continuationSeparator" w:id="0">
    <w:p w14:paraId="575653CE" w14:textId="77777777" w:rsidR="008025D2" w:rsidRDefault="00802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72E72" w14:textId="77777777" w:rsidR="00FA10DA" w:rsidRDefault="00FA10DA" w:rsidP="00DA46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684CF" w14:textId="77777777" w:rsidR="008025D2" w:rsidRDefault="008025D2">
      <w:pPr>
        <w:spacing w:after="0" w:line="259" w:lineRule="auto"/>
        <w:ind w:left="0" w:firstLine="0"/>
        <w:jc w:val="left"/>
      </w:pPr>
      <w:r>
        <w:separator/>
      </w:r>
    </w:p>
  </w:footnote>
  <w:footnote w:type="continuationSeparator" w:id="0">
    <w:p w14:paraId="74893B9C" w14:textId="77777777" w:rsidR="008025D2" w:rsidRDefault="008025D2">
      <w:pPr>
        <w:spacing w:after="0" w:line="259" w:lineRule="auto"/>
        <w:ind w:left="0" w:firstLine="0"/>
        <w:jc w:val="left"/>
      </w:pPr>
      <w:r>
        <w:continuationSeparator/>
      </w:r>
    </w:p>
  </w:footnote>
  <w:footnote w:id="1">
    <w:p w14:paraId="1AB2B4E4" w14:textId="73F84F57" w:rsidR="00EB3DE2" w:rsidRDefault="00EB3DE2" w:rsidP="00B213E1">
      <w:pPr>
        <w:pStyle w:val="FootnoteText"/>
      </w:pPr>
      <w:r>
        <w:rPr>
          <w:rStyle w:val="FootnoteReference"/>
        </w:rPr>
        <w:footnoteRef/>
      </w:r>
      <w:r>
        <w:t xml:space="preserve"> P</w:t>
      </w:r>
      <w:r w:rsidRPr="00EB3DE2">
        <w:t xml:space="preserve">ieejams: </w:t>
      </w:r>
      <w:hyperlink r:id="rId1" w:history="1">
        <w:r w:rsidR="0080693E" w:rsidRPr="00E97E1F">
          <w:rPr>
            <w:rStyle w:val="Hyperlink"/>
          </w:rPr>
          <w:t>https://eur-lex.europa.eu/legal-content/LV/TXT/?uri=CELEX:32018D0563</w:t>
        </w:r>
      </w:hyperlink>
      <w:r w:rsidR="0080693E">
        <w:t xml:space="preserve"> </w:t>
      </w:r>
    </w:p>
  </w:footnote>
  <w:footnote w:id="2">
    <w:p w14:paraId="54D25961" w14:textId="77777777" w:rsidR="00855913" w:rsidRDefault="00EA5201" w:rsidP="00DA467C">
      <w:pPr>
        <w:pStyle w:val="footnotedescription"/>
        <w:spacing w:after="0" w:line="240" w:lineRule="auto"/>
        <w:jc w:val="left"/>
      </w:pPr>
      <w:r>
        <w:rPr>
          <w:rStyle w:val="footnotemark"/>
        </w:rPr>
        <w:footnoteRef/>
      </w:r>
      <w:r>
        <w:t xml:space="preserve"> </w:t>
      </w:r>
      <w:r>
        <w:rPr>
          <w:i w:val="0"/>
        </w:rPr>
        <w:t xml:space="preserve">Publiski pieejams šeit: </w:t>
      </w:r>
      <w:hyperlink r:id="rId2">
        <w:r w:rsidR="00855913">
          <w:rPr>
            <w:i w:val="0"/>
            <w:color w:val="467886"/>
            <w:u w:val="single" w:color="467886"/>
          </w:rPr>
          <w:t>https://data.consilium.europa.eu/doc/document/ST</w:t>
        </w:r>
      </w:hyperlink>
      <w:hyperlink r:id="rId3">
        <w:r w:rsidR="00855913">
          <w:rPr>
            <w:i w:val="0"/>
            <w:color w:val="467886"/>
            <w:u w:val="single" w:color="467886"/>
          </w:rPr>
          <w:t>-</w:t>
        </w:r>
      </w:hyperlink>
      <w:hyperlink r:id="rId4">
        <w:r w:rsidR="00855913">
          <w:rPr>
            <w:i w:val="0"/>
            <w:color w:val="467886"/>
            <w:u w:val="single" w:color="467886"/>
          </w:rPr>
          <w:t>14538</w:t>
        </w:r>
      </w:hyperlink>
      <w:hyperlink r:id="rId5">
        <w:r w:rsidR="00855913">
          <w:rPr>
            <w:i w:val="0"/>
            <w:color w:val="467886"/>
            <w:u w:val="single" w:color="467886"/>
          </w:rPr>
          <w:t>-</w:t>
        </w:r>
      </w:hyperlink>
      <w:hyperlink r:id="rId6">
        <w:r w:rsidR="00855913">
          <w:rPr>
            <w:i w:val="0"/>
            <w:color w:val="467886"/>
            <w:u w:val="single" w:color="467886"/>
          </w:rPr>
          <w:t>2008</w:t>
        </w:r>
      </w:hyperlink>
      <w:hyperlink r:id="rId7">
        <w:r w:rsidR="00855913">
          <w:rPr>
            <w:i w:val="0"/>
            <w:color w:val="467886"/>
            <w:u w:val="single" w:color="467886"/>
          </w:rPr>
          <w:t>-</w:t>
        </w:r>
      </w:hyperlink>
      <w:hyperlink r:id="rId8">
        <w:r w:rsidR="00855913">
          <w:rPr>
            <w:i w:val="0"/>
            <w:color w:val="467886"/>
            <w:u w:val="single" w:color="467886"/>
          </w:rPr>
          <w:t>REV</w:t>
        </w:r>
      </w:hyperlink>
      <w:hyperlink r:id="rId9">
        <w:r w:rsidR="00855913">
          <w:rPr>
            <w:i w:val="0"/>
            <w:color w:val="467886"/>
            <w:u w:val="single" w:color="467886"/>
          </w:rPr>
          <w:t>-</w:t>
        </w:r>
      </w:hyperlink>
      <w:hyperlink r:id="rId10">
        <w:r w:rsidR="00855913">
          <w:rPr>
            <w:i w:val="0"/>
            <w:color w:val="467886"/>
            <w:u w:val="single" w:color="467886"/>
          </w:rPr>
          <w:t>4/lv/pdf</w:t>
        </w:r>
      </w:hyperlink>
      <w:hyperlink r:id="rId11">
        <w:r w:rsidR="00855913">
          <w:rPr>
            <w:i w:val="0"/>
          </w:rPr>
          <w:t xml:space="preserve"> </w:t>
        </w:r>
      </w:hyperlink>
    </w:p>
  </w:footnote>
  <w:footnote w:id="3">
    <w:p w14:paraId="24BBD42D" w14:textId="77777777" w:rsidR="00A235EA" w:rsidRDefault="00A235EA">
      <w:pPr>
        <w:pStyle w:val="FootnoteText"/>
      </w:pPr>
      <w:r>
        <w:rPr>
          <w:rStyle w:val="FootnoteReference"/>
        </w:rPr>
        <w:footnoteRef/>
      </w:r>
      <w:r>
        <w:t xml:space="preserve"> </w:t>
      </w:r>
      <w:r>
        <w:t xml:space="preserve">Pieejams: </w:t>
      </w:r>
      <w:hyperlink r:id="rId12" w:history="1">
        <w:r w:rsidR="00A03CC3" w:rsidRPr="00A03CC3">
          <w:rPr>
            <w:rStyle w:val="Hyperlink"/>
          </w:rPr>
          <w:t>https://eur-lex.europa.eu/legal-content/LV/TXT/?uri=CELEX:52025XG01499</w:t>
        </w:r>
      </w:hyperlink>
      <w:r>
        <w:t xml:space="preserve"> </w:t>
      </w:r>
    </w:p>
  </w:footnote>
  <w:footnote w:id="4">
    <w:p w14:paraId="2C76518B" w14:textId="190C7624" w:rsidR="00DA467C" w:rsidRDefault="00DA467C">
      <w:pPr>
        <w:pStyle w:val="FootnoteText"/>
      </w:pPr>
      <w:r>
        <w:rPr>
          <w:rStyle w:val="FootnoteReference"/>
        </w:rPr>
        <w:footnoteRef/>
      </w:r>
      <w:r>
        <w:t xml:space="preserve"> </w:t>
      </w:r>
      <w:r w:rsidR="00E80379" w:rsidRPr="00E80379">
        <w:t>Eiropas Komisijas sniegtais skaidrojums 2026.gada 14.aprīļa sanāksmē ar ES dalībvalstīm par valsts atbalsta nosacījumiem aizsardzības nozarē</w:t>
      </w:r>
    </w:p>
  </w:footnote>
  <w:footnote w:id="5">
    <w:p w14:paraId="54C79870" w14:textId="77777777" w:rsidR="00855913" w:rsidRDefault="00EA5201" w:rsidP="00DA467C">
      <w:pPr>
        <w:pStyle w:val="footnotedescription"/>
        <w:spacing w:after="0" w:line="240" w:lineRule="auto"/>
        <w:ind w:right="1"/>
      </w:pPr>
      <w:r>
        <w:rPr>
          <w:rStyle w:val="footnotemark"/>
        </w:rPr>
        <w:footnoteRef/>
      </w:r>
      <w:r>
        <w:t xml:space="preserve"> </w:t>
      </w:r>
      <w:r>
        <w:rPr>
          <w:i w:val="0"/>
        </w:rPr>
        <w:t xml:space="preserve">Skat. Eiropas Parlamenta un Padomes Regulas (ES) 2021/821 (2021. gada 20. maijs), </w:t>
      </w:r>
      <w:r>
        <w:t xml:space="preserve">ar ko izveido Savienības režīmu divējāda lietojuma preču eksporta, starpniecības, tehniskās palīdzības, tranzīta un pārvadājumu kontrolei </w:t>
      </w:r>
      <w:r>
        <w:rPr>
          <w:i w:val="0"/>
        </w:rPr>
        <w:t xml:space="preserve">2. panta 1. punktu </w:t>
      </w:r>
    </w:p>
  </w:footnote>
  <w:footnote w:id="6">
    <w:p w14:paraId="082FF594" w14:textId="77777777" w:rsidR="00855913" w:rsidRDefault="00EA5201" w:rsidP="00DA467C">
      <w:pPr>
        <w:pStyle w:val="footnotedescription"/>
        <w:spacing w:after="0" w:line="240" w:lineRule="auto"/>
      </w:pPr>
      <w:r>
        <w:rPr>
          <w:rStyle w:val="footnotemark"/>
        </w:rPr>
        <w:footnoteRef/>
      </w:r>
      <w:r>
        <w:t xml:space="preserve"> </w:t>
      </w:r>
      <w:r>
        <w:rPr>
          <w:i w:val="0"/>
        </w:rPr>
        <w:t xml:space="preserve">Skat., piemēram, 2017. gada 20. novembra Eiropas Komisijas lēmuma par valsts atbalstu SA.34308 (2013/C) </w:t>
      </w:r>
    </w:p>
    <w:p w14:paraId="32ECF007" w14:textId="77777777" w:rsidR="00855913" w:rsidRDefault="00EA5201" w:rsidP="00DA467C">
      <w:pPr>
        <w:pStyle w:val="footnotedescription"/>
        <w:spacing w:after="0" w:line="240" w:lineRule="auto"/>
      </w:pPr>
      <w:r>
        <w:rPr>
          <w:i w:val="0"/>
        </w:rPr>
        <w:t>(</w:t>
      </w:r>
      <w:proofErr w:type="spellStart"/>
      <w:r>
        <w:rPr>
          <w:i w:val="0"/>
        </w:rPr>
        <w:t>ex</w:t>
      </w:r>
      <w:proofErr w:type="spellEnd"/>
      <w:r>
        <w:rPr>
          <w:i w:val="0"/>
        </w:rPr>
        <w:t xml:space="preserve"> 2013/NN), </w:t>
      </w:r>
      <w:r>
        <w:t xml:space="preserve">ko īstenojusi Grieķijas Republika par labu </w:t>
      </w:r>
      <w:proofErr w:type="spellStart"/>
      <w:r>
        <w:t>Hellenic</w:t>
      </w:r>
      <w:proofErr w:type="spellEnd"/>
      <w:r>
        <w:t xml:space="preserve"> </w:t>
      </w:r>
      <w:proofErr w:type="spellStart"/>
      <w:r>
        <w:t>Defence</w:t>
      </w:r>
      <w:proofErr w:type="spellEnd"/>
      <w:r>
        <w:t xml:space="preserve"> </w:t>
      </w:r>
      <w:proofErr w:type="spellStart"/>
      <w:r>
        <w:t>Systems</w:t>
      </w:r>
      <w:proofErr w:type="spellEnd"/>
      <w:r>
        <w:t xml:space="preserve"> S.A. (EAS – </w:t>
      </w:r>
      <w:proofErr w:type="spellStart"/>
      <w:r>
        <w:t>Ellinika</w:t>
      </w:r>
      <w:proofErr w:type="spellEnd"/>
      <w:r>
        <w:t xml:space="preserve"> </w:t>
      </w:r>
      <w:proofErr w:type="spellStart"/>
      <w:r>
        <w:t>Amyntika</w:t>
      </w:r>
      <w:proofErr w:type="spellEnd"/>
      <w:r>
        <w:t xml:space="preserve"> </w:t>
      </w:r>
      <w:proofErr w:type="spellStart"/>
      <w:r>
        <w:t>Systimata</w:t>
      </w:r>
      <w:proofErr w:type="spellEnd"/>
      <w:r>
        <w:t xml:space="preserve">) </w:t>
      </w:r>
      <w:r>
        <w:rPr>
          <w:i w:val="0"/>
        </w:rPr>
        <w:t xml:space="preserve">68.punktu </w:t>
      </w:r>
    </w:p>
    <w:p w14:paraId="46C11E66" w14:textId="77777777" w:rsidR="00855913" w:rsidRDefault="00EA5201" w:rsidP="00DA467C">
      <w:pPr>
        <w:pStyle w:val="footnotedescription"/>
        <w:spacing w:after="0" w:line="240" w:lineRule="auto"/>
        <w:jc w:val="left"/>
      </w:pPr>
      <w:r>
        <w:rPr>
          <w:rFonts w:ascii="Calibri" w:eastAsia="Calibri" w:hAnsi="Calibri" w:cs="Calibri"/>
          <w:i w:val="0"/>
        </w:rPr>
        <w:t xml:space="preserve"> </w:t>
      </w:r>
    </w:p>
  </w:footnote>
  <w:footnote w:id="7">
    <w:p w14:paraId="79B8116F" w14:textId="77777777" w:rsidR="00BF7D49" w:rsidRDefault="00BF7D49" w:rsidP="00B213E1">
      <w:pPr>
        <w:pStyle w:val="FootnoteText"/>
      </w:pPr>
      <w:r>
        <w:rPr>
          <w:rStyle w:val="FootnoteReference"/>
        </w:rPr>
        <w:footnoteRef/>
      </w:r>
      <w:r>
        <w:t xml:space="preserve"> </w:t>
      </w:r>
      <w:r>
        <w:t>S</w:t>
      </w:r>
      <w:r w:rsidRPr="00771A87">
        <w:t>kat. Komisijas paziņojuma par Līguma ar Eiropas Savienības darbību 107. panta 1. punktā minēto valsts atbalsta jēdzienu (2016/C 262/01) 17.punktu, 203.punktu</w:t>
      </w:r>
      <w:r>
        <w:t xml:space="preserve">. </w:t>
      </w:r>
      <w:hyperlink r:id="rId13" w:history="1">
        <w:r w:rsidRPr="0022243A">
          <w:rPr>
            <w:rStyle w:val="Hyperlink"/>
          </w:rPr>
          <w:t>https://eur-lex.europa.eu/legal-content/LV/TXT/?uri=CELEX:52016XC0719%2805%29</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AEC6" w14:textId="77777777" w:rsidR="00FA10DA" w:rsidRDefault="00FA10DA" w:rsidP="00DA46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65205"/>
    <w:multiLevelType w:val="hybridMultilevel"/>
    <w:tmpl w:val="8DE27F48"/>
    <w:lvl w:ilvl="0" w:tplc="F8CADE8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62B222EC"/>
    <w:multiLevelType w:val="hybridMultilevel"/>
    <w:tmpl w:val="F9EED614"/>
    <w:lvl w:ilvl="0" w:tplc="43DE190A">
      <w:start w:val="1"/>
      <w:numFmt w:val="bullet"/>
      <w:lvlText w:val="•"/>
      <w:lvlJc w:val="left"/>
      <w:pPr>
        <w:ind w:left="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0AA68A">
      <w:start w:val="1"/>
      <w:numFmt w:val="bullet"/>
      <w:lvlText w:val="o"/>
      <w:lvlJc w:val="left"/>
      <w:pPr>
        <w:ind w:left="1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7A2648">
      <w:start w:val="1"/>
      <w:numFmt w:val="bullet"/>
      <w:lvlText w:val="▪"/>
      <w:lvlJc w:val="left"/>
      <w:pPr>
        <w:ind w:left="2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825CA0">
      <w:start w:val="1"/>
      <w:numFmt w:val="bullet"/>
      <w:lvlText w:val="•"/>
      <w:lvlJc w:val="left"/>
      <w:pPr>
        <w:ind w:left="30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207472">
      <w:start w:val="1"/>
      <w:numFmt w:val="bullet"/>
      <w:lvlText w:val="o"/>
      <w:lvlJc w:val="left"/>
      <w:pPr>
        <w:ind w:left="3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BAF4C6">
      <w:start w:val="1"/>
      <w:numFmt w:val="bullet"/>
      <w:lvlText w:val="▪"/>
      <w:lvlJc w:val="left"/>
      <w:pPr>
        <w:ind w:left="44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3B0BA80">
      <w:start w:val="1"/>
      <w:numFmt w:val="bullet"/>
      <w:lvlText w:val="•"/>
      <w:lvlJc w:val="left"/>
      <w:pPr>
        <w:ind w:left="5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CC4D86">
      <w:start w:val="1"/>
      <w:numFmt w:val="bullet"/>
      <w:lvlText w:val="o"/>
      <w:lvlJc w:val="left"/>
      <w:pPr>
        <w:ind w:left="58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BBC4E1E">
      <w:start w:val="1"/>
      <w:numFmt w:val="bullet"/>
      <w:lvlText w:val="▪"/>
      <w:lvlJc w:val="left"/>
      <w:pPr>
        <w:ind w:left="6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15637B5"/>
    <w:multiLevelType w:val="hybridMultilevel"/>
    <w:tmpl w:val="B9240DBA"/>
    <w:lvl w:ilvl="0" w:tplc="F140AC58">
      <w:start w:val="1"/>
      <w:numFmt w:val="bullet"/>
      <w:lvlText w:val="•"/>
      <w:lvlJc w:val="left"/>
      <w:pPr>
        <w:ind w:left="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F87F92">
      <w:start w:val="1"/>
      <w:numFmt w:val="bullet"/>
      <w:lvlText w:val="o"/>
      <w:lvlJc w:val="left"/>
      <w:pPr>
        <w:ind w:left="1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3D670E8">
      <w:start w:val="1"/>
      <w:numFmt w:val="bullet"/>
      <w:lvlText w:val="▪"/>
      <w:lvlJc w:val="left"/>
      <w:pPr>
        <w:ind w:left="2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504DA88">
      <w:start w:val="1"/>
      <w:numFmt w:val="bullet"/>
      <w:lvlText w:val="•"/>
      <w:lvlJc w:val="left"/>
      <w:pPr>
        <w:ind w:left="30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0EA468">
      <w:start w:val="1"/>
      <w:numFmt w:val="bullet"/>
      <w:lvlText w:val="o"/>
      <w:lvlJc w:val="left"/>
      <w:pPr>
        <w:ind w:left="3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BE63B6">
      <w:start w:val="1"/>
      <w:numFmt w:val="bullet"/>
      <w:lvlText w:val="▪"/>
      <w:lvlJc w:val="left"/>
      <w:pPr>
        <w:ind w:left="44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BA2A1EE">
      <w:start w:val="1"/>
      <w:numFmt w:val="bullet"/>
      <w:lvlText w:val="•"/>
      <w:lvlJc w:val="left"/>
      <w:pPr>
        <w:ind w:left="5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ACBBAA">
      <w:start w:val="1"/>
      <w:numFmt w:val="bullet"/>
      <w:lvlText w:val="o"/>
      <w:lvlJc w:val="left"/>
      <w:pPr>
        <w:ind w:left="58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44249DE">
      <w:start w:val="1"/>
      <w:numFmt w:val="bullet"/>
      <w:lvlText w:val="▪"/>
      <w:lvlJc w:val="left"/>
      <w:pPr>
        <w:ind w:left="6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922130983">
    <w:abstractNumId w:val="1"/>
  </w:num>
  <w:num w:numId="2" w16cid:durableId="1096251312">
    <w:abstractNumId w:val="0"/>
  </w:num>
  <w:num w:numId="3" w16cid:durableId="563222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913"/>
    <w:rsid w:val="00055A53"/>
    <w:rsid w:val="000654E9"/>
    <w:rsid w:val="00094527"/>
    <w:rsid w:val="000B03CF"/>
    <w:rsid w:val="00167798"/>
    <w:rsid w:val="00183541"/>
    <w:rsid w:val="00210128"/>
    <w:rsid w:val="00236863"/>
    <w:rsid w:val="002468F6"/>
    <w:rsid w:val="00254630"/>
    <w:rsid w:val="00290A3F"/>
    <w:rsid w:val="002A700A"/>
    <w:rsid w:val="002A753A"/>
    <w:rsid w:val="002C7E82"/>
    <w:rsid w:val="00311587"/>
    <w:rsid w:val="00313DBD"/>
    <w:rsid w:val="00361C5F"/>
    <w:rsid w:val="004663A5"/>
    <w:rsid w:val="004E1523"/>
    <w:rsid w:val="00543803"/>
    <w:rsid w:val="00546775"/>
    <w:rsid w:val="00565173"/>
    <w:rsid w:val="00565504"/>
    <w:rsid w:val="005A1BC4"/>
    <w:rsid w:val="00616E38"/>
    <w:rsid w:val="006354C5"/>
    <w:rsid w:val="0069777C"/>
    <w:rsid w:val="00771A87"/>
    <w:rsid w:val="007813BA"/>
    <w:rsid w:val="007C7FC3"/>
    <w:rsid w:val="008025D2"/>
    <w:rsid w:val="00804164"/>
    <w:rsid w:val="0080693E"/>
    <w:rsid w:val="008308D6"/>
    <w:rsid w:val="008440C2"/>
    <w:rsid w:val="00855913"/>
    <w:rsid w:val="008979E0"/>
    <w:rsid w:val="008F7FA7"/>
    <w:rsid w:val="00900480"/>
    <w:rsid w:val="00953211"/>
    <w:rsid w:val="00965AB7"/>
    <w:rsid w:val="009A72A9"/>
    <w:rsid w:val="009F4E5D"/>
    <w:rsid w:val="00A03CC3"/>
    <w:rsid w:val="00A1273A"/>
    <w:rsid w:val="00A219AD"/>
    <w:rsid w:val="00A23057"/>
    <w:rsid w:val="00A235EA"/>
    <w:rsid w:val="00A23B28"/>
    <w:rsid w:val="00A57A4D"/>
    <w:rsid w:val="00AF55EB"/>
    <w:rsid w:val="00AF6A2F"/>
    <w:rsid w:val="00B213E1"/>
    <w:rsid w:val="00B22948"/>
    <w:rsid w:val="00B408D0"/>
    <w:rsid w:val="00B40B2F"/>
    <w:rsid w:val="00BE7277"/>
    <w:rsid w:val="00BF7D49"/>
    <w:rsid w:val="00C06EBC"/>
    <w:rsid w:val="00C63DD6"/>
    <w:rsid w:val="00C77739"/>
    <w:rsid w:val="00C96425"/>
    <w:rsid w:val="00CC66C1"/>
    <w:rsid w:val="00D322F6"/>
    <w:rsid w:val="00D91180"/>
    <w:rsid w:val="00DA467C"/>
    <w:rsid w:val="00E80379"/>
    <w:rsid w:val="00EA5201"/>
    <w:rsid w:val="00EB3DE2"/>
    <w:rsid w:val="00EB4E11"/>
    <w:rsid w:val="00ED1E97"/>
    <w:rsid w:val="00F61C00"/>
    <w:rsid w:val="00F630D7"/>
    <w:rsid w:val="00F66CEB"/>
    <w:rsid w:val="00F8032E"/>
    <w:rsid w:val="00FA10DA"/>
    <w:rsid w:val="00FA302A"/>
    <w:rsid w:val="00FC76BA"/>
    <w:rsid w:val="00FE422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79CE0"/>
  <w15:docId w15:val="{2DF80F08-731A-4048-8E54-1F6838BD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0DA"/>
    <w:pPr>
      <w:spacing w:after="18" w:line="270" w:lineRule="auto"/>
      <w:ind w:left="10"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A10DA"/>
    <w:pPr>
      <w:spacing w:after="5" w:line="263" w:lineRule="auto"/>
      <w:jc w:val="both"/>
    </w:pPr>
    <w:rPr>
      <w:rFonts w:ascii="Times New Roman" w:eastAsia="Times New Roman" w:hAnsi="Times New Roman" w:cs="Times New Roman"/>
      <w:i/>
      <w:color w:val="000000"/>
      <w:sz w:val="20"/>
    </w:rPr>
  </w:style>
  <w:style w:type="character" w:customStyle="1" w:styleId="footnotedescriptionChar">
    <w:name w:val="footnote description Char"/>
    <w:link w:val="footnotedescription"/>
    <w:rPr>
      <w:rFonts w:ascii="Times New Roman" w:eastAsia="Times New Roman" w:hAnsi="Times New Roman" w:cs="Times New Roman"/>
      <w:i/>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Revision">
    <w:name w:val="Revision"/>
    <w:hidden/>
    <w:uiPriority w:val="99"/>
    <w:semiHidden/>
    <w:rsid w:val="002A753A"/>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F630D7"/>
    <w:rPr>
      <w:sz w:val="16"/>
      <w:szCs w:val="16"/>
    </w:rPr>
  </w:style>
  <w:style w:type="paragraph" w:styleId="CommentText">
    <w:name w:val="annotation text"/>
    <w:basedOn w:val="Normal"/>
    <w:link w:val="CommentTextChar"/>
    <w:uiPriority w:val="99"/>
    <w:unhideWhenUsed/>
    <w:rsid w:val="00F630D7"/>
    <w:pPr>
      <w:spacing w:line="240" w:lineRule="auto"/>
    </w:pPr>
    <w:rPr>
      <w:sz w:val="20"/>
      <w:szCs w:val="20"/>
    </w:rPr>
  </w:style>
  <w:style w:type="character" w:customStyle="1" w:styleId="CommentTextChar">
    <w:name w:val="Comment Text Char"/>
    <w:basedOn w:val="DefaultParagraphFont"/>
    <w:link w:val="CommentText"/>
    <w:uiPriority w:val="99"/>
    <w:rsid w:val="00F630D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F630D7"/>
    <w:rPr>
      <w:b/>
      <w:bCs/>
    </w:rPr>
  </w:style>
  <w:style w:type="character" w:customStyle="1" w:styleId="CommentSubjectChar">
    <w:name w:val="Comment Subject Char"/>
    <w:basedOn w:val="CommentTextChar"/>
    <w:link w:val="CommentSubject"/>
    <w:uiPriority w:val="99"/>
    <w:semiHidden/>
    <w:rsid w:val="00F630D7"/>
    <w:rPr>
      <w:rFonts w:ascii="Times New Roman" w:eastAsia="Times New Roman" w:hAnsi="Times New Roman" w:cs="Times New Roman"/>
      <w:b/>
      <w:bCs/>
      <w:color w:val="000000"/>
      <w:sz w:val="20"/>
      <w:szCs w:val="20"/>
    </w:rPr>
  </w:style>
  <w:style w:type="paragraph" w:styleId="ListParagraph">
    <w:name w:val="List Paragraph"/>
    <w:basedOn w:val="Normal"/>
    <w:uiPriority w:val="34"/>
    <w:qFormat/>
    <w:rsid w:val="00FA302A"/>
    <w:pPr>
      <w:ind w:left="720"/>
      <w:contextualSpacing/>
    </w:pPr>
  </w:style>
  <w:style w:type="character" w:styleId="Hyperlink">
    <w:name w:val="Hyperlink"/>
    <w:basedOn w:val="DefaultParagraphFont"/>
    <w:uiPriority w:val="99"/>
    <w:unhideWhenUsed/>
    <w:rsid w:val="00313DBD"/>
    <w:rPr>
      <w:color w:val="467886" w:themeColor="hyperlink"/>
      <w:u w:val="single"/>
    </w:rPr>
  </w:style>
  <w:style w:type="character" w:styleId="UnresolvedMention">
    <w:name w:val="Unresolved Mention"/>
    <w:basedOn w:val="DefaultParagraphFont"/>
    <w:uiPriority w:val="99"/>
    <w:semiHidden/>
    <w:unhideWhenUsed/>
    <w:rsid w:val="00313DBD"/>
    <w:rPr>
      <w:color w:val="605E5C"/>
      <w:shd w:val="clear" w:color="auto" w:fill="E1DFDD"/>
    </w:rPr>
  </w:style>
  <w:style w:type="character" w:styleId="FootnoteReference">
    <w:name w:val="footnote reference"/>
    <w:basedOn w:val="DefaultParagraphFont"/>
    <w:uiPriority w:val="99"/>
    <w:semiHidden/>
    <w:unhideWhenUsed/>
    <w:rsid w:val="00EB3DE2"/>
    <w:rPr>
      <w:rFonts w:ascii="Times New Roman" w:hAnsi="Times New Roman" w:cs="Times New Roman" w:hint="default"/>
      <w:vertAlign w:val="superscript"/>
    </w:rPr>
  </w:style>
  <w:style w:type="paragraph" w:styleId="FootnoteText">
    <w:name w:val="footnote text"/>
    <w:basedOn w:val="Normal"/>
    <w:link w:val="FootnoteTextChar"/>
    <w:uiPriority w:val="99"/>
    <w:semiHidden/>
    <w:unhideWhenUsed/>
    <w:rsid w:val="00EB3D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3DE2"/>
    <w:rPr>
      <w:rFonts w:ascii="Times New Roman" w:eastAsia="Times New Roman" w:hAnsi="Times New Roman" w:cs="Times New Roman"/>
      <w:color w:val="000000"/>
      <w:sz w:val="20"/>
      <w:szCs w:val="20"/>
    </w:rPr>
  </w:style>
  <w:style w:type="character" w:styleId="FollowedHyperlink">
    <w:name w:val="FollowedHyperlink"/>
    <w:basedOn w:val="DefaultParagraphFont"/>
    <w:uiPriority w:val="99"/>
    <w:semiHidden/>
    <w:unhideWhenUsed/>
    <w:rsid w:val="008F7FA7"/>
    <w:rPr>
      <w:color w:val="96607D" w:themeColor="followedHyperlink"/>
      <w:u w:val="single"/>
    </w:rPr>
  </w:style>
  <w:style w:type="paragraph" w:styleId="Header">
    <w:name w:val="header"/>
    <w:basedOn w:val="Normal"/>
    <w:link w:val="HeaderChar"/>
    <w:uiPriority w:val="99"/>
    <w:unhideWhenUsed/>
    <w:rsid w:val="00FA10DA"/>
    <w:pPr>
      <w:tabs>
        <w:tab w:val="center" w:pos="4153"/>
        <w:tab w:val="right" w:pos="8306"/>
      </w:tabs>
      <w:spacing w:after="0" w:line="240" w:lineRule="auto"/>
    </w:pPr>
  </w:style>
  <w:style w:type="character" w:customStyle="1" w:styleId="HeaderChar">
    <w:name w:val="Header Char"/>
    <w:basedOn w:val="DefaultParagraphFont"/>
    <w:link w:val="Header"/>
    <w:uiPriority w:val="99"/>
    <w:rsid w:val="00FA10DA"/>
    <w:rPr>
      <w:rFonts w:ascii="Times New Roman" w:eastAsia="Times New Roman" w:hAnsi="Times New Roman" w:cs="Times New Roman"/>
      <w:color w:val="000000"/>
    </w:rPr>
  </w:style>
  <w:style w:type="paragraph" w:styleId="Footer">
    <w:name w:val="footer"/>
    <w:basedOn w:val="Normal"/>
    <w:link w:val="FooterChar"/>
    <w:uiPriority w:val="99"/>
    <w:unhideWhenUsed/>
    <w:rsid w:val="00FA10DA"/>
    <w:pPr>
      <w:tabs>
        <w:tab w:val="center" w:pos="4153"/>
        <w:tab w:val="right" w:pos="8306"/>
      </w:tabs>
      <w:spacing w:after="0" w:line="240" w:lineRule="auto"/>
    </w:pPr>
  </w:style>
  <w:style w:type="character" w:customStyle="1" w:styleId="FooterChar">
    <w:name w:val="Footer Char"/>
    <w:basedOn w:val="DefaultParagraphFont"/>
    <w:link w:val="Footer"/>
    <w:uiPriority w:val="99"/>
    <w:rsid w:val="00FA10DA"/>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4538-2008-REV-4/lv/pdf" TargetMode="External"/><Relationship Id="rId13" Type="http://schemas.openxmlformats.org/officeDocument/2006/relationships/hyperlink" Target="https://eur-lex.europa.eu/legal-content/LV/TXT/?uri=CELEX:52016XC0719%2805%29" TargetMode="External"/><Relationship Id="rId3" Type="http://schemas.openxmlformats.org/officeDocument/2006/relationships/hyperlink" Target="https://data.consilium.europa.eu/doc/document/ST-14538-2008-REV-4/lv/pdf" TargetMode="External"/><Relationship Id="rId7" Type="http://schemas.openxmlformats.org/officeDocument/2006/relationships/hyperlink" Target="https://data.consilium.europa.eu/doc/document/ST-14538-2008-REV-4/lv/pdf" TargetMode="External"/><Relationship Id="rId12" Type="http://schemas.openxmlformats.org/officeDocument/2006/relationships/hyperlink" Target="https://eur-lex.europa.eu/legal-content/LV/TXT/?uri=CELEX:52025XG01499" TargetMode="External"/><Relationship Id="rId2" Type="http://schemas.openxmlformats.org/officeDocument/2006/relationships/hyperlink" Target="https://data.consilium.europa.eu/doc/document/ST-14538-2008-REV-4/lv/pdf" TargetMode="External"/><Relationship Id="rId1" Type="http://schemas.openxmlformats.org/officeDocument/2006/relationships/hyperlink" Target="https://eur-lex.europa.eu/legal-content/LV/TXT/?uri=CELEX:32018D0563" TargetMode="External"/><Relationship Id="rId6" Type="http://schemas.openxmlformats.org/officeDocument/2006/relationships/hyperlink" Target="https://data.consilium.europa.eu/doc/document/ST-14538-2008-REV-4/lv/pdf" TargetMode="External"/><Relationship Id="rId11" Type="http://schemas.openxmlformats.org/officeDocument/2006/relationships/hyperlink" Target="https://data.consilium.europa.eu/doc/document/ST-14538-2008-REV-4/lv/pdf" TargetMode="External"/><Relationship Id="rId5" Type="http://schemas.openxmlformats.org/officeDocument/2006/relationships/hyperlink" Target="https://data.consilium.europa.eu/doc/document/ST-14538-2008-REV-4/lv/pdf" TargetMode="External"/><Relationship Id="rId10" Type="http://schemas.openxmlformats.org/officeDocument/2006/relationships/hyperlink" Target="https://data.consilium.europa.eu/doc/document/ST-14538-2008-REV-4/lv/pdf" TargetMode="External"/><Relationship Id="rId4" Type="http://schemas.openxmlformats.org/officeDocument/2006/relationships/hyperlink" Target="https://data.consilium.europa.eu/doc/document/ST-14538-2008-REV-4/lv/pdf" TargetMode="External"/><Relationship Id="rId9" Type="http://schemas.openxmlformats.org/officeDocument/2006/relationships/hyperlink" Target="https://data.consilium.europa.eu/doc/document/ST-14538-2008-REV-4/l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547C1-B87F-42BE-905D-A1A875EAF0DE}">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3994</Words>
  <Characters>2277</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KAKD</dc:creator>
  <cp:keywords/>
  <cp:lastModifiedBy>Mārcis Gāga</cp:lastModifiedBy>
  <cp:revision>3</cp:revision>
  <dcterms:created xsi:type="dcterms:W3CDTF">2026-10-07T08:43:00Z</dcterms:created>
  <dcterms:modified xsi:type="dcterms:W3CDTF">2026-10-08T06:37:00Z</dcterms:modified>
</cp:coreProperties>
</file>